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4.xml" ContentType="application/vnd.openxmlformats-officedocument.wordprocessingml.header+xml"/>
  <Override PartName="/word/footer24.xml" ContentType="application/vnd.openxmlformats-officedocument.wordprocessingml.footer+xml"/>
  <Override PartName="/word/header5.xml" ContentType="application/vnd.openxmlformats-officedocument.wordprocessingml.header+xml"/>
  <Override PartName="/word/footer25.xml" ContentType="application/vnd.openxmlformats-officedocument.wordprocessingml.footer+xml"/>
  <Override PartName="/word/header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7.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8.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header9.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10.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11.xml" ContentType="application/vnd.openxmlformats-officedocument.wordprocessingml.header+xml"/>
  <Override PartName="/word/footer54.xml" ContentType="application/vnd.openxmlformats-officedocument.wordprocessingml.footer+xml"/>
  <Override PartName="/word/header12.xml" ContentType="application/vnd.openxmlformats-officedocument.wordprocessingml.header+xml"/>
  <Override PartName="/word/footer55.xml" ContentType="application/vnd.openxmlformats-officedocument.wordprocessingml.footer+xml"/>
  <Override PartName="/word/header13.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header14.xml" ContentType="application/vnd.openxmlformats-officedocument.wordprocessingml.header+xml"/>
  <Override PartName="/word/footer58.xml" ContentType="application/vnd.openxmlformats-officedocument.wordprocessingml.footer+xml"/>
  <Override PartName="/word/header15.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header16.xml" ContentType="application/vnd.openxmlformats-officedocument.wordprocessingml.header+xml"/>
  <Override PartName="/word/footer63.xml" ContentType="application/vnd.openxmlformats-officedocument.wordprocessingml.footer+xml"/>
  <Override PartName="/word/header17.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header18.xml" ContentType="application/vnd.openxmlformats-officedocument.wordprocessingml.header+xml"/>
  <Override PartName="/word/footer69.xml" ContentType="application/vnd.openxmlformats-officedocument.wordprocessingml.footer+xml"/>
  <Override PartName="/word/header19.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header2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21.xml" ContentType="application/vnd.openxmlformats-officedocument.wordprocessingml.header+xml"/>
  <Override PartName="/word/footer81.xml" ContentType="application/vnd.openxmlformats-officedocument.wordprocessingml.footer+xml"/>
  <Override PartName="/word/header22.xml" ContentType="application/vnd.openxmlformats-officedocument.wordprocessingml.header+xml"/>
  <Override PartName="/word/footer82.xml" ContentType="application/vnd.openxmlformats-officedocument.wordprocessingml.footer+xml"/>
  <Override PartName="/word/header23.xml" ContentType="application/vnd.openxmlformats-officedocument.wordprocessingml.header+xml"/>
  <Override PartName="/word/footer8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p>
      <w:pPr>
        <w:spacing w:line="539" w:lineRule="exact" w:before="0"/>
        <w:ind w:left="2290" w:right="3270" w:firstLine="0"/>
        <w:jc w:val="center"/>
        <w:rPr>
          <w:rFonts w:ascii="宋体" w:hAnsi="宋体" w:cs="宋体" w:eastAsia="宋体" w:hint="default"/>
          <w:sz w:val="44"/>
          <w:szCs w:val="44"/>
        </w:rPr>
      </w:pPr>
      <w:r>
        <w:rPr>
          <w:rFonts w:ascii="宋体" w:hAnsi="宋体" w:cs="宋体" w:eastAsia="宋体" w:hint="default"/>
          <w:b/>
          <w:bCs/>
          <w:spacing w:val="2"/>
          <w:sz w:val="44"/>
          <w:szCs w:val="44"/>
        </w:rPr>
        <w:t>苏宁云商集团股份有限公司</w:t>
      </w:r>
      <w:r>
        <w:rPr>
          <w:rFonts w:ascii="宋体" w:hAnsi="宋体" w:cs="宋体" w:eastAsia="宋体" w:hint="default"/>
          <w:sz w:val="44"/>
          <w:szCs w:val="44"/>
        </w:rPr>
      </w:r>
    </w:p>
    <w:p>
      <w:pPr>
        <w:spacing w:line="240" w:lineRule="auto" w:before="10"/>
        <w:rPr>
          <w:rFonts w:ascii="宋体" w:hAnsi="宋体" w:cs="宋体" w:eastAsia="宋体" w:hint="default"/>
          <w:b/>
          <w:bCs/>
          <w:sz w:val="30"/>
          <w:szCs w:val="30"/>
        </w:rPr>
      </w:pPr>
    </w:p>
    <w:p>
      <w:pPr>
        <w:spacing w:before="0"/>
        <w:ind w:left="2290" w:right="3208" w:firstLine="0"/>
        <w:jc w:val="center"/>
        <w:rPr>
          <w:rFonts w:ascii="宋体" w:hAnsi="宋体" w:cs="宋体" w:eastAsia="宋体" w:hint="default"/>
          <w:sz w:val="40"/>
          <w:szCs w:val="40"/>
        </w:rPr>
      </w:pPr>
      <w:r>
        <w:rPr>
          <w:rFonts w:ascii="宋体" w:hAnsi="宋体" w:cs="宋体" w:eastAsia="宋体" w:hint="default"/>
          <w:b/>
          <w:bCs/>
          <w:sz w:val="40"/>
          <w:szCs w:val="40"/>
        </w:rPr>
        <w:t>2012</w:t>
      </w:r>
      <w:r>
        <w:rPr>
          <w:rFonts w:ascii="宋体" w:hAnsi="宋体" w:cs="宋体" w:eastAsia="宋体" w:hint="default"/>
          <w:b/>
          <w:bCs/>
          <w:spacing w:val="-103"/>
          <w:sz w:val="40"/>
          <w:szCs w:val="40"/>
        </w:rPr>
        <w:t> </w:t>
      </w:r>
      <w:r>
        <w:rPr>
          <w:rFonts w:ascii="宋体" w:hAnsi="宋体" w:cs="宋体" w:eastAsia="宋体" w:hint="default"/>
          <w:b/>
          <w:bCs/>
          <w:sz w:val="40"/>
          <w:szCs w:val="40"/>
        </w:rPr>
        <w:t>年度报告</w:t>
      </w:r>
      <w:r>
        <w:rPr>
          <w:rFonts w:ascii="宋体" w:hAnsi="宋体" w:cs="宋体" w:eastAsia="宋体" w:hint="default"/>
          <w:sz w:val="40"/>
          <w:szCs w:val="4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2"/>
          <w:szCs w:val="12"/>
        </w:rPr>
      </w:pPr>
    </w:p>
    <w:p>
      <w:pPr>
        <w:spacing w:line="1562" w:lineRule="exact"/>
        <w:ind w:left="3206" w:right="0" w:firstLine="0"/>
        <w:rPr>
          <w:rFonts w:ascii="宋体" w:hAnsi="宋体" w:cs="宋体" w:eastAsia="宋体" w:hint="default"/>
          <w:sz w:val="20"/>
          <w:szCs w:val="20"/>
        </w:rPr>
      </w:pPr>
      <w:r>
        <w:rPr>
          <w:rFonts w:ascii="宋体" w:hAnsi="宋体" w:cs="宋体" w:eastAsia="宋体" w:hint="default"/>
          <w:position w:val="-30"/>
          <w:sz w:val="20"/>
          <w:szCs w:val="20"/>
        </w:rPr>
        <w:drawing>
          <wp:inline distT="0" distB="0" distL="0" distR="0">
            <wp:extent cx="2377807" cy="992124"/>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377807" cy="992124"/>
                    </a:xfrm>
                    <a:prstGeom prst="rect">
                      <a:avLst/>
                    </a:prstGeom>
                  </pic:spPr>
                </pic:pic>
              </a:graphicData>
            </a:graphic>
          </wp:inline>
        </w:drawing>
      </w:r>
      <w:r>
        <w:rPr>
          <w:rFonts w:ascii="宋体" w:hAnsi="宋体" w:cs="宋体" w:eastAsia="宋体" w:hint="default"/>
          <w:position w:val="-30"/>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spacing w:line="460" w:lineRule="exact" w:before="0"/>
        <w:ind w:left="2290" w:right="2624" w:firstLine="0"/>
        <w:jc w:val="center"/>
        <w:rPr>
          <w:rFonts w:ascii="宋体" w:hAnsi="宋体" w:cs="宋体" w:eastAsia="宋体" w:hint="default"/>
          <w:sz w:val="36"/>
          <w:szCs w:val="36"/>
        </w:rPr>
      </w:pPr>
      <w:r>
        <w:rPr>
          <w:rFonts w:ascii="宋体" w:hAnsi="宋体" w:cs="宋体" w:eastAsia="宋体" w:hint="default"/>
          <w:b/>
          <w:bCs/>
          <w:sz w:val="36"/>
          <w:szCs w:val="36"/>
        </w:rPr>
        <w:t>2013</w:t>
      </w:r>
      <w:r>
        <w:rPr>
          <w:rFonts w:ascii="宋体" w:hAnsi="宋体" w:cs="宋体" w:eastAsia="宋体" w:hint="default"/>
          <w:b/>
          <w:bCs/>
          <w:spacing w:val="-93"/>
          <w:sz w:val="36"/>
          <w:szCs w:val="36"/>
        </w:rPr>
        <w:t> </w:t>
      </w:r>
      <w:r>
        <w:rPr>
          <w:rFonts w:ascii="宋体" w:hAnsi="宋体" w:cs="宋体" w:eastAsia="宋体" w:hint="default"/>
          <w:b/>
          <w:bCs/>
          <w:sz w:val="36"/>
          <w:szCs w:val="36"/>
        </w:rPr>
        <w:t>年</w:t>
      </w:r>
      <w:r>
        <w:rPr>
          <w:rFonts w:ascii="宋体" w:hAnsi="宋体" w:cs="宋体" w:eastAsia="宋体" w:hint="default"/>
          <w:b/>
          <w:bCs/>
          <w:spacing w:val="-91"/>
          <w:sz w:val="36"/>
          <w:szCs w:val="36"/>
        </w:rPr>
        <w:t> </w:t>
      </w:r>
      <w:r>
        <w:rPr>
          <w:rFonts w:ascii="宋体" w:hAnsi="宋体" w:cs="宋体" w:eastAsia="宋体" w:hint="default"/>
          <w:b/>
          <w:bCs/>
          <w:sz w:val="36"/>
          <w:szCs w:val="36"/>
        </w:rPr>
        <w:t>03</w:t>
      </w:r>
      <w:r>
        <w:rPr>
          <w:rFonts w:ascii="宋体" w:hAnsi="宋体" w:cs="宋体" w:eastAsia="宋体" w:hint="default"/>
          <w:b/>
          <w:bCs/>
          <w:spacing w:val="-91"/>
          <w:sz w:val="36"/>
          <w:szCs w:val="36"/>
        </w:rPr>
        <w:t> </w:t>
      </w:r>
      <w:r>
        <w:rPr>
          <w:rFonts w:ascii="宋体" w:hAnsi="宋体" w:cs="宋体" w:eastAsia="宋体" w:hint="default"/>
          <w:b/>
          <w:bCs/>
          <w:sz w:val="36"/>
          <w:szCs w:val="36"/>
        </w:rPr>
        <w:t>月</w:t>
      </w:r>
      <w:r>
        <w:rPr>
          <w:rFonts w:ascii="宋体" w:hAnsi="宋体" w:cs="宋体" w:eastAsia="宋体" w:hint="default"/>
          <w:sz w:val="36"/>
          <w:szCs w:val="36"/>
        </w:rPr>
      </w:r>
    </w:p>
    <w:p>
      <w:pPr>
        <w:spacing w:after="0" w:line="460" w:lineRule="exact"/>
        <w:jc w:val="center"/>
        <w:rPr>
          <w:rFonts w:ascii="宋体" w:hAnsi="宋体" w:cs="宋体" w:eastAsia="宋体" w:hint="default"/>
          <w:sz w:val="36"/>
          <w:szCs w:val="36"/>
        </w:rP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宋体" w:hAnsi="宋体" w:cs="宋体" w:eastAsia="宋体" w:hint="default"/>
          <w:b/>
          <w:bCs/>
          <w:sz w:val="2"/>
          <w:szCs w:val="2"/>
        </w:rPr>
      </w:pP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905" w:val="left" w:leader="none"/>
        </w:tabs>
        <w:spacing w:before="169"/>
        <w:ind w:left="0" w:right="135"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273"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TOC_250010">
            <w:r>
              <w:rPr/>
              <w:t>第一节 重要提示</w:t>
            </w:r>
            <w:r>
              <w:rPr>
                <w:rFonts w:ascii="宋体" w:hAnsi="宋体" w:cs="宋体" w:eastAsia="宋体" w:hint="default"/>
              </w:rPr>
              <w:tab/>
              <w:t>3</w:t>
            </w:r>
            <w:r>
              <w:rPr>
                <w:rFonts w:ascii="宋体" w:hAnsi="宋体" w:cs="宋体" w:eastAsia="宋体" w:hint="default"/>
                <w:b w:val="0"/>
                <w:bCs w:val="0"/>
              </w:rPr>
            </w:r>
          </w:hyperlink>
        </w:p>
        <w:p>
          <w:pPr>
            <w:pStyle w:val="TOC1"/>
            <w:tabs>
              <w:tab w:pos="9273" w:val="right" w:leader="dot"/>
            </w:tabs>
            <w:spacing w:line="240" w:lineRule="auto" w:before="378"/>
            <w:ind w:right="0"/>
            <w:jc w:val="left"/>
            <w:rPr>
              <w:rFonts w:ascii="宋体" w:hAnsi="宋体" w:cs="宋体" w:eastAsia="宋体" w:hint="default"/>
              <w:b w:val="0"/>
              <w:bCs w:val="0"/>
            </w:rPr>
          </w:pPr>
          <w:hyperlink w:history="true" w:anchor="_TOC_250009">
            <w:r>
              <w:rPr/>
              <w:t>第二节 公司简介</w:t>
            </w:r>
            <w:r>
              <w:rPr>
                <w:rFonts w:ascii="宋体" w:hAnsi="宋体" w:cs="宋体" w:eastAsia="宋体" w:hint="default"/>
              </w:rPr>
              <w:tab/>
              <w:t>4</w:t>
            </w:r>
            <w:r>
              <w:rPr>
                <w:rFonts w:ascii="宋体" w:hAnsi="宋体" w:cs="宋体" w:eastAsia="宋体" w:hint="default"/>
                <w:b w:val="0"/>
                <w:bCs w:val="0"/>
              </w:rPr>
            </w:r>
          </w:hyperlink>
        </w:p>
        <w:p>
          <w:pPr>
            <w:pStyle w:val="TOC1"/>
            <w:tabs>
              <w:tab w:pos="9273" w:val="right" w:leader="dot"/>
            </w:tabs>
            <w:spacing w:line="240" w:lineRule="auto"/>
            <w:ind w:right="0"/>
            <w:jc w:val="left"/>
            <w:rPr>
              <w:rFonts w:ascii="宋体" w:hAnsi="宋体" w:cs="宋体" w:eastAsia="宋体" w:hint="default"/>
              <w:b w:val="0"/>
              <w:bCs w:val="0"/>
            </w:rPr>
          </w:pPr>
          <w:hyperlink w:history="true" w:anchor="_TOC_250008">
            <w:r>
              <w:rPr/>
              <w:t>第三节 会计数据和财务指标摘要</w:t>
            </w:r>
            <w:r>
              <w:rPr>
                <w:rFonts w:ascii="宋体" w:hAnsi="宋体" w:cs="宋体" w:eastAsia="宋体" w:hint="default"/>
              </w:rPr>
              <w:tab/>
              <w:t>5</w:t>
            </w:r>
            <w:r>
              <w:rPr>
                <w:rFonts w:ascii="宋体" w:hAnsi="宋体" w:cs="宋体" w:eastAsia="宋体" w:hint="default"/>
                <w:b w:val="0"/>
                <w:bCs w:val="0"/>
              </w:rPr>
            </w:r>
          </w:hyperlink>
        </w:p>
        <w:p>
          <w:pPr>
            <w:pStyle w:val="TOC1"/>
            <w:tabs>
              <w:tab w:pos="9273" w:val="right" w:leader="dot"/>
            </w:tabs>
            <w:spacing w:line="240" w:lineRule="auto"/>
            <w:ind w:right="0"/>
            <w:jc w:val="left"/>
            <w:rPr>
              <w:rFonts w:ascii="宋体" w:hAnsi="宋体" w:cs="宋体" w:eastAsia="宋体" w:hint="default"/>
              <w:b w:val="0"/>
              <w:bCs w:val="0"/>
            </w:rPr>
          </w:pPr>
          <w:hyperlink w:history="true" w:anchor="_TOC_250007">
            <w:r>
              <w:rPr/>
              <w:t>第四节 董事会报告</w:t>
            </w:r>
            <w:r>
              <w:rPr>
                <w:rFonts w:ascii="宋体" w:hAnsi="宋体" w:cs="宋体" w:eastAsia="宋体" w:hint="default"/>
              </w:rPr>
              <w:tab/>
              <w:t>7</w:t>
            </w:r>
            <w:r>
              <w:rPr>
                <w:rFonts w:ascii="宋体" w:hAnsi="宋体" w:cs="宋体" w:eastAsia="宋体" w:hint="default"/>
                <w:b w:val="0"/>
                <w:bCs w:val="0"/>
              </w:rPr>
            </w:r>
          </w:hyperlink>
        </w:p>
        <w:p>
          <w:pPr>
            <w:pStyle w:val="TOC1"/>
            <w:tabs>
              <w:tab w:pos="9274" w:val="right" w:leader="dot"/>
            </w:tabs>
            <w:spacing w:line="240" w:lineRule="auto"/>
            <w:ind w:right="0"/>
            <w:jc w:val="left"/>
            <w:rPr>
              <w:rFonts w:ascii="宋体" w:hAnsi="宋体" w:cs="宋体" w:eastAsia="宋体" w:hint="default"/>
              <w:b w:val="0"/>
              <w:bCs w:val="0"/>
            </w:rPr>
          </w:pPr>
          <w:hyperlink w:history="true" w:anchor="_TOC_250006">
            <w:r>
              <w:rPr/>
              <w:t>第五节 重要事项</w:t>
            </w:r>
            <w:r>
              <w:rPr>
                <w:rFonts w:ascii="宋体" w:hAnsi="宋体" w:cs="宋体" w:eastAsia="宋体" w:hint="default"/>
              </w:rPr>
              <w:tab/>
              <w:t>54</w:t>
            </w:r>
            <w:r>
              <w:rPr>
                <w:rFonts w:ascii="宋体" w:hAnsi="宋体" w:cs="宋体" w:eastAsia="宋体" w:hint="default"/>
                <w:b w:val="0"/>
                <w:bCs w:val="0"/>
              </w:rPr>
            </w:r>
          </w:hyperlink>
        </w:p>
        <w:p>
          <w:pPr>
            <w:pStyle w:val="TOC1"/>
            <w:tabs>
              <w:tab w:pos="9274" w:val="right" w:leader="dot"/>
            </w:tabs>
            <w:spacing w:line="240" w:lineRule="auto" w:before="378"/>
            <w:ind w:right="0"/>
            <w:jc w:val="left"/>
            <w:rPr>
              <w:rFonts w:ascii="宋体" w:hAnsi="宋体" w:cs="宋体" w:eastAsia="宋体" w:hint="default"/>
              <w:b w:val="0"/>
              <w:bCs w:val="0"/>
            </w:rPr>
          </w:pPr>
          <w:hyperlink w:history="true" w:anchor="_TOC_250005">
            <w:r>
              <w:rPr/>
              <w:t>第六节</w:t>
            </w:r>
            <w:r>
              <w:rPr>
                <w:spacing w:val="1"/>
              </w:rPr>
              <w:t> </w:t>
            </w:r>
            <w:r>
              <w:rPr/>
              <w:t>股份变动及股东情况</w:t>
            </w:r>
            <w:r>
              <w:rPr>
                <w:rFonts w:ascii="宋体" w:hAnsi="宋体" w:cs="宋体" w:eastAsia="宋体" w:hint="default"/>
              </w:rPr>
              <w:tab/>
              <w:t>67</w:t>
            </w:r>
            <w:r>
              <w:rPr>
                <w:rFonts w:ascii="宋体" w:hAnsi="宋体" w:cs="宋体" w:eastAsia="宋体" w:hint="default"/>
                <w:b w:val="0"/>
                <w:bCs w:val="0"/>
              </w:rPr>
            </w:r>
          </w:hyperlink>
        </w:p>
        <w:p>
          <w:pPr>
            <w:pStyle w:val="TOC1"/>
            <w:tabs>
              <w:tab w:pos="9274" w:val="right" w:leader="dot"/>
            </w:tabs>
            <w:spacing w:line="240" w:lineRule="auto"/>
            <w:ind w:right="0"/>
            <w:jc w:val="left"/>
            <w:rPr>
              <w:rFonts w:ascii="宋体" w:hAnsi="宋体" w:cs="宋体" w:eastAsia="宋体" w:hint="default"/>
              <w:b w:val="0"/>
              <w:bCs w:val="0"/>
            </w:rPr>
          </w:pPr>
          <w:hyperlink w:history="true" w:anchor="_TOC_250004">
            <w:r>
              <w:rPr/>
              <w:t>第七节</w:t>
            </w:r>
            <w:r>
              <w:rPr>
                <w:spacing w:val="1"/>
              </w:rPr>
              <w:t> </w:t>
            </w:r>
            <w:r>
              <w:rPr/>
              <w:t>董事、监事、高级管理人员和员工情况</w:t>
            </w:r>
            <w:r>
              <w:rPr>
                <w:rFonts w:ascii="宋体" w:hAnsi="宋体" w:cs="宋体" w:eastAsia="宋体" w:hint="default"/>
              </w:rPr>
              <w:tab/>
              <w:t>74</w:t>
            </w:r>
            <w:r>
              <w:rPr>
                <w:rFonts w:ascii="宋体" w:hAnsi="宋体" w:cs="宋体" w:eastAsia="宋体" w:hint="default"/>
                <w:b w:val="0"/>
                <w:bCs w:val="0"/>
              </w:rPr>
            </w:r>
          </w:hyperlink>
        </w:p>
        <w:p>
          <w:pPr>
            <w:pStyle w:val="TOC1"/>
            <w:tabs>
              <w:tab w:pos="9274" w:val="right" w:leader="dot"/>
            </w:tabs>
            <w:spacing w:line="240" w:lineRule="auto"/>
            <w:ind w:right="0"/>
            <w:jc w:val="left"/>
            <w:rPr>
              <w:rFonts w:ascii="宋体" w:hAnsi="宋体" w:cs="宋体" w:eastAsia="宋体" w:hint="default"/>
              <w:b w:val="0"/>
              <w:bCs w:val="0"/>
            </w:rPr>
          </w:pPr>
          <w:hyperlink w:history="true" w:anchor="_TOC_250003">
            <w:r>
              <w:rPr/>
              <w:t>第八节 公司治理</w:t>
            </w:r>
            <w:r>
              <w:rPr>
                <w:rFonts w:ascii="宋体" w:hAnsi="宋体" w:cs="宋体" w:eastAsia="宋体" w:hint="default"/>
              </w:rPr>
              <w:tab/>
              <w:t>79</w:t>
            </w:r>
            <w:r>
              <w:rPr>
                <w:rFonts w:ascii="宋体" w:hAnsi="宋体" w:cs="宋体" w:eastAsia="宋体" w:hint="default"/>
                <w:b w:val="0"/>
                <w:bCs w:val="0"/>
              </w:rPr>
            </w:r>
          </w:hyperlink>
        </w:p>
        <w:p>
          <w:pPr>
            <w:pStyle w:val="TOC1"/>
            <w:tabs>
              <w:tab w:pos="9274" w:val="right" w:leader="dot"/>
            </w:tabs>
            <w:spacing w:line="240" w:lineRule="auto"/>
            <w:ind w:right="0"/>
            <w:jc w:val="left"/>
            <w:rPr>
              <w:rFonts w:ascii="宋体" w:hAnsi="宋体" w:cs="宋体" w:eastAsia="宋体" w:hint="default"/>
              <w:b w:val="0"/>
              <w:bCs w:val="0"/>
            </w:rPr>
          </w:pPr>
          <w:hyperlink w:history="true" w:anchor="_TOC_250002">
            <w:r>
              <w:rPr/>
              <w:t>第九节 内部控制</w:t>
            </w:r>
            <w:r>
              <w:rPr>
                <w:rFonts w:ascii="宋体" w:hAnsi="宋体" w:cs="宋体" w:eastAsia="宋体" w:hint="default"/>
              </w:rPr>
              <w:tab/>
              <w:t>86</w:t>
            </w:r>
            <w:r>
              <w:rPr>
                <w:rFonts w:ascii="宋体" w:hAnsi="宋体" w:cs="宋体" w:eastAsia="宋体" w:hint="default"/>
                <w:b w:val="0"/>
                <w:bCs w:val="0"/>
              </w:rPr>
            </w:r>
          </w:hyperlink>
        </w:p>
        <w:p>
          <w:pPr>
            <w:pStyle w:val="TOC1"/>
            <w:tabs>
              <w:tab w:pos="9274" w:val="right" w:leader="dot"/>
            </w:tabs>
            <w:spacing w:line="240" w:lineRule="auto"/>
            <w:ind w:right="0"/>
            <w:jc w:val="left"/>
            <w:rPr>
              <w:rFonts w:ascii="宋体" w:hAnsi="宋体" w:cs="宋体" w:eastAsia="宋体" w:hint="default"/>
              <w:b w:val="0"/>
              <w:bCs w:val="0"/>
            </w:rPr>
          </w:pPr>
          <w:hyperlink w:history="true" w:anchor="_TOC_250001">
            <w:r>
              <w:rPr/>
              <w:t>第十节 财务报告</w:t>
            </w:r>
            <w:r>
              <w:rPr>
                <w:rFonts w:ascii="宋体" w:hAnsi="宋体" w:cs="宋体" w:eastAsia="宋体" w:hint="default"/>
              </w:rPr>
              <w:tab/>
              <w:t>88</w:t>
            </w:r>
            <w:r>
              <w:rPr>
                <w:rFonts w:ascii="宋体" w:hAnsi="宋体" w:cs="宋体" w:eastAsia="宋体" w:hint="default"/>
                <w:b w:val="0"/>
                <w:bCs w:val="0"/>
              </w:rPr>
            </w:r>
          </w:hyperlink>
        </w:p>
        <w:p>
          <w:pPr>
            <w:pStyle w:val="TOC1"/>
            <w:tabs>
              <w:tab w:pos="9277" w:val="right" w:leader="dot"/>
            </w:tabs>
            <w:spacing w:line="240" w:lineRule="auto" w:before="378"/>
            <w:ind w:right="0"/>
            <w:jc w:val="left"/>
            <w:rPr>
              <w:rFonts w:ascii="宋体" w:hAnsi="宋体" w:cs="宋体" w:eastAsia="宋体" w:hint="default"/>
              <w:b w:val="0"/>
              <w:bCs w:val="0"/>
            </w:rPr>
          </w:pPr>
          <w:hyperlink w:history="true" w:anchor="_TOC_250000">
            <w:r>
              <w:rPr/>
              <w:t>第十一节</w:t>
            </w:r>
            <w:r>
              <w:rPr>
                <w:spacing w:val="1"/>
              </w:rPr>
              <w:t> </w:t>
            </w:r>
            <w:r>
              <w:rPr/>
              <w:t>备查文件目录</w:t>
            </w:r>
            <w:r>
              <w:rPr>
                <w:rFonts w:ascii="宋体" w:hAnsi="宋体" w:cs="宋体" w:eastAsia="宋体" w:hint="default"/>
              </w:rPr>
              <w:tab/>
              <w:t>238</w:t>
            </w:r>
            <w:r>
              <w:rPr>
                <w:rFonts w:ascii="宋体" w:hAnsi="宋体" w:cs="宋体" w:eastAsia="宋体" w:hint="default"/>
                <w:b w:val="0"/>
                <w:bCs w:val="0"/>
              </w:rPr>
            </w:r>
          </w:hyperlink>
        </w:p>
        <w:p>
          <w:pPr/>
          <w:r>
            <w:fldChar w:fldCharType="end"/>
          </w:r>
        </w:p>
      </w:sdtContent>
    </w:sdt>
    <w:p>
      <w:pPr>
        <w:spacing w:after="0"/>
        <w:sectPr>
          <w:footerReference w:type="default" r:id="rId8"/>
          <w:pgSz w:w="11910" w:h="16840"/>
          <w:pgMar w:footer="1340" w:header="745" w:top="1060" w:bottom="1540" w:left="86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45"/>
          <w:szCs w:val="45"/>
        </w:rPr>
      </w:pPr>
    </w:p>
    <w:p>
      <w:pPr>
        <w:pStyle w:val="Heading1"/>
        <w:spacing w:line="240" w:lineRule="auto"/>
        <w:ind w:right="2711"/>
        <w:jc w:val="center"/>
        <w:rPr>
          <w:b w:val="0"/>
          <w:bCs w:val="0"/>
        </w:rPr>
      </w:pPr>
      <w:bookmarkStart w:name="_TOC_250010" w:id="1"/>
      <w:r>
        <w:rPr/>
        <w:t>第一节</w:t>
      </w:r>
      <w:r>
        <w:rPr>
          <w:spacing w:val="-2"/>
        </w:rPr>
        <w:t> </w:t>
      </w:r>
      <w:r>
        <w:rPr/>
        <w:t>重要提示</w:t>
      </w:r>
      <w:bookmarkEnd w:id="1"/>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11"/>
        <w:rPr>
          <w:rFonts w:ascii="宋体" w:hAnsi="宋体" w:cs="宋体" w:eastAsia="宋体" w:hint="default"/>
          <w:b/>
          <w:bCs/>
          <w:sz w:val="39"/>
          <w:szCs w:val="39"/>
        </w:rPr>
      </w:pPr>
    </w:p>
    <w:p>
      <w:pPr>
        <w:spacing w:line="408" w:lineRule="auto" w:before="0"/>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08" w:lineRule="auto" w:before="163"/>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普华永道中天会计师事务所有限公司为本公司出具了标准无保留意见的审</w:t>
      </w:r>
      <w:r>
        <w:rPr>
          <w:rFonts w:ascii="宋体" w:hAnsi="宋体" w:cs="宋体" w:eastAsia="宋体" w:hint="default"/>
          <w:b/>
          <w:bCs/>
          <w:w w:val="99"/>
          <w:sz w:val="28"/>
          <w:szCs w:val="28"/>
        </w:rPr>
        <w:t> </w:t>
      </w:r>
      <w:r>
        <w:rPr>
          <w:rFonts w:ascii="宋体" w:hAnsi="宋体" w:cs="宋体" w:eastAsia="宋体" w:hint="default"/>
          <w:b/>
          <w:bCs/>
          <w:sz w:val="28"/>
          <w:szCs w:val="28"/>
        </w:rPr>
        <w:t>计报告。</w:t>
      </w:r>
      <w:r>
        <w:rPr>
          <w:rFonts w:ascii="宋体" w:hAnsi="宋体" w:cs="宋体" w:eastAsia="宋体" w:hint="default"/>
          <w:sz w:val="28"/>
          <w:szCs w:val="28"/>
        </w:rPr>
      </w:r>
    </w:p>
    <w:p>
      <w:pPr>
        <w:spacing w:before="160"/>
        <w:ind w:left="714" w:right="982" w:firstLine="0"/>
        <w:jc w:val="left"/>
        <w:rPr>
          <w:rFonts w:ascii="宋体" w:hAnsi="宋体" w:cs="宋体" w:eastAsia="宋体" w:hint="default"/>
          <w:sz w:val="28"/>
          <w:szCs w:val="28"/>
        </w:rPr>
      </w:pPr>
      <w:r>
        <w:rPr>
          <w:rFonts w:ascii="宋体" w:hAnsi="宋体" w:cs="宋体" w:eastAsia="宋体" w:hint="default"/>
          <w:b/>
          <w:bCs/>
          <w:spacing w:val="2"/>
          <w:sz w:val="28"/>
          <w:szCs w:val="28"/>
        </w:rPr>
        <w:t>公司负责人张近东先生、主管会计工作负责人朱华女士及会计机构负责人</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19"/>
          <w:szCs w:val="19"/>
        </w:rPr>
      </w:pPr>
    </w:p>
    <w:p>
      <w:pPr>
        <w:spacing w:line="448" w:lineRule="auto" w:before="0"/>
        <w:ind w:left="714" w:right="982" w:hanging="563"/>
        <w:jc w:val="left"/>
        <w:rPr>
          <w:rFonts w:ascii="宋体" w:hAnsi="宋体" w:cs="宋体" w:eastAsia="宋体" w:hint="default"/>
          <w:sz w:val="28"/>
          <w:szCs w:val="28"/>
        </w:rPr>
      </w:pPr>
      <w:r>
        <w:rPr>
          <w:rFonts w:ascii="Times New Roman" w:hAnsi="Times New Roman" w:cs="Times New Roman" w:eastAsia="Times New Roman" w:hint="default"/>
          <w:b/>
          <w:bCs/>
          <w:spacing w:val="-7"/>
          <w:sz w:val="28"/>
          <w:szCs w:val="28"/>
        </w:rPr>
        <w:t>(</w:t>
      </w:r>
      <w:r>
        <w:rPr>
          <w:rFonts w:ascii="宋体" w:hAnsi="宋体" w:cs="宋体" w:eastAsia="宋体" w:hint="default"/>
          <w:b/>
          <w:bCs/>
          <w:spacing w:val="-7"/>
          <w:sz w:val="28"/>
          <w:szCs w:val="28"/>
        </w:rPr>
        <w:t>会计主管人员</w:t>
      </w:r>
      <w:r>
        <w:rPr>
          <w:rFonts w:ascii="Times New Roman" w:hAnsi="Times New Roman" w:cs="Times New Roman" w:eastAsia="Times New Roman" w:hint="default"/>
          <w:b/>
          <w:bCs/>
          <w:spacing w:val="-7"/>
          <w:sz w:val="28"/>
          <w:szCs w:val="28"/>
        </w:rPr>
        <w:t>)</w:t>
      </w:r>
      <w:r>
        <w:rPr>
          <w:rFonts w:ascii="宋体" w:hAnsi="宋体" w:cs="宋体" w:eastAsia="宋体" w:hint="default"/>
          <w:b/>
          <w:bCs/>
          <w:spacing w:val="-7"/>
          <w:sz w:val="28"/>
          <w:szCs w:val="28"/>
        </w:rPr>
        <w:t>肖忠祥先生声明：保证年度报告中财务报告的真实、准确、完整。</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pacing w:val="-2"/>
          <w:sz w:val="28"/>
          <w:szCs w:val="28"/>
        </w:rPr>
        <w:t>公司董事孙为民先生因出差安排，未能现场出席本次审议年度报告董事会，</w:t>
      </w:r>
      <w:r>
        <w:rPr>
          <w:rFonts w:ascii="宋体" w:hAnsi="宋体" w:cs="宋体" w:eastAsia="宋体" w:hint="default"/>
          <w:spacing w:val="-2"/>
          <w:sz w:val="28"/>
          <w:szCs w:val="28"/>
        </w:rPr>
      </w:r>
    </w:p>
    <w:p>
      <w:pPr>
        <w:spacing w:line="475" w:lineRule="auto" w:before="14"/>
        <w:ind w:left="714" w:right="1124" w:hanging="563"/>
        <w:jc w:val="left"/>
        <w:rPr>
          <w:rFonts w:ascii="宋体" w:hAnsi="宋体" w:cs="宋体" w:eastAsia="宋体" w:hint="default"/>
          <w:sz w:val="28"/>
          <w:szCs w:val="28"/>
        </w:rPr>
      </w:pPr>
      <w:r>
        <w:rPr>
          <w:rFonts w:ascii="宋体" w:hAnsi="宋体" w:cs="宋体" w:eastAsia="宋体" w:hint="default"/>
          <w:b/>
          <w:bCs/>
          <w:sz w:val="28"/>
          <w:szCs w:val="28"/>
        </w:rPr>
        <w:t>以通讯方式参加会议，其余董事均已出席了审议本报告的董事会会议。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年</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司总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本为基数，向全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0.5</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，不</w:t>
      </w:r>
      <w:r>
        <w:rPr>
          <w:rFonts w:ascii="宋体" w:hAnsi="宋体" w:cs="宋体" w:eastAsia="宋体" w:hint="default"/>
          <w:b/>
          <w:bCs/>
          <w:spacing w:val="2"/>
          <w:w w:val="99"/>
          <w:sz w:val="28"/>
          <w:szCs w:val="28"/>
        </w:rPr>
        <w:t>送</w:t>
      </w:r>
      <w:r>
        <w:rPr>
          <w:rFonts w:ascii="宋体" w:hAnsi="宋体" w:cs="宋体" w:eastAsia="宋体" w:hint="default"/>
          <w:b/>
          <w:bCs/>
          <w:w w:val="99"/>
          <w:sz w:val="28"/>
          <w:szCs w:val="28"/>
        </w:rPr>
        <w:t>红股，</w:t>
      </w:r>
      <w:r>
        <w:rPr>
          <w:rFonts w:ascii="宋体" w:hAnsi="宋体" w:cs="宋体" w:eastAsia="宋体" w:hint="default"/>
          <w:sz w:val="28"/>
          <w:szCs w:val="28"/>
        </w:rPr>
      </w:r>
    </w:p>
    <w:p>
      <w:pPr>
        <w:spacing w:before="236"/>
        <w:ind w:left="152" w:right="982" w:firstLine="0"/>
        <w:jc w:val="left"/>
        <w:rPr>
          <w:rFonts w:ascii="宋体" w:hAnsi="宋体" w:cs="宋体" w:eastAsia="宋体" w:hint="default"/>
          <w:sz w:val="28"/>
          <w:szCs w:val="28"/>
        </w:rPr>
      </w:pPr>
      <w:r>
        <w:rPr>
          <w:rFonts w:ascii="宋体" w:hAnsi="宋体" w:cs="宋体" w:eastAsia="宋体" w:hint="default"/>
          <w:b/>
          <w:bCs/>
          <w:sz w:val="28"/>
          <w:szCs w:val="28"/>
        </w:rPr>
        <w:t>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r>
        <w:rPr/>
        <w:pict>
          <v:shape style="position:absolute;margin-left:460.320007pt;margin-top:764.919983pt;width:135.0pt;height:77pt;mso-position-horizontal-relative:page;mso-position-vertical-relative:page;z-index:-1598080" type="#_x0000_t75" stroked="false">
            <v:imagedata r:id="rId10" o:title=""/>
          </v:shape>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2622"/>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635" w:right="982"/>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31" w:type="dxa"/>
        <w:tblLayout w:type="fixed"/>
        <w:tblCellMar>
          <w:top w:w="0" w:type="dxa"/>
          <w:left w:w="0" w:type="dxa"/>
          <w:bottom w:w="0" w:type="dxa"/>
          <w:right w:w="0" w:type="dxa"/>
        </w:tblCellMar>
        <w:tblLook w:val="01E0"/>
      </w:tblPr>
      <w:tblGrid>
        <w:gridCol w:w="3103"/>
        <w:gridCol w:w="2248"/>
        <w:gridCol w:w="2142"/>
        <w:gridCol w:w="2193"/>
      </w:tblGrid>
      <w:tr>
        <w:trPr>
          <w:trHeight w:val="322" w:hRule="exact"/>
        </w:trPr>
        <w:tc>
          <w:tcPr>
            <w:tcW w:w="3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248" w:type="dxa"/>
            <w:tcBorders>
              <w:top w:val="single" w:sz="4" w:space="0" w:color="000000"/>
              <w:left w:val="single" w:sz="10" w:space="0" w:color="D2D2D2"/>
              <w:bottom w:val="single" w:sz="4" w:space="0" w:color="000000"/>
              <w:right w:val="single" w:sz="13" w:space="0" w:color="D2D2D2"/>
            </w:tcBorders>
          </w:tcPr>
          <w:p>
            <w:pPr>
              <w:pStyle w:val="TableParagraph"/>
              <w:spacing w:line="262" w:lineRule="exact"/>
              <w:ind w:left="30" w:right="0"/>
              <w:jc w:val="left"/>
              <w:rPr>
                <w:rFonts w:ascii="宋体" w:hAnsi="宋体" w:cs="宋体" w:eastAsia="宋体" w:hint="default"/>
                <w:sz w:val="21"/>
                <w:szCs w:val="21"/>
              </w:rPr>
            </w:pPr>
            <w:r>
              <w:rPr>
                <w:rFonts w:ascii="宋体" w:hAnsi="宋体" w:cs="宋体" w:eastAsia="宋体" w:hint="default"/>
                <w:sz w:val="21"/>
                <w:szCs w:val="21"/>
              </w:rPr>
              <w:t>苏宁云商</w:t>
            </w:r>
          </w:p>
        </w:tc>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002024</w:t>
            </w:r>
          </w:p>
        </w:tc>
      </w:tr>
      <w:tr>
        <w:trPr>
          <w:trHeight w:val="322" w:hRule="exact"/>
        </w:trPr>
        <w:tc>
          <w:tcPr>
            <w:tcW w:w="3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65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7"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324" w:hRule="exact"/>
        </w:trPr>
        <w:tc>
          <w:tcPr>
            <w:tcW w:w="3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58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65" w:lineRule="exact"/>
              <w:ind w:left="30" w:right="0"/>
              <w:jc w:val="left"/>
              <w:rPr>
                <w:rFonts w:ascii="宋体" w:hAnsi="宋体" w:cs="宋体" w:eastAsia="宋体" w:hint="default"/>
                <w:sz w:val="21"/>
                <w:szCs w:val="21"/>
              </w:rPr>
            </w:pPr>
            <w:r>
              <w:rPr>
                <w:rFonts w:ascii="宋体" w:hAnsi="宋体" w:cs="宋体" w:eastAsia="宋体" w:hint="default"/>
                <w:sz w:val="21"/>
                <w:szCs w:val="21"/>
              </w:rPr>
              <w:t>苏宁云商集团股份有限公司（注）</w:t>
            </w:r>
          </w:p>
        </w:tc>
      </w:tr>
      <w:tr>
        <w:trPr>
          <w:trHeight w:val="322" w:hRule="exact"/>
        </w:trPr>
        <w:tc>
          <w:tcPr>
            <w:tcW w:w="3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58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62" w:lineRule="exact"/>
              <w:ind w:left="30" w:right="0"/>
              <w:jc w:val="left"/>
              <w:rPr>
                <w:rFonts w:ascii="宋体" w:hAnsi="宋体" w:cs="宋体" w:eastAsia="宋体" w:hint="default"/>
                <w:sz w:val="21"/>
                <w:szCs w:val="21"/>
              </w:rPr>
            </w:pPr>
            <w:r>
              <w:rPr>
                <w:rFonts w:ascii="宋体" w:hAnsi="宋体" w:cs="宋体" w:eastAsia="宋体" w:hint="default"/>
                <w:sz w:val="21"/>
                <w:szCs w:val="21"/>
              </w:rPr>
              <w:t>苏宁云商</w:t>
            </w:r>
          </w:p>
        </w:tc>
      </w:tr>
      <w:tr>
        <w:trPr>
          <w:trHeight w:val="322" w:hRule="exact"/>
        </w:trPr>
        <w:tc>
          <w:tcPr>
            <w:tcW w:w="3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658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78" w:lineRule="exact"/>
              <w:ind w:left="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SUNING COMMERCE GROUP</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pacing w:val="-3"/>
                <w:sz w:val="21"/>
                <w:szCs w:val="21"/>
              </w:rPr>
              <w:t>CO.,LTD.</w:t>
            </w:r>
            <w:r>
              <w:rPr>
                <w:rFonts w:ascii="宋体" w:hAnsi="宋体" w:cs="宋体" w:eastAsia="宋体" w:hint="default"/>
                <w:spacing w:val="-3"/>
                <w:sz w:val="21"/>
                <w:szCs w:val="21"/>
              </w:rPr>
              <w:t>（注）</w:t>
            </w:r>
          </w:p>
        </w:tc>
      </w:tr>
      <w:tr>
        <w:trPr>
          <w:trHeight w:val="322" w:hRule="exact"/>
        </w:trPr>
        <w:tc>
          <w:tcPr>
            <w:tcW w:w="3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58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30" w:right="0"/>
              <w:jc w:val="left"/>
              <w:rPr>
                <w:rFonts w:ascii="Times New Roman" w:hAnsi="Times New Roman" w:cs="Times New Roman" w:eastAsia="Times New Roman" w:hint="default"/>
                <w:sz w:val="21"/>
                <w:szCs w:val="21"/>
              </w:rPr>
            </w:pPr>
            <w:r>
              <w:rPr>
                <w:rFonts w:ascii="Times New Roman"/>
                <w:sz w:val="21"/>
              </w:rPr>
              <w:t>SUNING</w:t>
            </w:r>
            <w:r>
              <w:rPr>
                <w:rFonts w:ascii="Times New Roman"/>
                <w:spacing w:val="-6"/>
                <w:sz w:val="21"/>
              </w:rPr>
              <w:t> </w:t>
            </w:r>
            <w:r>
              <w:rPr>
                <w:rFonts w:ascii="Times New Roman"/>
                <w:sz w:val="21"/>
              </w:rPr>
              <w:t>COMMERCE</w:t>
            </w:r>
          </w:p>
        </w:tc>
      </w:tr>
      <w:tr>
        <w:trPr>
          <w:trHeight w:val="322" w:hRule="exact"/>
        </w:trPr>
        <w:tc>
          <w:tcPr>
            <w:tcW w:w="3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58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63" w:lineRule="exact"/>
              <w:ind w:left="30" w:right="0"/>
              <w:jc w:val="left"/>
              <w:rPr>
                <w:rFonts w:ascii="宋体" w:hAnsi="宋体" w:cs="宋体" w:eastAsia="宋体" w:hint="default"/>
                <w:sz w:val="21"/>
                <w:szCs w:val="21"/>
              </w:rPr>
            </w:pPr>
            <w:r>
              <w:rPr>
                <w:rFonts w:ascii="宋体" w:hAnsi="宋体" w:cs="宋体" w:eastAsia="宋体" w:hint="default"/>
                <w:sz w:val="21"/>
                <w:szCs w:val="21"/>
              </w:rPr>
              <w:t>张近东</w:t>
            </w:r>
          </w:p>
        </w:tc>
      </w:tr>
      <w:tr>
        <w:trPr>
          <w:trHeight w:val="322" w:hRule="exact"/>
        </w:trPr>
        <w:tc>
          <w:tcPr>
            <w:tcW w:w="3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58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78" w:lineRule="exact"/>
              <w:ind w:left="30" w:right="0"/>
              <w:jc w:val="left"/>
              <w:rPr>
                <w:rFonts w:ascii="宋体" w:hAnsi="宋体" w:cs="宋体" w:eastAsia="宋体" w:hint="default"/>
                <w:sz w:val="21"/>
                <w:szCs w:val="21"/>
              </w:rPr>
            </w:pPr>
            <w:r>
              <w:rPr>
                <w:rFonts w:ascii="宋体" w:hAnsi="宋体" w:cs="宋体" w:eastAsia="宋体" w:hint="default"/>
                <w:sz w:val="21"/>
                <w:szCs w:val="21"/>
              </w:rPr>
              <w:t>江苏省南京市山西路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号金山大厦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324" w:hRule="exact"/>
        </w:trPr>
        <w:tc>
          <w:tcPr>
            <w:tcW w:w="3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58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6"/>
              <w:ind w:left="30" w:right="0"/>
              <w:jc w:val="left"/>
              <w:rPr>
                <w:rFonts w:ascii="Times New Roman" w:hAnsi="Times New Roman" w:cs="Times New Roman" w:eastAsia="Times New Roman" w:hint="default"/>
                <w:sz w:val="21"/>
                <w:szCs w:val="21"/>
              </w:rPr>
            </w:pPr>
            <w:r>
              <w:rPr>
                <w:rFonts w:ascii="Times New Roman"/>
                <w:sz w:val="21"/>
              </w:rPr>
              <w:t>210009</w:t>
            </w:r>
          </w:p>
        </w:tc>
      </w:tr>
      <w:tr>
        <w:trPr>
          <w:trHeight w:val="322" w:hRule="exact"/>
        </w:trPr>
        <w:tc>
          <w:tcPr>
            <w:tcW w:w="3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58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78" w:lineRule="exact"/>
              <w:ind w:left="30" w:right="0"/>
              <w:jc w:val="left"/>
              <w:rPr>
                <w:rFonts w:ascii="宋体" w:hAnsi="宋体" w:cs="宋体" w:eastAsia="宋体" w:hint="default"/>
                <w:sz w:val="21"/>
                <w:szCs w:val="21"/>
              </w:rPr>
            </w:pPr>
            <w:r>
              <w:rPr>
                <w:rFonts w:ascii="宋体" w:hAnsi="宋体" w:cs="宋体" w:eastAsia="宋体" w:hint="default"/>
                <w:sz w:val="21"/>
                <w:szCs w:val="21"/>
              </w:rPr>
              <w:t>江苏省南京市玄武区苏宁大道</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r>
      <w:tr>
        <w:trPr>
          <w:trHeight w:val="322" w:hRule="exact"/>
        </w:trPr>
        <w:tc>
          <w:tcPr>
            <w:tcW w:w="3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58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30" w:right="0"/>
              <w:jc w:val="left"/>
              <w:rPr>
                <w:rFonts w:ascii="Times New Roman" w:hAnsi="Times New Roman" w:cs="Times New Roman" w:eastAsia="Times New Roman" w:hint="default"/>
                <w:sz w:val="21"/>
                <w:szCs w:val="21"/>
              </w:rPr>
            </w:pPr>
            <w:r>
              <w:rPr>
                <w:rFonts w:ascii="Times New Roman"/>
                <w:sz w:val="21"/>
              </w:rPr>
              <w:t>210042</w:t>
            </w:r>
          </w:p>
        </w:tc>
      </w:tr>
      <w:tr>
        <w:trPr>
          <w:trHeight w:val="322" w:hRule="exact"/>
        </w:trPr>
        <w:tc>
          <w:tcPr>
            <w:tcW w:w="3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658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30" w:right="0"/>
              <w:jc w:val="left"/>
              <w:rPr>
                <w:rFonts w:ascii="Times New Roman" w:hAnsi="Times New Roman" w:cs="Times New Roman" w:eastAsia="Times New Roman" w:hint="default"/>
                <w:sz w:val="21"/>
                <w:szCs w:val="21"/>
              </w:rPr>
            </w:pPr>
            <w:hyperlink r:id="rId11">
              <w:r>
                <w:rPr>
                  <w:rFonts w:ascii="Times New Roman"/>
                  <w:sz w:val="21"/>
                </w:rPr>
                <w:t>http://www.cnsuning.com</w:t>
              </w:r>
            </w:hyperlink>
          </w:p>
        </w:tc>
      </w:tr>
      <w:tr>
        <w:trPr>
          <w:trHeight w:val="322" w:hRule="exact"/>
        </w:trPr>
        <w:tc>
          <w:tcPr>
            <w:tcW w:w="3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58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30" w:right="0"/>
              <w:jc w:val="left"/>
              <w:rPr>
                <w:rFonts w:ascii="Times New Roman" w:hAnsi="Times New Roman" w:cs="Times New Roman" w:eastAsia="Times New Roman" w:hint="default"/>
                <w:sz w:val="21"/>
                <w:szCs w:val="21"/>
              </w:rPr>
            </w:pPr>
            <w:hyperlink r:id="rId12">
              <w:r>
                <w:rPr>
                  <w:rFonts w:ascii="Times New Roman"/>
                  <w:sz w:val="21"/>
                </w:rPr>
                <w:t>stock@cnsuning.com</w:t>
              </w:r>
            </w:hyperlink>
          </w:p>
        </w:tc>
      </w:tr>
    </w:tbl>
    <w:p>
      <w:pPr>
        <w:pStyle w:val="BodyText"/>
        <w:spacing w:line="314" w:lineRule="auto" w:before="11"/>
        <w:ind w:right="1126"/>
        <w:jc w:val="both"/>
      </w:pPr>
      <w:r>
        <w:rPr/>
        <w:t>注：经公司 </w:t>
      </w:r>
      <w:r>
        <w:rPr>
          <w:rFonts w:ascii="宋体" w:hAnsi="宋体" w:cs="宋体" w:eastAsia="宋体" w:hint="default"/>
        </w:rPr>
        <w:t>2013</w:t>
      </w:r>
      <w:r>
        <w:rPr>
          <w:rFonts w:ascii="宋体" w:hAnsi="宋体" w:cs="宋体" w:eastAsia="宋体" w:hint="default"/>
          <w:spacing w:val="-28"/>
        </w:rPr>
        <w:t> </w:t>
      </w:r>
      <w:r>
        <w:rPr/>
        <w:t>年第一次临时股东大会审议通过，公司中文名称计划由“苏宁电器股份有限公司”变更</w:t>
      </w:r>
      <w:r>
        <w:rPr>
          <w:w w:val="100"/>
        </w:rPr>
        <w:t> </w:t>
      </w:r>
      <w:r>
        <w:rPr>
          <w:spacing w:val="-5"/>
          <w:w w:val="100"/>
        </w:rPr>
        <w:t>为“苏宁云商集团股份有限公司”，英文名称由“</w:t>
      </w:r>
      <w:r>
        <w:rPr>
          <w:rFonts w:ascii="宋体" w:hAnsi="宋体" w:cs="宋体" w:eastAsia="宋体" w:hint="default"/>
          <w:spacing w:val="-5"/>
          <w:w w:val="100"/>
        </w:rPr>
        <w:t>SUNING</w:t>
      </w:r>
      <w:r>
        <w:rPr>
          <w:rFonts w:ascii="宋体" w:hAnsi="宋体" w:cs="宋体" w:eastAsia="宋体" w:hint="default"/>
          <w:w w:val="100"/>
        </w:rPr>
        <w:t> </w:t>
      </w:r>
      <w:r>
        <w:rPr>
          <w:rFonts w:ascii="宋体" w:hAnsi="宋体" w:cs="宋体" w:eastAsia="宋体" w:hint="default"/>
          <w:spacing w:val="-1"/>
          <w:w w:val="100"/>
        </w:rPr>
        <w:t>APPLIANCE</w:t>
      </w:r>
      <w:r>
        <w:rPr>
          <w:rFonts w:ascii="宋体" w:hAnsi="宋体" w:cs="宋体" w:eastAsia="宋体" w:hint="default"/>
          <w:w w:val="100"/>
        </w:rPr>
        <w:t> </w:t>
      </w:r>
      <w:r>
        <w:rPr>
          <w:rFonts w:ascii="宋体" w:hAnsi="宋体" w:cs="宋体" w:eastAsia="宋体" w:hint="default"/>
          <w:spacing w:val="-1"/>
          <w:w w:val="100"/>
        </w:rPr>
        <w:t>CO.,LTD</w:t>
      </w:r>
      <w:r>
        <w:rPr>
          <w:spacing w:val="-1"/>
          <w:w w:val="100"/>
        </w:rPr>
        <w:t>”更名为“</w:t>
      </w:r>
      <w:r>
        <w:rPr>
          <w:rFonts w:ascii="宋体" w:hAnsi="宋体" w:cs="宋体" w:eastAsia="宋体" w:hint="default"/>
          <w:spacing w:val="-1"/>
          <w:w w:val="100"/>
        </w:rPr>
        <w:t>SUNING</w:t>
      </w:r>
      <w:r>
        <w:rPr>
          <w:rFonts w:ascii="宋体" w:hAnsi="宋体" w:cs="宋体" w:eastAsia="宋体" w:hint="default"/>
          <w:spacing w:val="-14"/>
          <w:w w:val="100"/>
        </w:rPr>
        <w:t> </w:t>
      </w:r>
      <w:r>
        <w:rPr>
          <w:rFonts w:ascii="宋体" w:hAnsi="宋体" w:cs="宋体" w:eastAsia="宋体" w:hint="default"/>
          <w:spacing w:val="-2"/>
          <w:w w:val="100"/>
        </w:rPr>
        <w:t>COMMERCE</w:t>
      </w:r>
      <w:r>
        <w:rPr>
          <w:rFonts w:ascii="宋体" w:hAnsi="宋体" w:cs="宋体" w:eastAsia="宋体" w:hint="default"/>
          <w:w w:val="100"/>
        </w:rPr>
        <w:t> GROUP</w:t>
      </w:r>
      <w:r>
        <w:rPr>
          <w:rFonts w:ascii="宋体" w:hAnsi="宋体" w:cs="宋体" w:eastAsia="宋体" w:hint="default"/>
          <w:spacing w:val="3"/>
          <w:w w:val="100"/>
        </w:rPr>
        <w:t> </w:t>
      </w:r>
      <w:r>
        <w:rPr>
          <w:rFonts w:ascii="宋体" w:hAnsi="宋体" w:cs="宋体" w:eastAsia="宋体" w:hint="default"/>
          <w:spacing w:val="-9"/>
          <w:w w:val="100"/>
        </w:rPr>
        <w:t>CO.,LTD</w:t>
      </w:r>
      <w:r>
        <w:rPr>
          <w:spacing w:val="-9"/>
          <w:w w:val="100"/>
        </w:rPr>
        <w:t>”。</w:t>
      </w:r>
      <w:r>
        <w:rPr>
          <w:rFonts w:ascii="宋体" w:hAnsi="宋体" w:cs="宋体" w:eastAsia="宋体" w:hint="default"/>
          <w:spacing w:val="-9"/>
          <w:w w:val="100"/>
        </w:rPr>
        <w:t>2013</w:t>
      </w:r>
      <w:r>
        <w:rPr>
          <w:rFonts w:ascii="宋体" w:hAnsi="宋体" w:cs="宋体" w:eastAsia="宋体" w:hint="default"/>
          <w:spacing w:val="-53"/>
          <w:w w:val="100"/>
        </w:rPr>
        <w:t> </w:t>
      </w:r>
      <w:r>
        <w:rPr>
          <w:w w:val="100"/>
        </w:rPr>
        <w:t>年</w:t>
      </w:r>
      <w:r>
        <w:rPr>
          <w:spacing w:val="-53"/>
          <w:w w:val="100"/>
        </w:rPr>
        <w:t> </w:t>
      </w:r>
      <w:r>
        <w:rPr>
          <w:rFonts w:ascii="宋体" w:hAnsi="宋体" w:cs="宋体" w:eastAsia="宋体" w:hint="default"/>
          <w:w w:val="100"/>
        </w:rPr>
        <w:t>3</w:t>
      </w:r>
      <w:r>
        <w:rPr>
          <w:rFonts w:ascii="宋体" w:hAnsi="宋体" w:cs="宋体" w:eastAsia="宋体" w:hint="default"/>
          <w:spacing w:val="-51"/>
          <w:w w:val="100"/>
        </w:rPr>
        <w:t> </w:t>
      </w:r>
      <w:r>
        <w:rPr>
          <w:w w:val="100"/>
        </w:rPr>
        <w:t>月</w:t>
      </w:r>
      <w:r>
        <w:rPr>
          <w:spacing w:val="-50"/>
          <w:w w:val="100"/>
        </w:rPr>
        <w:t> </w:t>
      </w:r>
      <w:r>
        <w:rPr>
          <w:rFonts w:ascii="宋体" w:hAnsi="宋体" w:cs="宋体" w:eastAsia="宋体" w:hint="default"/>
          <w:spacing w:val="-2"/>
          <w:w w:val="100"/>
        </w:rPr>
        <w:t>20</w:t>
      </w:r>
      <w:r>
        <w:rPr>
          <w:rFonts w:ascii="宋体" w:hAnsi="宋体" w:cs="宋体" w:eastAsia="宋体" w:hint="default"/>
          <w:spacing w:val="-51"/>
          <w:w w:val="100"/>
        </w:rPr>
        <w:t> </w:t>
      </w:r>
      <w:r>
        <w:rPr>
          <w:spacing w:val="-2"/>
          <w:w w:val="100"/>
        </w:rPr>
        <w:t>日，公司完成了工商登记变更手续，并换领了新的企业法人营业执照。</w:t>
      </w:r>
    </w:p>
    <w:p>
      <w:pPr>
        <w:pStyle w:val="Heading2"/>
        <w:spacing w:line="240" w:lineRule="auto" w:before="124"/>
        <w:ind w:left="635" w:right="982"/>
        <w:jc w:val="left"/>
        <w:rPr>
          <w:b w:val="0"/>
          <w:bCs w:val="0"/>
        </w:rPr>
      </w:pPr>
      <w:r>
        <w:rPr/>
        <w:t>二、联系人和联系方式</w:t>
      </w:r>
      <w:r>
        <w:rPr>
          <w:b w:val="0"/>
          <w:bCs w:val="0"/>
        </w:rPr>
      </w:r>
    </w:p>
    <w:p>
      <w:pPr>
        <w:spacing w:line="240" w:lineRule="auto" w:before="11"/>
        <w:rPr>
          <w:rFonts w:ascii="宋体" w:hAnsi="宋体" w:cs="宋体" w:eastAsia="宋体" w:hint="default"/>
          <w:b/>
          <w:bCs/>
          <w:sz w:val="14"/>
          <w:szCs w:val="14"/>
        </w:rPr>
      </w:pPr>
    </w:p>
    <w:tbl>
      <w:tblPr>
        <w:tblW w:w="0" w:type="auto"/>
        <w:jc w:val="left"/>
        <w:tblInd w:w="131" w:type="dxa"/>
        <w:tblLayout w:type="fixed"/>
        <w:tblCellMar>
          <w:top w:w="0" w:type="dxa"/>
          <w:left w:w="0" w:type="dxa"/>
          <w:bottom w:w="0" w:type="dxa"/>
          <w:right w:w="0" w:type="dxa"/>
        </w:tblCellMar>
        <w:tblLook w:val="01E0"/>
      </w:tblPr>
      <w:tblGrid>
        <w:gridCol w:w="3209"/>
        <w:gridCol w:w="3244"/>
        <w:gridCol w:w="3233"/>
      </w:tblGrid>
      <w:tr>
        <w:trPr>
          <w:trHeight w:val="322"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8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2"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tabs>
                <w:tab w:pos="449" w:val="left" w:leader="none"/>
              </w:tabs>
              <w:spacing w:line="262" w:lineRule="exact"/>
              <w:ind w:left="27" w:right="0"/>
              <w:jc w:val="left"/>
              <w:rPr>
                <w:rFonts w:ascii="宋体" w:hAnsi="宋体" w:cs="宋体" w:eastAsia="宋体" w:hint="default"/>
                <w:sz w:val="21"/>
                <w:szCs w:val="21"/>
              </w:rPr>
            </w:pPr>
            <w:r>
              <w:rPr>
                <w:rFonts w:ascii="宋体" w:hAnsi="宋体" w:cs="宋体" w:eastAsia="宋体" w:hint="default"/>
                <w:sz w:val="21"/>
                <w:szCs w:val="21"/>
              </w:rPr>
              <w:t>任</w:t>
              <w:tab/>
              <w:t>峻</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韩</w:t>
              <w:tab/>
              <w:t>枫</w:t>
            </w:r>
          </w:p>
        </w:tc>
      </w:tr>
      <w:tr>
        <w:trPr>
          <w:trHeight w:val="322"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647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78" w:lineRule="exact"/>
              <w:ind w:left="27" w:right="0"/>
              <w:jc w:val="left"/>
              <w:rPr>
                <w:rFonts w:ascii="宋体" w:hAnsi="宋体" w:cs="宋体" w:eastAsia="宋体" w:hint="default"/>
                <w:sz w:val="21"/>
                <w:szCs w:val="21"/>
              </w:rPr>
            </w:pPr>
            <w:r>
              <w:rPr>
                <w:rFonts w:ascii="宋体" w:hAnsi="宋体" w:cs="宋体" w:eastAsia="宋体" w:hint="default"/>
                <w:sz w:val="21"/>
                <w:szCs w:val="21"/>
              </w:rPr>
              <w:t>江苏省南京市玄武区苏宁大道</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r>
      <w:tr>
        <w:trPr>
          <w:trHeight w:val="324"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647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6"/>
              <w:ind w:left="27" w:right="0"/>
              <w:jc w:val="left"/>
              <w:rPr>
                <w:rFonts w:ascii="Times New Roman" w:hAnsi="Times New Roman" w:cs="Times New Roman" w:eastAsia="Times New Roman" w:hint="default"/>
                <w:sz w:val="21"/>
                <w:szCs w:val="21"/>
              </w:rPr>
            </w:pPr>
            <w:r>
              <w:rPr>
                <w:rFonts w:ascii="Times New Roman"/>
                <w:sz w:val="21"/>
              </w:rPr>
              <w:t>025-84418888-888122/888480</w:t>
            </w:r>
          </w:p>
        </w:tc>
      </w:tr>
      <w:tr>
        <w:trPr>
          <w:trHeight w:val="322"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647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27" w:right="0"/>
              <w:jc w:val="left"/>
              <w:rPr>
                <w:rFonts w:ascii="Times New Roman" w:hAnsi="Times New Roman" w:cs="Times New Roman" w:eastAsia="Times New Roman" w:hint="default"/>
                <w:sz w:val="21"/>
                <w:szCs w:val="21"/>
              </w:rPr>
            </w:pPr>
            <w:r>
              <w:rPr>
                <w:rFonts w:ascii="Times New Roman"/>
                <w:sz w:val="21"/>
              </w:rPr>
              <w:t>025-84418888-888000-888480</w:t>
            </w:r>
          </w:p>
        </w:tc>
      </w:tr>
      <w:tr>
        <w:trPr>
          <w:trHeight w:val="322"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47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27" w:right="0"/>
              <w:jc w:val="left"/>
              <w:rPr>
                <w:rFonts w:ascii="Times New Roman" w:hAnsi="Times New Roman" w:cs="Times New Roman" w:eastAsia="Times New Roman" w:hint="default"/>
                <w:sz w:val="21"/>
                <w:szCs w:val="21"/>
              </w:rPr>
            </w:pPr>
            <w:hyperlink r:id="rId12">
              <w:r>
                <w:rPr>
                  <w:rFonts w:ascii="Times New Roman"/>
                  <w:sz w:val="21"/>
                </w:rPr>
                <w:t>stock@cnsuning.com</w:t>
              </w:r>
            </w:hyperlink>
          </w:p>
        </w:tc>
      </w:tr>
    </w:tbl>
    <w:p>
      <w:pPr>
        <w:spacing w:line="240" w:lineRule="auto" w:before="11"/>
        <w:rPr>
          <w:rFonts w:ascii="宋体" w:hAnsi="宋体" w:cs="宋体" w:eastAsia="宋体" w:hint="default"/>
          <w:b/>
          <w:bCs/>
          <w:sz w:val="6"/>
          <w:szCs w:val="6"/>
        </w:rPr>
      </w:pPr>
    </w:p>
    <w:p>
      <w:pPr>
        <w:pStyle w:val="Heading2"/>
        <w:spacing w:line="240" w:lineRule="auto" w:before="26"/>
        <w:ind w:left="635" w:right="982"/>
        <w:jc w:val="left"/>
        <w:rPr>
          <w:b w:val="0"/>
          <w:bCs w:val="0"/>
        </w:rPr>
      </w:pPr>
      <w:r>
        <w:rPr/>
        <w:t>三、信息披露及备置地点</w:t>
      </w:r>
      <w:r>
        <w:rPr>
          <w:b w:val="0"/>
          <w:bCs w:val="0"/>
        </w:rPr>
      </w:r>
    </w:p>
    <w:p>
      <w:pPr>
        <w:spacing w:line="240" w:lineRule="auto" w:before="11"/>
        <w:rPr>
          <w:rFonts w:ascii="宋体" w:hAnsi="宋体" w:cs="宋体" w:eastAsia="宋体" w:hint="default"/>
          <w:b/>
          <w:bCs/>
          <w:sz w:val="14"/>
          <w:szCs w:val="14"/>
        </w:rPr>
      </w:pPr>
    </w:p>
    <w:tbl>
      <w:tblPr>
        <w:tblW w:w="0" w:type="auto"/>
        <w:jc w:val="left"/>
        <w:tblInd w:w="120" w:type="dxa"/>
        <w:tblLayout w:type="fixed"/>
        <w:tblCellMar>
          <w:top w:w="0" w:type="dxa"/>
          <w:left w:w="0" w:type="dxa"/>
          <w:bottom w:w="0" w:type="dxa"/>
          <w:right w:w="0" w:type="dxa"/>
        </w:tblCellMar>
        <w:tblLook w:val="01E0"/>
      </w:tblPr>
      <w:tblGrid>
        <w:gridCol w:w="4075"/>
        <w:gridCol w:w="5622"/>
      </w:tblGrid>
      <w:tr>
        <w:trPr>
          <w:trHeight w:val="322" w:hRule="exact"/>
        </w:trPr>
        <w:tc>
          <w:tcPr>
            <w:tcW w:w="4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券日</w:t>
            </w:r>
            <w:r>
              <w:rPr>
                <w:rFonts w:ascii="宋体" w:hAnsi="宋体" w:cs="宋体" w:eastAsia="宋体" w:hint="default"/>
                <w:spacing w:val="-3"/>
                <w:w w:val="100"/>
                <w:sz w:val="21"/>
                <w:szCs w:val="21"/>
              </w:rPr>
              <w:t>报</w:t>
            </w:r>
            <w:r>
              <w:rPr>
                <w:rFonts w:ascii="宋体" w:hAnsi="宋体" w:cs="宋体" w:eastAsia="宋体" w:hint="default"/>
                <w:w w:val="100"/>
                <w:sz w:val="21"/>
                <w:szCs w:val="21"/>
              </w:rPr>
              <w:t>》</w:t>
            </w:r>
          </w:p>
        </w:tc>
      </w:tr>
      <w:tr>
        <w:trPr>
          <w:trHeight w:val="323" w:hRule="exact"/>
        </w:trPr>
        <w:tc>
          <w:tcPr>
            <w:tcW w:w="4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hyperlink r:id="rId13">
              <w:r>
                <w:rPr>
                  <w:rFonts w:ascii="Times New Roman"/>
                  <w:sz w:val="21"/>
                </w:rPr>
                <w:t>http://www.cninfo.com.cn</w:t>
              </w:r>
            </w:hyperlink>
          </w:p>
        </w:tc>
      </w:tr>
      <w:tr>
        <w:trPr>
          <w:trHeight w:val="323" w:hRule="exact"/>
        </w:trPr>
        <w:tc>
          <w:tcPr>
            <w:tcW w:w="4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公司董事会秘书办公室</w:t>
            </w:r>
          </w:p>
        </w:tc>
      </w:tr>
    </w:tbl>
    <w:p>
      <w:pPr>
        <w:spacing w:line="240" w:lineRule="auto" w:before="11"/>
        <w:rPr>
          <w:rFonts w:ascii="宋体" w:hAnsi="宋体" w:cs="宋体" w:eastAsia="宋体" w:hint="default"/>
          <w:b/>
          <w:bCs/>
          <w:sz w:val="6"/>
          <w:szCs w:val="6"/>
        </w:rPr>
      </w:pPr>
    </w:p>
    <w:p>
      <w:pPr>
        <w:pStyle w:val="Heading2"/>
        <w:spacing w:line="240" w:lineRule="auto" w:before="26"/>
        <w:ind w:left="635" w:right="982"/>
        <w:jc w:val="left"/>
        <w:rPr>
          <w:b w:val="0"/>
          <w:bCs w:val="0"/>
        </w:rPr>
      </w:pPr>
      <w:r>
        <w:rPr/>
        <w:t>四、注册变更情况</w:t>
      </w:r>
      <w:r>
        <w:rPr>
          <w:b w:val="0"/>
          <w:bCs w:val="0"/>
        </w:rPr>
      </w:r>
    </w:p>
    <w:p>
      <w:pPr>
        <w:spacing w:line="240" w:lineRule="auto" w:before="11"/>
        <w:rPr>
          <w:rFonts w:ascii="宋体" w:hAnsi="宋体" w:cs="宋体" w:eastAsia="宋体" w:hint="default"/>
          <w:b/>
          <w:bCs/>
          <w:sz w:val="14"/>
          <w:szCs w:val="14"/>
        </w:rPr>
      </w:pPr>
    </w:p>
    <w:tbl>
      <w:tblPr>
        <w:tblW w:w="0" w:type="auto"/>
        <w:jc w:val="left"/>
        <w:tblInd w:w="131" w:type="dxa"/>
        <w:tblLayout w:type="fixed"/>
        <w:tblCellMar>
          <w:top w:w="0" w:type="dxa"/>
          <w:left w:w="0" w:type="dxa"/>
          <w:bottom w:w="0" w:type="dxa"/>
          <w:right w:w="0" w:type="dxa"/>
        </w:tblCellMar>
        <w:tblLook w:val="01E0"/>
      </w:tblPr>
      <w:tblGrid>
        <w:gridCol w:w="1599"/>
        <w:gridCol w:w="1606"/>
        <w:gridCol w:w="1608"/>
        <w:gridCol w:w="1632"/>
        <w:gridCol w:w="1630"/>
        <w:gridCol w:w="1610"/>
      </w:tblGrid>
      <w:tr>
        <w:trPr>
          <w:trHeight w:val="161"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391" w:right="72" w:hanging="318"/>
              <w:jc w:val="left"/>
              <w:rPr>
                <w:rFonts w:ascii="宋体" w:hAnsi="宋体" w:cs="宋体" w:eastAsia="宋体" w:hint="default"/>
                <w:sz w:val="21"/>
                <w:szCs w:val="21"/>
              </w:rPr>
            </w:pPr>
            <w:r>
              <w:rPr>
                <w:rFonts w:ascii="宋体" w:hAnsi="宋体" w:cs="宋体" w:eastAsia="宋体" w:hint="default"/>
                <w:sz w:val="21"/>
                <w:szCs w:val="21"/>
              </w:rPr>
              <w:t>企业法人营业执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照注册号</w:t>
            </w:r>
          </w:p>
        </w:tc>
        <w:tc>
          <w:tcPr>
            <w:tcW w:w="16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599" w:type="dxa"/>
            <w:tcBorders>
              <w:top w:val="nil" w:sz="6" w:space="0" w:color="auto"/>
              <w:left w:val="single" w:sz="4" w:space="0" w:color="000000"/>
              <w:bottom w:val="nil" w:sz="6" w:space="0" w:color="auto"/>
              <w:right w:val="single" w:sz="4" w:space="0" w:color="000000"/>
            </w:tcBorders>
            <w:shd w:val="clear" w:color="auto" w:fill="D2D2D2"/>
          </w:tcPr>
          <w:p>
            <w:pP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167"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16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167"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632" w:type="dxa"/>
            <w:vMerge/>
            <w:tcBorders>
              <w:left w:val="single" w:sz="4" w:space="0" w:color="000000"/>
              <w:right w:val="single" w:sz="4" w:space="0" w:color="000000"/>
            </w:tcBorders>
            <w:shd w:val="clear" w:color="auto" w:fill="D2D2D2"/>
          </w:tcPr>
          <w:p>
            <w:pPr/>
          </w:p>
        </w:tc>
        <w:tc>
          <w:tcPr>
            <w:tcW w:w="16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18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1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17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161"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2" w:type="dxa"/>
            <w:vMerge/>
            <w:tcBorders>
              <w:left w:val="single" w:sz="4" w:space="0" w:color="000000"/>
              <w:bottom w:val="single" w:sz="4" w:space="0" w:color="000000"/>
              <w:right w:val="single" w:sz="4" w:space="0" w:color="000000"/>
            </w:tcBorders>
            <w:shd w:val="clear" w:color="auto" w:fill="D2D2D2"/>
          </w:tcPr>
          <w:p>
            <w:pPr/>
          </w:p>
        </w:tc>
        <w:tc>
          <w:tcPr>
            <w:tcW w:w="16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6" w:type="dxa"/>
            <w:vMerge w:val="restart"/>
            <w:tcBorders>
              <w:top w:val="single" w:sz="4" w:space="0" w:color="000000"/>
              <w:left w:val="single" w:sz="9" w:space="0" w:color="D2D2D2"/>
              <w:right w:val="single" w:sz="4" w:space="0" w:color="000000"/>
            </w:tcBorders>
          </w:tcPr>
          <w:p>
            <w:pPr>
              <w:pStyle w:val="TableParagraph"/>
              <w:spacing w:line="240" w:lineRule="auto" w:before="143"/>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w:t>
            </w:r>
          </w:p>
        </w:tc>
        <w:tc>
          <w:tcPr>
            <w:tcW w:w="1608" w:type="dxa"/>
            <w:vMerge w:val="restart"/>
            <w:tcBorders>
              <w:top w:val="single" w:sz="4" w:space="0" w:color="000000"/>
              <w:left w:val="single" w:sz="4" w:space="0" w:color="000000"/>
              <w:right w:val="single" w:sz="4" w:space="0" w:color="000000"/>
            </w:tcBorders>
          </w:tcPr>
          <w:p>
            <w:pPr>
              <w:pStyle w:val="TableParagraph"/>
              <w:spacing w:line="273" w:lineRule="auto"/>
              <w:ind w:left="23" w:right="98"/>
              <w:jc w:val="left"/>
              <w:rPr>
                <w:rFonts w:ascii="宋体" w:hAnsi="宋体" w:cs="宋体" w:eastAsia="宋体" w:hint="default"/>
                <w:sz w:val="21"/>
                <w:szCs w:val="21"/>
              </w:rPr>
            </w:pPr>
            <w:r>
              <w:rPr>
                <w:rFonts w:ascii="宋体" w:hAnsi="宋体" w:cs="宋体" w:eastAsia="宋体" w:hint="default"/>
                <w:sz w:val="21"/>
                <w:szCs w:val="21"/>
              </w:rPr>
              <w:t>江苏省工商行政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管理局</w:t>
            </w:r>
          </w:p>
        </w:tc>
        <w:tc>
          <w:tcPr>
            <w:tcW w:w="163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320000000035248</w:t>
            </w:r>
          </w:p>
        </w:tc>
        <w:tc>
          <w:tcPr>
            <w:tcW w:w="1630" w:type="dxa"/>
            <w:vMerge w:val="restart"/>
            <w:tcBorders>
              <w:top w:val="single" w:sz="4" w:space="0" w:color="000000"/>
              <w:left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苏宁税苏字</w:t>
            </w:r>
          </w:p>
          <w:p>
            <w:pPr>
              <w:pStyle w:val="TableParagraph"/>
              <w:spacing w:line="240" w:lineRule="auto" w:before="84"/>
              <w:ind w:left="23" w:right="0"/>
              <w:jc w:val="left"/>
              <w:rPr>
                <w:rFonts w:ascii="Times New Roman" w:hAnsi="Times New Roman" w:cs="Times New Roman" w:eastAsia="Times New Roman" w:hint="default"/>
                <w:sz w:val="21"/>
                <w:szCs w:val="21"/>
              </w:rPr>
            </w:pPr>
            <w:r>
              <w:rPr>
                <w:rFonts w:ascii="Times New Roman"/>
                <w:sz w:val="21"/>
              </w:rPr>
              <w:t>320106608950987</w:t>
            </w:r>
          </w:p>
        </w:tc>
        <w:tc>
          <w:tcPr>
            <w:tcW w:w="161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60895098-7</w:t>
            </w:r>
          </w:p>
        </w:tc>
      </w:tr>
      <w:tr>
        <w:trPr>
          <w:trHeight w:val="312" w:hRule="exact"/>
        </w:trPr>
        <w:tc>
          <w:tcPr>
            <w:tcW w:w="1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606" w:type="dxa"/>
            <w:vMerge/>
            <w:tcBorders>
              <w:left w:val="single" w:sz="9" w:space="0" w:color="D2D2D2"/>
              <w:right w:val="single" w:sz="4" w:space="0" w:color="000000"/>
            </w:tcBorders>
          </w:tcPr>
          <w:p>
            <w:pPr/>
          </w:p>
        </w:tc>
        <w:tc>
          <w:tcPr>
            <w:tcW w:w="1608"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c>
          <w:tcPr>
            <w:tcW w:w="1630" w:type="dxa"/>
            <w:vMerge/>
            <w:tcBorders>
              <w:left w:val="single" w:sz="4" w:space="0" w:color="000000"/>
              <w:right w:val="single" w:sz="4" w:space="0" w:color="000000"/>
            </w:tcBorders>
          </w:tcPr>
          <w:p>
            <w:pPr/>
          </w:p>
        </w:tc>
        <w:tc>
          <w:tcPr>
            <w:tcW w:w="1610" w:type="dxa"/>
            <w:vMerge/>
            <w:tcBorders>
              <w:left w:val="single" w:sz="4" w:space="0" w:color="000000"/>
              <w:right w:val="single" w:sz="4" w:space="0" w:color="000000"/>
            </w:tcBorders>
          </w:tcPr>
          <w:p>
            <w:pPr/>
          </w:p>
        </w:tc>
      </w:tr>
      <w:tr>
        <w:trPr>
          <w:trHeight w:val="161"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vMerge/>
            <w:tcBorders>
              <w:left w:val="single" w:sz="9" w:space="0" w:color="D2D2D2"/>
              <w:bottom w:val="single" w:sz="4" w:space="0" w:color="000000"/>
              <w:right w:val="single" w:sz="4" w:space="0" w:color="000000"/>
            </w:tcBorders>
          </w:tcPr>
          <w:p>
            <w:pPr/>
          </w:p>
        </w:tc>
        <w:tc>
          <w:tcPr>
            <w:tcW w:w="1608" w:type="dxa"/>
            <w:vMerge/>
            <w:tcBorders>
              <w:left w:val="single" w:sz="4" w:space="0" w:color="000000"/>
              <w:bottom w:val="single" w:sz="4" w:space="0" w:color="000000"/>
              <w:right w:val="single" w:sz="4" w:space="0" w:color="000000"/>
            </w:tcBorders>
          </w:tcPr>
          <w:p>
            <w:pPr/>
          </w:p>
        </w:tc>
        <w:tc>
          <w:tcPr>
            <w:tcW w:w="1632"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c>
          <w:tcPr>
            <w:tcW w:w="1610" w:type="dxa"/>
            <w:vMerge/>
            <w:tcBorders>
              <w:left w:val="single" w:sz="4" w:space="0" w:color="000000"/>
              <w:bottom w:val="single" w:sz="4" w:space="0" w:color="000000"/>
              <w:right w:val="single" w:sz="4" w:space="0" w:color="000000"/>
            </w:tcBorders>
          </w:tcPr>
          <w:p>
            <w:pPr/>
          </w:p>
        </w:tc>
      </w:tr>
      <w:tr>
        <w:trPr>
          <w:trHeight w:val="634"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101"/>
              <w:jc w:val="left"/>
              <w:rPr>
                <w:rFonts w:ascii="宋体" w:hAnsi="宋体" w:cs="宋体" w:eastAsia="宋体" w:hint="default"/>
                <w:sz w:val="21"/>
                <w:szCs w:val="21"/>
              </w:rPr>
            </w:pPr>
            <w:r>
              <w:rPr>
                <w:rFonts w:ascii="宋体" w:hAnsi="宋体" w:cs="宋体" w:eastAsia="宋体" w:hint="default"/>
                <w:sz w:val="21"/>
                <w:szCs w:val="21"/>
              </w:rPr>
              <w:t>报告期内注册变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更情况</w:t>
            </w:r>
          </w:p>
        </w:tc>
        <w:tc>
          <w:tcPr>
            <w:tcW w:w="8087" w:type="dxa"/>
            <w:gridSpan w:val="5"/>
            <w:tcBorders>
              <w:top w:val="single" w:sz="4" w:space="0" w:color="000000"/>
              <w:left w:val="single" w:sz="12" w:space="0" w:color="D2D2D2"/>
              <w:bottom w:val="single" w:sz="4" w:space="0" w:color="000000"/>
              <w:right w:val="single" w:sz="4" w:space="0" w:color="000000"/>
            </w:tcBorders>
          </w:tcPr>
          <w:p>
            <w:pPr>
              <w:pStyle w:val="TableParagraph"/>
              <w:spacing w:line="278" w:lineRule="exact"/>
              <w:ind w:left="13" w:right="0"/>
              <w:jc w:val="left"/>
              <w:rPr>
                <w:rFonts w:ascii="宋体" w:hAnsi="宋体" w:cs="宋体" w:eastAsia="宋体" w:hint="default"/>
                <w:sz w:val="21"/>
                <w:szCs w:val="21"/>
              </w:rPr>
            </w:pPr>
            <w:r>
              <w:rPr>
                <w:rFonts w:ascii="宋体" w:hAnsi="宋体" w:cs="宋体" w:eastAsia="宋体" w:hint="default"/>
                <w:sz w:val="21"/>
                <w:szCs w:val="21"/>
              </w:rPr>
              <w:t>变更登记日期：</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pStyle w:val="TableParagraph"/>
              <w:spacing w:line="240" w:lineRule="auto" w:before="21"/>
              <w:ind w:left="13" w:right="0"/>
              <w:jc w:val="left"/>
              <w:rPr>
                <w:rFonts w:ascii="宋体" w:hAnsi="宋体" w:cs="宋体" w:eastAsia="宋体" w:hint="default"/>
                <w:sz w:val="21"/>
                <w:szCs w:val="21"/>
              </w:rPr>
            </w:pPr>
            <w:r>
              <w:rPr>
                <w:rFonts w:ascii="宋体" w:hAnsi="宋体" w:cs="宋体" w:eastAsia="宋体" w:hint="default"/>
                <w:sz w:val="21"/>
                <w:szCs w:val="21"/>
              </w:rPr>
              <w:t>注册资本由原来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699,621.1866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万元增加至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738,304.315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after="0" w:line="240" w:lineRule="auto"/>
        <w:jc w:val="left"/>
        <w:rPr>
          <w:rFonts w:ascii="宋体" w:hAnsi="宋体" w:cs="宋体" w:eastAsia="宋体" w:hint="default"/>
          <w:sz w:val="21"/>
          <w:szCs w:val="21"/>
        </w:rPr>
        <w:sectPr>
          <w:footerReference w:type="default" r:id="rId9"/>
          <w:pgSz w:w="11910" w:h="16840"/>
          <w:pgMar w:footer="980" w:header="745" w:top="1060" w:bottom="1160" w:left="980" w:right="0"/>
          <w:pgNumType w:start="4"/>
        </w:sectPr>
      </w:pPr>
    </w:p>
    <w:p>
      <w:pPr>
        <w:spacing w:line="240" w:lineRule="auto" w:before="6"/>
        <w:rPr>
          <w:rFonts w:ascii="宋体" w:hAnsi="宋体" w:cs="宋体" w:eastAsia="宋体" w:hint="default"/>
          <w:b/>
          <w:bCs/>
          <w:sz w:val="28"/>
          <w:szCs w:val="28"/>
        </w:rPr>
      </w:pPr>
      <w:r>
        <w:rPr/>
        <w:pict>
          <v:shape style="position:absolute;margin-left:460.320007pt;margin-top:764.919983pt;width:135.0pt;height:77pt;mso-position-horizontal-relative:page;mso-position-vertical-relative:page;z-index:1144" type="#_x0000_t75" stroked="false">
            <v:imagedata r:id="rId10" o:title=""/>
          </v:shape>
        </w:pict>
      </w:r>
    </w:p>
    <w:tbl>
      <w:tblPr>
        <w:tblW w:w="0" w:type="auto"/>
        <w:jc w:val="left"/>
        <w:tblInd w:w="180" w:type="dxa"/>
        <w:tblLayout w:type="fixed"/>
        <w:tblCellMar>
          <w:top w:w="0" w:type="dxa"/>
          <w:left w:w="0" w:type="dxa"/>
          <w:bottom w:w="0" w:type="dxa"/>
          <w:right w:w="0" w:type="dxa"/>
        </w:tblCellMar>
        <w:tblLook w:val="01E0"/>
      </w:tblPr>
      <w:tblGrid>
        <w:gridCol w:w="1610"/>
        <w:gridCol w:w="8087"/>
      </w:tblGrid>
      <w:tr>
        <w:trPr>
          <w:trHeight w:val="634" w:hRule="exact"/>
        </w:trPr>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6"/>
                <w:w w:val="100"/>
                <w:sz w:val="21"/>
                <w:szCs w:val="21"/>
              </w:rPr>
              <w:t>经营范围新增：许可经营项目：餐饮服务（限分公司经营）（按《餐饮服务许可证》所列</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范围经营。一般经营项目：工艺礼品、纪念品销售、国内贸易。</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2" w:right="101"/>
              <w:jc w:val="left"/>
              <w:rPr>
                <w:rFonts w:ascii="宋体" w:hAnsi="宋体" w:cs="宋体" w:eastAsia="宋体" w:hint="default"/>
                <w:sz w:val="21"/>
                <w:szCs w:val="21"/>
              </w:rPr>
            </w:pPr>
            <w:r>
              <w:rPr>
                <w:rFonts w:ascii="宋体" w:hAnsi="宋体" w:cs="宋体" w:eastAsia="宋体" w:hint="default"/>
                <w:sz w:val="21"/>
                <w:szCs w:val="21"/>
              </w:rPr>
              <w:t>最近一次注册变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更情况</w:t>
            </w:r>
          </w:p>
        </w:tc>
        <w:tc>
          <w:tcPr>
            <w:tcW w:w="808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3" w:right="803"/>
              <w:jc w:val="left"/>
              <w:rPr>
                <w:rFonts w:ascii="宋体" w:hAnsi="宋体" w:cs="宋体" w:eastAsia="宋体" w:hint="default"/>
                <w:sz w:val="21"/>
                <w:szCs w:val="21"/>
              </w:rPr>
            </w:pPr>
            <w:r>
              <w:rPr>
                <w:rFonts w:ascii="宋体" w:hAnsi="宋体" w:cs="宋体" w:eastAsia="宋体" w:hint="default"/>
                <w:sz w:val="21"/>
                <w:szCs w:val="21"/>
              </w:rPr>
              <w:t>变更登记时间：</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宋体" w:hAnsi="宋体" w:cs="宋体" w:eastAsia="宋体" w:hint="default"/>
                <w:spacing w:val="-99"/>
                <w:sz w:val="21"/>
                <w:szCs w:val="21"/>
              </w:rPr>
              <w:t> </w:t>
            </w:r>
            <w:r>
              <w:rPr>
                <w:rFonts w:ascii="宋体" w:hAnsi="宋体" w:cs="宋体" w:eastAsia="宋体" w:hint="default"/>
                <w:spacing w:val="-5"/>
                <w:w w:val="100"/>
                <w:sz w:val="21"/>
                <w:szCs w:val="21"/>
              </w:rPr>
              <w:t>公司名称由“苏宁电器股份有限公司”更名为“苏宁云商集团股份有限公司”；</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pacing w:val="-5"/>
                <w:w w:val="100"/>
                <w:sz w:val="21"/>
                <w:szCs w:val="21"/>
              </w:rPr>
              <w:t>经营范围新增：许可经营项目：国内快递（邮政企业专营业务除外）。</w:t>
            </w:r>
          </w:p>
        </w:tc>
      </w:tr>
    </w:tbl>
    <w:p>
      <w:pPr>
        <w:spacing w:line="240" w:lineRule="auto" w:before="11"/>
        <w:rPr>
          <w:rFonts w:ascii="宋体" w:hAnsi="宋体" w:cs="宋体" w:eastAsia="宋体" w:hint="default"/>
          <w:b/>
          <w:bCs/>
          <w:sz w:val="6"/>
          <w:szCs w:val="6"/>
        </w:rPr>
      </w:pPr>
    </w:p>
    <w:p>
      <w:pPr>
        <w:pStyle w:val="Heading2"/>
        <w:spacing w:line="240" w:lineRule="auto" w:before="26"/>
        <w:ind w:left="695" w:right="1021"/>
        <w:jc w:val="left"/>
        <w:rPr>
          <w:b w:val="0"/>
          <w:bCs w:val="0"/>
        </w:rPr>
      </w:pPr>
      <w:r>
        <w:rPr/>
        <w:t>五、其他有关资料</w:t>
      </w:r>
      <w:r>
        <w:rPr>
          <w:b w:val="0"/>
          <w:bCs w:val="0"/>
        </w:rPr>
      </w:r>
    </w:p>
    <w:p>
      <w:pPr>
        <w:pStyle w:val="BodyText"/>
        <w:spacing w:line="240" w:lineRule="auto" w:before="181"/>
        <w:ind w:left="633" w:right="1021"/>
        <w:jc w:val="left"/>
      </w:pPr>
      <w:r>
        <w:rPr/>
        <w:t>公司聘请的会计师事务所</w:t>
      </w:r>
    </w:p>
    <w:p>
      <w:pPr>
        <w:spacing w:line="240" w:lineRule="auto" w:before="12"/>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2409"/>
        <w:gridCol w:w="7161"/>
      </w:tblGrid>
      <w:tr>
        <w:trPr>
          <w:trHeight w:val="322"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普华永道中天会计师事务所有限公司</w:t>
            </w:r>
          </w:p>
        </w:tc>
      </w:tr>
      <w:tr>
        <w:trPr>
          <w:trHeight w:val="322"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中国上海市湖滨路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202 </w:t>
            </w:r>
            <w:r>
              <w:rPr>
                <w:rFonts w:ascii="宋体" w:hAnsi="宋体" w:cs="宋体" w:eastAsia="宋体" w:hint="default"/>
                <w:sz w:val="21"/>
                <w:szCs w:val="21"/>
              </w:rPr>
              <w:t>号</w:t>
            </w:r>
          </w:p>
        </w:tc>
      </w:tr>
      <w:tr>
        <w:trPr>
          <w:trHeight w:val="636"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4" w:right="0"/>
              <w:jc w:val="left"/>
              <w:rPr>
                <w:rFonts w:ascii="宋体" w:hAnsi="宋体" w:cs="宋体" w:eastAsia="宋体" w:hint="default"/>
                <w:sz w:val="21"/>
                <w:szCs w:val="21"/>
              </w:rPr>
            </w:pPr>
            <w:r>
              <w:rPr>
                <w:rFonts w:ascii="宋体" w:hAnsi="宋体" w:cs="宋体" w:eastAsia="宋体" w:hint="default"/>
                <w:sz w:val="22"/>
                <w:szCs w:val="22"/>
              </w:rPr>
              <w:t>钱进</w:t>
            </w:r>
            <w:r>
              <w:rPr>
                <w:rFonts w:ascii="宋体" w:hAnsi="宋体" w:cs="宋体" w:eastAsia="宋体" w:hint="default"/>
                <w:sz w:val="21"/>
                <w:szCs w:val="21"/>
              </w:rPr>
              <w:t>、</w:t>
            </w:r>
          </w:p>
        </w:tc>
      </w:tr>
    </w:tbl>
    <w:p>
      <w:pPr>
        <w:spacing w:line="240" w:lineRule="auto" w:before="3"/>
        <w:rPr>
          <w:rFonts w:ascii="宋体" w:hAnsi="宋体" w:cs="宋体" w:eastAsia="宋体" w:hint="default"/>
          <w:sz w:val="8"/>
          <w:szCs w:val="8"/>
        </w:rPr>
      </w:pPr>
    </w:p>
    <w:p>
      <w:pPr>
        <w:pStyle w:val="BodyText"/>
        <w:spacing w:line="240" w:lineRule="auto" w:before="36"/>
        <w:ind w:left="633" w:right="1021"/>
        <w:jc w:val="left"/>
      </w:pPr>
      <w:r>
        <w:rPr/>
        <w:pict>
          <v:shape style="position:absolute;margin-left:211.100006pt;margin-top:-30.646305pt;width:43.917605pt;height:14.94pt;mso-position-horizontal-relative:page;mso-position-vertical-relative:paragraph;z-index:1120" type="#_x0000_t75" stroked="false">
            <v:imagedata r:id="rId14" o:title=""/>
          </v:shape>
        </w:pict>
      </w:r>
      <w:r>
        <w:rPr/>
        <w:t>公司聘请的报告期内履行持续督导职责的保荐机构</w:t>
      </w:r>
    </w:p>
    <w:p>
      <w:pPr>
        <w:spacing w:line="240" w:lineRule="auto" w:before="10"/>
        <w:rPr>
          <w:rFonts w:ascii="宋体" w:hAnsi="宋体" w:cs="宋体" w:eastAsia="宋体" w:hint="default"/>
          <w:sz w:val="3"/>
          <w:szCs w:val="3"/>
        </w:rPr>
      </w:pPr>
    </w:p>
    <w:tbl>
      <w:tblPr>
        <w:tblW w:w="0" w:type="auto"/>
        <w:jc w:val="left"/>
        <w:tblInd w:w="207" w:type="dxa"/>
        <w:tblLayout w:type="fixed"/>
        <w:tblCellMar>
          <w:top w:w="0" w:type="dxa"/>
          <w:left w:w="0" w:type="dxa"/>
          <w:bottom w:w="0" w:type="dxa"/>
          <w:right w:w="0" w:type="dxa"/>
        </w:tblCellMar>
        <w:tblLook w:val="01E0"/>
      </w:tblPr>
      <w:tblGrid>
        <w:gridCol w:w="2393"/>
        <w:gridCol w:w="2391"/>
        <w:gridCol w:w="2393"/>
        <w:gridCol w:w="2393"/>
      </w:tblGrid>
      <w:tr>
        <w:trPr>
          <w:trHeight w:val="32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62" w:right="0"/>
              <w:jc w:val="left"/>
              <w:rPr>
                <w:rFonts w:ascii="宋体" w:hAnsi="宋体" w:cs="宋体" w:eastAsia="宋体" w:hint="default"/>
                <w:sz w:val="21"/>
                <w:szCs w:val="21"/>
              </w:rPr>
            </w:pPr>
            <w:r>
              <w:rPr>
                <w:rFonts w:ascii="宋体" w:hAnsi="宋体" w:cs="宋体" w:eastAsia="宋体" w:hint="default"/>
                <w:sz w:val="21"/>
                <w:szCs w:val="21"/>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50" w:right="0"/>
              <w:jc w:val="left"/>
              <w:rPr>
                <w:rFonts w:ascii="宋体" w:hAnsi="宋体" w:cs="宋体" w:eastAsia="宋体" w:hint="default"/>
                <w:sz w:val="21"/>
                <w:szCs w:val="21"/>
              </w:rPr>
            </w:pPr>
            <w:r>
              <w:rPr>
                <w:rFonts w:ascii="宋体" w:hAnsi="宋体" w:cs="宋体" w:eastAsia="宋体" w:hint="default"/>
                <w:sz w:val="21"/>
                <w:szCs w:val="21"/>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56" w:right="0"/>
              <w:jc w:val="left"/>
              <w:rPr>
                <w:rFonts w:ascii="宋体" w:hAnsi="宋体" w:cs="宋体" w:eastAsia="宋体" w:hint="default"/>
                <w:sz w:val="21"/>
                <w:szCs w:val="21"/>
              </w:rPr>
            </w:pPr>
            <w:r>
              <w:rPr>
                <w:rFonts w:ascii="宋体" w:hAnsi="宋体" w:cs="宋体" w:eastAsia="宋体" w:hint="default"/>
                <w:sz w:val="21"/>
                <w:szCs w:val="21"/>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62"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94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3" w:right="41"/>
              <w:jc w:val="left"/>
              <w:rPr>
                <w:rFonts w:ascii="宋体" w:hAnsi="宋体" w:cs="宋体" w:eastAsia="宋体" w:hint="default"/>
                <w:sz w:val="21"/>
                <w:szCs w:val="21"/>
              </w:rPr>
            </w:pPr>
            <w:r>
              <w:rPr>
                <w:rFonts w:ascii="宋体" w:hAnsi="宋体" w:cs="宋体" w:eastAsia="宋体" w:hint="default"/>
                <w:spacing w:val="-2"/>
                <w:sz w:val="21"/>
                <w:szCs w:val="21"/>
              </w:rPr>
              <w:t>广东省深圳市福田区深南</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大道</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7088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号招商银行大</w:t>
            </w:r>
            <w:r>
              <w:rPr>
                <w:rFonts w:ascii="宋体" w:hAnsi="宋体" w:cs="宋体" w:eastAsia="宋体" w:hint="default"/>
                <w:w w:val="100"/>
                <w:sz w:val="21"/>
                <w:szCs w:val="21"/>
              </w:rPr>
              <w:t> </w:t>
            </w:r>
            <w:r>
              <w:rPr>
                <w:rFonts w:ascii="宋体" w:hAnsi="宋体" w:cs="宋体" w:eastAsia="宋体" w:hint="default"/>
                <w:sz w:val="21"/>
                <w:szCs w:val="21"/>
              </w:rPr>
              <w:t>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陈淑绵、宋家俊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2013</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line="240" w:lineRule="auto" w:before="3"/>
        <w:rPr>
          <w:rFonts w:ascii="宋体" w:hAnsi="宋体" w:cs="宋体" w:eastAsia="宋体" w:hint="default"/>
          <w:sz w:val="8"/>
          <w:szCs w:val="8"/>
        </w:rPr>
      </w:pPr>
    </w:p>
    <w:p>
      <w:pPr>
        <w:pStyle w:val="BodyText"/>
        <w:spacing w:line="240" w:lineRule="auto" w:before="36"/>
        <w:ind w:left="633" w:right="1021"/>
        <w:jc w:val="left"/>
      </w:pPr>
      <w:r>
        <w:rPr/>
        <w:t>公司聘请的报告期内履行持续督导职责的财务顾问</w:t>
      </w:r>
    </w:p>
    <w:p>
      <w:pPr>
        <w:pStyle w:val="BodyText"/>
        <w:spacing w:line="240" w:lineRule="auto" w:before="78"/>
        <w:ind w:left="633" w:right="10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5"/>
          <w:szCs w:val="15"/>
        </w:rPr>
      </w:pPr>
    </w:p>
    <w:p>
      <w:pPr>
        <w:pStyle w:val="Heading1"/>
        <w:spacing w:line="240" w:lineRule="auto"/>
        <w:ind w:left="3007" w:right="3286"/>
        <w:jc w:val="center"/>
        <w:rPr>
          <w:b w:val="0"/>
          <w:bCs w:val="0"/>
        </w:rPr>
      </w:pPr>
      <w:bookmarkStart w:name="_TOC_250008" w:id="3"/>
      <w:r>
        <w:rPr/>
        <w:t>第三节</w:t>
      </w:r>
      <w:r>
        <w:rPr>
          <w:spacing w:val="-6"/>
        </w:rPr>
        <w:t> </w:t>
      </w:r>
      <w:r>
        <w:rPr/>
        <w:t>会计数据和财务指标摘要</w:t>
      </w:r>
      <w:bookmarkEnd w:id="3"/>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left="695" w:right="1021"/>
        <w:jc w:val="left"/>
        <w:rPr>
          <w:b w:val="0"/>
          <w:bCs w:val="0"/>
        </w:rPr>
      </w:pPr>
      <w:r>
        <w:rPr/>
        <w:t>一、主要会计数据和财务指标</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left="633" w:right="1021"/>
        <w:jc w:val="left"/>
      </w:pPr>
      <w:r>
        <w:rPr/>
        <w:t>公司是否因会计政策变更及会计差错更正等追溯调整或重述以前年度会计数据</w:t>
      </w:r>
    </w:p>
    <w:p>
      <w:pPr>
        <w:pStyle w:val="BodyText"/>
        <w:spacing w:line="240" w:lineRule="auto" w:before="37"/>
        <w:ind w:left="633" w:right="10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tabs>
          <w:tab w:pos="8437" w:val="left" w:leader="none"/>
        </w:tabs>
        <w:spacing w:before="177"/>
        <w:ind w:left="635" w:right="102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、主要会计数据</w:t>
        <w:tab/>
      </w:r>
      <w:r>
        <w:rPr>
          <w:rFonts w:ascii="宋体" w:hAnsi="宋体" w:cs="宋体" w:eastAsia="宋体" w:hint="default"/>
          <w:spacing w:val="-2"/>
          <w:sz w:val="21"/>
          <w:szCs w:val="21"/>
        </w:rPr>
        <w:t>（单位：千元）</w:t>
      </w:r>
    </w:p>
    <w:p>
      <w:pPr>
        <w:spacing w:line="240" w:lineRule="auto" w:before="7"/>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4362"/>
        <w:gridCol w:w="1373"/>
        <w:gridCol w:w="1375"/>
        <w:gridCol w:w="1373"/>
        <w:gridCol w:w="1373"/>
      </w:tblGrid>
      <w:tr>
        <w:trPr>
          <w:trHeight w:val="667"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 w:right="0"/>
              <w:jc w:val="center"/>
              <w:rPr>
                <w:rFonts w:ascii="宋体" w:hAnsi="宋体" w:cs="宋体" w:eastAsia="宋体" w:hint="default"/>
                <w:sz w:val="21"/>
                <w:szCs w:val="21"/>
              </w:rPr>
            </w:pPr>
            <w:r>
              <w:rPr>
                <w:rFonts w:ascii="宋体" w:hAnsi="宋体" w:cs="宋体" w:eastAsia="宋体" w:hint="default"/>
                <w:sz w:val="21"/>
                <w:szCs w:val="21"/>
              </w:rPr>
              <w:t>指标</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3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3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
              <w:ind w:left="156" w:right="152"/>
              <w:jc w:val="left"/>
              <w:rPr>
                <w:rFonts w:ascii="宋体" w:hAnsi="宋体" w:cs="宋体" w:eastAsia="宋体" w:hint="default"/>
                <w:sz w:val="21"/>
                <w:szCs w:val="21"/>
              </w:rPr>
            </w:pPr>
            <w:r>
              <w:rPr>
                <w:rFonts w:ascii="宋体" w:hAnsi="宋体" w:cs="宋体" w:eastAsia="宋体" w:hint="default"/>
                <w:sz w:val="21"/>
                <w:szCs w:val="21"/>
              </w:rPr>
              <w:t>本年比上年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3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r>
      <w:tr>
        <w:trPr>
          <w:trHeight w:val="413"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Times New Roman" w:hAnsi="Times New Roman" w:cs="Times New Roman" w:eastAsia="Times New Roman" w:hint="default"/>
                <w:sz w:val="21"/>
                <w:szCs w:val="21"/>
              </w:rPr>
            </w:pPr>
            <w:r>
              <w:rPr>
                <w:rFonts w:ascii="Times New Roman"/>
                <w:spacing w:val="-1"/>
                <w:sz w:val="21"/>
              </w:rPr>
              <w:t>98,357,161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Times New Roman" w:hAnsi="Times New Roman" w:cs="Times New Roman" w:eastAsia="Times New Roman" w:hint="default"/>
                <w:sz w:val="21"/>
                <w:szCs w:val="21"/>
              </w:rPr>
            </w:pPr>
            <w:r>
              <w:rPr>
                <w:rFonts w:ascii="Times New Roman"/>
                <w:spacing w:val="-1"/>
                <w:sz w:val="21"/>
              </w:rPr>
              <w:t>93,888,580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Times New Roman" w:hAnsi="Times New Roman" w:cs="Times New Roman" w:eastAsia="Times New Roman" w:hint="default"/>
                <w:sz w:val="21"/>
                <w:szCs w:val="21"/>
              </w:rPr>
            </w:pPr>
            <w:r>
              <w:rPr>
                <w:rFonts w:ascii="Times New Roman"/>
                <w:sz w:val="21"/>
              </w:rPr>
              <w:t>4.76%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6"/>
              <w:jc w:val="right"/>
              <w:rPr>
                <w:rFonts w:ascii="Times New Roman" w:hAnsi="Times New Roman" w:cs="Times New Roman" w:eastAsia="Times New Roman" w:hint="default"/>
                <w:sz w:val="21"/>
                <w:szCs w:val="21"/>
              </w:rPr>
            </w:pPr>
            <w:r>
              <w:rPr>
                <w:rFonts w:ascii="Times New Roman"/>
                <w:spacing w:val="-1"/>
                <w:sz w:val="21"/>
              </w:rPr>
              <w:t>75,504,739</w:t>
            </w:r>
          </w:p>
        </w:tc>
      </w:tr>
      <w:tr>
        <w:trPr>
          <w:trHeight w:val="419"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pacing w:val="-1"/>
                <w:sz w:val="21"/>
              </w:rPr>
              <w:t>3,013,603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pacing w:val="-1"/>
                <w:sz w:val="21"/>
              </w:rPr>
              <w:t>6,444,081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21"/>
                <w:szCs w:val="21"/>
              </w:rPr>
            </w:pPr>
            <w:r>
              <w:rPr>
                <w:rFonts w:ascii="Times New Roman"/>
                <w:spacing w:val="-1"/>
                <w:sz w:val="21"/>
              </w:rPr>
              <w:t>-53.23%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6"/>
              <w:jc w:val="right"/>
              <w:rPr>
                <w:rFonts w:ascii="Times New Roman" w:hAnsi="Times New Roman" w:cs="Times New Roman" w:eastAsia="Times New Roman" w:hint="default"/>
                <w:sz w:val="21"/>
                <w:szCs w:val="21"/>
              </w:rPr>
            </w:pPr>
            <w:r>
              <w:rPr>
                <w:rFonts w:ascii="Times New Roman"/>
                <w:spacing w:val="-1"/>
                <w:sz w:val="21"/>
              </w:rPr>
              <w:t>5,431,948</w:t>
            </w:r>
          </w:p>
        </w:tc>
      </w:tr>
      <w:tr>
        <w:trPr>
          <w:trHeight w:val="510"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21"/>
                <w:szCs w:val="21"/>
              </w:rPr>
            </w:pPr>
            <w:r>
              <w:rPr>
                <w:rFonts w:ascii="Times New Roman"/>
                <w:spacing w:val="-1"/>
                <w:sz w:val="21"/>
              </w:rPr>
              <w:t>3,241,598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21"/>
                <w:szCs w:val="21"/>
              </w:rPr>
            </w:pPr>
            <w:r>
              <w:rPr>
                <w:rFonts w:ascii="Times New Roman"/>
                <w:spacing w:val="-1"/>
                <w:sz w:val="21"/>
              </w:rPr>
              <w:t>6,473,226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21"/>
                <w:szCs w:val="21"/>
              </w:rPr>
            </w:pPr>
            <w:r>
              <w:rPr>
                <w:rFonts w:ascii="Times New Roman"/>
                <w:spacing w:val="-1"/>
                <w:sz w:val="21"/>
              </w:rPr>
              <w:t>-49.92%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6"/>
              <w:jc w:val="right"/>
              <w:rPr>
                <w:rFonts w:ascii="Times New Roman" w:hAnsi="Times New Roman" w:cs="Times New Roman" w:eastAsia="Times New Roman" w:hint="default"/>
                <w:sz w:val="21"/>
                <w:szCs w:val="21"/>
              </w:rPr>
            </w:pPr>
            <w:r>
              <w:rPr>
                <w:rFonts w:ascii="Times New Roman"/>
                <w:spacing w:val="-1"/>
                <w:sz w:val="21"/>
              </w:rPr>
              <w:t>5,402,044</w:t>
            </w:r>
          </w:p>
        </w:tc>
      </w:tr>
      <w:tr>
        <w:trPr>
          <w:trHeight w:val="458"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2"/>
                <w:sz w:val="21"/>
              </w:rPr>
              <w:t>2,676,119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4,820,594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-44.49%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2"/>
                <w:sz w:val="21"/>
              </w:rPr>
              <w:t>4,011,820</w:t>
            </w:r>
          </w:p>
        </w:tc>
      </w:tr>
      <w:tr>
        <w:trPr>
          <w:trHeight w:val="667"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
              <w:ind w:left="103" w:right="25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归属于上市公司股东的扣除非经常性损益的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净利润</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2,515,093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4,623,986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-45.61%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4,029,589</w:t>
            </w:r>
          </w:p>
        </w:tc>
      </w:tr>
      <w:tr>
        <w:trPr>
          <w:trHeight w:val="631"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5,299,441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6,588,520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-19.57%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3,881,336</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4362"/>
        <w:gridCol w:w="1373"/>
        <w:gridCol w:w="1375"/>
        <w:gridCol w:w="1373"/>
        <w:gridCol w:w="1373"/>
      </w:tblGrid>
      <w:tr>
        <w:trPr>
          <w:trHeight w:val="941"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指标</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56" w:right="152"/>
              <w:jc w:val="center"/>
              <w:rPr>
                <w:rFonts w:ascii="宋体" w:hAnsi="宋体" w:cs="宋体" w:eastAsia="宋体" w:hint="default"/>
                <w:sz w:val="21"/>
                <w:szCs w:val="21"/>
              </w:rPr>
            </w:pPr>
            <w:r>
              <w:rPr>
                <w:rFonts w:ascii="宋体" w:hAnsi="宋体" w:cs="宋体" w:eastAsia="宋体" w:hint="default"/>
                <w:sz w:val="21"/>
                <w:szCs w:val="21"/>
              </w:rPr>
              <w:t>本年末比上</w:t>
            </w:r>
            <w:r>
              <w:rPr>
                <w:rFonts w:ascii="宋体" w:hAnsi="宋体" w:cs="宋体" w:eastAsia="宋体" w:hint="default"/>
                <w:w w:val="100"/>
                <w:sz w:val="21"/>
                <w:szCs w:val="21"/>
              </w:rPr>
              <w:t> </w:t>
            </w:r>
            <w:r>
              <w:rPr>
                <w:rFonts w:ascii="宋体" w:hAnsi="宋体" w:cs="宋体" w:eastAsia="宋体" w:hint="default"/>
                <w:sz w:val="21"/>
                <w:szCs w:val="21"/>
              </w:rPr>
              <w:t>年末增减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50"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pacing w:val="-1"/>
                <w:sz w:val="21"/>
              </w:rPr>
              <w:t>76,161,501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pacing w:val="-1"/>
                <w:sz w:val="21"/>
              </w:rPr>
              <w:t>59,786,473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27.39%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43,907,382</w:t>
            </w:r>
          </w:p>
        </w:tc>
      </w:tr>
      <w:tr>
        <w:trPr>
          <w:trHeight w:val="341"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总负债</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47,049,966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36,755,935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28.01%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25,061,991</w:t>
            </w:r>
          </w:p>
        </w:tc>
      </w:tr>
      <w:tr>
        <w:trPr>
          <w:trHeight w:val="338"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28,459,130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22,328,334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27.46%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18,338,189</w:t>
            </w:r>
          </w:p>
        </w:tc>
      </w:tr>
      <w:tr>
        <w:trPr>
          <w:trHeight w:val="341"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股本（千股）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7,383,043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6,996,212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5.53%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6,996,212</w:t>
            </w:r>
          </w:p>
        </w:tc>
      </w:tr>
    </w:tbl>
    <w:p>
      <w:pPr>
        <w:spacing w:line="240" w:lineRule="auto" w:before="3"/>
        <w:rPr>
          <w:rFonts w:ascii="宋体" w:hAnsi="宋体" w:cs="宋体" w:eastAsia="宋体" w:hint="default"/>
          <w:sz w:val="8"/>
          <w:szCs w:val="8"/>
        </w:rPr>
      </w:pPr>
    </w:p>
    <w:p>
      <w:pPr>
        <w:pStyle w:val="Heading4"/>
        <w:spacing w:line="240" w:lineRule="auto" w:before="36"/>
        <w:ind w:left="635" w:right="1021"/>
        <w:jc w:val="left"/>
        <w:rPr>
          <w:b w:val="0"/>
          <w:bCs w:val="0"/>
        </w:rPr>
      </w:pPr>
      <w:r>
        <w:rPr>
          <w:rFonts w:ascii="Times New Roman" w:hAnsi="Times New Roman" w:cs="Times New Roman" w:eastAsia="Times New Roman" w:hint="default"/>
        </w:rPr>
        <w:t>2</w:t>
      </w:r>
      <w:r>
        <w:rPr/>
        <w:t>、主要财务指标</w:t>
      </w:r>
      <w:r>
        <w:rPr>
          <w:b w:val="0"/>
          <w:bCs w:val="0"/>
        </w:rPr>
      </w:r>
    </w:p>
    <w:p>
      <w:pPr>
        <w:spacing w:line="240" w:lineRule="auto" w:before="7"/>
        <w:rPr>
          <w:rFonts w:ascii="宋体" w:hAnsi="宋体" w:cs="宋体" w:eastAsia="宋体" w:hint="default"/>
          <w:b/>
          <w:bCs/>
          <w:sz w:val="14"/>
          <w:szCs w:val="14"/>
        </w:rPr>
      </w:pPr>
    </w:p>
    <w:tbl>
      <w:tblPr>
        <w:tblW w:w="0" w:type="auto"/>
        <w:jc w:val="left"/>
        <w:tblInd w:w="100" w:type="dxa"/>
        <w:tblLayout w:type="fixed"/>
        <w:tblCellMar>
          <w:top w:w="0" w:type="dxa"/>
          <w:left w:w="0" w:type="dxa"/>
          <w:bottom w:w="0" w:type="dxa"/>
          <w:right w:w="0" w:type="dxa"/>
        </w:tblCellMar>
        <w:tblLook w:val="01E0"/>
      </w:tblPr>
      <w:tblGrid>
        <w:gridCol w:w="4220"/>
        <w:gridCol w:w="1409"/>
        <w:gridCol w:w="1409"/>
        <w:gridCol w:w="108"/>
        <w:gridCol w:w="1193"/>
        <w:gridCol w:w="108"/>
        <w:gridCol w:w="1409"/>
      </w:tblGrid>
      <w:tr>
        <w:trPr>
          <w:trHeight w:val="63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指标</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40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72" w:right="171"/>
              <w:jc w:val="left"/>
              <w:rPr>
                <w:rFonts w:ascii="宋体" w:hAnsi="宋体" w:cs="宋体" w:eastAsia="宋体" w:hint="default"/>
                <w:sz w:val="21"/>
                <w:szCs w:val="21"/>
              </w:rPr>
            </w:pPr>
            <w:r>
              <w:rPr>
                <w:rFonts w:ascii="宋体" w:hAnsi="宋体" w:cs="宋体" w:eastAsia="宋体" w:hint="default"/>
                <w:sz w:val="21"/>
                <w:szCs w:val="21"/>
              </w:rPr>
              <w:t>本年比上年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3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0.3722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0.6890</w:t>
            </w:r>
          </w:p>
        </w:tc>
        <w:tc>
          <w:tcPr>
            <w:tcW w:w="14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78" w:right="0"/>
              <w:jc w:val="left"/>
              <w:rPr>
                <w:rFonts w:ascii="Times New Roman" w:hAnsi="Times New Roman" w:cs="Times New Roman" w:eastAsia="Times New Roman" w:hint="default"/>
                <w:sz w:val="21"/>
                <w:szCs w:val="21"/>
              </w:rPr>
            </w:pPr>
            <w:r>
              <w:rPr>
                <w:rFonts w:ascii="Times New Roman"/>
                <w:sz w:val="21"/>
              </w:rPr>
              <w:t>-45.98%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0.5734</w:t>
            </w:r>
          </w:p>
        </w:tc>
      </w:tr>
      <w:tr>
        <w:trPr>
          <w:trHeight w:val="346"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21"/>
                <w:szCs w:val="21"/>
              </w:rPr>
            </w:pPr>
            <w:r>
              <w:rPr>
                <w:rFonts w:ascii="Times New Roman"/>
                <w:sz w:val="21"/>
              </w:rPr>
              <w:t>0.3722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z w:val="21"/>
              </w:rPr>
              <w:t>0.6890</w:t>
            </w:r>
          </w:p>
        </w:tc>
        <w:tc>
          <w:tcPr>
            <w:tcW w:w="14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78" w:right="0"/>
              <w:jc w:val="left"/>
              <w:rPr>
                <w:rFonts w:ascii="Times New Roman" w:hAnsi="Times New Roman" w:cs="Times New Roman" w:eastAsia="Times New Roman" w:hint="default"/>
                <w:sz w:val="21"/>
                <w:szCs w:val="21"/>
              </w:rPr>
            </w:pPr>
            <w:r>
              <w:rPr>
                <w:rFonts w:ascii="Times New Roman"/>
                <w:sz w:val="21"/>
              </w:rPr>
              <w:t>-45.98%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z w:val="21"/>
              </w:rPr>
              <w:t>0.5734</w:t>
            </w:r>
          </w:p>
        </w:tc>
      </w:tr>
      <w:tr>
        <w:trPr>
          <w:trHeight w:val="34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03" w:right="-1"/>
              <w:jc w:val="left"/>
              <w:rPr>
                <w:rFonts w:ascii="宋体" w:hAnsi="宋体" w:cs="宋体" w:eastAsia="宋体" w:hint="default"/>
                <w:sz w:val="21"/>
                <w:szCs w:val="21"/>
              </w:rPr>
            </w:pPr>
            <w:r>
              <w:rPr>
                <w:rFonts w:ascii="宋体" w:hAnsi="宋体" w:cs="宋体" w:eastAsia="宋体" w:hint="default"/>
                <w:spacing w:val="-5"/>
                <w:w w:val="100"/>
                <w:sz w:val="21"/>
                <w:szCs w:val="21"/>
              </w:rPr>
              <w:t>扣除非经常性损益</w:t>
            </w:r>
            <w:r>
              <w:rPr>
                <w:rFonts w:ascii="宋体" w:hAnsi="宋体" w:cs="宋体" w:eastAsia="宋体" w:hint="default"/>
                <w:spacing w:val="-8"/>
                <w:w w:val="100"/>
                <w:sz w:val="21"/>
                <w:szCs w:val="21"/>
              </w:rPr>
              <w:t>后</w:t>
            </w:r>
            <w:r>
              <w:rPr>
                <w:rFonts w:ascii="宋体" w:hAnsi="宋体" w:cs="宋体" w:eastAsia="宋体" w:hint="default"/>
                <w:spacing w:val="-5"/>
                <w:w w:val="100"/>
                <w:sz w:val="21"/>
                <w:szCs w:val="21"/>
              </w:rPr>
              <w:t>的</w:t>
            </w:r>
            <w:r>
              <w:rPr>
                <w:rFonts w:ascii="宋体" w:hAnsi="宋体" w:cs="宋体" w:eastAsia="宋体" w:hint="default"/>
                <w:spacing w:val="-8"/>
                <w:w w:val="100"/>
                <w:sz w:val="21"/>
                <w:szCs w:val="21"/>
              </w:rPr>
              <w:t>基</w:t>
            </w:r>
            <w:r>
              <w:rPr>
                <w:rFonts w:ascii="宋体" w:hAnsi="宋体" w:cs="宋体" w:eastAsia="宋体" w:hint="default"/>
                <w:spacing w:val="-5"/>
                <w:w w:val="100"/>
                <w:sz w:val="21"/>
                <w:szCs w:val="21"/>
              </w:rPr>
              <w:t>本每股收</w:t>
            </w:r>
            <w:r>
              <w:rPr>
                <w:rFonts w:ascii="宋体" w:hAnsi="宋体" w:cs="宋体" w:eastAsia="宋体" w:hint="default"/>
                <w:spacing w:val="-93"/>
                <w:w w:val="100"/>
                <w:sz w:val="21"/>
                <w:szCs w:val="21"/>
              </w:rPr>
              <w:t>益</w:t>
            </w:r>
            <w:r>
              <w:rPr>
                <w:rFonts w:ascii="宋体" w:hAnsi="宋体" w:cs="宋体" w:eastAsia="宋体" w:hint="default"/>
                <w:w w:val="100"/>
                <w:sz w:val="21"/>
                <w:szCs w:val="21"/>
              </w:rPr>
              <w:t>（元</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3"/>
                <w:w w:val="100"/>
                <w:sz w:val="21"/>
                <w:szCs w:val="21"/>
              </w:rPr>
              <w:t>股）</w:t>
            </w:r>
            <w:r>
              <w:rPr>
                <w:rFonts w:ascii="宋体" w:hAnsi="宋体" w:cs="宋体" w:eastAsia="宋体" w:hint="default"/>
                <w:w w:val="100"/>
                <w:sz w:val="21"/>
                <w:szCs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21"/>
                <w:szCs w:val="21"/>
              </w:rPr>
            </w:pPr>
            <w:r>
              <w:rPr>
                <w:rFonts w:ascii="Times New Roman"/>
                <w:sz w:val="21"/>
              </w:rPr>
              <w:t>0.3498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z w:val="21"/>
              </w:rPr>
              <w:t>0.6609</w:t>
            </w:r>
          </w:p>
        </w:tc>
        <w:tc>
          <w:tcPr>
            <w:tcW w:w="14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78" w:right="0"/>
              <w:jc w:val="left"/>
              <w:rPr>
                <w:rFonts w:ascii="Times New Roman" w:hAnsi="Times New Roman" w:cs="Times New Roman" w:eastAsia="Times New Roman" w:hint="default"/>
                <w:sz w:val="21"/>
                <w:szCs w:val="21"/>
              </w:rPr>
            </w:pPr>
            <w:r>
              <w:rPr>
                <w:rFonts w:ascii="Times New Roman"/>
                <w:sz w:val="21"/>
              </w:rPr>
              <w:t>-47.07%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z w:val="21"/>
              </w:rPr>
              <w:t>0.5760</w:t>
            </w:r>
          </w:p>
        </w:tc>
      </w:tr>
      <w:tr>
        <w:trPr>
          <w:trHeight w:val="358"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全面摊薄净资产收益率（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z w:val="21"/>
              </w:rPr>
              <w:t>9.40%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z w:val="21"/>
              </w:rPr>
              <w:t>21.59%</w:t>
            </w:r>
          </w:p>
        </w:tc>
        <w:tc>
          <w:tcPr>
            <w:tcW w:w="14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78" w:right="0"/>
              <w:jc w:val="left"/>
              <w:rPr>
                <w:rFonts w:ascii="Times New Roman" w:hAnsi="Times New Roman" w:cs="Times New Roman" w:eastAsia="Times New Roman" w:hint="default"/>
                <w:sz w:val="21"/>
                <w:szCs w:val="21"/>
              </w:rPr>
            </w:pPr>
            <w:r>
              <w:rPr>
                <w:rFonts w:ascii="Times New Roman"/>
                <w:sz w:val="21"/>
              </w:rPr>
              <w:t>-12.19%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z w:val="21"/>
              </w:rPr>
              <w:t>21.88%</w:t>
            </w:r>
          </w:p>
        </w:tc>
      </w:tr>
      <w:tr>
        <w:trPr>
          <w:trHeight w:val="358"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z w:val="21"/>
              </w:rPr>
              <w:t>10.61%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z w:val="21"/>
              </w:rPr>
              <w:t>23.68%</w:t>
            </w:r>
          </w:p>
        </w:tc>
        <w:tc>
          <w:tcPr>
            <w:tcW w:w="14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78" w:right="0"/>
              <w:jc w:val="left"/>
              <w:rPr>
                <w:rFonts w:ascii="Times New Roman" w:hAnsi="Times New Roman" w:cs="Times New Roman" w:eastAsia="Times New Roman" w:hint="default"/>
                <w:sz w:val="21"/>
                <w:szCs w:val="21"/>
              </w:rPr>
            </w:pPr>
            <w:r>
              <w:rPr>
                <w:rFonts w:ascii="Times New Roman"/>
                <w:sz w:val="21"/>
              </w:rPr>
              <w:t>-13.07%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z w:val="21"/>
              </w:rPr>
              <w:t>24.48%</w:t>
            </w:r>
          </w:p>
        </w:tc>
      </w:tr>
      <w:tr>
        <w:trPr>
          <w:trHeight w:val="76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7"/>
              <w:ind w:left="103" w:right="99"/>
              <w:jc w:val="left"/>
              <w:rPr>
                <w:rFonts w:ascii="宋体" w:hAnsi="宋体" w:cs="宋体" w:eastAsia="宋体" w:hint="default"/>
                <w:sz w:val="21"/>
                <w:szCs w:val="21"/>
              </w:rPr>
            </w:pPr>
            <w:r>
              <w:rPr>
                <w:rFonts w:ascii="宋体" w:hAnsi="宋体" w:cs="宋体" w:eastAsia="宋体" w:hint="default"/>
                <w:sz w:val="21"/>
                <w:szCs w:val="21"/>
              </w:rPr>
              <w:t>扣除非经常性损益后的全面摊薄净资产收益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8.84%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20.70%</w:t>
            </w:r>
          </w:p>
        </w:tc>
        <w:tc>
          <w:tcPr>
            <w:tcW w:w="14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85" w:right="0"/>
              <w:jc w:val="left"/>
              <w:rPr>
                <w:rFonts w:ascii="Times New Roman" w:hAnsi="Times New Roman" w:cs="Times New Roman" w:eastAsia="Times New Roman" w:hint="default"/>
                <w:sz w:val="21"/>
                <w:szCs w:val="21"/>
              </w:rPr>
            </w:pPr>
            <w:r>
              <w:rPr>
                <w:rFonts w:ascii="Times New Roman"/>
                <w:sz w:val="21"/>
              </w:rPr>
              <w:t>-11.86%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21.97%</w:t>
            </w:r>
          </w:p>
        </w:tc>
      </w:tr>
      <w:tr>
        <w:trPr>
          <w:trHeight w:val="667"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
              <w:ind w:left="103" w:right="99"/>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扣除非经常性损益后的加权平均净资产收益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9.97%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22.72%</w:t>
            </w:r>
          </w:p>
        </w:tc>
        <w:tc>
          <w:tcPr>
            <w:tcW w:w="14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78" w:right="0"/>
              <w:jc w:val="left"/>
              <w:rPr>
                <w:rFonts w:ascii="Times New Roman" w:hAnsi="Times New Roman" w:cs="Times New Roman" w:eastAsia="Times New Roman" w:hint="default"/>
                <w:sz w:val="21"/>
                <w:szCs w:val="21"/>
              </w:rPr>
            </w:pPr>
            <w:r>
              <w:rPr>
                <w:rFonts w:ascii="Times New Roman"/>
                <w:sz w:val="21"/>
              </w:rPr>
              <w:t>-12.75%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24.58%</w:t>
            </w:r>
          </w:p>
        </w:tc>
      </w:tr>
      <w:tr>
        <w:trPr>
          <w:trHeight w:val="437"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sz w:val="21"/>
              </w:rPr>
              <w:t>0.72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z w:val="21"/>
              </w:rPr>
              <w:t>0.94</w:t>
            </w:r>
          </w:p>
        </w:tc>
        <w:tc>
          <w:tcPr>
            <w:tcW w:w="14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78" w:right="0"/>
              <w:jc w:val="left"/>
              <w:rPr>
                <w:rFonts w:ascii="Times New Roman" w:hAnsi="Times New Roman" w:cs="Times New Roman" w:eastAsia="Times New Roman" w:hint="default"/>
                <w:sz w:val="21"/>
                <w:szCs w:val="21"/>
              </w:rPr>
            </w:pPr>
            <w:r>
              <w:rPr>
                <w:rFonts w:ascii="Times New Roman"/>
                <w:sz w:val="21"/>
              </w:rPr>
              <w:t>-23.40%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z w:val="21"/>
              </w:rPr>
              <w:t>0.55</w:t>
            </w:r>
          </w:p>
        </w:tc>
      </w:tr>
      <w:tr>
        <w:trPr>
          <w:trHeight w:val="65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6"/>
              <w:ind w:right="0"/>
              <w:jc w:val="center"/>
              <w:rPr>
                <w:rFonts w:ascii="宋体" w:hAnsi="宋体" w:cs="宋体" w:eastAsia="宋体" w:hint="default"/>
                <w:sz w:val="21"/>
                <w:szCs w:val="21"/>
              </w:rPr>
            </w:pPr>
            <w:r>
              <w:rPr>
                <w:rFonts w:ascii="宋体" w:hAnsi="宋体" w:cs="宋体" w:eastAsia="宋体" w:hint="default"/>
                <w:sz w:val="21"/>
                <w:szCs w:val="21"/>
              </w:rPr>
              <w:t>指标</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6"/>
              <w:ind w:left="2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6"/>
              <w:ind w:left="2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08" w:type="dxa"/>
            <w:tcBorders>
              <w:top w:val="single" w:sz="4" w:space="0" w:color="000000"/>
              <w:left w:val="single" w:sz="4" w:space="0" w:color="000000"/>
              <w:bottom w:val="single" w:sz="4" w:space="0" w:color="000000"/>
              <w:right w:val="nil" w:sz="6" w:space="0" w:color="auto"/>
            </w:tcBorders>
            <w:shd w:val="clear" w:color="auto" w:fill="D2D2D2"/>
          </w:tcPr>
          <w:p>
            <w:pPr/>
          </w:p>
        </w:tc>
        <w:tc>
          <w:tcPr>
            <w:tcW w:w="119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ind w:left="88" w:right="68" w:hanging="2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本年末比上</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年末增减</w:t>
            </w:r>
            <w:r>
              <w:rPr>
                <w:rFonts w:ascii="Times New Roman" w:hAnsi="Times New Roman" w:cs="Times New Roman" w:eastAsia="Times New Roman" w:hint="default"/>
                <w:sz w:val="21"/>
                <w:szCs w:val="21"/>
              </w:rPr>
              <w:t>%</w:t>
            </w:r>
          </w:p>
        </w:tc>
        <w:tc>
          <w:tcPr>
            <w:tcW w:w="108" w:type="dxa"/>
            <w:tcBorders>
              <w:top w:val="single" w:sz="4" w:space="0" w:color="000000"/>
              <w:left w:val="nil" w:sz="6" w:space="0" w:color="auto"/>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6"/>
              <w:ind w:left="2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5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3.85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3.19</w:t>
            </w:r>
          </w:p>
        </w:tc>
        <w:tc>
          <w:tcPr>
            <w:tcW w:w="1409" w:type="dxa"/>
            <w:gridSpan w:val="3"/>
            <w:tcBorders>
              <w:top w:val="single" w:sz="10" w:space="0" w:color="D2D2D2"/>
              <w:left w:val="single" w:sz="4" w:space="0" w:color="000000"/>
              <w:bottom w:val="single" w:sz="4" w:space="0" w:color="000000"/>
              <w:right w:val="single" w:sz="4" w:space="0" w:color="000000"/>
            </w:tcBorders>
          </w:tcPr>
          <w:p>
            <w:pPr>
              <w:pStyle w:val="TableParagraph"/>
              <w:spacing w:line="240" w:lineRule="auto" w:before="75"/>
              <w:ind w:left="647" w:right="0"/>
              <w:jc w:val="left"/>
              <w:rPr>
                <w:rFonts w:ascii="Times New Roman" w:hAnsi="Times New Roman" w:cs="Times New Roman" w:eastAsia="Times New Roman" w:hint="default"/>
                <w:sz w:val="21"/>
                <w:szCs w:val="21"/>
              </w:rPr>
            </w:pPr>
            <w:r>
              <w:rPr>
                <w:rFonts w:ascii="Times New Roman"/>
                <w:sz w:val="21"/>
              </w:rPr>
              <w:t>20.69%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2.62</w:t>
            </w:r>
          </w:p>
        </w:tc>
      </w:tr>
      <w:tr>
        <w:trPr>
          <w:trHeight w:val="317"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z w:val="21"/>
              </w:rPr>
              <w:t>61.78%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z w:val="21"/>
              </w:rPr>
              <w:t>61.48%</w:t>
            </w:r>
          </w:p>
        </w:tc>
        <w:tc>
          <w:tcPr>
            <w:tcW w:w="14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54" w:right="0"/>
              <w:jc w:val="left"/>
              <w:rPr>
                <w:rFonts w:ascii="Times New Roman" w:hAnsi="Times New Roman" w:cs="Times New Roman" w:eastAsia="Times New Roman" w:hint="default"/>
                <w:sz w:val="21"/>
                <w:szCs w:val="21"/>
              </w:rPr>
            </w:pPr>
            <w:r>
              <w:rPr>
                <w:rFonts w:ascii="Times New Roman"/>
                <w:sz w:val="21"/>
              </w:rPr>
              <w:t>0.30%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z w:val="21"/>
              </w:rPr>
              <w:t>57.08%</w:t>
            </w:r>
          </w:p>
        </w:tc>
      </w:tr>
    </w:tbl>
    <w:p>
      <w:pPr>
        <w:spacing w:line="240" w:lineRule="auto" w:before="10"/>
        <w:rPr>
          <w:rFonts w:ascii="宋体" w:hAnsi="宋体" w:cs="宋体" w:eastAsia="宋体" w:hint="default"/>
          <w:b/>
          <w:bCs/>
          <w:sz w:val="18"/>
          <w:szCs w:val="18"/>
        </w:rPr>
      </w:pPr>
    </w:p>
    <w:p>
      <w:pPr>
        <w:spacing w:line="508" w:lineRule="auto" w:before="26"/>
        <w:ind w:left="633" w:right="1666" w:firstLine="62"/>
        <w:jc w:val="left"/>
        <w:rPr>
          <w:rFonts w:ascii="宋体" w:hAnsi="宋体" w:cs="宋体" w:eastAsia="宋体" w:hint="default"/>
          <w:sz w:val="21"/>
          <w:szCs w:val="21"/>
        </w:rPr>
      </w:pPr>
      <w:r>
        <w:rPr>
          <w:rFonts w:ascii="宋体" w:hAnsi="宋体" w:cs="宋体" w:eastAsia="宋体" w:hint="default"/>
          <w:b/>
          <w:bCs/>
          <w:sz w:val="24"/>
          <w:szCs w:val="24"/>
        </w:rPr>
        <w:t>二、境内外会计准则下会计数据差异</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、同时按照国际会计准则与按中国会计准则披露的财务报告中净利润和净资产差异情况</w:t>
      </w:r>
      <w:r>
        <w:rPr>
          <w:rFonts w:ascii="宋体" w:hAnsi="宋体" w:cs="宋体" w:eastAsia="宋体" w:hint="default"/>
          <w:b/>
          <w:bCs/>
          <w:spacing w:val="-70"/>
          <w:sz w:val="21"/>
          <w:szCs w:val="21"/>
        </w:rPr>
        <w:t> </w:t>
      </w:r>
      <w:r>
        <w:rPr>
          <w:rFonts w:ascii="宋体" w:hAnsi="宋体" w:cs="宋体" w:eastAsia="宋体" w:hint="default"/>
          <w:b/>
          <w:bCs/>
          <w:spacing w:val="-70"/>
          <w:sz w:val="21"/>
          <w:szCs w:val="21"/>
        </w:rPr>
      </w: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、同时按照境外会计准则与按中国会计准则披露的财务报告中净利润和净资产差异情况</w:t>
      </w:r>
      <w:r>
        <w:rPr>
          <w:rFonts w:ascii="宋体" w:hAnsi="宋体" w:cs="宋体" w:eastAsia="宋体" w:hint="default"/>
          <w:b/>
          <w:bCs/>
          <w:spacing w:val="-70"/>
          <w:sz w:val="21"/>
          <w:szCs w:val="21"/>
        </w:rPr>
        <w:t> </w:t>
      </w:r>
      <w:r>
        <w:rPr>
          <w:rFonts w:ascii="宋体" w:hAnsi="宋体" w:cs="宋体" w:eastAsia="宋体" w:hint="default"/>
          <w:b/>
          <w:bCs/>
          <w:spacing w:val="-70"/>
          <w:sz w:val="21"/>
          <w:szCs w:val="21"/>
        </w:rPr>
      </w:r>
      <w:r>
        <w:rPr>
          <w:rFonts w:ascii="宋体" w:hAnsi="宋体" w:cs="宋体" w:eastAsia="宋体" w:hint="default"/>
          <w:sz w:val="21"/>
          <w:szCs w:val="21"/>
        </w:rPr>
        <w:t>不适用</w:t>
      </w:r>
    </w:p>
    <w:p>
      <w:pPr>
        <w:pStyle w:val="Heading4"/>
        <w:spacing w:line="506" w:lineRule="auto" w:before="102"/>
        <w:ind w:left="633" w:right="5650" w:firstLine="2"/>
        <w:jc w:val="left"/>
        <w:rPr>
          <w:rFonts w:ascii="宋体" w:hAnsi="宋体" w:cs="宋体" w:eastAsia="宋体" w:hint="default"/>
          <w:b w:val="0"/>
          <w:bCs w:val="0"/>
        </w:rPr>
      </w:pPr>
      <w:r>
        <w:rPr>
          <w:rFonts w:ascii="Times New Roman" w:hAnsi="Times New Roman" w:cs="Times New Roman" w:eastAsia="Times New Roman" w:hint="default"/>
          <w:spacing w:val="-1"/>
        </w:rPr>
        <w:t>3</w:t>
      </w:r>
      <w:r>
        <w:rPr>
          <w:spacing w:val="-1"/>
        </w:rPr>
        <w:t>、境内外会计准则下会计数据差异原因说明</w:t>
      </w:r>
      <w:r>
        <w:rPr>
          <w:spacing w:val="-86"/>
        </w:rPr>
        <w:t> </w:t>
      </w:r>
      <w:r>
        <w:rPr>
          <w:spacing w:val="-86"/>
        </w:rPr>
      </w:r>
      <w:r>
        <w:rPr>
          <w:rFonts w:ascii="宋体" w:hAnsi="宋体" w:cs="宋体" w:eastAsia="宋体" w:hint="default"/>
          <w:b w:val="0"/>
          <w:bCs w:val="0"/>
        </w:rPr>
        <w:t>不适用</w:t>
      </w:r>
    </w:p>
    <w:p>
      <w:pPr>
        <w:spacing w:after="0" w:line="506" w:lineRule="auto"/>
        <w:jc w:val="left"/>
        <w:rPr>
          <w:rFonts w:ascii="宋体" w:hAnsi="宋体" w:cs="宋体" w:eastAsia="宋体" w:hint="default"/>
        </w:rPr>
        <w:sectPr>
          <w:footerReference w:type="default" r:id="rId15"/>
          <w:pgSz w:w="11910" w:h="16840"/>
          <w:pgMar w:footer="1289" w:header="745" w:top="1060" w:bottom="1480" w:left="920" w:right="0"/>
          <w:pgNumType w:start="6"/>
        </w:sectPr>
      </w:pP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5" w:footer="1289" w:top="1060" w:bottom="1540" w:left="980" w:right="0"/>
        </w:sectPr>
      </w:pPr>
    </w:p>
    <w:p>
      <w:pPr>
        <w:pStyle w:val="Heading2"/>
        <w:spacing w:line="240" w:lineRule="auto" w:before="26"/>
        <w:ind w:left="635" w:right="0"/>
        <w:jc w:val="left"/>
        <w:rPr>
          <w:b w:val="0"/>
          <w:bCs w:val="0"/>
        </w:rPr>
      </w:pPr>
      <w:r>
        <w:rPr>
          <w:w w:val="95"/>
        </w:rPr>
        <w:t>三、非经常性损益项目及金额</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3"/>
        <w:ind w:left="635" w:right="0"/>
        <w:jc w:val="left"/>
      </w:pPr>
      <w:r>
        <w:rPr/>
        <w:t>（单位：千元）</w:t>
      </w:r>
    </w:p>
    <w:p>
      <w:pPr>
        <w:spacing w:after="0" w:line="240" w:lineRule="auto"/>
        <w:jc w:val="left"/>
        <w:sectPr>
          <w:type w:val="continuous"/>
          <w:pgSz w:w="11910" w:h="16840"/>
          <w:pgMar w:top="1060" w:bottom="1540" w:left="980" w:right="0"/>
          <w:cols w:num="2" w:equalWidth="0">
            <w:col w:w="3767" w:space="3919"/>
            <w:col w:w="3244"/>
          </w:cols>
        </w:sectPr>
      </w:pP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0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63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95"/>
              <w:jc w:val="left"/>
              <w:rPr>
                <w:rFonts w:ascii="宋体" w:hAnsi="宋体" w:cs="宋体" w:eastAsia="宋体" w:hint="default"/>
                <w:sz w:val="21"/>
                <w:szCs w:val="21"/>
              </w:rPr>
            </w:pPr>
            <w:r>
              <w:rPr>
                <w:rFonts w:ascii="宋体" w:hAnsi="宋体" w:cs="宋体" w:eastAsia="宋体" w:hint="default"/>
                <w:spacing w:val="-2"/>
                <w:sz w:val="21"/>
                <w:szCs w:val="21"/>
              </w:rPr>
              <w:t>非流动资产处置损益（包括已计提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资产减值准备的冲销部分）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54,020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-3,717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95"/>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业务密切相关，按照国家统一标准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定额或定量享受的政府补助除外）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221,423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83,566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41,982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95"/>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期初至合并日的当期净损益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95"/>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套期保值业务外，持有交易性金融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资产、交易性金融负债产生的公允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价值变动损益，以及处置交易性金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融资产、交易性金融负债和可供出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-3,318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5,658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95"/>
              <w:jc w:val="left"/>
              <w:rPr>
                <w:rFonts w:ascii="宋体" w:hAnsi="宋体" w:cs="宋体" w:eastAsia="宋体" w:hint="default"/>
                <w:sz w:val="21"/>
                <w:szCs w:val="21"/>
              </w:rPr>
            </w:pPr>
            <w:r>
              <w:rPr>
                <w:rFonts w:ascii="宋体" w:hAnsi="宋体" w:cs="宋体" w:eastAsia="宋体" w:hint="default"/>
                <w:spacing w:val="-2"/>
                <w:sz w:val="21"/>
                <w:szCs w:val="21"/>
              </w:rPr>
              <w:t>按照公允价值重新计量购买日前持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有的</w:t>
            </w:r>
            <w:r>
              <w:rPr>
                <w:rFonts w:ascii="宋体" w:hAnsi="宋体" w:cs="宋体" w:eastAsia="宋体" w:hint="default"/>
                <w:spacing w:val="-52"/>
                <w:sz w:val="21"/>
                <w:szCs w:val="21"/>
              </w:rPr>
              <w:t> </w:t>
            </w:r>
            <w:r>
              <w:rPr>
                <w:rFonts w:ascii="宋体" w:hAnsi="宋体" w:cs="宋体" w:eastAsia="宋体" w:hint="default"/>
                <w:sz w:val="21"/>
                <w:szCs w:val="21"/>
              </w:rPr>
              <w:t>LAOX</w:t>
            </w:r>
            <w:r>
              <w:rPr>
                <w:rFonts w:ascii="宋体" w:hAnsi="宋体" w:cs="宋体" w:eastAsia="宋体" w:hint="default"/>
                <w:spacing w:val="-55"/>
                <w:sz w:val="21"/>
                <w:szCs w:val="21"/>
              </w:rPr>
              <w:t> </w:t>
            </w:r>
            <w:r>
              <w:rPr>
                <w:rFonts w:ascii="宋体" w:hAnsi="宋体" w:cs="宋体" w:eastAsia="宋体" w:hint="default"/>
                <w:sz w:val="21"/>
                <w:szCs w:val="21"/>
              </w:rPr>
              <w:t>股权产生的相关利得</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179,223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95"/>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-47,448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-52,451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-68,169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21"/>
                <w:szCs w:val="21"/>
              </w:rPr>
            </w:pPr>
            <w:r>
              <w:rPr>
                <w:rFonts w:ascii="Times New Roman"/>
                <w:spacing w:val="-1"/>
                <w:sz w:val="21"/>
              </w:rPr>
              <w:t>-59,149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-9,092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z w:val="21"/>
              </w:rPr>
              <w:t>6,062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-4,477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-2,668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415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161,026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196,608</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-17,769</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sz w:val="21"/>
              </w:rPr>
              <w:t>--</w:t>
            </w:r>
          </w:p>
        </w:tc>
      </w:tr>
    </w:tbl>
    <w:p>
      <w:pPr>
        <w:spacing w:line="240" w:lineRule="auto" w:before="3"/>
        <w:rPr>
          <w:rFonts w:ascii="宋体" w:hAnsi="宋体" w:cs="宋体" w:eastAsia="宋体" w:hint="default"/>
          <w:sz w:val="8"/>
          <w:szCs w:val="8"/>
        </w:rPr>
      </w:pPr>
    </w:p>
    <w:p>
      <w:pPr>
        <w:pStyle w:val="BodyText"/>
        <w:spacing w:line="240" w:lineRule="auto" w:before="36"/>
        <w:ind w:right="982"/>
        <w:jc w:val="left"/>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2"/>
        </w:rPr>
        <w:t>号</w:t>
      </w:r>
      <w:r>
        <w:rPr>
          <w:rFonts w:ascii="Times New Roman" w:hAnsi="Times New Roman" w:cs="Times New Roman" w:eastAsia="Times New Roman" w:hint="default"/>
          <w:spacing w:val="-2"/>
        </w:rPr>
        <w:t>——</w:t>
      </w:r>
      <w:r>
        <w:rPr>
          <w:spacing w:val="-2"/>
        </w:rPr>
        <w:t>非经常性损益》定义界定的非经常性损</w:t>
      </w:r>
    </w:p>
    <w:p>
      <w:pPr>
        <w:pStyle w:val="BodyText"/>
        <w:spacing w:line="256" w:lineRule="auto" w:before="21"/>
        <w:ind w:right="982"/>
        <w:jc w:val="left"/>
      </w:pPr>
      <w:r>
        <w:rPr>
          <w:spacing w:val="-2"/>
        </w:rPr>
        <w:t>益项目，以及把《公开发行证券的公司信息披露解释性公告第</w:t>
      </w:r>
      <w:r>
        <w:rPr/>
        <w:t> </w:t>
      </w:r>
      <w:r>
        <w:rPr>
          <w:rFonts w:ascii="Times New Roman" w:hAnsi="Times New Roman" w:cs="Times New Roman" w:eastAsia="Times New Roman" w:hint="default"/>
        </w:rPr>
        <w:t>1 </w:t>
      </w:r>
      <w:r>
        <w:rPr>
          <w:spacing w:val="-2"/>
        </w:rPr>
        <w:t>号</w:t>
      </w:r>
      <w:r>
        <w:rPr>
          <w:rFonts w:ascii="Times New Roman" w:hAnsi="Times New Roman" w:cs="Times New Roman" w:eastAsia="Times New Roman" w:hint="default"/>
          <w:spacing w:val="-2"/>
        </w:rPr>
        <w:t>——</w:t>
      </w:r>
      <w:r>
        <w:rPr>
          <w:spacing w:val="-2"/>
        </w:rPr>
        <w:t>非经常性损益》中列举的非经常性</w:t>
      </w:r>
      <w:r>
        <w:rPr>
          <w:spacing w:val="-99"/>
        </w:rPr>
        <w:t> </w:t>
      </w:r>
      <w:r>
        <w:rPr>
          <w:spacing w:val="-99"/>
        </w:rPr>
      </w:r>
      <w:r>
        <w:rPr/>
        <w:t>损益项目界定为经常性损益的项目，应说明原因</w:t>
      </w:r>
    </w:p>
    <w:p>
      <w:pPr>
        <w:pStyle w:val="BodyText"/>
        <w:spacing w:line="240" w:lineRule="auto" w:before="63"/>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0"/>
          <w:szCs w:val="20"/>
        </w:rPr>
      </w:pPr>
    </w:p>
    <w:p>
      <w:pPr>
        <w:pStyle w:val="Heading1"/>
        <w:spacing w:line="240" w:lineRule="auto"/>
        <w:ind w:right="2628"/>
        <w:jc w:val="center"/>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47"/>
          <w:szCs w:val="47"/>
        </w:rPr>
      </w:pPr>
    </w:p>
    <w:p>
      <w:pPr>
        <w:pStyle w:val="BodyText"/>
        <w:spacing w:line="386" w:lineRule="auto" w:before="0"/>
        <w:ind w:right="1104" w:firstLine="420"/>
        <w:jc w:val="both"/>
      </w:pPr>
      <w:r>
        <w:rPr>
          <w:rFonts w:ascii="Times New Roman" w:hAnsi="Times New Roman" w:cs="Times New Roman" w:eastAsia="Times New Roman" w:hint="default"/>
          <w:spacing w:val="-2"/>
        </w:rPr>
        <w:t>2012</w:t>
      </w:r>
      <w:r>
        <w:rPr>
          <w:spacing w:val="-2"/>
        </w:rPr>
        <w:t>年，国际经济复杂乏力，国内经济转型发展复杂严峻。国内经济稳中求进，加强改善宏观调控，</w:t>
      </w:r>
      <w:r>
        <w:rPr>
          <w:w w:val="100"/>
        </w:rPr>
        <w:t> </w:t>
      </w:r>
      <w:r>
        <w:rPr>
          <w:spacing w:val="-3"/>
        </w:rPr>
        <w:t>国内生产总值增长</w:t>
      </w:r>
      <w:r>
        <w:rPr>
          <w:rFonts w:ascii="Times New Roman" w:hAnsi="Times New Roman" w:cs="Times New Roman" w:eastAsia="Times New Roman" w:hint="default"/>
          <w:spacing w:val="-3"/>
        </w:rPr>
        <w:t>7.8%</w:t>
      </w:r>
      <w:r>
        <w:rPr>
          <w:spacing w:val="-3"/>
        </w:rPr>
        <w:t>，增幅比</w:t>
      </w:r>
      <w:r>
        <w:rPr>
          <w:rFonts w:ascii="Times New Roman" w:hAnsi="Times New Roman" w:cs="Times New Roman" w:eastAsia="Times New Roman" w:hint="default"/>
          <w:spacing w:val="-3"/>
        </w:rPr>
        <w:t>2011</w:t>
      </w:r>
      <w:r>
        <w:rPr>
          <w:spacing w:val="-3"/>
        </w:rPr>
        <w:t>年回落</w:t>
      </w:r>
      <w:r>
        <w:rPr>
          <w:rFonts w:ascii="Times New Roman" w:hAnsi="Times New Roman" w:cs="Times New Roman" w:eastAsia="Times New Roman" w:hint="default"/>
          <w:spacing w:val="-3"/>
        </w:rPr>
        <w:t>1.5</w:t>
      </w:r>
      <w:r>
        <w:rPr>
          <w:spacing w:val="-3"/>
        </w:rPr>
        <w:t>个百分点。零售行业增速放缓，创</w:t>
      </w:r>
      <w:r>
        <w:rPr>
          <w:rFonts w:ascii="Times New Roman" w:hAnsi="Times New Roman" w:cs="Times New Roman" w:eastAsia="Times New Roman" w:hint="default"/>
          <w:spacing w:val="-3"/>
        </w:rPr>
        <w:t>2005</w:t>
      </w:r>
      <w:r>
        <w:rPr>
          <w:spacing w:val="-3"/>
        </w:rPr>
        <w:t>年以来新低。根据中</w:t>
      </w:r>
      <w:r>
        <w:rPr>
          <w:spacing w:val="-48"/>
        </w:rPr>
        <w:t> </w:t>
      </w:r>
      <w:r>
        <w:rPr>
          <w:spacing w:val="-48"/>
        </w:rPr>
      </w:r>
      <w:r>
        <w:rPr/>
        <w:t>华全国商业信息中心的统计，</w:t>
      </w:r>
      <w:r>
        <w:rPr>
          <w:rFonts w:ascii="Times New Roman" w:hAnsi="Times New Roman" w:cs="Times New Roman" w:eastAsia="Times New Roman" w:hint="default"/>
        </w:rPr>
        <w:t>2012</w:t>
      </w:r>
      <w:r>
        <w:rPr/>
        <w:t>年全国百家重点大型零售企业零售额名义同比增长</w:t>
      </w:r>
      <w:r>
        <w:rPr>
          <w:rFonts w:ascii="Times New Roman" w:hAnsi="Times New Roman" w:cs="Times New Roman" w:eastAsia="Times New Roman" w:hint="default"/>
        </w:rPr>
        <w:t>10.8%</w:t>
      </w:r>
      <w:r>
        <w:rPr/>
        <w:t>，增速相比去</w:t>
      </w:r>
      <w:r>
        <w:rPr>
          <w:spacing w:val="-39"/>
        </w:rPr>
        <w:t> </w:t>
      </w:r>
      <w:r>
        <w:rPr>
          <w:spacing w:val="-39"/>
        </w:rPr>
      </w:r>
      <w:r>
        <w:rPr/>
        <w:t>年大幅度放缓</w:t>
      </w:r>
      <w:r>
        <w:rPr>
          <w:rFonts w:ascii="Times New Roman" w:hAnsi="Times New Roman" w:cs="Times New Roman" w:eastAsia="Times New Roman" w:hint="default"/>
        </w:rPr>
        <w:t>11.8</w:t>
      </w:r>
      <w:r>
        <w:rPr/>
        <w:t>个百分点，其中，家用电器零售额同比增长</w:t>
      </w:r>
      <w:r>
        <w:rPr>
          <w:rFonts w:ascii="Times New Roman" w:hAnsi="Times New Roman" w:cs="Times New Roman" w:eastAsia="Times New Roman" w:hint="default"/>
        </w:rPr>
        <w:t>3.0%</w:t>
      </w:r>
      <w:r>
        <w:rPr/>
        <w:t>，比去年同期放缓</w:t>
      </w:r>
      <w:r>
        <w:rPr>
          <w:rFonts w:ascii="Times New Roman" w:hAnsi="Times New Roman" w:cs="Times New Roman" w:eastAsia="Times New Roman" w:hint="default"/>
        </w:rPr>
        <w:t>13.9</w:t>
      </w:r>
      <w:r>
        <w:rPr/>
        <w:t>个百分点。家电</w:t>
      </w:r>
      <w:r>
        <w:rPr>
          <w:spacing w:val="-39"/>
        </w:rPr>
        <w:t> </w:t>
      </w:r>
      <w:r>
        <w:rPr>
          <w:spacing w:val="-39"/>
        </w:rPr>
      </w:r>
      <w:r>
        <w:rPr>
          <w:spacing w:val="-7"/>
        </w:rPr>
        <w:t>行业由于激励政策退出，行业规模出现阶段性的下滑，据北京中怡康时代市场研究有限公司数据显示，</w:t>
      </w:r>
      <w:r>
        <w:rPr>
          <w:rFonts w:ascii="Times New Roman" w:hAnsi="Times New Roman" w:cs="Times New Roman" w:eastAsia="Times New Roman" w:hint="default"/>
          <w:spacing w:val="-7"/>
        </w:rPr>
        <w:t>2012</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4"/>
        </w:rPr>
        <w:t>年整体家电市场零售总额为</w:t>
      </w:r>
      <w:r>
        <w:rPr>
          <w:rFonts w:ascii="Times New Roman" w:hAnsi="Times New Roman" w:cs="Times New Roman" w:eastAsia="Times New Roman" w:hint="default"/>
          <w:spacing w:val="-4"/>
        </w:rPr>
        <w:t>11,596</w:t>
      </w:r>
      <w:r>
        <w:rPr>
          <w:spacing w:val="-4"/>
        </w:rPr>
        <w:t>亿元，同比下降</w:t>
      </w:r>
      <w:r>
        <w:rPr>
          <w:rFonts w:ascii="Times New Roman" w:hAnsi="Times New Roman" w:cs="Times New Roman" w:eastAsia="Times New Roman" w:hint="default"/>
          <w:spacing w:val="-4"/>
        </w:rPr>
        <w:t>4.83%</w:t>
      </w:r>
      <w:r>
        <w:rPr>
          <w:spacing w:val="-4"/>
        </w:rPr>
        <w:t>。行业疲软，消费市场受挫，尤其是部分发达富裕</w:t>
      </w:r>
    </w:p>
    <w:p>
      <w:pPr>
        <w:spacing w:after="0" w:line="386" w:lineRule="auto"/>
        <w:jc w:val="both"/>
        <w:sectPr>
          <w:type w:val="continuous"/>
          <w:pgSz w:w="11910" w:h="16840"/>
          <w:pgMar w:top="1060" w:bottom="154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的一二线城市波动较为明显，由于公司在该部分区域布局较为集中，销售受到影响，短期内可比门店销售</w:t>
      </w:r>
      <w:r>
        <w:rPr>
          <w:spacing w:val="-43"/>
        </w:rPr>
        <w:t> </w:t>
      </w:r>
      <w:r>
        <w:rPr>
          <w:spacing w:val="-43"/>
        </w:rPr>
      </w:r>
      <w:r>
        <w:rPr>
          <w:spacing w:val="-2"/>
        </w:rPr>
        <w:t>出现下滑，加之租金、人员费用相对刚性，对公司利润产生了影响，但整体来看，公司的表现优于行业平</w:t>
      </w:r>
      <w:r>
        <w:rPr>
          <w:spacing w:val="-42"/>
        </w:rPr>
        <w:t> </w:t>
      </w:r>
      <w:r>
        <w:rPr>
          <w:spacing w:val="-42"/>
        </w:rPr>
      </w:r>
      <w:r>
        <w:rPr/>
        <w:t>均水平。</w:t>
      </w:r>
    </w:p>
    <w:p>
      <w:pPr>
        <w:pStyle w:val="BodyText"/>
        <w:spacing w:line="396" w:lineRule="auto"/>
        <w:ind w:right="1126" w:firstLine="420"/>
        <w:jc w:val="both"/>
      </w:pPr>
      <w:r>
        <w:rPr>
          <w:spacing w:val="-2"/>
        </w:rPr>
        <w:t>年度内，网购市场仍保持了较快的发展速度，艾瑞咨询数据显示，</w:t>
      </w:r>
      <w:r>
        <w:rPr>
          <w:rFonts w:ascii="Times New Roman" w:hAnsi="Times New Roman" w:cs="Times New Roman" w:eastAsia="Times New Roman" w:hint="default"/>
          <w:spacing w:val="-2"/>
        </w:rPr>
        <w:t>2012</w:t>
      </w:r>
      <w:r>
        <w:rPr>
          <w:spacing w:val="-2"/>
        </w:rPr>
        <w:t>年中国网络购物交易规模达到</w:t>
      </w:r>
      <w:r>
        <w:rPr>
          <w:w w:val="100"/>
        </w:rPr>
        <w:t> </w:t>
      </w:r>
      <w:r>
        <w:rPr>
          <w:rFonts w:ascii="Times New Roman" w:hAnsi="Times New Roman" w:cs="Times New Roman" w:eastAsia="Times New Roman" w:hint="default"/>
        </w:rPr>
        <w:t>13,040</w:t>
      </w:r>
      <w:r>
        <w:rPr/>
        <w:t>亿元，同比增长</w:t>
      </w:r>
      <w:r>
        <w:rPr>
          <w:rFonts w:ascii="Times New Roman" w:hAnsi="Times New Roman" w:cs="Times New Roman" w:eastAsia="Times New Roman" w:hint="default"/>
        </w:rPr>
        <w:t>66.2%</w:t>
      </w:r>
      <w:r>
        <w:rPr/>
        <w:t>，在社会消费品总零售额占比达到</w:t>
      </w:r>
      <w:r>
        <w:rPr>
          <w:rFonts w:ascii="Times New Roman" w:hAnsi="Times New Roman" w:cs="Times New Roman" w:eastAsia="Times New Roman" w:hint="default"/>
        </w:rPr>
        <w:t>6.2%</w:t>
      </w:r>
      <w:r>
        <w:rPr/>
        <w:t>，较上年提升了</w:t>
      </w:r>
      <w:r>
        <w:rPr>
          <w:rFonts w:ascii="Times New Roman" w:hAnsi="Times New Roman" w:cs="Times New Roman" w:eastAsia="Times New Roman" w:hint="default"/>
        </w:rPr>
        <w:t>1.9</w:t>
      </w:r>
      <w:r>
        <w:rPr/>
        <w:t>个百分点。网购市</w:t>
      </w:r>
      <w:r>
        <w:rPr>
          <w:spacing w:val="-59"/>
        </w:rPr>
        <w:t> </w:t>
      </w:r>
      <w:r>
        <w:rPr>
          <w:spacing w:val="-2"/>
        </w:rPr>
        <w:t>场发展较快，且从长期来看互联网的发展也成为零售行业转型升级的趋势。但短期内，网购市场对实体零</w:t>
      </w:r>
      <w:r>
        <w:rPr>
          <w:spacing w:val="-43"/>
        </w:rPr>
        <w:t> </w:t>
      </w:r>
      <w:r>
        <w:rPr>
          <w:spacing w:val="-43"/>
        </w:rPr>
      </w:r>
      <w:r>
        <w:rPr>
          <w:spacing w:val="-2"/>
        </w:rPr>
        <w:t>售的影响仍然有限。自</w:t>
      </w:r>
      <w:r>
        <w:rPr>
          <w:rFonts w:ascii="Times New Roman" w:hAnsi="Times New Roman" w:cs="Times New Roman" w:eastAsia="Times New Roman" w:hint="default"/>
          <w:spacing w:val="-2"/>
        </w:rPr>
        <w:t>2010</w:t>
      </w:r>
      <w:r>
        <w:rPr>
          <w:spacing w:val="-2"/>
        </w:rPr>
        <w:t>年上线苏宁易购以来，公司电子商务业务的发展速度、增长情况在行业中一直</w:t>
      </w:r>
      <w:r>
        <w:rPr>
          <w:spacing w:val="-42"/>
        </w:rPr>
        <w:t> </w:t>
      </w:r>
      <w:r>
        <w:rPr>
          <w:spacing w:val="-42"/>
        </w:rPr>
      </w:r>
      <w:r>
        <w:rPr>
          <w:spacing w:val="-2"/>
        </w:rPr>
        <w:t>处于领先水平，但目前仍处于投入与培育期，人员、广告、物流等都需要加大投入，此外行业存在的不理</w:t>
      </w:r>
      <w:r>
        <w:rPr>
          <w:spacing w:val="-43"/>
        </w:rPr>
        <w:t> </w:t>
      </w:r>
      <w:r>
        <w:rPr>
          <w:spacing w:val="-43"/>
        </w:rPr>
      </w:r>
      <w:r>
        <w:rPr/>
        <w:t>性竞争等问题也对线上业务的毛利率产生了影响。综上，使得短期内线上业务出现亏损。</w:t>
      </w:r>
    </w:p>
    <w:p>
      <w:pPr>
        <w:pStyle w:val="BodyText"/>
        <w:spacing w:line="398" w:lineRule="auto" w:before="56"/>
        <w:ind w:right="1107" w:firstLine="420"/>
        <w:jc w:val="right"/>
      </w:pPr>
      <w:r>
        <w:rPr>
          <w:spacing w:val="-2"/>
        </w:rPr>
        <w:t>面对复杂多变的外部环境，公司坚定地推进“科技转型、智慧服务”转型战略的实施，</w:t>
      </w:r>
      <w:r>
        <w:rPr>
          <w:rFonts w:ascii="Times New Roman" w:hAnsi="Times New Roman" w:cs="Times New Roman" w:eastAsia="Times New Roman" w:hint="default"/>
          <w:spacing w:val="-2"/>
        </w:rPr>
        <w:t>2012</w:t>
      </w:r>
      <w:r>
        <w:rPr>
          <w:spacing w:val="-2"/>
        </w:rPr>
        <w:t>年是公司</w:t>
      </w:r>
      <w:r>
        <w:rPr>
          <w:w w:val="100"/>
        </w:rPr>
        <w:t> </w:t>
      </w:r>
      <w:r>
        <w:rPr>
          <w:spacing w:val="-2"/>
        </w:rPr>
        <w:t>新战略实施的第二年，通过前期的摸索与积累，公司转型的路径更加清晰。以“虚实互动”、线上线下融</w:t>
      </w:r>
      <w:r>
        <w:rPr>
          <w:spacing w:val="-88"/>
        </w:rPr>
        <w:t> </w:t>
      </w:r>
      <w:r>
        <w:rPr>
          <w:spacing w:val="-88"/>
        </w:rPr>
      </w:r>
      <w:r>
        <w:rPr>
          <w:spacing w:val="-2"/>
        </w:rPr>
        <w:t>合的业务发展模式为核心，搭建新的业务模型，开展了大量的基础性工作。线下业务，贯彻大店攻略，调</w:t>
      </w:r>
      <w:r>
        <w:rPr>
          <w:spacing w:val="-84"/>
        </w:rPr>
        <w:t> </w:t>
      </w:r>
      <w:r>
        <w:rPr>
          <w:spacing w:val="-84"/>
        </w:rPr>
      </w:r>
      <w:r>
        <w:rPr>
          <w:spacing w:val="-3"/>
        </w:rPr>
        <w:t>整低效社区店，推进“超级店</w:t>
      </w:r>
      <w:r>
        <w:rPr>
          <w:rFonts w:ascii="Times New Roman" w:hAnsi="Times New Roman" w:cs="Times New Roman" w:eastAsia="Times New Roman" w:hint="default"/>
          <w:spacing w:val="-3"/>
        </w:rPr>
        <w:t>+</w:t>
      </w:r>
      <w:r>
        <w:rPr>
          <w:spacing w:val="-3"/>
        </w:rPr>
        <w:t>旗舰店</w:t>
      </w:r>
      <w:r>
        <w:rPr>
          <w:rFonts w:ascii="Times New Roman" w:hAnsi="Times New Roman" w:cs="Times New Roman" w:eastAsia="Times New Roman" w:hint="default"/>
          <w:spacing w:val="-3"/>
        </w:rPr>
        <w:t>+</w:t>
      </w:r>
      <w:r>
        <w:rPr>
          <w:spacing w:val="-3"/>
        </w:rPr>
        <w:t>乐购仕生活广场”的战略布局；加速“超电器化”发展，注重消费</w:t>
      </w:r>
      <w:r>
        <w:rPr>
          <w:spacing w:val="-62"/>
        </w:rPr>
        <w:t> </w:t>
      </w:r>
      <w:r>
        <w:rPr>
          <w:spacing w:val="-62"/>
        </w:rPr>
      </w:r>
      <w:r>
        <w:rPr>
          <w:spacing w:val="-2"/>
        </w:rPr>
        <w:t>者全套购物体验的提升；线上业务，充分运用开放平台加快品类拓展，加强系统开发优化购物体验，加大</w:t>
      </w:r>
      <w:r>
        <w:rPr>
          <w:spacing w:val="-98"/>
        </w:rPr>
        <w:t> </w:t>
      </w:r>
      <w:r>
        <w:rPr>
          <w:spacing w:val="-98"/>
        </w:rPr>
      </w:r>
      <w:r>
        <w:rPr>
          <w:spacing w:val="-2"/>
        </w:rPr>
        <w:t>广告投入增强品牌影响力，大量引进互联网技术人才充实团队；与此同时，基于长远发展需要，坚持后台</w:t>
      </w:r>
      <w:r>
        <w:rPr>
          <w:spacing w:val="-90"/>
        </w:rPr>
        <w:t> </w:t>
      </w:r>
      <w:r>
        <w:rPr>
          <w:spacing w:val="-90"/>
        </w:rPr>
      </w:r>
      <w:r>
        <w:rPr>
          <w:spacing w:val="-2"/>
        </w:rPr>
        <w:t>先行的发展策略，超前布局物流，物流基地进入批量开发、快速复制阶段，有效支撑线上线下融合发展。</w:t>
      </w:r>
      <w:r>
        <w:rPr>
          <w:spacing w:val="-46"/>
        </w:rPr>
        <w:t> </w:t>
      </w:r>
      <w:r>
        <w:rPr>
          <w:spacing w:val="-46"/>
        </w:rPr>
      </w:r>
      <w:r>
        <w:rPr>
          <w:spacing w:val="-5"/>
        </w:rPr>
        <w:t>综上，</w:t>
      </w:r>
      <w:r>
        <w:rPr>
          <w:rFonts w:ascii="Times New Roman" w:hAnsi="Times New Roman" w:cs="Times New Roman" w:eastAsia="Times New Roman" w:hint="default"/>
          <w:spacing w:val="-5"/>
        </w:rPr>
        <w:t>2012</w:t>
      </w:r>
      <w:r>
        <w:rPr>
          <w:spacing w:val="-5"/>
        </w:rPr>
        <w:t>年公司的发展受到外部环境变化的影响，短期的业绩出现波动。</w:t>
      </w:r>
      <w:r>
        <w:rPr>
          <w:rFonts w:ascii="Times New Roman" w:hAnsi="Times New Roman" w:cs="Times New Roman" w:eastAsia="Times New Roman" w:hint="default"/>
          <w:spacing w:val="-5"/>
        </w:rPr>
        <w:t>2012</w:t>
      </w:r>
      <w:r>
        <w:rPr>
          <w:spacing w:val="-5"/>
        </w:rPr>
        <w:t>年实现营业收入</w:t>
      </w:r>
      <w:r>
        <w:rPr>
          <w:rFonts w:ascii="Times New Roman" w:hAnsi="Times New Roman" w:cs="Times New Roman" w:eastAsia="Times New Roman" w:hint="default"/>
          <w:spacing w:val="-5"/>
        </w:rPr>
        <w:t>983.57</w:t>
      </w:r>
      <w:r>
        <w:rPr>
          <w:rFonts w:ascii="Times New Roman" w:hAnsi="Times New Roman" w:cs="Times New Roman" w:eastAsia="Times New Roman" w:hint="default"/>
          <w:w w:val="100"/>
        </w:rPr>
        <w:t> </w:t>
      </w:r>
      <w:r>
        <w:rPr>
          <w:spacing w:val="-3"/>
        </w:rPr>
        <w:t>亿元，同比增长</w:t>
      </w:r>
      <w:r>
        <w:rPr>
          <w:rFonts w:ascii="Times New Roman" w:hAnsi="Times New Roman" w:cs="Times New Roman" w:eastAsia="Times New Roman" w:hint="default"/>
          <w:spacing w:val="-3"/>
        </w:rPr>
        <w:t>4.76%</w:t>
      </w:r>
      <w:r>
        <w:rPr>
          <w:spacing w:val="-3"/>
        </w:rPr>
        <w:t>，营业利润</w:t>
      </w:r>
      <w:r>
        <w:rPr>
          <w:rFonts w:ascii="Times New Roman" w:hAnsi="Times New Roman" w:cs="Times New Roman" w:eastAsia="Times New Roman" w:hint="default"/>
          <w:spacing w:val="-3"/>
        </w:rPr>
        <w:t>30.14</w:t>
      </w:r>
      <w:r>
        <w:rPr>
          <w:spacing w:val="-3"/>
        </w:rPr>
        <w:t>亿元，较同期下降</w:t>
      </w:r>
      <w:r>
        <w:rPr>
          <w:rFonts w:ascii="Times New Roman" w:hAnsi="Times New Roman" w:cs="Times New Roman" w:eastAsia="Times New Roman" w:hint="default"/>
          <w:spacing w:val="-3"/>
        </w:rPr>
        <w:t>53.23%</w:t>
      </w:r>
      <w:r>
        <w:rPr>
          <w:spacing w:val="-3"/>
        </w:rPr>
        <w:t>，归属于公司股东的净利润</w:t>
      </w:r>
      <w:r>
        <w:rPr>
          <w:rFonts w:ascii="Times New Roman" w:hAnsi="Times New Roman" w:cs="Times New Roman" w:eastAsia="Times New Roman" w:hint="default"/>
          <w:spacing w:val="-3"/>
        </w:rPr>
        <w:t>26.76</w:t>
      </w:r>
      <w:r>
        <w:rPr>
          <w:spacing w:val="-3"/>
        </w:rPr>
        <w:t>亿元，较</w:t>
      </w:r>
      <w:r>
        <w:rPr>
          <w:spacing w:val="-43"/>
        </w:rPr>
        <w:t> </w:t>
      </w:r>
      <w:r>
        <w:rPr>
          <w:spacing w:val="-43"/>
        </w:rPr>
      </w:r>
      <w:r>
        <w:rPr>
          <w:spacing w:val="-3"/>
        </w:rPr>
        <w:t>同期下降</w:t>
      </w:r>
      <w:r>
        <w:rPr>
          <w:rFonts w:ascii="Times New Roman" w:hAnsi="Times New Roman" w:cs="Times New Roman" w:eastAsia="Times New Roman" w:hint="default"/>
          <w:spacing w:val="-3"/>
        </w:rPr>
        <w:t>44.49%</w:t>
      </w:r>
      <w:r>
        <w:rPr>
          <w:spacing w:val="-3"/>
        </w:rPr>
        <w:t>。竞争与发展相伴，挑战与机遇并存。我们相信，大量基础工作的开展为企业转型成功奠</w:t>
      </w:r>
    </w:p>
    <w:p>
      <w:pPr>
        <w:pStyle w:val="BodyText"/>
        <w:spacing w:line="240" w:lineRule="auto" w:before="24"/>
        <w:ind w:right="0"/>
        <w:jc w:val="both"/>
        <w:rPr>
          <w:rFonts w:ascii="宋体" w:hAnsi="宋体" w:cs="宋体" w:eastAsia="宋体" w:hint="default"/>
        </w:rPr>
      </w:pPr>
      <w:r>
        <w:rPr>
          <w:spacing w:val="-5"/>
        </w:rPr>
        <w:t>定了良好的基础。苏宁发展的新模式已经确定，与之配套的业务模型也已完善，企业发展打开了新的空间</w:t>
      </w:r>
      <w:r>
        <w:rPr>
          <w:rFonts w:ascii="宋体" w:hAnsi="宋体" w:cs="宋体" w:eastAsia="宋体" w:hint="default"/>
          <w:b/>
          <w:bCs/>
          <w:spacing w:val="-5"/>
        </w:rPr>
        <w:t>。</w:t>
      </w:r>
      <w:r>
        <w:rPr>
          <w:rFonts w:ascii="宋体" w:hAnsi="宋体" w:cs="宋体" w:eastAsia="宋体" w:hint="default"/>
          <w:spacing w:val="-5"/>
        </w:rPr>
      </w:r>
    </w:p>
    <w:p>
      <w:pPr>
        <w:spacing w:line="240" w:lineRule="auto" w:before="11"/>
        <w:rPr>
          <w:rFonts w:ascii="宋体" w:hAnsi="宋体" w:cs="宋体" w:eastAsia="宋体" w:hint="default"/>
          <w:b/>
          <w:bCs/>
          <w:sz w:val="29"/>
          <w:szCs w:val="29"/>
        </w:rPr>
      </w:pPr>
    </w:p>
    <w:p>
      <w:pPr>
        <w:pStyle w:val="Heading2"/>
        <w:spacing w:line="240" w:lineRule="auto"/>
        <w:ind w:left="635" w:right="982"/>
        <w:jc w:val="left"/>
        <w:rPr>
          <w:b w:val="0"/>
          <w:bCs w:val="0"/>
        </w:rPr>
      </w:pPr>
      <w:r>
        <w:rPr/>
        <w:t>一、</w:t>
      </w:r>
      <w:r>
        <w:rPr>
          <w:rFonts w:ascii="Times New Roman" w:hAnsi="Times New Roman" w:cs="Times New Roman" w:eastAsia="Times New Roman" w:hint="default"/>
        </w:rPr>
        <w:t>2012 </w:t>
      </w:r>
      <w:r>
        <w:rPr/>
        <w:t>年公司经营回顾</w:t>
      </w:r>
      <w:r>
        <w:rPr>
          <w:b w:val="0"/>
          <w:bCs w:val="0"/>
        </w:rPr>
      </w:r>
    </w:p>
    <w:p>
      <w:pPr>
        <w:spacing w:line="240" w:lineRule="auto" w:before="3"/>
        <w:rPr>
          <w:rFonts w:ascii="宋体" w:hAnsi="宋体" w:cs="宋体" w:eastAsia="宋体" w:hint="default"/>
          <w:b/>
          <w:bCs/>
          <w:sz w:val="29"/>
          <w:szCs w:val="29"/>
        </w:rPr>
      </w:pPr>
    </w:p>
    <w:p>
      <w:pPr>
        <w:pStyle w:val="BodyText"/>
        <w:spacing w:line="240" w:lineRule="auto" w:before="0"/>
        <w:ind w:left="573" w:right="982"/>
        <w:jc w:val="left"/>
      </w:pPr>
      <w:r>
        <w:rPr>
          <w:rFonts w:ascii="宋体" w:hAnsi="宋体" w:cs="宋体" w:eastAsia="宋体" w:hint="default"/>
        </w:rPr>
        <w:t>1</w:t>
      </w:r>
      <w:r>
        <w:rPr/>
        <w:t>、升级实体网络平台，协同线下线上发展</w:t>
      </w:r>
    </w:p>
    <w:p>
      <w:pPr>
        <w:spacing w:line="240" w:lineRule="auto" w:before="11"/>
        <w:rPr>
          <w:rFonts w:ascii="宋体" w:hAnsi="宋体" w:cs="宋体" w:eastAsia="宋体" w:hint="default"/>
          <w:sz w:val="14"/>
          <w:szCs w:val="14"/>
        </w:rPr>
      </w:pPr>
    </w:p>
    <w:p>
      <w:pPr>
        <w:pStyle w:val="BodyText"/>
        <w:spacing w:line="408" w:lineRule="auto" w:before="0"/>
        <w:ind w:right="1126" w:firstLine="420"/>
        <w:jc w:val="both"/>
      </w:pPr>
      <w:r>
        <w:rPr>
          <w:rFonts w:ascii="宋体" w:hAnsi="宋体" w:cs="宋体" w:eastAsia="宋体" w:hint="default"/>
        </w:rPr>
        <w:t>2012</w:t>
      </w:r>
      <w:r>
        <w:rPr/>
        <w:t>年，在公司“旗舰店</w:t>
      </w:r>
      <w:r>
        <w:rPr>
          <w:rFonts w:ascii="宋体" w:hAnsi="宋体" w:cs="宋体" w:eastAsia="宋体" w:hint="default"/>
        </w:rPr>
        <w:t>+</w:t>
      </w:r>
      <w:r>
        <w:rPr/>
        <w:t>互联网”的战略下，连锁发展贯彻大店攻略，推进“超级店</w:t>
      </w:r>
      <w:r>
        <w:rPr>
          <w:rFonts w:ascii="宋体" w:hAnsi="宋体" w:cs="宋体" w:eastAsia="宋体" w:hint="default"/>
        </w:rPr>
        <w:t>+</w:t>
      </w:r>
      <w:r>
        <w:rPr/>
        <w:t>旗舰店</w:t>
      </w:r>
      <w:r>
        <w:rPr>
          <w:rFonts w:ascii="宋体" w:hAnsi="宋体" w:cs="宋体" w:eastAsia="宋体" w:hint="default"/>
        </w:rPr>
        <w:t>+</w:t>
      </w:r>
      <w:r>
        <w:rPr/>
        <w:t>乐购</w:t>
      </w:r>
      <w:r>
        <w:rPr>
          <w:w w:val="100"/>
        </w:rPr>
        <w:t> </w:t>
      </w:r>
      <w:r>
        <w:rPr>
          <w:spacing w:val="-2"/>
        </w:rPr>
        <w:t>仕生活广场”的战略布局，并细化店面标准，形成不同类型店面开发的快速复制。同时，进一步践行“超</w:t>
      </w:r>
      <w:r>
        <w:rPr>
          <w:spacing w:val="-42"/>
        </w:rPr>
        <w:t> </w:t>
      </w:r>
      <w:r>
        <w:rPr>
          <w:spacing w:val="-42"/>
        </w:rPr>
      </w:r>
      <w:r>
        <w:rPr/>
        <w:t>电器化”战略，聚焦店面的全品类展示和消费者体验功能完善，推进线上线下融合发展。</w:t>
      </w:r>
    </w:p>
    <w:p>
      <w:pPr>
        <w:pStyle w:val="BodyText"/>
        <w:tabs>
          <w:tab w:pos="993" w:val="left" w:leader="none"/>
        </w:tabs>
        <w:spacing w:line="388" w:lineRule="auto"/>
        <w:ind w:left="573" w:right="1132"/>
        <w:jc w:val="left"/>
      </w:pPr>
      <w:r>
        <w:rPr>
          <w:rFonts w:ascii="Wingdings" w:hAnsi="Wingdings" w:cs="Wingdings" w:eastAsia="Wingdings" w:hint="default"/>
        </w:rPr>
        <w:t></w:t>
      </w:r>
      <w:r>
        <w:rPr>
          <w:rFonts w:ascii="Times New Roman" w:hAnsi="Times New Roman" w:cs="Times New Roman" w:eastAsia="Times New Roman" w:hint="default"/>
        </w:rPr>
        <w:tab/>
      </w:r>
      <w:r>
        <w:rPr/>
        <w:t>推进</w:t>
      </w:r>
      <w:r>
        <w:rPr>
          <w:rFonts w:ascii="宋体" w:hAnsi="宋体" w:cs="宋体" w:eastAsia="宋体" w:hint="default"/>
        </w:rPr>
        <w:t>EXPO</w:t>
      </w:r>
      <w:r>
        <w:rPr/>
        <w:t>超级店建设，助力线上线下融合</w:t>
      </w:r>
      <w:r>
        <w:rPr>
          <w:w w:val="100"/>
        </w:rPr>
        <w:t> </w:t>
      </w:r>
      <w:r>
        <w:rPr>
          <w:rFonts w:ascii="宋体" w:hAnsi="宋体" w:cs="宋体" w:eastAsia="宋体" w:hint="default"/>
          <w:spacing w:val="-2"/>
        </w:rPr>
        <w:t>EXPO</w:t>
      </w:r>
      <w:r>
        <w:rPr>
          <w:spacing w:val="-2"/>
        </w:rPr>
        <w:t>超级店经营品类涵盖</w:t>
      </w:r>
      <w:r>
        <w:rPr>
          <w:rFonts w:ascii="宋体" w:hAnsi="宋体" w:cs="宋体" w:eastAsia="宋体" w:hint="default"/>
          <w:spacing w:val="-2"/>
        </w:rPr>
        <w:t>3C</w:t>
      </w:r>
      <w:r>
        <w:rPr>
          <w:spacing w:val="-2"/>
        </w:rPr>
        <w:t>、传统家电、图书、百货、日用品、金融产品、虚拟产品等，并集合创新</w:t>
      </w:r>
    </w:p>
    <w:p>
      <w:pPr>
        <w:pStyle w:val="BodyText"/>
        <w:spacing w:line="240" w:lineRule="auto" w:before="63"/>
        <w:ind w:right="0"/>
        <w:jc w:val="both"/>
      </w:pPr>
      <w:r>
        <w:rPr/>
        <w:t>商业设计、智能服务升级，营造出全新购物体验，对提升单店经营质量、实践线上线下融合新模式有重要</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意义。报告期内，公司新开及升级改造“苏宁</w:t>
      </w:r>
      <w:r>
        <w:rPr>
          <w:rFonts w:ascii="宋体" w:hAnsi="宋体" w:cs="宋体" w:eastAsia="宋体" w:hint="default"/>
        </w:rPr>
        <w:t>EXPO</w:t>
      </w:r>
      <w:r>
        <w:rPr/>
        <w:t>超级店”</w:t>
      </w:r>
      <w:r>
        <w:rPr>
          <w:rFonts w:ascii="宋体" w:hAnsi="宋体" w:cs="宋体" w:eastAsia="宋体" w:hint="default"/>
        </w:rPr>
        <w:t>13</w:t>
      </w:r>
      <w:r>
        <w:rPr/>
        <w:t>家，在当地均产生较大影响，有力巩固了市</w:t>
      </w:r>
    </w:p>
    <w:p>
      <w:pPr>
        <w:spacing w:after="0" w:line="240" w:lineRule="auto"/>
        <w:jc w:val="both"/>
        <w:sectPr>
          <w:pgSz w:w="11910" w:h="16840"/>
          <w:pgMar w:header="745" w:footer="1289" w:top="1060" w:bottom="148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982"/>
        <w:jc w:val="left"/>
      </w:pPr>
      <w:r>
        <w:rPr/>
        <w:t>场份额。</w:t>
      </w:r>
    </w:p>
    <w:p>
      <w:pPr>
        <w:spacing w:line="240" w:lineRule="auto" w:before="10"/>
        <w:rPr>
          <w:rFonts w:ascii="宋体" w:hAnsi="宋体" w:cs="宋体" w:eastAsia="宋体" w:hint="default"/>
          <w:sz w:val="14"/>
          <w:szCs w:val="14"/>
        </w:rPr>
      </w:pPr>
    </w:p>
    <w:p>
      <w:pPr>
        <w:pStyle w:val="BodyText"/>
        <w:tabs>
          <w:tab w:pos="993" w:val="left" w:leader="none"/>
        </w:tabs>
        <w:spacing w:line="388" w:lineRule="auto" w:before="0"/>
        <w:ind w:left="573" w:right="1132"/>
        <w:jc w:val="left"/>
      </w:pPr>
      <w:r>
        <w:rPr>
          <w:rFonts w:ascii="Wingdings" w:hAnsi="Wingdings" w:cs="Wingdings" w:eastAsia="Wingdings" w:hint="default"/>
        </w:rPr>
        <w:t></w:t>
      </w:r>
      <w:r>
        <w:rPr>
          <w:rFonts w:ascii="Times New Roman" w:hAnsi="Times New Roman" w:cs="Times New Roman" w:eastAsia="Times New Roman" w:hint="default"/>
        </w:rPr>
        <w:tab/>
      </w:r>
      <w:r>
        <w:rPr/>
        <w:t>实施“地区旗舰店”攻略，完善二、三级市场网络布局</w:t>
      </w:r>
      <w:r>
        <w:rPr>
          <w:w w:val="100"/>
        </w:rPr>
        <w:t> </w:t>
      </w:r>
      <w:r>
        <w:rPr/>
        <w:t>借鉴一级市场店面开发的经验，公司在二三级市场推出全新一代实体零售门店</w:t>
      </w:r>
      <w:r>
        <w:rPr>
          <w:rFonts w:ascii="宋体" w:hAnsi="宋体" w:cs="宋体" w:eastAsia="宋体" w:hint="default"/>
        </w:rPr>
        <w:t>-</w:t>
      </w:r>
      <w:r>
        <w:rPr/>
        <w:t>地区旗舰店，该类店</w:t>
      </w:r>
    </w:p>
    <w:p>
      <w:pPr>
        <w:pStyle w:val="BodyText"/>
        <w:spacing w:line="408" w:lineRule="auto" w:before="63"/>
        <w:ind w:right="982"/>
        <w:jc w:val="left"/>
      </w:pPr>
      <w:r>
        <w:rPr>
          <w:spacing w:val="-2"/>
        </w:rPr>
        <w:t>面注重产品、价格和服务三方面的优化调整，对于公司开拓二三级市场，优化店面结构、提升单店效率，</w:t>
      </w:r>
      <w:r>
        <w:rPr>
          <w:spacing w:val="-21"/>
        </w:rPr>
        <w:t> </w:t>
      </w:r>
      <w:r>
        <w:rPr>
          <w:spacing w:val="-21"/>
        </w:rPr>
      </w:r>
      <w:r>
        <w:rPr/>
        <w:t>树立二三级市场商业零售店面标杆有着重要的示范作用。报告期内，公司新开升级</w:t>
      </w:r>
      <w:r>
        <w:rPr>
          <w:rFonts w:ascii="宋体" w:hAnsi="宋体" w:cs="宋体" w:eastAsia="宋体" w:hint="default"/>
        </w:rPr>
        <w:t>10</w:t>
      </w:r>
      <w:r>
        <w:rPr/>
        <w:t>家地区旗舰店。</w:t>
      </w:r>
    </w:p>
    <w:p>
      <w:pPr>
        <w:pStyle w:val="BodyText"/>
        <w:tabs>
          <w:tab w:pos="993" w:val="left" w:leader="none"/>
        </w:tabs>
        <w:spacing w:line="388" w:lineRule="auto"/>
        <w:ind w:left="573" w:right="1025"/>
        <w:jc w:val="left"/>
      </w:pPr>
      <w:r>
        <w:rPr>
          <w:rFonts w:ascii="Wingdings" w:hAnsi="Wingdings" w:cs="Wingdings" w:eastAsia="Wingdings" w:hint="default"/>
        </w:rPr>
        <w:t></w:t>
      </w:r>
      <w:r>
        <w:rPr>
          <w:rFonts w:ascii="Times New Roman" w:hAnsi="Times New Roman" w:cs="Times New Roman" w:eastAsia="Times New Roman" w:hint="default"/>
        </w:rPr>
        <w:tab/>
      </w:r>
      <w:r>
        <w:rPr/>
        <w:t>双品牌错位布局，乐购仕连锁规模初显</w:t>
      </w:r>
      <w:r>
        <w:rPr>
          <w:w w:val="100"/>
        </w:rPr>
        <w:t> </w:t>
      </w:r>
      <w:r>
        <w:rPr>
          <w:spacing w:val="-5"/>
        </w:rPr>
        <w:t>按照超电器自主经营、双品牌错位布局战略，报告期内，乐购仕连锁完成了涵盖开发选址、规划设计、</w:t>
      </w:r>
    </w:p>
    <w:p>
      <w:pPr>
        <w:pStyle w:val="BodyText"/>
        <w:spacing w:line="410" w:lineRule="auto" w:before="63"/>
        <w:ind w:right="982"/>
        <w:jc w:val="left"/>
      </w:pPr>
      <w:r>
        <w:rPr/>
        <w:t>装饰施工、商品规划等规范标准建立，新进北京、上海、天津、厦门地区，新开乐购仕生活广场店</w:t>
      </w:r>
      <w:r>
        <w:rPr>
          <w:rFonts w:ascii="宋体" w:hAnsi="宋体" w:cs="宋体" w:eastAsia="宋体" w:hint="default"/>
        </w:rPr>
        <w:t>7</w:t>
      </w:r>
      <w:r>
        <w:rPr/>
        <w:t>家，</w:t>
      </w:r>
      <w:r>
        <w:rPr>
          <w:spacing w:val="-20"/>
        </w:rPr>
        <w:t> </w:t>
      </w:r>
      <w:r>
        <w:rPr/>
        <w:t>树立了自主经营、国际时尚、个性服务的乐购仕品牌形象。</w:t>
      </w:r>
    </w:p>
    <w:p>
      <w:pPr>
        <w:pStyle w:val="BodyText"/>
        <w:spacing w:line="240" w:lineRule="auto" w:before="44"/>
        <w:ind w:left="573" w:right="982"/>
        <w:jc w:val="left"/>
      </w:pPr>
      <w:r>
        <w:rPr>
          <w:rFonts w:ascii="宋体" w:hAnsi="宋体" w:cs="宋体" w:eastAsia="宋体" w:hint="default"/>
        </w:rPr>
        <w:t>2</w:t>
      </w:r>
      <w:r>
        <w:rPr/>
        <w:t>、深化营销转型变革，推进“超电器化”经营</w:t>
      </w:r>
    </w:p>
    <w:p>
      <w:pPr>
        <w:spacing w:line="240" w:lineRule="auto" w:before="10"/>
        <w:rPr>
          <w:rFonts w:ascii="宋体" w:hAnsi="宋体" w:cs="宋体" w:eastAsia="宋体" w:hint="default"/>
          <w:sz w:val="14"/>
          <w:szCs w:val="14"/>
        </w:rPr>
      </w:pPr>
    </w:p>
    <w:p>
      <w:pPr>
        <w:pStyle w:val="BodyText"/>
        <w:spacing w:line="408" w:lineRule="auto" w:before="0"/>
        <w:ind w:left="573" w:right="982"/>
        <w:jc w:val="left"/>
      </w:pPr>
      <w:r>
        <w:rPr/>
        <w:t>（</w:t>
      </w:r>
      <w:r>
        <w:rPr>
          <w:rFonts w:ascii="宋体" w:hAnsi="宋体" w:cs="宋体" w:eastAsia="宋体" w:hint="default"/>
        </w:rPr>
        <w:t>1</w:t>
      </w:r>
      <w:r>
        <w:rPr/>
        <w:t>）完善组织架构，形成全品类采购</w:t>
      </w:r>
      <w:r>
        <w:rPr>
          <w:w w:val="100"/>
        </w:rPr>
        <w:t> </w:t>
      </w:r>
      <w:r>
        <w:rPr>
          <w:spacing w:val="-2"/>
        </w:rPr>
        <w:t>协同线上线下业务对新品类拓展的需要，增设百货、日用品、金融、图书、虚拟产品五个新品类采销</w:t>
      </w:r>
    </w:p>
    <w:p>
      <w:pPr>
        <w:pStyle w:val="BodyText"/>
        <w:spacing w:line="240" w:lineRule="auto"/>
        <w:ind w:right="982"/>
        <w:jc w:val="left"/>
      </w:pPr>
      <w:r>
        <w:rPr/>
        <w:t>管理中心，并进一步完善组织架构与人员建设。</w:t>
      </w:r>
    </w:p>
    <w:p>
      <w:pPr>
        <w:spacing w:line="240" w:lineRule="auto" w:before="10"/>
        <w:rPr>
          <w:rFonts w:ascii="宋体" w:hAnsi="宋体" w:cs="宋体" w:eastAsia="宋体" w:hint="default"/>
          <w:sz w:val="14"/>
          <w:szCs w:val="14"/>
        </w:rPr>
      </w:pPr>
    </w:p>
    <w:p>
      <w:pPr>
        <w:pStyle w:val="BodyText"/>
        <w:spacing w:line="240" w:lineRule="auto" w:before="0"/>
        <w:ind w:left="573" w:right="982"/>
        <w:jc w:val="left"/>
      </w:pPr>
      <w:r>
        <w:rPr/>
        <w:t>（</w:t>
      </w:r>
      <w:r>
        <w:rPr>
          <w:rFonts w:ascii="宋体" w:hAnsi="宋体" w:cs="宋体" w:eastAsia="宋体" w:hint="default"/>
        </w:rPr>
        <w:t>2</w:t>
      </w:r>
      <w:r>
        <w:rPr/>
        <w:t>）搭建大采购平台、优化供应链管理</w:t>
      </w:r>
    </w:p>
    <w:p>
      <w:pPr>
        <w:spacing w:line="240" w:lineRule="auto" w:before="10"/>
        <w:rPr>
          <w:rFonts w:ascii="宋体" w:hAnsi="宋体" w:cs="宋体" w:eastAsia="宋体" w:hint="default"/>
          <w:sz w:val="14"/>
          <w:szCs w:val="14"/>
        </w:rPr>
      </w:pPr>
    </w:p>
    <w:p>
      <w:pPr>
        <w:pStyle w:val="BodyText"/>
        <w:spacing w:line="408" w:lineRule="auto" w:before="0"/>
        <w:ind w:right="982" w:firstLine="420"/>
        <w:jc w:val="left"/>
      </w:pPr>
      <w:r>
        <w:rPr>
          <w:spacing w:val="-5"/>
        </w:rPr>
        <w:t>建立了完整的总部</w:t>
      </w:r>
      <w:r>
        <w:rPr>
          <w:rFonts w:ascii="宋体" w:hAnsi="宋体" w:cs="宋体" w:eastAsia="宋体" w:hint="default"/>
          <w:spacing w:val="-5"/>
        </w:rPr>
        <w:t>-</w:t>
      </w:r>
      <w:r>
        <w:rPr>
          <w:spacing w:val="-5"/>
        </w:rPr>
        <w:t>大区</w:t>
      </w:r>
      <w:r>
        <w:rPr>
          <w:rFonts w:ascii="宋体" w:hAnsi="宋体" w:cs="宋体" w:eastAsia="宋体" w:hint="default"/>
          <w:spacing w:val="-5"/>
        </w:rPr>
        <w:t>-</w:t>
      </w:r>
      <w:r>
        <w:rPr>
          <w:spacing w:val="-5"/>
        </w:rPr>
        <w:t>子公司的大采购组织体系，面向线上线下全渠道，不断推进以采购共享为主、</w:t>
      </w:r>
      <w:r>
        <w:rPr>
          <w:w w:val="100"/>
        </w:rPr>
        <w:t> </w:t>
      </w:r>
      <w:r>
        <w:rPr>
          <w:spacing w:val="-2"/>
        </w:rPr>
        <w:t>渠道差异为辅的大采购模式；供应商引进流程、评估机制不断标准化、公开化，核心品牌战略合作持续加</w:t>
      </w:r>
      <w:r>
        <w:rPr>
          <w:spacing w:val="-47"/>
        </w:rPr>
        <w:t> </w:t>
      </w:r>
      <w:r>
        <w:rPr>
          <w:spacing w:val="-47"/>
        </w:rPr>
      </w:r>
      <w:r>
        <w:rPr/>
        <w:t>强，中小品牌得到积极扶持。</w:t>
      </w:r>
    </w:p>
    <w:p>
      <w:pPr>
        <w:pStyle w:val="BodyText"/>
        <w:spacing w:line="408" w:lineRule="auto"/>
        <w:ind w:left="573" w:right="982"/>
        <w:jc w:val="left"/>
      </w:pPr>
      <w:r>
        <w:rPr/>
        <w:t>（</w:t>
      </w:r>
      <w:r>
        <w:rPr>
          <w:rFonts w:ascii="宋体" w:hAnsi="宋体" w:cs="宋体" w:eastAsia="宋体" w:hint="default"/>
        </w:rPr>
        <w:t>3</w:t>
      </w:r>
      <w:r>
        <w:rPr/>
        <w:t>）自主运营能力提升，产品经营附加值逐步显现</w:t>
      </w:r>
      <w:r>
        <w:rPr>
          <w:w w:val="100"/>
        </w:rPr>
        <w:t> </w:t>
      </w:r>
      <w:r>
        <w:rPr>
          <w:spacing w:val="-2"/>
        </w:rPr>
        <w:t>报告期内，公司自主开发、自主采购、自主营销的核心能力进一步增强，定制包销、产品主推、产品</w:t>
      </w:r>
    </w:p>
    <w:p>
      <w:pPr>
        <w:pStyle w:val="BodyText"/>
        <w:spacing w:line="240" w:lineRule="auto"/>
        <w:ind w:right="982"/>
        <w:jc w:val="left"/>
      </w:pPr>
      <w:r>
        <w:rPr/>
        <w:t>买断等差异化采购方式运作日益成熟，自主产品销售收入、占比稳步提高。</w:t>
      </w:r>
    </w:p>
    <w:p>
      <w:pPr>
        <w:spacing w:line="240" w:lineRule="auto" w:before="10"/>
        <w:rPr>
          <w:rFonts w:ascii="宋体" w:hAnsi="宋体" w:cs="宋体" w:eastAsia="宋体" w:hint="default"/>
          <w:sz w:val="14"/>
          <w:szCs w:val="14"/>
        </w:rPr>
      </w:pPr>
    </w:p>
    <w:p>
      <w:pPr>
        <w:pStyle w:val="BodyText"/>
        <w:tabs>
          <w:tab w:pos="993" w:val="left" w:leader="none"/>
        </w:tabs>
        <w:spacing w:line="240" w:lineRule="auto" w:before="0"/>
        <w:ind w:left="573" w:right="982"/>
        <w:jc w:val="left"/>
      </w:pPr>
      <w:r>
        <w:rPr>
          <w:rFonts w:ascii="Wingdings" w:hAnsi="Wingdings" w:cs="Wingdings" w:eastAsia="Wingdings" w:hint="default"/>
        </w:rPr>
        <w:t></w:t>
      </w:r>
      <w:r>
        <w:rPr>
          <w:rFonts w:ascii="Times New Roman" w:hAnsi="Times New Roman" w:cs="Times New Roman" w:eastAsia="Times New Roman" w:hint="default"/>
        </w:rPr>
        <w:tab/>
      </w:r>
      <w:r>
        <w:rPr/>
        <w:t>体系建设方面，新增通讯、电脑、百货自主产品组织，进一步提升开发、自营能力。</w:t>
      </w:r>
    </w:p>
    <w:p>
      <w:pPr>
        <w:pStyle w:val="BodyText"/>
        <w:tabs>
          <w:tab w:pos="993" w:val="left" w:leader="none"/>
        </w:tabs>
        <w:spacing w:line="388" w:lineRule="auto" w:before="178"/>
        <w:ind w:right="1124"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2"/>
        </w:rPr>
        <w:t>产品运作方面，惠而浦、松桥、扎努西等传统家电自主品牌产品线不断丰富，先锋数码摄像机、</w:t>
      </w:r>
      <w:r>
        <w:rPr>
          <w:w w:val="100"/>
        </w:rPr>
        <w:t> </w:t>
      </w:r>
      <w:r>
        <w:rPr/>
        <w:t>酷博睿移动电源以及搭载苏宁云应用的先锋智能手机陆续投放市场。</w:t>
      </w:r>
    </w:p>
    <w:p>
      <w:pPr>
        <w:pStyle w:val="BodyText"/>
        <w:tabs>
          <w:tab w:pos="993" w:val="left" w:leader="none"/>
        </w:tabs>
        <w:spacing w:line="388" w:lineRule="auto" w:before="63"/>
        <w:ind w:right="1025"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5"/>
        </w:rPr>
        <w:t>产品拓展方面，平板电脑、机顶盒、百货等新品类的自主开发工作已开始启动；明星产品的包销、</w:t>
      </w:r>
      <w:r>
        <w:rPr>
          <w:w w:val="100"/>
        </w:rPr>
        <w:t> </w:t>
      </w:r>
      <w:r>
        <w:rPr/>
        <w:t>首销力度加强，年内完成微软</w:t>
      </w:r>
      <w:r>
        <w:rPr>
          <w:rFonts w:ascii="宋体" w:hAnsi="宋体" w:cs="宋体" w:eastAsia="宋体" w:hint="default"/>
        </w:rPr>
        <w:t>surface</w:t>
      </w:r>
      <w:r>
        <w:rPr/>
        <w:t>平板电脑全球首销，逐渐搭建起较为完善的自主产品格局。</w:t>
      </w:r>
    </w:p>
    <w:p>
      <w:pPr>
        <w:pStyle w:val="BodyText"/>
        <w:spacing w:line="240" w:lineRule="auto" w:before="63"/>
        <w:ind w:left="573" w:right="982"/>
        <w:jc w:val="left"/>
      </w:pPr>
      <w:r>
        <w:rPr>
          <w:rFonts w:ascii="宋体" w:hAnsi="宋体" w:cs="宋体" w:eastAsia="宋体" w:hint="default"/>
        </w:rPr>
        <w:t>3</w:t>
      </w:r>
      <w:r>
        <w:rPr/>
        <w:t>、加强电商平台建设，构建企业发展生态圈</w:t>
      </w:r>
    </w:p>
    <w:p>
      <w:pPr>
        <w:spacing w:line="240" w:lineRule="auto" w:before="10"/>
        <w:rPr>
          <w:rFonts w:ascii="宋体" w:hAnsi="宋体" w:cs="宋体" w:eastAsia="宋体" w:hint="default"/>
          <w:sz w:val="14"/>
          <w:szCs w:val="14"/>
        </w:rPr>
      </w:pPr>
    </w:p>
    <w:p>
      <w:pPr>
        <w:pStyle w:val="BodyText"/>
        <w:spacing w:line="408" w:lineRule="auto" w:before="0"/>
        <w:ind w:left="573" w:right="982"/>
        <w:jc w:val="left"/>
      </w:pPr>
      <w:r>
        <w:rPr/>
        <w:t>（</w:t>
      </w:r>
      <w:r>
        <w:rPr>
          <w:rFonts w:ascii="宋体" w:hAnsi="宋体" w:cs="宋体" w:eastAsia="宋体" w:hint="default"/>
        </w:rPr>
        <w:t>1</w:t>
      </w:r>
      <w:r>
        <w:rPr/>
        <w:t>）产品拓展方面</w:t>
      </w:r>
      <w:r>
        <w:rPr>
          <w:w w:val="100"/>
        </w:rPr>
        <w:t> </w:t>
      </w:r>
      <w:r>
        <w:rPr>
          <w:spacing w:val="-2"/>
        </w:rPr>
        <w:t>报告期内，保险、旅游、彩票、团购、电子书、食品酒水等频道陆续上线，同时公司还综合运用开放</w:t>
      </w:r>
    </w:p>
    <w:p>
      <w:pPr>
        <w:pStyle w:val="BodyText"/>
        <w:spacing w:line="240" w:lineRule="auto"/>
        <w:ind w:right="982"/>
        <w:jc w:val="left"/>
      </w:pPr>
      <w:r>
        <w:rPr/>
        <w:t>平台、战略合作、并购等方式，大力拓展产品品类，完成了综合类购物网站布局。</w:t>
      </w:r>
    </w:p>
    <w:p>
      <w:pPr>
        <w:spacing w:after="0" w:line="240" w:lineRule="auto"/>
        <w:jc w:val="left"/>
        <w:sectPr>
          <w:footerReference w:type="default" r:id="rId16"/>
          <w:pgSz w:w="11910" w:h="16840"/>
          <w:pgMar w:footer="1520" w:header="745" w:top="1060" w:bottom="1720" w:left="980" w:right="0"/>
          <w:pgNumType w:start="9"/>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类共建、全网络共享”的开放平台，加速“超电器化”战略进程。</w:t>
      </w:r>
    </w:p>
    <w:p>
      <w:pPr>
        <w:spacing w:line="240" w:lineRule="auto" w:before="10"/>
        <w:rPr>
          <w:rFonts w:ascii="宋体" w:hAnsi="宋体" w:cs="宋体" w:eastAsia="宋体" w:hint="default"/>
          <w:sz w:val="14"/>
          <w:szCs w:val="14"/>
        </w:rPr>
      </w:pPr>
    </w:p>
    <w:p>
      <w:pPr>
        <w:pStyle w:val="BodyText"/>
        <w:tabs>
          <w:tab w:pos="993" w:val="left" w:leader="none"/>
        </w:tabs>
        <w:spacing w:line="388" w:lineRule="auto" w:before="0"/>
        <w:ind w:right="1132" w:firstLine="420"/>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月，凡客、乐蜂入驻苏宁易购平台，双方在各个环节紧密协同，开启苏宁易购与优质垂</w:t>
      </w:r>
      <w:r>
        <w:rPr>
          <w:w w:val="100"/>
        </w:rPr>
        <w:t> </w:t>
      </w:r>
      <w:r>
        <w:rPr/>
        <w:t>直类电商战略联盟的序幕。</w:t>
      </w:r>
    </w:p>
    <w:p>
      <w:pPr>
        <w:pStyle w:val="BodyText"/>
        <w:tabs>
          <w:tab w:pos="993" w:val="left" w:leader="none"/>
        </w:tabs>
        <w:spacing w:line="388" w:lineRule="auto" w:before="63"/>
        <w:ind w:right="1132"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2"/>
        </w:rPr>
        <w:t>继开展预付卡发行</w:t>
      </w:r>
      <w:r>
        <w:rPr>
          <w:rFonts w:ascii="宋体" w:hAnsi="宋体" w:cs="宋体" w:eastAsia="宋体" w:hint="default"/>
          <w:spacing w:val="-2"/>
        </w:rPr>
        <w:t>/</w:t>
      </w:r>
      <w:r>
        <w:rPr>
          <w:spacing w:val="-2"/>
        </w:rPr>
        <w:t>受理、互联网支付</w:t>
      </w:r>
      <w:r>
        <w:rPr>
          <w:rFonts w:ascii="宋体" w:hAnsi="宋体" w:cs="宋体" w:eastAsia="宋体" w:hint="default"/>
          <w:spacing w:val="-2"/>
        </w:rPr>
        <w:t>/</w:t>
      </w:r>
      <w:r>
        <w:rPr>
          <w:spacing w:val="-2"/>
        </w:rPr>
        <w:t>第三方支付等金融服务业务之后，苏宁小额贷款公司也于</w:t>
      </w:r>
      <w:r>
        <w:rPr>
          <w:w w:val="100"/>
        </w:rPr>
        <w:t> </w:t>
      </w:r>
      <w:r>
        <w:rPr>
          <w:rFonts w:ascii="宋体" w:hAnsi="宋体" w:cs="宋体" w:eastAsia="宋体" w:hint="default"/>
        </w:rPr>
        <w:t>2012</w:t>
      </w:r>
      <w:r>
        <w:rPr/>
        <w:t>年</w:t>
      </w:r>
      <w:r>
        <w:rPr>
          <w:rFonts w:ascii="宋体" w:hAnsi="宋体" w:cs="宋体" w:eastAsia="宋体" w:hint="default"/>
        </w:rPr>
        <w:t>12</w:t>
      </w:r>
      <w:r>
        <w:rPr/>
        <w:t>月成立，公司的金融服务产品进一步丰富。</w:t>
      </w:r>
    </w:p>
    <w:p>
      <w:pPr>
        <w:pStyle w:val="BodyText"/>
        <w:spacing w:line="240" w:lineRule="auto" w:before="63"/>
        <w:ind w:left="573" w:right="982"/>
        <w:jc w:val="left"/>
      </w:pPr>
      <w:r>
        <w:rPr/>
        <w:t>（</w:t>
      </w:r>
      <w:r>
        <w:rPr>
          <w:rFonts w:ascii="宋体" w:hAnsi="宋体" w:cs="宋体" w:eastAsia="宋体" w:hint="default"/>
        </w:rPr>
        <w:t>2</w:t>
      </w:r>
      <w:r>
        <w:rPr/>
        <w:t>）用户体验方面</w:t>
      </w:r>
    </w:p>
    <w:p>
      <w:pPr>
        <w:spacing w:line="240" w:lineRule="auto" w:before="10"/>
        <w:rPr>
          <w:rFonts w:ascii="宋体" w:hAnsi="宋体" w:cs="宋体" w:eastAsia="宋体" w:hint="default"/>
          <w:sz w:val="14"/>
          <w:szCs w:val="14"/>
        </w:rPr>
      </w:pPr>
    </w:p>
    <w:p>
      <w:pPr>
        <w:pStyle w:val="BodyText"/>
        <w:tabs>
          <w:tab w:pos="993" w:val="left" w:leader="none"/>
        </w:tabs>
        <w:spacing w:line="388" w:lineRule="auto" w:before="0"/>
        <w:ind w:right="1132"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2"/>
        </w:rPr>
        <w:t>同步推进多个体验优化项目，在购物流程、搜索推荐、快捷购物等前端应用上，建立用户研究方</w:t>
      </w:r>
      <w:r>
        <w:rPr>
          <w:w w:val="100"/>
        </w:rPr>
        <w:t> </w:t>
      </w:r>
      <w:r>
        <w:rPr/>
        <w:t>法体系，加快改进与用户体验紧密相关的网站核心模块。</w:t>
      </w:r>
    </w:p>
    <w:p>
      <w:pPr>
        <w:pStyle w:val="BodyText"/>
        <w:tabs>
          <w:tab w:pos="993" w:val="left" w:leader="none"/>
        </w:tabs>
        <w:spacing w:line="388" w:lineRule="auto" w:before="63"/>
        <w:ind w:right="1132"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2"/>
        </w:rPr>
        <w:t>网站后台响应更加快速，在全年流量持续上升的促销期间，网站性能不断趋于稳定，日最高并发</w:t>
      </w:r>
      <w:r>
        <w:rPr>
          <w:w w:val="100"/>
        </w:rPr>
        <w:t> </w:t>
      </w:r>
      <w:r>
        <w:rPr/>
        <w:t>访问量突破</w:t>
      </w:r>
      <w:r>
        <w:rPr>
          <w:rFonts w:ascii="宋体" w:hAnsi="宋体" w:cs="宋体" w:eastAsia="宋体" w:hint="default"/>
        </w:rPr>
        <w:t>1400</w:t>
      </w:r>
      <w:r>
        <w:rPr/>
        <w:t>万，日承载浏览量上亿次。</w:t>
      </w:r>
    </w:p>
    <w:p>
      <w:pPr>
        <w:pStyle w:val="BodyText"/>
        <w:tabs>
          <w:tab w:pos="993" w:val="left" w:leader="none"/>
        </w:tabs>
        <w:spacing w:line="388" w:lineRule="auto" w:before="63"/>
        <w:ind w:right="1025"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5"/>
        </w:rPr>
        <w:t>在网站购物功能不断优化的同时，移动客户端应用全面上线，从购物到话费充值，从商旅到彩票，</w:t>
      </w:r>
      <w:r>
        <w:rPr>
          <w:w w:val="100"/>
        </w:rPr>
        <w:t> </w:t>
      </w:r>
      <w:r>
        <w:rPr/>
        <w:t>从阅读到应用商店，用户可以在任何时间、任何地点享受苏宁服务。</w:t>
      </w:r>
    </w:p>
    <w:p>
      <w:pPr>
        <w:pStyle w:val="BodyText"/>
        <w:spacing w:line="240" w:lineRule="auto" w:before="63"/>
        <w:ind w:left="573" w:right="982"/>
        <w:jc w:val="left"/>
      </w:pPr>
      <w:r>
        <w:rPr/>
        <w:t>（</w:t>
      </w:r>
      <w:r>
        <w:rPr>
          <w:rFonts w:ascii="宋体" w:hAnsi="宋体" w:cs="宋体" w:eastAsia="宋体" w:hint="default"/>
        </w:rPr>
        <w:t>3</w:t>
      </w:r>
      <w:r>
        <w:rPr/>
        <w:t>）品牌推广方面</w:t>
      </w:r>
    </w:p>
    <w:p>
      <w:pPr>
        <w:spacing w:line="240" w:lineRule="auto" w:before="10"/>
        <w:rPr>
          <w:rFonts w:ascii="宋体" w:hAnsi="宋体" w:cs="宋体" w:eastAsia="宋体" w:hint="default"/>
          <w:sz w:val="14"/>
          <w:szCs w:val="14"/>
        </w:rPr>
      </w:pPr>
    </w:p>
    <w:p>
      <w:pPr>
        <w:pStyle w:val="BodyText"/>
        <w:tabs>
          <w:tab w:pos="993" w:val="left" w:leader="none"/>
        </w:tabs>
        <w:spacing w:line="388" w:lineRule="auto" w:before="0"/>
        <w:ind w:right="1132"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2"/>
        </w:rPr>
        <w:t>紧抓社会热点创新网络营销，联手一系列热播节目，并有效利用热点，将品牌营销和事件营销有</w:t>
      </w:r>
      <w:r>
        <w:rPr>
          <w:w w:val="100"/>
        </w:rPr>
        <w:t> </w:t>
      </w:r>
      <w:r>
        <w:rPr/>
        <w:t>机结合，广泛提升苏宁易购年轻、时尚的品牌形象。</w:t>
      </w:r>
    </w:p>
    <w:p>
      <w:pPr>
        <w:pStyle w:val="BodyText"/>
        <w:tabs>
          <w:tab w:pos="993" w:val="left" w:leader="none"/>
        </w:tabs>
        <w:spacing w:line="240" w:lineRule="auto" w:before="63"/>
        <w:ind w:left="573" w:right="982"/>
        <w:jc w:val="left"/>
      </w:pPr>
      <w:r>
        <w:rPr>
          <w:rFonts w:ascii="Wingdings" w:hAnsi="Wingdings" w:cs="Wingdings" w:eastAsia="Wingdings" w:hint="default"/>
        </w:rPr>
        <w:t></w:t>
      </w:r>
      <w:r>
        <w:rPr>
          <w:rFonts w:ascii="Times New Roman" w:hAnsi="Times New Roman" w:cs="Times New Roman" w:eastAsia="Times New Roman" w:hint="default"/>
        </w:rPr>
        <w:tab/>
      </w:r>
      <w:r>
        <w:rPr/>
        <w:t>创新</w:t>
      </w:r>
      <w:r>
        <w:rPr>
          <w:rFonts w:ascii="宋体" w:hAnsi="宋体" w:cs="宋体" w:eastAsia="宋体" w:hint="default"/>
        </w:rPr>
        <w:t>E18</w:t>
      </w:r>
      <w:r>
        <w:rPr/>
        <w:t>促销模式，将促销常态化概念引入互联网领域，构建促销品牌。</w:t>
      </w:r>
    </w:p>
    <w:p>
      <w:pPr>
        <w:pStyle w:val="BodyText"/>
        <w:tabs>
          <w:tab w:pos="993" w:val="left" w:leader="none"/>
        </w:tabs>
        <w:spacing w:line="388" w:lineRule="auto" w:before="179"/>
        <w:ind w:right="1132"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2"/>
        </w:rPr>
        <w:t>利用网络、电视、户外、社会化媒体、移动客户端等多种宣传载体，全网络宣传覆盖，利用数据</w:t>
      </w:r>
      <w:r>
        <w:rPr>
          <w:w w:val="100"/>
        </w:rPr>
        <w:t> </w:t>
      </w:r>
      <w:r>
        <w:rPr/>
        <w:t>化分析手段精准推广，大幅提高市场费用产投比，有力保障了销售目标的实现。</w:t>
      </w:r>
    </w:p>
    <w:p>
      <w:pPr>
        <w:pStyle w:val="BodyText"/>
        <w:spacing w:line="408" w:lineRule="auto" w:before="63"/>
        <w:ind w:right="1107" w:firstLine="420"/>
        <w:jc w:val="both"/>
      </w:pPr>
      <w:r>
        <w:rPr>
          <w:rFonts w:ascii="宋体" w:hAnsi="宋体" w:cs="宋体" w:eastAsia="宋体" w:hint="default"/>
          <w:spacing w:val="-2"/>
        </w:rPr>
        <w:t>2012</w:t>
      </w:r>
      <w:r>
        <w:rPr>
          <w:spacing w:val="-2"/>
        </w:rPr>
        <w:t>年，通过供应链拓展、团队组织建设、互联网营销能力、服务基础建设的提升，公司电子商务发</w:t>
      </w:r>
      <w:r>
        <w:rPr>
          <w:w w:val="100"/>
        </w:rPr>
        <w:t> </w:t>
      </w:r>
      <w:r>
        <w:rPr>
          <w:spacing w:val="-2"/>
        </w:rPr>
        <w:t>展取得一定的成效，实现实物商品主营销售收入</w:t>
      </w:r>
      <w:r>
        <w:rPr>
          <w:rFonts w:ascii="宋体" w:hAnsi="宋体" w:cs="宋体" w:eastAsia="宋体" w:hint="default"/>
          <w:spacing w:val="-2"/>
        </w:rPr>
        <w:t>152.16</w:t>
      </w:r>
      <w:r>
        <w:rPr>
          <w:spacing w:val="-2"/>
        </w:rPr>
        <w:t>亿元（含税）。另经业务部门统计，商旅、充值、</w:t>
      </w:r>
      <w:r>
        <w:rPr>
          <w:spacing w:val="-19"/>
        </w:rPr>
        <w:t> </w:t>
      </w:r>
      <w:r>
        <w:rPr>
          <w:spacing w:val="-19"/>
        </w:rPr>
      </w:r>
      <w:r>
        <w:rPr/>
        <w:t>彩票、团购等虚拟产品代售业务</w:t>
      </w:r>
      <w:r>
        <w:rPr>
          <w:rFonts w:ascii="宋体" w:hAnsi="宋体" w:cs="宋体" w:eastAsia="宋体" w:hint="default"/>
        </w:rPr>
        <w:t>2012</w:t>
      </w:r>
      <w:r>
        <w:rPr/>
        <w:t>年实现规模约</w:t>
      </w:r>
      <w:r>
        <w:rPr>
          <w:rFonts w:ascii="宋体" w:hAnsi="宋体" w:cs="宋体" w:eastAsia="宋体" w:hint="default"/>
        </w:rPr>
        <w:t>15</w:t>
      </w:r>
      <w:r>
        <w:rPr/>
        <w:t>亿元。总体水平稳居国内电子商务行业前三甲。</w:t>
      </w:r>
    </w:p>
    <w:p>
      <w:pPr>
        <w:pStyle w:val="BodyText"/>
        <w:spacing w:line="240" w:lineRule="auto"/>
        <w:ind w:left="573" w:right="982"/>
        <w:jc w:val="left"/>
      </w:pPr>
      <w:r>
        <w:rPr>
          <w:rFonts w:ascii="宋体" w:hAnsi="宋体" w:cs="宋体" w:eastAsia="宋体" w:hint="default"/>
        </w:rPr>
        <w:t>4</w:t>
      </w:r>
      <w:r>
        <w:rPr/>
        <w:t>、完善后台平台建设</w:t>
      </w:r>
    </w:p>
    <w:p>
      <w:pPr>
        <w:spacing w:line="240" w:lineRule="auto" w:before="10"/>
        <w:rPr>
          <w:rFonts w:ascii="宋体" w:hAnsi="宋体" w:cs="宋体" w:eastAsia="宋体" w:hint="default"/>
          <w:sz w:val="14"/>
          <w:szCs w:val="14"/>
        </w:rPr>
      </w:pPr>
    </w:p>
    <w:p>
      <w:pPr>
        <w:pStyle w:val="BodyText"/>
        <w:spacing w:line="240" w:lineRule="auto" w:before="0"/>
        <w:ind w:left="573" w:right="982"/>
        <w:jc w:val="left"/>
      </w:pPr>
      <w:r>
        <w:rPr/>
        <w:t>（</w:t>
      </w:r>
      <w:r>
        <w:rPr>
          <w:rFonts w:ascii="宋体" w:hAnsi="宋体" w:cs="宋体" w:eastAsia="宋体" w:hint="default"/>
        </w:rPr>
        <w:t>1</w:t>
      </w:r>
      <w:r>
        <w:rPr/>
        <w:t>）现代化物流建设方面</w:t>
      </w:r>
    </w:p>
    <w:p>
      <w:pPr>
        <w:spacing w:line="240" w:lineRule="auto" w:before="11"/>
        <w:rPr>
          <w:rFonts w:ascii="宋体" w:hAnsi="宋体" w:cs="宋体" w:eastAsia="宋体" w:hint="default"/>
          <w:sz w:val="14"/>
          <w:szCs w:val="14"/>
        </w:rPr>
      </w:pPr>
    </w:p>
    <w:p>
      <w:pPr>
        <w:pStyle w:val="BodyText"/>
        <w:tabs>
          <w:tab w:pos="993" w:val="left" w:leader="none"/>
        </w:tabs>
        <w:spacing w:line="388" w:lineRule="auto" w:before="0"/>
        <w:ind w:left="573" w:right="1025"/>
        <w:jc w:val="left"/>
      </w:pPr>
      <w:r>
        <w:rPr>
          <w:rFonts w:ascii="Wingdings" w:hAnsi="Wingdings" w:cs="Wingdings" w:eastAsia="Wingdings" w:hint="default"/>
        </w:rPr>
        <w:t></w:t>
      </w:r>
      <w:r>
        <w:rPr>
          <w:rFonts w:ascii="Times New Roman" w:hAnsi="Times New Roman" w:cs="Times New Roman" w:eastAsia="Times New Roman" w:hint="default"/>
        </w:rPr>
        <w:tab/>
      </w:r>
      <w:r>
        <w:rPr/>
        <w:t>物流基地建设全面加速</w:t>
      </w:r>
      <w:r>
        <w:rPr>
          <w:w w:val="100"/>
        </w:rPr>
        <w:t> </w:t>
      </w:r>
      <w:r>
        <w:rPr>
          <w:spacing w:val="-5"/>
        </w:rPr>
        <w:t>物流基地进入批量化筹建阶段，完善物流基地选址、设计、建设、筹建、验收标准，实现全流程管控。</w:t>
      </w:r>
    </w:p>
    <w:p>
      <w:pPr>
        <w:pStyle w:val="BodyText"/>
        <w:spacing w:line="408" w:lineRule="auto" w:before="63"/>
        <w:ind w:right="1128"/>
        <w:jc w:val="both"/>
      </w:pPr>
      <w:r>
        <w:rPr>
          <w:spacing w:val="-2"/>
        </w:rPr>
        <w:t>公司已经在沈阳、北京、天津、南京等</w:t>
      </w:r>
      <w:r>
        <w:rPr>
          <w:rFonts w:ascii="宋体" w:hAnsi="宋体" w:cs="宋体" w:eastAsia="宋体" w:hint="default"/>
          <w:spacing w:val="-2"/>
        </w:rPr>
        <w:t>11</w:t>
      </w:r>
      <w:r>
        <w:rPr>
          <w:spacing w:val="-2"/>
        </w:rPr>
        <w:t>个城市建成物流基地并投入使用，同时哈尔滨、青岛、广州、厦</w:t>
      </w:r>
      <w:r>
        <w:rPr>
          <w:spacing w:val="-43"/>
        </w:rPr>
        <w:t> </w:t>
      </w:r>
      <w:r>
        <w:rPr>
          <w:spacing w:val="-43"/>
        </w:rPr>
      </w:r>
      <w:r>
        <w:rPr>
          <w:spacing w:val="-2"/>
        </w:rPr>
        <w:t>门等</w:t>
      </w:r>
      <w:r>
        <w:rPr>
          <w:rFonts w:ascii="宋体" w:hAnsi="宋体" w:cs="宋体" w:eastAsia="宋体" w:hint="default"/>
          <w:spacing w:val="-2"/>
        </w:rPr>
        <w:t>16</w:t>
      </w:r>
      <w:r>
        <w:rPr>
          <w:spacing w:val="-2"/>
        </w:rPr>
        <w:t>个城市物流基地在建，另</w:t>
      </w:r>
      <w:r>
        <w:rPr>
          <w:rFonts w:ascii="宋体" w:hAnsi="宋体" w:cs="宋体" w:eastAsia="宋体" w:hint="default"/>
          <w:spacing w:val="-2"/>
        </w:rPr>
        <w:t>15</w:t>
      </w:r>
      <w:r>
        <w:rPr>
          <w:spacing w:val="-2"/>
        </w:rPr>
        <w:t>个城市物流基地完成土地签约，其他项目基本落实选址；此外，公司位</w:t>
      </w:r>
      <w:r>
        <w:rPr>
          <w:spacing w:val="-43"/>
        </w:rPr>
        <w:t> </w:t>
      </w:r>
      <w:r>
        <w:rPr>
          <w:spacing w:val="-43"/>
        </w:rPr>
      </w:r>
      <w:r>
        <w:rPr/>
        <w:t>于北京、沈阳、成都、广州、武汉等地的小件商品自动分拣仓库项目也在加快推进。</w:t>
      </w:r>
    </w:p>
    <w:p>
      <w:pPr>
        <w:pStyle w:val="BodyText"/>
        <w:tabs>
          <w:tab w:pos="993" w:val="left" w:leader="none"/>
        </w:tabs>
        <w:spacing w:line="240" w:lineRule="auto"/>
        <w:ind w:left="573" w:right="982"/>
        <w:jc w:val="left"/>
      </w:pPr>
      <w:r>
        <w:rPr>
          <w:rFonts w:ascii="Wingdings" w:hAnsi="Wingdings" w:cs="Wingdings" w:eastAsia="Wingdings" w:hint="default"/>
        </w:rPr>
        <w:t></w:t>
      </w:r>
      <w:r>
        <w:rPr>
          <w:rFonts w:ascii="Times New Roman" w:hAnsi="Times New Roman" w:cs="Times New Roman" w:eastAsia="Times New Roman" w:hint="default"/>
        </w:rPr>
        <w:tab/>
      </w:r>
      <w:r>
        <w:rPr/>
        <w:t>网络布局、能力建设提升</w:t>
      </w:r>
    </w:p>
    <w:p>
      <w:pPr>
        <w:pStyle w:val="BodyText"/>
        <w:spacing w:line="240" w:lineRule="auto" w:before="178"/>
        <w:ind w:left="573" w:right="982"/>
        <w:jc w:val="left"/>
      </w:pPr>
      <w:r>
        <w:rPr>
          <w:rFonts w:ascii="宋体" w:hAnsi="宋体" w:cs="宋体" w:eastAsia="宋体" w:hint="default"/>
        </w:rPr>
        <w:t>2012</w:t>
      </w:r>
      <w:r>
        <w:rPr/>
        <w:t>年，物流体系结合商品铺货规划，扩建小件商品仓库存储空间，提升小件商品配送能力；结合配</w:t>
      </w:r>
    </w:p>
    <w:p>
      <w:pPr>
        <w:spacing w:after="0" w:line="240" w:lineRule="auto"/>
        <w:jc w:val="left"/>
        <w:sectPr>
          <w:footerReference w:type="default" r:id="rId17"/>
          <w:pgSz w:w="11910" w:h="16840"/>
          <w:pgMar w:footer="1265" w:header="745" w:top="1060" w:bottom="1460" w:left="980" w:right="0"/>
          <w:pgNumType w:start="1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送作业模式、响应时间，自建以公路为主，铁路、航空为辅的干线运输线路，实现</w:t>
      </w:r>
      <w:r>
        <w:rPr>
          <w:rFonts w:ascii="宋体" w:hAnsi="宋体" w:cs="宋体" w:eastAsia="宋体" w:hint="default"/>
          <w:spacing w:val="-2"/>
        </w:rPr>
        <w:t>1600</w:t>
      </w:r>
      <w:r>
        <w:rPr>
          <w:spacing w:val="-2"/>
        </w:rPr>
        <w:t>公里</w:t>
      </w:r>
      <w:r>
        <w:rPr>
          <w:rFonts w:ascii="宋体" w:hAnsi="宋体" w:cs="宋体" w:eastAsia="宋体" w:hint="default"/>
          <w:spacing w:val="-2"/>
        </w:rPr>
        <w:t>24</w:t>
      </w:r>
      <w:r>
        <w:rPr>
          <w:spacing w:val="-2"/>
        </w:rPr>
        <w:t>小时送达的</w:t>
      </w:r>
      <w:r>
        <w:rPr>
          <w:spacing w:val="-35"/>
        </w:rPr>
        <w:t> </w:t>
      </w:r>
      <w:r>
        <w:rPr>
          <w:spacing w:val="-35"/>
        </w:rPr>
      </w:r>
      <w:r>
        <w:rPr>
          <w:spacing w:val="-2"/>
        </w:rPr>
        <w:t>运输时效；北京、上海、江苏等</w:t>
      </w:r>
      <w:r>
        <w:rPr>
          <w:rFonts w:ascii="宋体" w:hAnsi="宋体" w:cs="宋体" w:eastAsia="宋体" w:hint="default"/>
          <w:spacing w:val="-2"/>
        </w:rPr>
        <w:t>11</w:t>
      </w:r>
      <w:r>
        <w:rPr>
          <w:spacing w:val="-2"/>
        </w:rPr>
        <w:t>个省市取得国家快递许可证，有助提升公司自建物流资源使用效率，增</w:t>
      </w:r>
      <w:r>
        <w:rPr>
          <w:spacing w:val="-40"/>
        </w:rPr>
        <w:t> </w:t>
      </w:r>
      <w:r>
        <w:rPr>
          <w:spacing w:val="-40"/>
        </w:rPr>
      </w:r>
      <w:r>
        <w:rPr/>
        <w:t>强客户物流配送体验。</w:t>
      </w:r>
    </w:p>
    <w:p>
      <w:pPr>
        <w:pStyle w:val="BodyText"/>
        <w:tabs>
          <w:tab w:pos="993" w:val="left" w:leader="none"/>
        </w:tabs>
        <w:spacing w:line="388" w:lineRule="auto"/>
        <w:ind w:left="573" w:right="1025"/>
        <w:jc w:val="left"/>
      </w:pPr>
      <w:r>
        <w:rPr>
          <w:rFonts w:ascii="Wingdings" w:hAnsi="Wingdings" w:cs="Wingdings" w:eastAsia="Wingdings" w:hint="default"/>
        </w:rPr>
        <w:t></w:t>
      </w:r>
      <w:r>
        <w:rPr>
          <w:rFonts w:ascii="Times New Roman" w:hAnsi="Times New Roman" w:cs="Times New Roman" w:eastAsia="Times New Roman" w:hint="default"/>
        </w:rPr>
        <w:tab/>
      </w:r>
      <w:r>
        <w:rPr/>
        <w:t>运营管理改善</w:t>
      </w:r>
      <w:r>
        <w:rPr>
          <w:w w:val="100"/>
        </w:rPr>
        <w:t> </w:t>
      </w:r>
      <w:r>
        <w:rPr>
          <w:spacing w:val="-2"/>
        </w:rPr>
        <w:t>应用信息技术、优化作业规范、改变用工模式，物流人均作业效率同比增长</w:t>
      </w:r>
      <w:r>
        <w:rPr>
          <w:rFonts w:ascii="宋体" w:hAnsi="宋体" w:cs="宋体" w:eastAsia="宋体" w:hint="default"/>
          <w:spacing w:val="-2"/>
        </w:rPr>
        <w:t>71%</w:t>
      </w:r>
      <w:r>
        <w:rPr>
          <w:spacing w:val="-2"/>
        </w:rPr>
        <w:t>。推广配送手持终端，</w:t>
      </w:r>
    </w:p>
    <w:p>
      <w:pPr>
        <w:pStyle w:val="BodyText"/>
        <w:spacing w:line="240" w:lineRule="auto" w:before="63"/>
        <w:ind w:right="0"/>
        <w:jc w:val="both"/>
      </w:pPr>
      <w:r>
        <w:rPr/>
        <w:t>提升配送准确性、及时性，提高货到收款效率。</w:t>
      </w:r>
    </w:p>
    <w:p>
      <w:pPr>
        <w:spacing w:line="240" w:lineRule="auto" w:before="10"/>
        <w:rPr>
          <w:rFonts w:ascii="宋体" w:hAnsi="宋体" w:cs="宋体" w:eastAsia="宋体" w:hint="default"/>
          <w:sz w:val="14"/>
          <w:szCs w:val="14"/>
        </w:rPr>
      </w:pPr>
    </w:p>
    <w:p>
      <w:pPr>
        <w:pStyle w:val="BodyText"/>
        <w:spacing w:line="408" w:lineRule="auto" w:before="0"/>
        <w:ind w:left="573" w:right="982"/>
        <w:jc w:val="left"/>
      </w:pPr>
      <w:r>
        <w:rPr/>
        <w:t>（</w:t>
      </w:r>
      <w:r>
        <w:rPr>
          <w:rFonts w:ascii="宋体" w:hAnsi="宋体" w:cs="宋体" w:eastAsia="宋体" w:hint="default"/>
        </w:rPr>
        <w:t>2</w:t>
      </w:r>
      <w:r>
        <w:rPr/>
        <w:t>）售后服务建设方面</w:t>
      </w:r>
      <w:r>
        <w:rPr>
          <w:w w:val="100"/>
        </w:rPr>
        <w:t> </w:t>
      </w:r>
      <w:r>
        <w:rPr/>
        <w:t>服务网向乡镇网络拓展，综合电器产品服务网络延伸至农村市场，新建服务网点</w:t>
      </w:r>
      <w:r>
        <w:rPr>
          <w:rFonts w:ascii="宋体" w:hAnsi="宋体" w:cs="宋体" w:eastAsia="宋体" w:hint="default"/>
        </w:rPr>
        <w:t>1,000</w:t>
      </w:r>
      <w:r>
        <w:rPr/>
        <w:t>家，电子产品</w:t>
      </w:r>
    </w:p>
    <w:p>
      <w:pPr>
        <w:pStyle w:val="BodyText"/>
        <w:spacing w:line="408" w:lineRule="auto"/>
        <w:ind w:left="573" w:right="982" w:hanging="421"/>
        <w:jc w:val="left"/>
      </w:pPr>
      <w:r>
        <w:rPr/>
        <w:t>店面维修网点覆盖</w:t>
      </w:r>
      <w:r>
        <w:rPr>
          <w:rFonts w:ascii="宋体" w:hAnsi="宋体" w:cs="宋体" w:eastAsia="宋体" w:hint="default"/>
        </w:rPr>
        <w:t>300</w:t>
      </w:r>
      <w:r>
        <w:rPr/>
        <w:t>家。</w:t>
      </w:r>
      <w:r>
        <w:rPr>
          <w:spacing w:val="-3"/>
          <w:w w:val="100"/>
        </w:rPr>
        <w:t> </w:t>
      </w:r>
      <w:r>
        <w:rPr>
          <w:spacing w:val="-4"/>
        </w:rPr>
        <w:t>强化售后安装服务技能培训，新增</w:t>
      </w:r>
      <w:r>
        <w:rPr>
          <w:rFonts w:ascii="宋体" w:hAnsi="宋体" w:cs="宋体" w:eastAsia="宋体" w:hint="default"/>
          <w:spacing w:val="-4"/>
        </w:rPr>
        <w:t>13</w:t>
      </w:r>
      <w:r>
        <w:rPr>
          <w:spacing w:val="-4"/>
        </w:rPr>
        <w:t>家实训基地，累计培训</w:t>
      </w:r>
      <w:r>
        <w:rPr>
          <w:rFonts w:ascii="宋体" w:hAnsi="宋体" w:cs="宋体" w:eastAsia="宋体" w:hint="default"/>
          <w:spacing w:val="-4"/>
        </w:rPr>
        <w:t>2.7</w:t>
      </w:r>
      <w:r>
        <w:rPr>
          <w:spacing w:val="-4"/>
        </w:rPr>
        <w:t>万人次，高级安装工程师占比增长</w:t>
      </w:r>
      <w:r>
        <w:rPr>
          <w:rFonts w:ascii="宋体" w:hAnsi="宋体" w:cs="宋体" w:eastAsia="宋体" w:hint="default"/>
          <w:spacing w:val="-4"/>
        </w:rPr>
        <w:t>15%</w:t>
      </w:r>
      <w:r>
        <w:rPr>
          <w:spacing w:val="-4"/>
        </w:rPr>
        <w:t>，</w:t>
      </w:r>
    </w:p>
    <w:p>
      <w:pPr>
        <w:pStyle w:val="BodyText"/>
        <w:spacing w:line="240" w:lineRule="auto"/>
        <w:ind w:right="0"/>
        <w:jc w:val="both"/>
      </w:pPr>
      <w:r>
        <w:rPr/>
        <w:t>一级以上维修技师占比增长</w:t>
      </w:r>
      <w:r>
        <w:rPr>
          <w:rFonts w:ascii="宋体" w:hAnsi="宋体" w:cs="宋体" w:eastAsia="宋体" w:hint="default"/>
        </w:rPr>
        <w:t>10%</w:t>
      </w:r>
      <w:r>
        <w:rPr/>
        <w:t>。</w:t>
      </w:r>
    </w:p>
    <w:p>
      <w:pPr>
        <w:spacing w:line="240" w:lineRule="auto" w:before="10"/>
        <w:rPr>
          <w:rFonts w:ascii="宋体" w:hAnsi="宋体" w:cs="宋体" w:eastAsia="宋体" w:hint="default"/>
          <w:sz w:val="14"/>
          <w:szCs w:val="14"/>
        </w:rPr>
      </w:pPr>
    </w:p>
    <w:p>
      <w:pPr>
        <w:pStyle w:val="BodyText"/>
        <w:spacing w:line="408" w:lineRule="auto" w:before="0"/>
        <w:ind w:left="573" w:right="982"/>
        <w:jc w:val="left"/>
      </w:pPr>
      <w:r>
        <w:rPr/>
        <w:t>（</w:t>
      </w:r>
      <w:r>
        <w:rPr>
          <w:rFonts w:ascii="宋体" w:hAnsi="宋体" w:cs="宋体" w:eastAsia="宋体" w:hint="default"/>
        </w:rPr>
        <w:t>3</w:t>
      </w:r>
      <w:r>
        <w:rPr/>
        <w:t>）信息平台建设方面</w:t>
      </w:r>
      <w:r>
        <w:rPr>
          <w:w w:val="100"/>
        </w:rPr>
        <w:t> </w:t>
      </w:r>
      <w:r>
        <w:rPr/>
        <w:t>信息体系核心软件研发团队突破</w:t>
      </w:r>
      <w:r>
        <w:rPr>
          <w:rFonts w:ascii="宋体" w:hAnsi="宋体" w:cs="宋体" w:eastAsia="宋体" w:hint="default"/>
        </w:rPr>
        <w:t>2,000</w:t>
      </w:r>
      <w:r>
        <w:rPr/>
        <w:t>人，达到了国内一流</w:t>
      </w:r>
      <w:r>
        <w:rPr>
          <w:rFonts w:ascii="宋体" w:hAnsi="宋体" w:cs="宋体" w:eastAsia="宋体" w:hint="default"/>
        </w:rPr>
        <w:t>IT</w:t>
      </w:r>
      <w:r>
        <w:rPr/>
        <w:t>公司的规模，</w:t>
      </w:r>
      <w:r>
        <w:rPr>
          <w:rFonts w:ascii="宋体" w:hAnsi="宋体" w:cs="宋体" w:eastAsia="宋体" w:hint="default"/>
        </w:rPr>
        <w:t>80%</w:t>
      </w:r>
      <w:r>
        <w:rPr/>
        <w:t>以上的员工通过</w:t>
      </w:r>
      <w:r>
        <w:rPr>
          <w:rFonts w:ascii="宋体" w:hAnsi="宋体" w:cs="宋体" w:eastAsia="宋体" w:hint="default"/>
        </w:rPr>
        <w:t>PDF</w:t>
      </w:r>
      <w:r>
        <w:rPr/>
        <w:t>专</w:t>
      </w:r>
    </w:p>
    <w:p>
      <w:pPr>
        <w:pStyle w:val="BodyText"/>
        <w:spacing w:line="408" w:lineRule="auto"/>
        <w:ind w:right="1126"/>
        <w:jc w:val="both"/>
      </w:pPr>
      <w:r>
        <w:rPr/>
        <w:t>业技术</w:t>
      </w:r>
      <w:r>
        <w:rPr>
          <w:rFonts w:ascii="宋体" w:hAnsi="宋体" w:cs="宋体" w:eastAsia="宋体" w:hint="default"/>
        </w:rPr>
        <w:t>(PDF-Professional</w:t>
      </w:r>
      <w:r>
        <w:rPr>
          <w:rFonts w:ascii="宋体" w:hAnsi="宋体" w:cs="宋体" w:eastAsia="宋体" w:hint="default"/>
          <w:spacing w:val="28"/>
        </w:rPr>
        <w:t> </w:t>
      </w:r>
      <w:r>
        <w:rPr>
          <w:rFonts w:ascii="宋体" w:hAnsi="宋体" w:cs="宋体" w:eastAsia="宋体" w:hint="default"/>
        </w:rPr>
        <w:t>Development</w:t>
      </w:r>
      <w:r>
        <w:rPr>
          <w:rFonts w:ascii="宋体" w:hAnsi="宋体" w:cs="宋体" w:eastAsia="宋体" w:hint="default"/>
          <w:spacing w:val="31"/>
        </w:rPr>
        <w:t> </w:t>
      </w:r>
      <w:r>
        <w:rPr>
          <w:rFonts w:ascii="宋体" w:hAnsi="宋体" w:cs="宋体" w:eastAsia="宋体" w:hint="default"/>
        </w:rPr>
        <w:t>Framework</w:t>
      </w:r>
      <w:r>
        <w:rPr/>
        <w:t>，指苏宁信息体系专业能力发展模型，包括专业能力</w:t>
      </w:r>
      <w:r>
        <w:rPr>
          <w:spacing w:val="-98"/>
        </w:rPr>
        <w:t> </w:t>
      </w:r>
      <w:r>
        <w:rPr>
          <w:spacing w:val="-98"/>
        </w:rPr>
      </w:r>
      <w:r>
        <w:rPr/>
        <w:t>的组成、评定标准、评估流程及能力提升活动等</w:t>
      </w:r>
      <w:r>
        <w:rPr>
          <w:rFonts w:ascii="宋体" w:hAnsi="宋体" w:cs="宋体" w:eastAsia="宋体" w:hint="default"/>
        </w:rPr>
        <w:t>)</w:t>
      </w:r>
      <w:r>
        <w:rPr/>
        <w:t>等级晋升。苏宁自有的</w:t>
      </w:r>
      <w:r>
        <w:rPr>
          <w:rFonts w:ascii="宋体" w:hAnsi="宋体" w:cs="宋体" w:eastAsia="宋体" w:hint="default"/>
        </w:rPr>
        <w:t>IT</w:t>
      </w:r>
      <w:r>
        <w:rPr/>
        <w:t>人才、苏宁特色的</w:t>
      </w:r>
      <w:r>
        <w:rPr>
          <w:rFonts w:ascii="宋体" w:hAnsi="宋体" w:cs="宋体" w:eastAsia="宋体" w:hint="default"/>
        </w:rPr>
        <w:t>IT</w:t>
      </w:r>
      <w:r>
        <w:rPr/>
        <w:t>文化正在</w:t>
      </w:r>
      <w:r>
        <w:rPr>
          <w:spacing w:val="-22"/>
        </w:rPr>
        <w:t> </w:t>
      </w:r>
      <w:r>
        <w:rPr>
          <w:spacing w:val="-22"/>
        </w:rPr>
      </w:r>
      <w:r>
        <w:rPr>
          <w:spacing w:val="-2"/>
        </w:rPr>
        <w:t>形成，一方面敬业严谨、踏实融入，面对挑战勇于承担责任；另一方面敢于创新、敢于突破的互联网特质</w:t>
      </w:r>
      <w:r>
        <w:rPr>
          <w:spacing w:val="-43"/>
        </w:rPr>
        <w:t> </w:t>
      </w:r>
      <w:r>
        <w:rPr>
          <w:spacing w:val="-43"/>
        </w:rPr>
      </w:r>
      <w:r>
        <w:rPr/>
        <w:t>也融入到团队氛围中。</w:t>
      </w:r>
    </w:p>
    <w:p>
      <w:pPr>
        <w:pStyle w:val="BodyText"/>
        <w:spacing w:line="408" w:lineRule="auto"/>
        <w:ind w:right="982" w:firstLine="420"/>
        <w:jc w:val="left"/>
      </w:pPr>
      <w:r>
        <w:rPr>
          <w:rFonts w:ascii="宋体" w:hAnsi="宋体" w:cs="宋体" w:eastAsia="宋体" w:hint="default"/>
          <w:spacing w:val="-2"/>
        </w:rPr>
        <w:t>2012</w:t>
      </w:r>
      <w:r>
        <w:rPr>
          <w:spacing w:val="-2"/>
        </w:rPr>
        <w:t>年，信息体系遵循强化电商平台、服务营销变革的战略，从组织架构调整、技术前瞻设计、业务</w:t>
      </w:r>
      <w:r>
        <w:rPr>
          <w:w w:val="100"/>
        </w:rPr>
        <w:t> </w:t>
      </w:r>
      <w:r>
        <w:rPr/>
        <w:t>产品出新等方面，加速产品开发，实施完成项目四千个，重大项目上百个。</w:t>
      </w:r>
    </w:p>
    <w:p>
      <w:pPr>
        <w:pStyle w:val="BodyText"/>
        <w:spacing w:line="408" w:lineRule="auto"/>
        <w:ind w:left="573" w:right="1025"/>
        <w:jc w:val="left"/>
      </w:pPr>
      <w:r>
        <w:rPr/>
        <w:t>（</w:t>
      </w:r>
      <w:r>
        <w:rPr>
          <w:rFonts w:ascii="宋体" w:hAnsi="宋体" w:cs="宋体" w:eastAsia="宋体" w:hint="default"/>
        </w:rPr>
        <w:t>4</w:t>
      </w:r>
      <w:r>
        <w:rPr/>
        <w:t>）人力资源平台建设方面</w:t>
      </w:r>
      <w:r>
        <w:rPr>
          <w:w w:val="100"/>
        </w:rPr>
        <w:t> </w:t>
      </w:r>
      <w:r>
        <w:rPr>
          <w:spacing w:val="-4"/>
        </w:rPr>
        <w:t>围绕绩效改善、员工能力提升，开展培训项目近七千期，培训</w:t>
      </w:r>
      <w:r>
        <w:rPr>
          <w:rFonts w:ascii="宋体" w:hAnsi="宋体" w:cs="宋体" w:eastAsia="宋体" w:hint="default"/>
          <w:spacing w:val="-4"/>
        </w:rPr>
        <w:t>50</w:t>
      </w:r>
      <w:r>
        <w:rPr>
          <w:spacing w:val="-4"/>
        </w:rPr>
        <w:t>余万人次；升级内部</w:t>
      </w:r>
      <w:r>
        <w:rPr>
          <w:rFonts w:ascii="宋体" w:hAnsi="宋体" w:cs="宋体" w:eastAsia="宋体" w:hint="default"/>
          <w:spacing w:val="-4"/>
        </w:rPr>
        <w:t>E-LEARNING</w:t>
      </w:r>
      <w:r>
        <w:rPr>
          <w:spacing w:val="-4"/>
        </w:rPr>
        <w:t>系统，</w:t>
      </w:r>
    </w:p>
    <w:p>
      <w:pPr>
        <w:pStyle w:val="BodyText"/>
        <w:spacing w:line="408" w:lineRule="auto"/>
        <w:ind w:right="1131"/>
        <w:jc w:val="both"/>
      </w:pPr>
      <w:r>
        <w:rPr/>
        <w:t>提升在线培训支持能力，在线培训规模达到</w:t>
      </w:r>
      <w:r>
        <w:rPr>
          <w:rFonts w:ascii="宋体" w:hAnsi="宋体" w:cs="宋体" w:eastAsia="宋体" w:hint="default"/>
        </w:rPr>
        <w:t>30</w:t>
      </w:r>
      <w:r>
        <w:rPr/>
        <w:t>万人次；围绕岗位发展路径，梳理了</w:t>
      </w:r>
      <w:r>
        <w:rPr>
          <w:rFonts w:ascii="宋体" w:hAnsi="宋体" w:cs="宋体" w:eastAsia="宋体" w:hint="default"/>
        </w:rPr>
        <w:t>261</w:t>
      </w:r>
      <w:r>
        <w:rPr/>
        <w:t>个岗位资质认证标</w:t>
      </w:r>
      <w:r>
        <w:rPr>
          <w:spacing w:val="-25"/>
        </w:rPr>
        <w:t> </w:t>
      </w:r>
      <w:r>
        <w:rPr>
          <w:spacing w:val="-25"/>
        </w:rPr>
      </w:r>
      <w:r>
        <w:rPr/>
        <w:t>准；组建店长学院，启动电子商务与信息学院筹备工作。</w:t>
      </w:r>
    </w:p>
    <w:p>
      <w:pPr>
        <w:pStyle w:val="BodyText"/>
        <w:spacing w:line="408" w:lineRule="auto"/>
        <w:ind w:left="573" w:right="982"/>
        <w:jc w:val="left"/>
      </w:pPr>
      <w:r>
        <w:rPr>
          <w:spacing w:val="-2"/>
        </w:rPr>
        <w:t>完善公司员工薪资福利、短期激励、长期激励的考核框架，在强化绩效考核的基础上加大激励力度。</w:t>
      </w:r>
      <w:r>
        <w:rPr>
          <w:spacing w:val="-27"/>
        </w:rPr>
        <w:t> </w:t>
      </w:r>
      <w:r>
        <w:rPr>
          <w:spacing w:val="-27"/>
        </w:rPr>
      </w:r>
      <w:r>
        <w:rPr>
          <w:rFonts w:ascii="宋体" w:hAnsi="宋体" w:cs="宋体" w:eastAsia="宋体" w:hint="default"/>
        </w:rPr>
        <w:t>5</w:t>
      </w:r>
      <w:r>
        <w:rPr/>
        <w:t>、积极承担社会责任，品牌价值持续提升</w:t>
      </w:r>
    </w:p>
    <w:p>
      <w:pPr>
        <w:pStyle w:val="BodyText"/>
        <w:tabs>
          <w:tab w:pos="993" w:val="left" w:leader="none"/>
        </w:tabs>
        <w:spacing w:line="388" w:lineRule="auto"/>
        <w:ind w:right="1132" w:firstLine="420"/>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月，世界品牌实验室发布“</w:t>
      </w:r>
      <w:r>
        <w:rPr>
          <w:rFonts w:ascii="宋体" w:hAnsi="宋体" w:cs="宋体" w:eastAsia="宋体" w:hint="default"/>
          <w:spacing w:val="-2"/>
        </w:rPr>
        <w:t>2012</w:t>
      </w:r>
      <w:r>
        <w:rPr>
          <w:spacing w:val="-2"/>
        </w:rPr>
        <w:t>年（第九届）《中国</w:t>
      </w:r>
      <w:r>
        <w:rPr>
          <w:rFonts w:ascii="宋体" w:hAnsi="宋体" w:cs="宋体" w:eastAsia="宋体" w:hint="default"/>
          <w:spacing w:val="-2"/>
        </w:rPr>
        <w:t>500</w:t>
      </w:r>
      <w:r>
        <w:rPr>
          <w:spacing w:val="-2"/>
        </w:rPr>
        <w:t>最具价值品牌》”榜单，苏宁电</w:t>
      </w:r>
      <w:r>
        <w:rPr>
          <w:w w:val="100"/>
        </w:rPr>
        <w:t> </w:t>
      </w:r>
      <w:r>
        <w:rPr/>
        <w:t>器品牌价值上升至</w:t>
      </w:r>
      <w:r>
        <w:rPr>
          <w:rFonts w:ascii="宋体" w:hAnsi="宋体" w:cs="宋体" w:eastAsia="宋体" w:hint="default"/>
        </w:rPr>
        <w:t>815.68</w:t>
      </w:r>
      <w:r>
        <w:rPr/>
        <w:t>亿元，继续蝉联中国商业零售第一。</w:t>
      </w:r>
    </w:p>
    <w:p>
      <w:pPr>
        <w:pStyle w:val="BodyText"/>
        <w:tabs>
          <w:tab w:pos="993" w:val="left" w:leader="none"/>
        </w:tabs>
        <w:spacing w:line="240" w:lineRule="auto" w:before="63"/>
        <w:ind w:left="573" w:right="982"/>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rPr>
        <w:t>2012</w:t>
      </w:r>
      <w:r>
        <w:rPr/>
        <w:t>年</w:t>
      </w:r>
      <w:r>
        <w:rPr>
          <w:rFonts w:ascii="宋体" w:hAnsi="宋体" w:cs="宋体" w:eastAsia="宋体" w:hint="default"/>
        </w:rPr>
        <w:t>7</w:t>
      </w:r>
      <w:r>
        <w:rPr/>
        <w:t>月，国务院授予苏宁“全国就业先进企业”称号。</w:t>
      </w:r>
    </w:p>
    <w:p>
      <w:pPr>
        <w:pStyle w:val="BodyText"/>
        <w:tabs>
          <w:tab w:pos="993" w:val="left" w:leader="none"/>
        </w:tabs>
        <w:spacing w:line="240" w:lineRule="auto" w:before="178"/>
        <w:ind w:left="573" w:right="982"/>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rPr>
        <w:t>2012</w:t>
      </w:r>
      <w:r>
        <w:rPr/>
        <w:t>年</w:t>
      </w:r>
      <w:r>
        <w:rPr>
          <w:rFonts w:ascii="宋体" w:hAnsi="宋体" w:cs="宋体" w:eastAsia="宋体" w:hint="default"/>
        </w:rPr>
        <w:t>11</w:t>
      </w:r>
      <w:r>
        <w:rPr/>
        <w:t>月，苏宁连续三年获评“最具全球竞争力中国公司</w:t>
      </w:r>
      <w:r>
        <w:rPr>
          <w:rFonts w:ascii="宋体" w:hAnsi="宋体" w:cs="宋体" w:eastAsia="宋体" w:hint="default"/>
        </w:rPr>
        <w:t>20</w:t>
      </w:r>
      <w:r>
        <w:rPr/>
        <w:t>强”。</w:t>
      </w:r>
    </w:p>
    <w:p>
      <w:pPr>
        <w:spacing w:after="0" w:line="240" w:lineRule="auto"/>
        <w:jc w:val="left"/>
        <w:sectPr>
          <w:pgSz w:w="11910" w:h="16840"/>
          <w:pgMar w:header="745" w:footer="1265" w:top="1060" w:bottom="1460" w:left="980" w:right="0"/>
        </w:sectPr>
      </w:pPr>
    </w:p>
    <w:p>
      <w:pPr>
        <w:spacing w:line="240" w:lineRule="auto" w:before="8"/>
        <w:rPr>
          <w:rFonts w:ascii="宋体" w:hAnsi="宋体" w:cs="宋体" w:eastAsia="宋体" w:hint="default"/>
          <w:sz w:val="23"/>
          <w:szCs w:val="23"/>
        </w:rPr>
      </w:pPr>
      <w:r>
        <w:rPr/>
        <w:pict>
          <v:shape style="position:absolute;margin-left:460.320007pt;margin-top:764.919983pt;width:135.0pt;height:77pt;mso-position-horizontal-relative:page;mso-position-vertical-relative:page;z-index:-1598008" type="#_x0000_t75" stroked="false">
            <v:imagedata r:id="rId10" o:title=""/>
          </v:shape>
        </w:pict>
      </w:r>
    </w:p>
    <w:p>
      <w:pPr>
        <w:pStyle w:val="Heading2"/>
        <w:spacing w:line="240" w:lineRule="auto" w:before="26"/>
        <w:ind w:left="635" w:right="982"/>
        <w:jc w:val="left"/>
        <w:rPr>
          <w:b w:val="0"/>
          <w:bCs w:val="0"/>
        </w:rPr>
      </w:pPr>
      <w:r>
        <w:rPr/>
        <w:t>二、连锁发展情况分析</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982"/>
        <w:jc w:val="left"/>
      </w:pPr>
      <w:r>
        <w:rPr>
          <w:rFonts w:ascii="宋体" w:hAnsi="宋体" w:cs="宋体" w:eastAsia="宋体" w:hint="default"/>
        </w:rPr>
        <w:t>1</w:t>
      </w:r>
      <w:r>
        <w:rPr/>
        <w:t>、连锁发展基本情况</w:t>
      </w:r>
    </w:p>
    <w:p>
      <w:pPr>
        <w:spacing w:line="240" w:lineRule="auto" w:before="10"/>
        <w:rPr>
          <w:rFonts w:ascii="宋体" w:hAnsi="宋体" w:cs="宋体" w:eastAsia="宋体" w:hint="default"/>
          <w:sz w:val="14"/>
          <w:szCs w:val="14"/>
        </w:rPr>
      </w:pPr>
    </w:p>
    <w:p>
      <w:pPr>
        <w:pStyle w:val="BodyText"/>
        <w:spacing w:line="408" w:lineRule="auto" w:before="0"/>
        <w:ind w:left="573" w:right="982"/>
        <w:jc w:val="left"/>
      </w:pPr>
      <w:r>
        <w:rPr/>
        <w:t>（</w:t>
      </w:r>
      <w:r>
        <w:rPr>
          <w:rFonts w:ascii="宋体" w:hAnsi="宋体" w:cs="宋体" w:eastAsia="宋体" w:hint="default"/>
        </w:rPr>
        <w:t>1</w:t>
      </w:r>
      <w:r>
        <w:rPr/>
        <w:t>）大陆市场</w:t>
      </w:r>
      <w:r>
        <w:rPr>
          <w:w w:val="100"/>
        </w:rPr>
        <w:t> </w:t>
      </w:r>
      <w:r>
        <w:rPr>
          <w:spacing w:val="-5"/>
        </w:rPr>
        <w:t>报告期内，随着消费市场趋势的变化，公司积极调整了连锁发展策略：一级市场加强店面结构的优化，</w:t>
      </w:r>
    </w:p>
    <w:p>
      <w:pPr>
        <w:pStyle w:val="BodyText"/>
        <w:spacing w:line="393" w:lineRule="auto"/>
        <w:ind w:right="1127"/>
        <w:jc w:val="both"/>
      </w:pPr>
      <w:r>
        <w:rPr>
          <w:spacing w:val="-2"/>
        </w:rPr>
        <w:t>严格控制社区店开设，推进旗舰店开发，探索培育乐购仕品牌，建立完善在商品规划、出样陈设、宣传推</w:t>
      </w:r>
      <w:r>
        <w:rPr>
          <w:spacing w:val="-43"/>
        </w:rPr>
        <w:t> </w:t>
      </w:r>
      <w:r>
        <w:rPr>
          <w:spacing w:val="-43"/>
        </w:rPr>
      </w:r>
      <w:r>
        <w:rPr>
          <w:spacing w:val="-2"/>
        </w:rPr>
        <w:t>广等方面的标准和流程，一级市场旗舰店占比较上年提升了</w:t>
      </w:r>
      <w:r>
        <w:rPr>
          <w:rFonts w:ascii="Times New Roman" w:hAnsi="Times New Roman" w:cs="Times New Roman" w:eastAsia="Times New Roman" w:hint="default"/>
          <w:spacing w:val="-2"/>
        </w:rPr>
        <w:t>3.08</w:t>
      </w:r>
      <w:r>
        <w:rPr>
          <w:spacing w:val="-2"/>
        </w:rPr>
        <w:t>个百分点，达到了</w:t>
      </w:r>
      <w:r>
        <w:rPr>
          <w:rFonts w:ascii="Times New Roman" w:hAnsi="Times New Roman" w:cs="Times New Roman" w:eastAsia="Times New Roman" w:hint="default"/>
          <w:spacing w:val="-2"/>
        </w:rPr>
        <w:t>41.24%</w:t>
      </w:r>
      <w:r>
        <w:rPr>
          <w:spacing w:val="-2"/>
        </w:rPr>
        <w:t>；二三级市场具</w:t>
      </w:r>
      <w:r>
        <w:rPr>
          <w:spacing w:val="-8"/>
        </w:rPr>
        <w:t> </w:t>
      </w:r>
      <w:r>
        <w:rPr>
          <w:spacing w:val="-8"/>
        </w:rPr>
      </w:r>
      <w:r>
        <w:rPr>
          <w:spacing w:val="-2"/>
        </w:rPr>
        <w:t>有较强的消费潜力，公司继续加大该区域的开发力度，新开店占比达到</w:t>
      </w:r>
      <w:r>
        <w:rPr>
          <w:rFonts w:ascii="Times New Roman" w:hAnsi="Times New Roman" w:cs="Times New Roman" w:eastAsia="Times New Roman" w:hint="default"/>
          <w:spacing w:val="-2"/>
        </w:rPr>
        <w:t>76.58</w:t>
      </w:r>
      <w:r>
        <w:rPr>
          <w:rFonts w:ascii="宋体" w:hAnsi="宋体" w:cs="宋体" w:eastAsia="宋体" w:hint="default"/>
          <w:spacing w:val="-2"/>
        </w:rPr>
        <w:t>%</w:t>
      </w:r>
      <w:r>
        <w:rPr>
          <w:spacing w:val="-2"/>
        </w:rPr>
        <w:t>。全年来看，在外部环境不</w:t>
      </w:r>
      <w:r>
        <w:rPr>
          <w:spacing w:val="-17"/>
        </w:rPr>
        <w:t> </w:t>
      </w:r>
      <w:r>
        <w:rPr>
          <w:spacing w:val="-17"/>
        </w:rPr>
      </w:r>
      <w:r>
        <w:rPr/>
        <w:t>甚乐观的情况下，公司积极应对，着重优化店面类型分布和市场分布。</w:t>
      </w:r>
    </w:p>
    <w:p>
      <w:pPr>
        <w:pStyle w:val="BodyText"/>
        <w:spacing w:line="408" w:lineRule="auto" w:before="59"/>
        <w:ind w:right="982" w:firstLine="420"/>
        <w:jc w:val="left"/>
      </w:pPr>
      <w:r>
        <w:rPr>
          <w:rFonts w:ascii="宋体" w:hAnsi="宋体" w:cs="宋体" w:eastAsia="宋体" w:hint="default"/>
          <w:spacing w:val="-2"/>
        </w:rPr>
        <w:t>2012</w:t>
      </w:r>
      <w:r>
        <w:rPr>
          <w:spacing w:val="-2"/>
        </w:rPr>
        <w:t>年，公司新进地级以上城市</w:t>
      </w:r>
      <w:r>
        <w:rPr>
          <w:rFonts w:ascii="宋体" w:hAnsi="宋体" w:cs="宋体" w:eastAsia="宋体" w:hint="default"/>
          <w:spacing w:val="-2"/>
        </w:rPr>
        <w:t>15</w:t>
      </w:r>
      <w:r>
        <w:rPr>
          <w:spacing w:val="-2"/>
        </w:rPr>
        <w:t>个，新开连锁店</w:t>
      </w:r>
      <w:r>
        <w:rPr>
          <w:rFonts w:ascii="宋体" w:hAnsi="宋体" w:cs="宋体" w:eastAsia="宋体" w:hint="default"/>
          <w:spacing w:val="-2"/>
        </w:rPr>
        <w:t>158</w:t>
      </w:r>
      <w:r>
        <w:rPr>
          <w:spacing w:val="-2"/>
        </w:rPr>
        <w:t>家，其中常规店</w:t>
      </w:r>
      <w:r>
        <w:rPr>
          <w:rFonts w:ascii="宋体" w:hAnsi="宋体" w:cs="宋体" w:eastAsia="宋体" w:hint="default"/>
          <w:spacing w:val="-2"/>
        </w:rPr>
        <w:t>146</w:t>
      </w:r>
      <w:r>
        <w:rPr>
          <w:spacing w:val="-2"/>
        </w:rPr>
        <w:t>家，县镇店</w:t>
      </w:r>
      <w:r>
        <w:rPr>
          <w:rFonts w:ascii="宋体" w:hAnsi="宋体" w:cs="宋体" w:eastAsia="宋体" w:hint="default"/>
          <w:spacing w:val="-2"/>
        </w:rPr>
        <w:t>5</w:t>
      </w:r>
      <w:r>
        <w:rPr>
          <w:spacing w:val="-2"/>
        </w:rPr>
        <w:t>家，乐购仕生</w:t>
      </w:r>
      <w:r>
        <w:rPr>
          <w:w w:val="100"/>
        </w:rPr>
        <w:t> </w:t>
      </w:r>
      <w:r>
        <w:rPr/>
        <w:t>活广场店</w:t>
      </w:r>
      <w:r>
        <w:rPr>
          <w:rFonts w:ascii="宋体" w:hAnsi="宋体" w:cs="宋体" w:eastAsia="宋体" w:hint="default"/>
        </w:rPr>
        <w:t>7</w:t>
      </w:r>
      <w:r>
        <w:rPr/>
        <w:t>家，置换</w:t>
      </w:r>
      <w:r>
        <w:rPr>
          <w:rFonts w:ascii="宋体" w:hAnsi="宋体" w:cs="宋体" w:eastAsia="宋体" w:hint="default"/>
        </w:rPr>
        <w:t>/</w:t>
      </w:r>
      <w:r>
        <w:rPr/>
        <w:t>关闭连锁店</w:t>
      </w:r>
      <w:r>
        <w:rPr>
          <w:rFonts w:ascii="宋体" w:hAnsi="宋体" w:cs="宋体" w:eastAsia="宋体" w:hint="default"/>
        </w:rPr>
        <w:t>178</w:t>
      </w:r>
      <w:r>
        <w:rPr/>
        <w:t>家。</w:t>
      </w:r>
    </w:p>
    <w:p>
      <w:pPr>
        <w:pStyle w:val="BodyText"/>
        <w:spacing w:line="408" w:lineRule="auto"/>
        <w:ind w:right="982" w:firstLine="420"/>
        <w:jc w:val="left"/>
      </w:pPr>
      <w:r>
        <w:rPr>
          <w:spacing w:val="-2"/>
        </w:rPr>
        <w:t>报告期内公司持续推进“租、建、购、并”综合开发策略，在南京、无锡、岳阳、内江、嘉兴核心商</w:t>
      </w:r>
      <w:r>
        <w:rPr>
          <w:w w:val="100"/>
        </w:rPr>
        <w:t> </w:t>
      </w:r>
      <w:r>
        <w:rPr/>
        <w:t>圈新增</w:t>
      </w:r>
      <w:r>
        <w:rPr>
          <w:rFonts w:ascii="宋体" w:hAnsi="宋体" w:cs="宋体" w:eastAsia="宋体" w:hint="default"/>
        </w:rPr>
        <w:t>5</w:t>
      </w:r>
      <w:r>
        <w:rPr/>
        <w:t>家购置店项目；此外公司积极探索实践自建店开发模式，在南京以合作开发方式开设新街口</w:t>
      </w:r>
      <w:r>
        <w:rPr>
          <w:rFonts w:ascii="宋体" w:hAnsi="宋体" w:cs="宋体" w:eastAsia="宋体" w:hint="default"/>
        </w:rPr>
        <w:t>EXPO</w:t>
      </w:r>
      <w:r>
        <w:rPr>
          <w:rFonts w:ascii="宋体" w:hAnsi="宋体" w:cs="宋体" w:eastAsia="宋体" w:hint="default"/>
          <w:w w:val="100"/>
        </w:rPr>
        <w:t> </w:t>
      </w:r>
      <w:r>
        <w:rPr/>
        <w:t>超级旗舰店。截止报告期末，公司共拥有自有物业连锁店</w:t>
      </w:r>
      <w:r>
        <w:rPr>
          <w:rFonts w:ascii="宋体" w:hAnsi="宋体" w:cs="宋体" w:eastAsia="宋体" w:hint="default"/>
        </w:rPr>
        <w:t>40</w:t>
      </w:r>
      <w:r>
        <w:rPr/>
        <w:t>家（其中</w:t>
      </w:r>
      <w:r>
        <w:rPr>
          <w:rFonts w:ascii="宋体" w:hAnsi="宋体" w:cs="宋体" w:eastAsia="宋体" w:hint="default"/>
        </w:rPr>
        <w:t>3</w:t>
      </w:r>
      <w:r>
        <w:rPr/>
        <w:t>家处于前期筹建期）；自行开发模</w:t>
      </w:r>
      <w:r>
        <w:rPr>
          <w:w w:val="100"/>
        </w:rPr>
        <w:t> </w:t>
      </w:r>
      <w:r>
        <w:rPr>
          <w:spacing w:val="-2"/>
        </w:rPr>
        <w:t>式自建店</w:t>
      </w:r>
      <w:r>
        <w:rPr>
          <w:rFonts w:ascii="宋体" w:hAnsi="宋体" w:cs="宋体" w:eastAsia="宋体" w:hint="default"/>
          <w:spacing w:val="-2"/>
        </w:rPr>
        <w:t>1</w:t>
      </w:r>
      <w:r>
        <w:rPr>
          <w:spacing w:val="-2"/>
        </w:rPr>
        <w:t>家，合作开发模式自建店</w:t>
      </w:r>
      <w:r>
        <w:rPr>
          <w:rFonts w:ascii="宋体" w:hAnsi="宋体" w:cs="宋体" w:eastAsia="宋体" w:hint="default"/>
          <w:spacing w:val="-2"/>
        </w:rPr>
        <w:t>4</w:t>
      </w:r>
      <w:r>
        <w:rPr>
          <w:spacing w:val="-2"/>
        </w:rPr>
        <w:t>家，另与部分全国性的商业地产开发企业建立战略合作，提前锁定了</w:t>
      </w:r>
      <w:r>
        <w:rPr>
          <w:spacing w:val="-43"/>
        </w:rPr>
        <w:t> </w:t>
      </w:r>
      <w:r>
        <w:rPr>
          <w:spacing w:val="-43"/>
        </w:rPr>
      </w:r>
      <w:r>
        <w:rPr/>
        <w:t>较多优质店面资源。</w:t>
      </w:r>
    </w:p>
    <w:p>
      <w:pPr>
        <w:pStyle w:val="BodyText"/>
        <w:spacing w:line="408" w:lineRule="auto"/>
        <w:ind w:right="1126" w:firstLine="420"/>
        <w:jc w:val="both"/>
      </w:pPr>
      <w:r>
        <w:rPr>
          <w:spacing w:val="-2"/>
        </w:rPr>
        <w:t>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日，公司店面已覆盖全国</w:t>
      </w:r>
      <w:r>
        <w:rPr>
          <w:rFonts w:ascii="宋体" w:hAnsi="宋体" w:cs="宋体" w:eastAsia="宋体" w:hint="default"/>
          <w:spacing w:val="-2"/>
        </w:rPr>
        <w:t>271</w:t>
      </w:r>
      <w:r>
        <w:rPr>
          <w:spacing w:val="-2"/>
        </w:rPr>
        <w:t>个地级以上城市，共计拥有连锁店</w:t>
      </w:r>
      <w:r>
        <w:rPr>
          <w:rFonts w:ascii="宋体" w:hAnsi="宋体" w:cs="宋体" w:eastAsia="宋体" w:hint="default"/>
          <w:spacing w:val="-2"/>
        </w:rPr>
        <w:t>1,664</w:t>
      </w:r>
      <w:r>
        <w:rPr>
          <w:spacing w:val="-2"/>
        </w:rPr>
        <w:t>家，其中常规</w:t>
      </w:r>
      <w:r>
        <w:rPr>
          <w:w w:val="100"/>
        </w:rPr>
        <w:t> </w:t>
      </w:r>
      <w:r>
        <w:rPr>
          <w:spacing w:val="-2"/>
        </w:rPr>
        <w:t>店</w:t>
      </w:r>
      <w:r>
        <w:rPr>
          <w:rFonts w:ascii="宋体" w:hAnsi="宋体" w:cs="宋体" w:eastAsia="宋体" w:hint="default"/>
          <w:spacing w:val="-2"/>
        </w:rPr>
        <w:t>1,546</w:t>
      </w:r>
      <w:r>
        <w:rPr>
          <w:spacing w:val="-2"/>
        </w:rPr>
        <w:t>家、精品店</w:t>
      </w:r>
      <w:r>
        <w:rPr>
          <w:rFonts w:ascii="宋体" w:hAnsi="宋体" w:cs="宋体" w:eastAsia="宋体" w:hint="default"/>
          <w:spacing w:val="-2"/>
        </w:rPr>
        <w:t>6</w:t>
      </w:r>
      <w:r>
        <w:rPr>
          <w:spacing w:val="-2"/>
        </w:rPr>
        <w:t>家、县镇店</w:t>
      </w:r>
      <w:r>
        <w:rPr>
          <w:rFonts w:ascii="宋体" w:hAnsi="宋体" w:cs="宋体" w:eastAsia="宋体" w:hint="default"/>
          <w:spacing w:val="-2"/>
        </w:rPr>
        <w:t>104</w:t>
      </w:r>
      <w:r>
        <w:rPr>
          <w:spacing w:val="-2"/>
        </w:rPr>
        <w:t>家、乐购仕生活广场店</w:t>
      </w:r>
      <w:r>
        <w:rPr>
          <w:rFonts w:ascii="宋体" w:hAnsi="宋体" w:cs="宋体" w:eastAsia="宋体" w:hint="default"/>
          <w:spacing w:val="-2"/>
        </w:rPr>
        <w:t>8</w:t>
      </w:r>
      <w:r>
        <w:rPr>
          <w:spacing w:val="-2"/>
        </w:rPr>
        <w:t>家，连锁店面积合计达</w:t>
      </w:r>
      <w:r>
        <w:rPr>
          <w:rFonts w:ascii="宋体" w:hAnsi="宋体" w:cs="宋体" w:eastAsia="宋体" w:hint="default"/>
          <w:spacing w:val="-2"/>
        </w:rPr>
        <w:t>692.90</w:t>
      </w:r>
      <w:r>
        <w:rPr>
          <w:spacing w:val="-2"/>
        </w:rPr>
        <w:t>万平方米，比上</w:t>
      </w:r>
      <w:r>
        <w:rPr>
          <w:spacing w:val="-33"/>
        </w:rPr>
        <w:t> </w:t>
      </w:r>
      <w:r>
        <w:rPr>
          <w:spacing w:val="-33"/>
        </w:rPr>
      </w:r>
      <w:r>
        <w:rPr/>
        <w:t>年同期增长</w:t>
      </w:r>
      <w:r>
        <w:rPr>
          <w:rFonts w:ascii="宋体" w:hAnsi="宋体" w:cs="宋体" w:eastAsia="宋体" w:hint="default"/>
        </w:rPr>
        <w:t>1.47%</w:t>
      </w:r>
      <w:r>
        <w:rPr/>
        <w:t>。</w:t>
      </w:r>
    </w:p>
    <w:p>
      <w:pPr>
        <w:pStyle w:val="BodyText"/>
        <w:spacing w:line="408" w:lineRule="auto"/>
        <w:ind w:left="573" w:right="982"/>
        <w:jc w:val="left"/>
      </w:pPr>
      <w:r>
        <w:rPr/>
        <w:t>（</w:t>
      </w:r>
      <w:r>
        <w:rPr>
          <w:rFonts w:ascii="宋体" w:hAnsi="宋体" w:cs="宋体" w:eastAsia="宋体" w:hint="default"/>
        </w:rPr>
        <w:t>2</w:t>
      </w:r>
      <w:r>
        <w:rPr/>
        <w:t>）国际市场</w:t>
      </w:r>
      <w:r>
        <w:rPr>
          <w:w w:val="100"/>
        </w:rPr>
        <w:t> </w:t>
      </w:r>
      <w:r>
        <w:rPr>
          <w:spacing w:val="-2"/>
        </w:rPr>
        <w:t>报告期内，公司持续优化香港地区店面布局，新开连锁店</w:t>
      </w:r>
      <w:r>
        <w:rPr>
          <w:rFonts w:ascii="宋体" w:hAnsi="宋体" w:cs="宋体" w:eastAsia="宋体" w:hint="default"/>
          <w:spacing w:val="-2"/>
        </w:rPr>
        <w:t>3</w:t>
      </w:r>
      <w:r>
        <w:rPr>
          <w:spacing w:val="-2"/>
        </w:rPr>
        <w:t>家，置换</w:t>
      </w:r>
      <w:r>
        <w:rPr>
          <w:rFonts w:ascii="宋体" w:hAnsi="宋体" w:cs="宋体" w:eastAsia="宋体" w:hint="default"/>
          <w:spacing w:val="-2"/>
        </w:rPr>
        <w:t>/</w:t>
      </w:r>
      <w:r>
        <w:rPr>
          <w:spacing w:val="-2"/>
        </w:rPr>
        <w:t>关闭连锁店</w:t>
      </w:r>
      <w:r>
        <w:rPr>
          <w:rFonts w:ascii="宋体" w:hAnsi="宋体" w:cs="宋体" w:eastAsia="宋体" w:hint="default"/>
          <w:spacing w:val="-2"/>
        </w:rPr>
        <w:t>3</w:t>
      </w:r>
      <w:r>
        <w:rPr>
          <w:spacing w:val="-2"/>
        </w:rPr>
        <w:t>家；积极拓展日本</w:t>
      </w:r>
    </w:p>
    <w:p>
      <w:pPr>
        <w:pStyle w:val="BodyText"/>
        <w:spacing w:line="408" w:lineRule="auto"/>
        <w:ind w:right="1210"/>
        <w:jc w:val="both"/>
      </w:pPr>
      <w:r>
        <w:rPr>
          <w:spacing w:val="-2"/>
        </w:rPr>
        <w:t>市场，新开店面</w:t>
      </w:r>
      <w:r>
        <w:rPr>
          <w:rFonts w:ascii="宋体" w:hAnsi="宋体" w:cs="宋体" w:eastAsia="宋体" w:hint="default"/>
          <w:spacing w:val="-2"/>
        </w:rPr>
        <w:t>2</w:t>
      </w:r>
      <w:r>
        <w:rPr>
          <w:spacing w:val="-2"/>
        </w:rPr>
        <w:t>家，置换</w:t>
      </w:r>
      <w:r>
        <w:rPr>
          <w:rFonts w:ascii="宋体" w:hAnsi="宋体" w:cs="宋体" w:eastAsia="宋体" w:hint="default"/>
          <w:spacing w:val="-2"/>
        </w:rPr>
        <w:t>/</w:t>
      </w:r>
      <w:r>
        <w:rPr>
          <w:spacing w:val="-2"/>
        </w:rPr>
        <w:t>关闭连锁店</w:t>
      </w:r>
      <w:r>
        <w:rPr>
          <w:rFonts w:ascii="宋体" w:hAnsi="宋体" w:cs="宋体" w:eastAsia="宋体" w:hint="default"/>
          <w:spacing w:val="-2"/>
        </w:rPr>
        <w:t>1</w:t>
      </w:r>
      <w:r>
        <w:rPr>
          <w:spacing w:val="-2"/>
        </w:rPr>
        <w:t>家。截至报告期末，公司在香港地区拥有连锁店</w:t>
      </w:r>
      <w:r>
        <w:rPr>
          <w:rFonts w:ascii="宋体" w:hAnsi="宋体" w:cs="宋体" w:eastAsia="宋体" w:hint="default"/>
          <w:spacing w:val="-2"/>
        </w:rPr>
        <w:t>30</w:t>
      </w:r>
      <w:r>
        <w:rPr>
          <w:spacing w:val="-2"/>
        </w:rPr>
        <w:t>家，在日本市</w:t>
      </w:r>
      <w:r>
        <w:rPr>
          <w:spacing w:val="-18"/>
        </w:rPr>
        <w:t> </w:t>
      </w:r>
      <w:r>
        <w:rPr>
          <w:spacing w:val="-18"/>
        </w:rPr>
      </w:r>
      <w:r>
        <w:rPr/>
        <w:t>场拥有连锁店</w:t>
      </w:r>
      <w:r>
        <w:rPr>
          <w:rFonts w:ascii="宋体" w:hAnsi="宋体" w:cs="宋体" w:eastAsia="宋体" w:hint="default"/>
        </w:rPr>
        <w:t>11</w:t>
      </w:r>
      <w:r>
        <w:rPr/>
        <w:t>家。</w:t>
      </w:r>
    </w:p>
    <w:p>
      <w:pPr>
        <w:pStyle w:val="BodyText"/>
        <w:spacing w:line="410" w:lineRule="auto"/>
        <w:ind w:left="573" w:right="982"/>
        <w:jc w:val="left"/>
      </w:pPr>
      <w:r>
        <w:rPr>
          <w:spacing w:val="-2"/>
        </w:rPr>
        <w:t>综上，截止报告期末，公司在中国大陆、香港地区、日本市场共拥有连锁店</w:t>
      </w:r>
      <w:r>
        <w:rPr>
          <w:rFonts w:ascii="宋体" w:hAnsi="宋体" w:cs="宋体" w:eastAsia="宋体" w:hint="default"/>
          <w:spacing w:val="-2"/>
        </w:rPr>
        <w:t>1,705</w:t>
      </w:r>
      <w:r>
        <w:rPr>
          <w:spacing w:val="-2"/>
        </w:rPr>
        <w:t>家。</w:t>
      </w:r>
      <w:r>
        <w:rPr>
          <w:spacing w:val="-34"/>
        </w:rPr>
        <w:t> </w:t>
      </w:r>
      <w:r>
        <w:rPr>
          <w:rFonts w:ascii="宋体" w:hAnsi="宋体" w:cs="宋体" w:eastAsia="宋体" w:hint="default"/>
        </w:rPr>
        <w:t>2</w:t>
      </w:r>
      <w:r>
        <w:rPr/>
        <w:t>、连锁店结构分析</w:t>
      </w:r>
    </w:p>
    <w:p>
      <w:pPr>
        <w:pStyle w:val="BodyText"/>
        <w:spacing w:line="240" w:lineRule="auto" w:before="44"/>
        <w:ind w:left="573" w:right="982"/>
        <w:jc w:val="left"/>
      </w:pPr>
      <w:r>
        <w:rPr/>
        <w:t>（</w:t>
      </w:r>
      <w:r>
        <w:rPr>
          <w:rFonts w:ascii="宋体" w:hAnsi="宋体" w:cs="宋体" w:eastAsia="宋体" w:hint="default"/>
        </w:rPr>
        <w:t>1</w:t>
      </w:r>
      <w:r>
        <w:rPr/>
        <w:t>）连锁店地区分布情况</w:t>
      </w:r>
    </w:p>
    <w:p>
      <w:pPr>
        <w:spacing w:line="240" w:lineRule="auto" w:before="11"/>
        <w:rPr>
          <w:rFonts w:ascii="宋体" w:hAnsi="宋体" w:cs="宋体" w:eastAsia="宋体" w:hint="default"/>
          <w:sz w:val="9"/>
          <w:szCs w:val="9"/>
        </w:rPr>
      </w:pPr>
    </w:p>
    <w:tbl>
      <w:tblPr>
        <w:tblW w:w="0" w:type="auto"/>
        <w:jc w:val="left"/>
        <w:tblInd w:w="136" w:type="dxa"/>
        <w:tblLayout w:type="fixed"/>
        <w:tblCellMar>
          <w:top w:w="0" w:type="dxa"/>
          <w:left w:w="0" w:type="dxa"/>
          <w:bottom w:w="0" w:type="dxa"/>
          <w:right w:w="0" w:type="dxa"/>
        </w:tblCellMar>
        <w:tblLook w:val="01E0"/>
      </w:tblPr>
      <w:tblGrid>
        <w:gridCol w:w="1822"/>
        <w:gridCol w:w="155"/>
        <w:gridCol w:w="618"/>
        <w:gridCol w:w="783"/>
        <w:gridCol w:w="821"/>
        <w:gridCol w:w="794"/>
        <w:gridCol w:w="737"/>
        <w:gridCol w:w="691"/>
        <w:gridCol w:w="617"/>
        <w:gridCol w:w="617"/>
        <w:gridCol w:w="615"/>
        <w:gridCol w:w="617"/>
        <w:gridCol w:w="773"/>
      </w:tblGrid>
      <w:tr>
        <w:trPr>
          <w:trHeight w:val="660" w:hRule="exact"/>
        </w:trPr>
        <w:tc>
          <w:tcPr>
            <w:tcW w:w="18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7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ind w:left="170" w:right="163"/>
              <w:jc w:val="left"/>
              <w:rPr>
                <w:rFonts w:ascii="宋体" w:hAnsi="宋体" w:cs="宋体" w:eastAsia="宋体" w:hint="default"/>
                <w:sz w:val="21"/>
                <w:szCs w:val="21"/>
              </w:rPr>
            </w:pPr>
            <w:r>
              <w:rPr>
                <w:rFonts w:ascii="宋体" w:hAnsi="宋体" w:cs="宋体" w:eastAsia="宋体" w:hint="default"/>
                <w:sz w:val="21"/>
                <w:szCs w:val="21"/>
              </w:rPr>
              <w:t>华东</w:t>
            </w:r>
            <w:r>
              <w:rPr>
                <w:rFonts w:ascii="宋体" w:hAnsi="宋体" w:cs="宋体" w:eastAsia="宋体" w:hint="default"/>
                <w:spacing w:val="-103"/>
                <w:sz w:val="21"/>
                <w:szCs w:val="21"/>
              </w:rPr>
              <w:t> </w:t>
            </w:r>
            <w:r>
              <w:rPr>
                <w:rFonts w:ascii="宋体" w:hAnsi="宋体" w:cs="宋体" w:eastAsia="宋体" w:hint="default"/>
                <w:sz w:val="21"/>
                <w:szCs w:val="21"/>
              </w:rPr>
              <w:t>一区</w:t>
            </w:r>
          </w:p>
        </w:tc>
        <w:tc>
          <w:tcPr>
            <w:tcW w:w="7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ind w:left="173" w:right="170"/>
              <w:jc w:val="left"/>
              <w:rPr>
                <w:rFonts w:ascii="宋体" w:hAnsi="宋体" w:cs="宋体" w:eastAsia="宋体" w:hint="default"/>
                <w:sz w:val="21"/>
                <w:szCs w:val="21"/>
              </w:rPr>
            </w:pPr>
            <w:r>
              <w:rPr>
                <w:rFonts w:ascii="宋体" w:hAnsi="宋体" w:cs="宋体" w:eastAsia="宋体" w:hint="default"/>
                <w:sz w:val="21"/>
                <w:szCs w:val="21"/>
              </w:rPr>
              <w:t>华东</w:t>
            </w:r>
            <w:r>
              <w:rPr>
                <w:rFonts w:ascii="宋体" w:hAnsi="宋体" w:cs="宋体" w:eastAsia="宋体" w:hint="default"/>
                <w:spacing w:val="-103"/>
                <w:sz w:val="21"/>
                <w:szCs w:val="21"/>
              </w:rPr>
              <w:t> </w:t>
            </w:r>
            <w:r>
              <w:rPr>
                <w:rFonts w:ascii="宋体" w:hAnsi="宋体" w:cs="宋体" w:eastAsia="宋体" w:hint="default"/>
                <w:sz w:val="21"/>
                <w:szCs w:val="21"/>
              </w:rPr>
              <w:t>二区</w:t>
            </w:r>
          </w:p>
        </w:tc>
        <w:tc>
          <w:tcPr>
            <w:tcW w:w="8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ind w:left="194" w:right="187"/>
              <w:jc w:val="left"/>
              <w:rPr>
                <w:rFonts w:ascii="宋体" w:hAnsi="宋体" w:cs="宋体" w:eastAsia="宋体" w:hint="default"/>
                <w:sz w:val="21"/>
                <w:szCs w:val="21"/>
              </w:rPr>
            </w:pPr>
            <w:r>
              <w:rPr>
                <w:rFonts w:ascii="宋体" w:hAnsi="宋体" w:cs="宋体" w:eastAsia="宋体" w:hint="default"/>
                <w:sz w:val="21"/>
                <w:szCs w:val="21"/>
              </w:rPr>
              <w:t>华南</w:t>
            </w:r>
            <w:r>
              <w:rPr>
                <w:rFonts w:ascii="宋体" w:hAnsi="宋体" w:cs="宋体" w:eastAsia="宋体" w:hint="default"/>
                <w:spacing w:val="-103"/>
                <w:sz w:val="21"/>
                <w:szCs w:val="21"/>
              </w:rPr>
              <w:t> </w:t>
            </w:r>
            <w:r>
              <w:rPr>
                <w:rFonts w:ascii="宋体" w:hAnsi="宋体" w:cs="宋体" w:eastAsia="宋体" w:hint="default"/>
                <w:sz w:val="21"/>
                <w:szCs w:val="21"/>
              </w:rPr>
              <w:t>地区</w:t>
            </w:r>
          </w:p>
        </w:tc>
        <w:tc>
          <w:tcPr>
            <w:tcW w:w="7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ind w:left="179" w:right="175"/>
              <w:jc w:val="left"/>
              <w:rPr>
                <w:rFonts w:ascii="宋体" w:hAnsi="宋体" w:cs="宋体" w:eastAsia="宋体" w:hint="default"/>
                <w:sz w:val="21"/>
                <w:szCs w:val="21"/>
              </w:rPr>
            </w:pPr>
            <w:r>
              <w:rPr>
                <w:rFonts w:ascii="宋体" w:hAnsi="宋体" w:cs="宋体" w:eastAsia="宋体" w:hint="default"/>
                <w:sz w:val="21"/>
                <w:szCs w:val="21"/>
              </w:rPr>
              <w:t>华北</w:t>
            </w:r>
            <w:r>
              <w:rPr>
                <w:rFonts w:ascii="宋体" w:hAnsi="宋体" w:cs="宋体" w:eastAsia="宋体" w:hint="default"/>
                <w:spacing w:val="-103"/>
                <w:sz w:val="21"/>
                <w:szCs w:val="21"/>
              </w:rPr>
              <w:t> </w:t>
            </w:r>
            <w:r>
              <w:rPr>
                <w:rFonts w:ascii="宋体" w:hAnsi="宋体" w:cs="宋体" w:eastAsia="宋体" w:hint="default"/>
                <w:sz w:val="21"/>
                <w:szCs w:val="21"/>
              </w:rPr>
              <w:t>地区</w:t>
            </w:r>
          </w:p>
        </w:tc>
        <w:tc>
          <w:tcPr>
            <w:tcW w:w="7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ind w:left="151" w:right="147"/>
              <w:jc w:val="left"/>
              <w:rPr>
                <w:rFonts w:ascii="宋体" w:hAnsi="宋体" w:cs="宋体" w:eastAsia="宋体" w:hint="default"/>
                <w:sz w:val="21"/>
                <w:szCs w:val="21"/>
              </w:rPr>
            </w:pPr>
            <w:r>
              <w:rPr>
                <w:rFonts w:ascii="宋体" w:hAnsi="宋体" w:cs="宋体" w:eastAsia="宋体" w:hint="default"/>
                <w:sz w:val="21"/>
                <w:szCs w:val="21"/>
              </w:rPr>
              <w:t>西南</w:t>
            </w:r>
            <w:r>
              <w:rPr>
                <w:rFonts w:ascii="宋体" w:hAnsi="宋体" w:cs="宋体" w:eastAsia="宋体" w:hint="default"/>
                <w:spacing w:val="-103"/>
                <w:sz w:val="21"/>
                <w:szCs w:val="21"/>
              </w:rPr>
              <w:t> </w:t>
            </w:r>
            <w:r>
              <w:rPr>
                <w:rFonts w:ascii="宋体" w:hAnsi="宋体" w:cs="宋体" w:eastAsia="宋体" w:hint="default"/>
                <w:sz w:val="21"/>
                <w:szCs w:val="21"/>
              </w:rPr>
              <w:t>地区</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ind w:left="129" w:right="122"/>
              <w:jc w:val="left"/>
              <w:rPr>
                <w:rFonts w:ascii="宋体" w:hAnsi="宋体" w:cs="宋体" w:eastAsia="宋体" w:hint="default"/>
                <w:sz w:val="21"/>
                <w:szCs w:val="21"/>
              </w:rPr>
            </w:pPr>
            <w:r>
              <w:rPr>
                <w:rFonts w:ascii="宋体" w:hAnsi="宋体" w:cs="宋体" w:eastAsia="宋体" w:hint="default"/>
                <w:sz w:val="21"/>
                <w:szCs w:val="21"/>
              </w:rPr>
              <w:t>华中</w:t>
            </w:r>
            <w:r>
              <w:rPr>
                <w:rFonts w:ascii="宋体" w:hAnsi="宋体" w:cs="宋体" w:eastAsia="宋体" w:hint="default"/>
                <w:spacing w:val="-103"/>
                <w:sz w:val="21"/>
                <w:szCs w:val="21"/>
              </w:rPr>
              <w:t> </w:t>
            </w:r>
            <w:r>
              <w:rPr>
                <w:rFonts w:ascii="宋体" w:hAnsi="宋体" w:cs="宋体" w:eastAsia="宋体" w:hint="default"/>
                <w:sz w:val="21"/>
                <w:szCs w:val="21"/>
              </w:rPr>
              <w:t>地区</w:t>
            </w:r>
          </w:p>
        </w:tc>
        <w:tc>
          <w:tcPr>
            <w:tcW w:w="6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ind w:left="91" w:right="86"/>
              <w:jc w:val="left"/>
              <w:rPr>
                <w:rFonts w:ascii="宋体" w:hAnsi="宋体" w:cs="宋体" w:eastAsia="宋体" w:hint="default"/>
                <w:sz w:val="21"/>
                <w:szCs w:val="21"/>
              </w:rPr>
            </w:pPr>
            <w:r>
              <w:rPr>
                <w:rFonts w:ascii="宋体" w:hAnsi="宋体" w:cs="宋体" w:eastAsia="宋体" w:hint="default"/>
                <w:sz w:val="21"/>
                <w:szCs w:val="21"/>
              </w:rPr>
              <w:t>东北</w:t>
            </w:r>
            <w:r>
              <w:rPr>
                <w:rFonts w:ascii="宋体" w:hAnsi="宋体" w:cs="宋体" w:eastAsia="宋体" w:hint="default"/>
                <w:spacing w:val="-103"/>
                <w:sz w:val="21"/>
                <w:szCs w:val="21"/>
              </w:rPr>
              <w:t> </w:t>
            </w:r>
            <w:r>
              <w:rPr>
                <w:rFonts w:ascii="宋体" w:hAnsi="宋体" w:cs="宋体" w:eastAsia="宋体" w:hint="default"/>
                <w:sz w:val="21"/>
                <w:szCs w:val="21"/>
              </w:rPr>
              <w:t>地区</w:t>
            </w:r>
          </w:p>
        </w:tc>
        <w:tc>
          <w:tcPr>
            <w:tcW w:w="6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ind w:left="91" w:right="86"/>
              <w:jc w:val="left"/>
              <w:rPr>
                <w:rFonts w:ascii="宋体" w:hAnsi="宋体" w:cs="宋体" w:eastAsia="宋体" w:hint="default"/>
                <w:sz w:val="21"/>
                <w:szCs w:val="21"/>
              </w:rPr>
            </w:pPr>
            <w:r>
              <w:rPr>
                <w:rFonts w:ascii="宋体" w:hAnsi="宋体" w:cs="宋体" w:eastAsia="宋体" w:hint="default"/>
                <w:sz w:val="21"/>
                <w:szCs w:val="21"/>
              </w:rPr>
              <w:t>西北</w:t>
            </w:r>
            <w:r>
              <w:rPr>
                <w:rFonts w:ascii="宋体" w:hAnsi="宋体" w:cs="宋体" w:eastAsia="宋体" w:hint="default"/>
                <w:spacing w:val="-103"/>
                <w:sz w:val="21"/>
                <w:szCs w:val="21"/>
              </w:rPr>
              <w:t> </w:t>
            </w:r>
            <w:r>
              <w:rPr>
                <w:rFonts w:ascii="宋体" w:hAnsi="宋体" w:cs="宋体" w:eastAsia="宋体" w:hint="default"/>
                <w:sz w:val="21"/>
                <w:szCs w:val="21"/>
              </w:rPr>
              <w:t>地区</w:t>
            </w:r>
          </w:p>
        </w:tc>
        <w:tc>
          <w:tcPr>
            <w:tcW w:w="6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ind w:left="89" w:right="86"/>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pacing w:val="-103"/>
                <w:sz w:val="21"/>
                <w:szCs w:val="21"/>
              </w:rPr>
              <w:t> </w:t>
            </w:r>
            <w:r>
              <w:rPr>
                <w:rFonts w:ascii="宋体" w:hAnsi="宋体" w:cs="宋体" w:eastAsia="宋体" w:hint="default"/>
                <w:sz w:val="21"/>
                <w:szCs w:val="21"/>
              </w:rPr>
              <w:t>地区</w:t>
            </w:r>
          </w:p>
        </w:tc>
        <w:tc>
          <w:tcPr>
            <w:tcW w:w="6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ind w:left="91" w:right="86"/>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pacing w:val="-103"/>
                <w:sz w:val="21"/>
                <w:szCs w:val="21"/>
              </w:rPr>
              <w:t> </w:t>
            </w:r>
            <w:r>
              <w:rPr>
                <w:rFonts w:ascii="宋体" w:hAnsi="宋体" w:cs="宋体" w:eastAsia="宋体" w:hint="default"/>
                <w:sz w:val="21"/>
                <w:szCs w:val="21"/>
              </w:rPr>
              <w:t>市场</w:t>
            </w:r>
          </w:p>
        </w:tc>
        <w:tc>
          <w:tcPr>
            <w:tcW w:w="7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8" w:hRule="exact"/>
        </w:trPr>
        <w:tc>
          <w:tcPr>
            <w:tcW w:w="18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店面数量（家</w:t>
            </w:r>
          </w:p>
        </w:tc>
        <w:tc>
          <w:tcPr>
            <w:tcW w:w="155"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13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75" w:right="0"/>
              <w:jc w:val="left"/>
              <w:rPr>
                <w:rFonts w:ascii="Times New Roman" w:hAnsi="Times New Roman" w:cs="Times New Roman" w:eastAsia="Times New Roman" w:hint="default"/>
                <w:sz w:val="21"/>
                <w:szCs w:val="21"/>
              </w:rPr>
            </w:pPr>
            <w:r>
              <w:rPr>
                <w:rFonts w:ascii="Times New Roman"/>
                <w:sz w:val="21"/>
              </w:rPr>
              <w:t>357</w:t>
            </w:r>
          </w:p>
        </w:tc>
        <w:tc>
          <w:tcPr>
            <w:tcW w:w="78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281</w:t>
            </w:r>
          </w:p>
        </w:tc>
        <w:tc>
          <w:tcPr>
            <w:tcW w:w="82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270</w:t>
            </w:r>
          </w:p>
        </w:tc>
        <w:tc>
          <w:tcPr>
            <w:tcW w:w="79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222</w:t>
            </w:r>
          </w:p>
        </w:tc>
        <w:tc>
          <w:tcPr>
            <w:tcW w:w="73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187</w:t>
            </w:r>
          </w:p>
        </w:tc>
        <w:tc>
          <w:tcPr>
            <w:tcW w:w="69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156</w:t>
            </w:r>
          </w:p>
        </w:tc>
        <w:tc>
          <w:tcPr>
            <w:tcW w:w="61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103</w:t>
            </w:r>
          </w:p>
        </w:tc>
        <w:tc>
          <w:tcPr>
            <w:tcW w:w="61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88</w:t>
            </w:r>
          </w:p>
        </w:tc>
        <w:tc>
          <w:tcPr>
            <w:tcW w:w="61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30</w:t>
            </w:r>
          </w:p>
        </w:tc>
        <w:tc>
          <w:tcPr>
            <w:tcW w:w="61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11</w:t>
            </w:r>
          </w:p>
        </w:tc>
        <w:tc>
          <w:tcPr>
            <w:tcW w:w="77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1,705</w:t>
            </w:r>
          </w:p>
        </w:tc>
      </w:tr>
      <w:tr>
        <w:trPr>
          <w:trHeight w:val="346" w:hRule="exact"/>
        </w:trPr>
        <w:tc>
          <w:tcPr>
            <w:tcW w:w="18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占总店数比例（</w:t>
            </w:r>
            <w:r>
              <w:rPr>
                <w:rFonts w:ascii="Times New Roman" w:hAnsi="Times New Roman" w:cs="Times New Roman" w:eastAsia="Times New Roman" w:hint="default"/>
                <w:sz w:val="21"/>
                <w:szCs w:val="21"/>
              </w:rPr>
              <w:t>%</w:t>
            </w:r>
          </w:p>
        </w:tc>
        <w:tc>
          <w:tcPr>
            <w:tcW w:w="7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173"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20.94%</w:t>
            </w:r>
          </w:p>
        </w:tc>
        <w:tc>
          <w:tcPr>
            <w:tcW w:w="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16.48%</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15.84%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13.02%</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10.97%</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9.15%</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6.04%</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5.16%</w:t>
            </w: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1.76%</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0.64%</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4"/>
              <w:jc w:val="center"/>
              <w:rPr>
                <w:rFonts w:ascii="Times New Roman" w:hAnsi="Times New Roman" w:cs="Times New Roman" w:eastAsia="Times New Roman" w:hint="default"/>
                <w:sz w:val="21"/>
                <w:szCs w:val="21"/>
              </w:rPr>
            </w:pPr>
            <w:r>
              <w:rPr>
                <w:rFonts w:ascii="Times New Roman"/>
                <w:sz w:val="21"/>
              </w:rPr>
              <w:t>100.00%</w:t>
            </w:r>
          </w:p>
        </w:tc>
      </w:tr>
      <w:tr>
        <w:trPr>
          <w:trHeight w:val="348" w:hRule="exact"/>
        </w:trPr>
        <w:tc>
          <w:tcPr>
            <w:tcW w:w="18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店面数量（家</w:t>
            </w:r>
          </w:p>
        </w:tc>
        <w:tc>
          <w:tcPr>
            <w:tcW w:w="155"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75" w:right="0"/>
              <w:jc w:val="left"/>
              <w:rPr>
                <w:rFonts w:ascii="Times New Roman" w:hAnsi="Times New Roman" w:cs="Times New Roman" w:eastAsia="Times New Roman" w:hint="default"/>
                <w:sz w:val="21"/>
                <w:szCs w:val="21"/>
              </w:rPr>
            </w:pPr>
            <w:r>
              <w:rPr>
                <w:rFonts w:ascii="Times New Roman"/>
                <w:sz w:val="21"/>
              </w:rPr>
              <w:t>367</w:t>
            </w:r>
          </w:p>
        </w:tc>
        <w:tc>
          <w:tcPr>
            <w:tcW w:w="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spacing w:val="-3"/>
                <w:sz w:val="21"/>
              </w:rPr>
              <w:t>311</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270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226</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180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143</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109</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78</w:t>
            </w: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30</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1724</w:t>
            </w:r>
          </w:p>
        </w:tc>
      </w:tr>
      <w:tr>
        <w:trPr>
          <w:trHeight w:val="348" w:hRule="exact"/>
        </w:trPr>
        <w:tc>
          <w:tcPr>
            <w:tcW w:w="18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9" w:right="0"/>
              <w:jc w:val="left"/>
              <w:rPr>
                <w:rFonts w:ascii="宋体" w:hAnsi="宋体" w:cs="宋体" w:eastAsia="宋体" w:hint="default"/>
                <w:sz w:val="21"/>
                <w:szCs w:val="21"/>
              </w:rPr>
            </w:pPr>
            <w:r>
              <w:rPr>
                <w:rFonts w:ascii="宋体" w:hAnsi="宋体" w:cs="宋体" w:eastAsia="宋体" w:hint="default"/>
                <w:sz w:val="21"/>
                <w:szCs w:val="21"/>
              </w:rPr>
              <w:t>占总店面比例（</w:t>
            </w:r>
            <w:r>
              <w:rPr>
                <w:rFonts w:ascii="宋体" w:hAnsi="宋体" w:cs="宋体" w:eastAsia="宋体" w:hint="default"/>
                <w:sz w:val="21"/>
                <w:szCs w:val="21"/>
              </w:rPr>
              <w:t>%</w:t>
            </w:r>
            <w:r>
              <w:rPr>
                <w:rFonts w:ascii="宋体" w:hAnsi="宋体" w:cs="宋体" w:eastAsia="宋体" w:hint="default"/>
                <w:sz w:val="21"/>
                <w:szCs w:val="21"/>
              </w:rPr>
              <w:t>）</w:t>
            </w:r>
          </w:p>
        </w:tc>
        <w:tc>
          <w:tcPr>
            <w:tcW w:w="7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5" w:right="0"/>
              <w:jc w:val="left"/>
              <w:rPr>
                <w:rFonts w:ascii="Times New Roman" w:hAnsi="Times New Roman" w:cs="Times New Roman" w:eastAsia="Times New Roman" w:hint="default"/>
                <w:sz w:val="21"/>
                <w:szCs w:val="21"/>
              </w:rPr>
            </w:pPr>
            <w:r>
              <w:rPr>
                <w:rFonts w:ascii="Times New Roman"/>
                <w:sz w:val="21"/>
              </w:rPr>
              <w:t>21.29%</w:t>
            </w:r>
          </w:p>
        </w:tc>
        <w:tc>
          <w:tcPr>
            <w:tcW w:w="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18.04%</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15.66%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13.11%</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10.44%</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8.29%</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6.32%</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4.52%</w:t>
            </w: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1.74%</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0.58%</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center"/>
        <w:rPr>
          <w:rFonts w:ascii="Times New Roman" w:hAnsi="Times New Roman" w:cs="Times New Roman" w:eastAsia="Times New Roman" w:hint="default"/>
          <w:sz w:val="21"/>
          <w:szCs w:val="21"/>
        </w:rPr>
        <w:sectPr>
          <w:footerReference w:type="default" r:id="rId18"/>
          <w:pgSz w:w="11910" w:h="16840"/>
          <w:pgMar w:footer="980" w:header="745" w:top="1060" w:bottom="1160" w:left="980" w:right="0"/>
          <w:pgNumType w:start="12"/>
        </w:sectPr>
      </w:pPr>
    </w:p>
    <w:p>
      <w:pPr>
        <w:spacing w:line="240" w:lineRule="auto" w:before="10"/>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1192" type="#_x0000_t75" stroked="false">
            <v:imagedata r:id="rId10" o:title=""/>
          </v:shape>
        </w:pict>
      </w:r>
    </w:p>
    <w:p>
      <w:pPr>
        <w:pStyle w:val="BodyText"/>
        <w:tabs>
          <w:tab w:pos="4776" w:val="left" w:leader="none"/>
          <w:tab w:pos="4881" w:val="left" w:leader="none"/>
        </w:tabs>
        <w:spacing w:line="273" w:lineRule="auto" w:before="36"/>
        <w:ind w:left="993" w:right="1633" w:hanging="420"/>
        <w:jc w:val="left"/>
      </w:pPr>
      <w:r>
        <w:rPr>
          <w:spacing w:val="-2"/>
        </w:rPr>
        <w:t>注：华东一区包括江苏、安徽、山东；</w:t>
        <w:tab/>
        <w:t>华东二区包括上海、福建、浙江、江西；</w:t>
      </w:r>
      <w:r>
        <w:rPr>
          <w:spacing w:val="-69"/>
        </w:rPr>
        <w:t> </w:t>
      </w:r>
      <w:r>
        <w:rPr>
          <w:spacing w:val="-69"/>
        </w:rPr>
      </w:r>
      <w:r>
        <w:rPr>
          <w:spacing w:val="-2"/>
        </w:rPr>
        <w:t>华南地区包括广东、广西、海南；</w:t>
        <w:tab/>
        <w:t>华北地区包括北京、天津、河北、山西、内蒙；</w:t>
      </w:r>
      <w:r>
        <w:rPr>
          <w:w w:val="100"/>
        </w:rPr>
        <w:t> </w:t>
      </w:r>
      <w:r>
        <w:rPr/>
        <w:t>西南地区包括四川、重庆、云南、贵州；华中地区包括湖北、湖南、河南；</w:t>
      </w:r>
      <w:r>
        <w:rPr>
          <w:w w:val="100"/>
        </w:rPr>
        <w:t> </w:t>
      </w:r>
      <w:r>
        <w:rPr>
          <w:spacing w:val="-2"/>
        </w:rPr>
        <w:t>东北地区包括辽宁、黑龙江、吉林；</w:t>
        <w:tab/>
        <w:tab/>
        <w:t>西北地区包括陕西、甘肃、青海、新疆、宁夏。</w:t>
      </w:r>
    </w:p>
    <w:p>
      <w:pPr>
        <w:pStyle w:val="BodyText"/>
        <w:spacing w:line="408" w:lineRule="auto" w:before="84"/>
        <w:ind w:left="573" w:right="982"/>
        <w:jc w:val="left"/>
      </w:pPr>
      <w:r>
        <w:rPr/>
        <w:t>（</w:t>
      </w:r>
      <w:r>
        <w:rPr>
          <w:rFonts w:ascii="宋体" w:hAnsi="宋体" w:cs="宋体" w:eastAsia="宋体" w:hint="default"/>
        </w:rPr>
        <w:t>2</w:t>
      </w:r>
      <w:r>
        <w:rPr/>
        <w:t>）连锁店类型分布情况</w:t>
      </w:r>
      <w:r>
        <w:rPr>
          <w:w w:val="100"/>
        </w:rPr>
        <w:t> </w:t>
      </w:r>
      <w:r>
        <w:rPr>
          <w:spacing w:val="-3"/>
        </w:rPr>
        <w:t>报告期内，公司贯彻大店战略，推进旗舰店的新开及改造升级工作，并践行双品牌战略，加快乐购仕</w:t>
      </w:r>
    </w:p>
    <w:p>
      <w:pPr>
        <w:pStyle w:val="BodyText"/>
        <w:spacing w:line="408" w:lineRule="auto"/>
        <w:ind w:left="0" w:right="1107"/>
        <w:jc w:val="right"/>
      </w:pPr>
      <w:r>
        <w:rPr>
          <w:spacing w:val="-2"/>
        </w:rPr>
        <w:t>生活广场店的开设进度，旗舰店及乐购仕店面占比提升较快，占比合计达到</w:t>
      </w:r>
      <w:r>
        <w:rPr>
          <w:rFonts w:ascii="宋体" w:hAnsi="宋体" w:cs="宋体" w:eastAsia="宋体" w:hint="default"/>
          <w:spacing w:val="-2"/>
        </w:rPr>
        <w:t>20.68%</w:t>
      </w:r>
      <w:r>
        <w:rPr>
          <w:spacing w:val="-2"/>
        </w:rPr>
        <w:t>，增加</w:t>
      </w:r>
      <w:r>
        <w:rPr>
          <w:rFonts w:ascii="宋体" w:hAnsi="宋体" w:cs="宋体" w:eastAsia="宋体" w:hint="default"/>
          <w:spacing w:val="-2"/>
        </w:rPr>
        <w:t>0.85</w:t>
      </w:r>
      <w:r>
        <w:rPr>
          <w:spacing w:val="-2"/>
        </w:rPr>
        <w:t>个百分点。</w:t>
      </w:r>
      <w:r>
        <w:rPr>
          <w:spacing w:val="-40"/>
        </w:rPr>
        <w:t> </w:t>
      </w:r>
      <w:r>
        <w:rPr>
          <w:spacing w:val="-40"/>
        </w:rPr>
      </w:r>
      <w:r>
        <w:rPr>
          <w:spacing w:val="-2"/>
        </w:rPr>
        <w:t>公司一直在推进店面结构及网络布局的调整及优化，店面类型也将结合实际发展需要进行调整，如县</w:t>
      </w:r>
      <w:r>
        <w:rPr>
          <w:w w:val="100"/>
        </w:rPr>
        <w:t> </w:t>
      </w:r>
      <w:r>
        <w:rPr>
          <w:spacing w:val="-2"/>
        </w:rPr>
        <w:t>镇店发展方面，由于三、四级市场作为公司未来发展重点，按照新的发展计划，公司将以三四级市场旗舰</w:t>
      </w:r>
      <w:r>
        <w:rPr>
          <w:spacing w:val="-92"/>
        </w:rPr>
        <w:t> </w:t>
      </w:r>
      <w:r>
        <w:rPr>
          <w:spacing w:val="-92"/>
        </w:rPr>
      </w:r>
      <w:r>
        <w:rPr>
          <w:spacing w:val="-3"/>
        </w:rPr>
        <w:t>店作为开发重点，故针对前期已开设的县镇店，对面积较小、发展空间受限的店面进行了升级调整，使得</w:t>
      </w:r>
    </w:p>
    <w:p>
      <w:pPr>
        <w:pStyle w:val="BodyText"/>
        <w:spacing w:line="240" w:lineRule="auto"/>
        <w:ind w:right="982"/>
        <w:jc w:val="left"/>
      </w:pPr>
      <w:r>
        <w:rPr/>
        <w:t>报告期内县镇店占比下降。</w:t>
      </w:r>
    </w:p>
    <w:p>
      <w:pPr>
        <w:spacing w:line="240" w:lineRule="auto" w:before="10"/>
        <w:rPr>
          <w:rFonts w:ascii="宋体" w:hAnsi="宋体" w:cs="宋体" w:eastAsia="宋体" w:hint="default"/>
          <w:sz w:val="14"/>
          <w:szCs w:val="14"/>
        </w:rPr>
      </w:pPr>
    </w:p>
    <w:p>
      <w:pPr>
        <w:pStyle w:val="BodyText"/>
        <w:tabs>
          <w:tab w:pos="7716" w:val="left" w:leader="none"/>
        </w:tabs>
        <w:spacing w:line="240" w:lineRule="auto" w:before="0"/>
        <w:ind w:left="573" w:right="982"/>
        <w:jc w:val="left"/>
      </w:pPr>
      <w:r>
        <w:rPr>
          <w:spacing w:val="-2"/>
        </w:rPr>
        <w:t>报告期末，公司大陆地区连锁店按店面类型分布情况如下：</w:t>
        <w:tab/>
        <w:t>（单位</w:t>
      </w:r>
      <w:r>
        <w:rPr>
          <w:rFonts w:ascii="宋体" w:hAnsi="宋体" w:cs="宋体" w:eastAsia="宋体" w:hint="default"/>
          <w:spacing w:val="-2"/>
        </w:rPr>
        <w:t>:</w:t>
      </w:r>
      <w:r>
        <w:rPr>
          <w:spacing w:val="-2"/>
        </w:rPr>
        <w:t>家）</w:t>
      </w:r>
      <w:r>
        <w:rPr/>
      </w:r>
    </w:p>
    <w:p>
      <w:pPr>
        <w:spacing w:line="240" w:lineRule="auto" w:before="10"/>
        <w:rPr>
          <w:rFonts w:ascii="宋体" w:hAnsi="宋体" w:cs="宋体" w:eastAsia="宋体" w:hint="default"/>
          <w:sz w:val="10"/>
          <w:szCs w:val="10"/>
        </w:rPr>
      </w:pPr>
    </w:p>
    <w:tbl>
      <w:tblPr>
        <w:tblW w:w="0" w:type="auto"/>
        <w:jc w:val="left"/>
        <w:tblInd w:w="136" w:type="dxa"/>
        <w:tblLayout w:type="fixed"/>
        <w:tblCellMar>
          <w:top w:w="0" w:type="dxa"/>
          <w:left w:w="0" w:type="dxa"/>
          <w:bottom w:w="0" w:type="dxa"/>
          <w:right w:w="0" w:type="dxa"/>
        </w:tblCellMar>
        <w:tblLook w:val="01E0"/>
      </w:tblPr>
      <w:tblGrid>
        <w:gridCol w:w="1628"/>
        <w:gridCol w:w="1292"/>
        <w:gridCol w:w="1298"/>
        <w:gridCol w:w="1294"/>
        <w:gridCol w:w="1301"/>
        <w:gridCol w:w="1294"/>
        <w:gridCol w:w="1553"/>
      </w:tblGrid>
      <w:tr>
        <w:trPr>
          <w:trHeight w:val="335" w:hRule="exact"/>
        </w:trPr>
        <w:tc>
          <w:tcPr>
            <w:tcW w:w="162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left="1018" w:right="0"/>
              <w:jc w:val="lef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r>
          </w:p>
          <w:p>
            <w:pPr>
              <w:pStyle w:val="TableParagraph"/>
              <w:spacing w:line="240" w:lineRule="auto" w:before="37"/>
              <w:ind w:left="422"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259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exact"/>
              <w:ind w:left="5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259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exact"/>
              <w:ind w:left="5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284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0" w:lineRule="exact"/>
              <w:ind w:left="784" w:right="0"/>
              <w:jc w:val="left"/>
              <w:rPr>
                <w:rFonts w:ascii="宋体" w:hAnsi="宋体" w:cs="宋体" w:eastAsia="宋体" w:hint="default"/>
                <w:sz w:val="21"/>
                <w:szCs w:val="21"/>
              </w:rPr>
            </w:pPr>
            <w:r>
              <w:rPr>
                <w:rFonts w:ascii="宋体" w:hAnsi="宋体" w:cs="宋体" w:eastAsia="宋体" w:hint="default"/>
                <w:sz w:val="21"/>
                <w:szCs w:val="21"/>
              </w:rPr>
              <w:t>增减变化情况</w:t>
            </w:r>
          </w:p>
        </w:tc>
      </w:tr>
      <w:tr>
        <w:trPr>
          <w:trHeight w:val="347" w:hRule="exact"/>
        </w:trPr>
        <w:tc>
          <w:tcPr>
            <w:tcW w:w="1628" w:type="dxa"/>
            <w:vMerge/>
            <w:tcBorders>
              <w:left w:val="single" w:sz="6" w:space="0" w:color="000000"/>
              <w:bottom w:val="single" w:sz="6" w:space="0" w:color="000000"/>
              <w:right w:val="single" w:sz="6" w:space="0" w:color="000000"/>
            </w:tcBorders>
            <w:shd w:val="clear" w:color="auto" w:fill="D2D2D2"/>
          </w:tcPr>
          <w:p>
            <w:pPr/>
          </w:p>
        </w:tc>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12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exact"/>
              <w:ind w:left="43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3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12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exact"/>
              <w:ind w:left="218" w:right="0"/>
              <w:jc w:val="left"/>
              <w:rPr>
                <w:rFonts w:ascii="宋体" w:hAnsi="宋体" w:cs="宋体" w:eastAsia="宋体" w:hint="default"/>
                <w:sz w:val="21"/>
                <w:szCs w:val="21"/>
              </w:rPr>
            </w:pPr>
            <w:r>
              <w:rPr>
                <w:rFonts w:ascii="宋体" w:hAnsi="宋体" w:cs="宋体" w:eastAsia="宋体" w:hint="default"/>
                <w:sz w:val="21"/>
                <w:szCs w:val="21"/>
              </w:rPr>
              <w:t>数量变化</w:t>
            </w:r>
          </w:p>
        </w:tc>
        <w:tc>
          <w:tcPr>
            <w:tcW w:w="1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9" w:lineRule="exact"/>
              <w:ind w:left="1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占比变化</w:t>
            </w:r>
            <w:r>
              <w:rPr>
                <w:rFonts w:ascii="Times New Roman" w:hAnsi="Times New Roman" w:cs="Times New Roman" w:eastAsia="Times New Roman" w:hint="default"/>
                <w:sz w:val="21"/>
                <w:szCs w:val="21"/>
              </w:rPr>
              <w:t>(%)</w:t>
            </w:r>
          </w:p>
        </w:tc>
      </w:tr>
      <w:tr>
        <w:trPr>
          <w:trHeight w:val="348" w:hRule="exact"/>
        </w:trPr>
        <w:tc>
          <w:tcPr>
            <w:tcW w:w="16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旗舰店</w:t>
            </w:r>
          </w:p>
        </w:tc>
        <w:tc>
          <w:tcPr>
            <w:tcW w:w="129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336</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20.20%</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333</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19.77%</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100"/>
                <w:sz w:val="21"/>
              </w:rPr>
              <w:t>3</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sz w:val="21"/>
              </w:rPr>
              <w:t>0.43%</w:t>
            </w:r>
          </w:p>
        </w:tc>
      </w:tr>
      <w:tr>
        <w:trPr>
          <w:trHeight w:val="346" w:hRule="exact"/>
        </w:trPr>
        <w:tc>
          <w:tcPr>
            <w:tcW w:w="16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中心店</w:t>
            </w:r>
          </w:p>
        </w:tc>
        <w:tc>
          <w:tcPr>
            <w:tcW w:w="129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433</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26.02%</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437</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25.95%</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2"/>
                <w:sz w:val="21"/>
              </w:rPr>
              <w:t>-4</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0.07%</w:t>
            </w:r>
          </w:p>
        </w:tc>
      </w:tr>
      <w:tr>
        <w:trPr>
          <w:trHeight w:val="348" w:hRule="exact"/>
        </w:trPr>
        <w:tc>
          <w:tcPr>
            <w:tcW w:w="16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社区店</w:t>
            </w:r>
          </w:p>
        </w:tc>
        <w:tc>
          <w:tcPr>
            <w:tcW w:w="129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777</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46.69%</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762</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45.25%</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15</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sz w:val="21"/>
              </w:rPr>
              <w:t>1.44%</w:t>
            </w:r>
          </w:p>
        </w:tc>
      </w:tr>
      <w:tr>
        <w:trPr>
          <w:trHeight w:val="346" w:hRule="exact"/>
        </w:trPr>
        <w:tc>
          <w:tcPr>
            <w:tcW w:w="16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sz w:val="21"/>
                <w:szCs w:val="21"/>
              </w:rPr>
              <w:t>常规店小计</w:t>
            </w:r>
          </w:p>
        </w:tc>
        <w:tc>
          <w:tcPr>
            <w:tcW w:w="129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1,546</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92.91%</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1,532</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90.97%</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14</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1.94%</w:t>
            </w:r>
          </w:p>
        </w:tc>
      </w:tr>
      <w:tr>
        <w:trPr>
          <w:trHeight w:val="348" w:hRule="exact"/>
        </w:trPr>
        <w:tc>
          <w:tcPr>
            <w:tcW w:w="16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精品店</w:t>
            </w:r>
          </w:p>
        </w:tc>
        <w:tc>
          <w:tcPr>
            <w:tcW w:w="129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100"/>
                <w:sz w:val="21"/>
              </w:rPr>
              <w:t>6</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0.36%</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17</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1.01%</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2"/>
                <w:sz w:val="21"/>
              </w:rPr>
              <w:t>-11</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-0.65%</w:t>
            </w:r>
          </w:p>
        </w:tc>
      </w:tr>
      <w:tr>
        <w:trPr>
          <w:trHeight w:val="348" w:hRule="exact"/>
        </w:trPr>
        <w:tc>
          <w:tcPr>
            <w:tcW w:w="16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县镇店（注）</w:t>
            </w:r>
          </w:p>
        </w:tc>
        <w:tc>
          <w:tcPr>
            <w:tcW w:w="129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104</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6.25%</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134</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7.96%</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2"/>
                <w:sz w:val="21"/>
              </w:rPr>
              <w:t>-30</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-1.71%</w:t>
            </w:r>
          </w:p>
        </w:tc>
      </w:tr>
      <w:tr>
        <w:trPr>
          <w:trHeight w:val="346" w:hRule="exact"/>
        </w:trPr>
        <w:tc>
          <w:tcPr>
            <w:tcW w:w="16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sz w:val="21"/>
                <w:szCs w:val="21"/>
              </w:rPr>
              <w:t>乐购仕店</w:t>
            </w:r>
          </w:p>
        </w:tc>
        <w:tc>
          <w:tcPr>
            <w:tcW w:w="129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100"/>
                <w:sz w:val="21"/>
              </w:rPr>
              <w:t>8</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0.48%</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100"/>
                <w:sz w:val="21"/>
              </w:rPr>
              <w:t>1</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0.06%</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100"/>
                <w:sz w:val="21"/>
              </w:rPr>
              <w:t>7</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0.42%</w:t>
            </w:r>
          </w:p>
        </w:tc>
      </w:tr>
      <w:tr>
        <w:trPr>
          <w:trHeight w:val="348" w:hRule="exact"/>
        </w:trPr>
        <w:tc>
          <w:tcPr>
            <w:tcW w:w="16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1,664</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100.00%</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1,684</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100.00%</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2"/>
                <w:sz w:val="21"/>
              </w:rPr>
              <w:t>-20</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64"/>
        <w:ind w:left="573" w:right="982"/>
        <w:jc w:val="left"/>
      </w:pPr>
      <w:r>
        <w:rPr/>
        <w:t>注：县镇店主要分布在县、镇一级市场，面积较小，一般为</w:t>
      </w:r>
      <w:r>
        <w:rPr>
          <w:rFonts w:ascii="宋体" w:hAnsi="宋体" w:cs="宋体" w:eastAsia="宋体" w:hint="default"/>
        </w:rPr>
        <w:t>800-1500</w:t>
      </w:r>
      <w:r>
        <w:rPr/>
        <w:t>平米，且以自营为主。</w:t>
      </w:r>
    </w:p>
    <w:p>
      <w:pPr>
        <w:spacing w:line="240" w:lineRule="auto" w:before="10"/>
        <w:rPr>
          <w:rFonts w:ascii="宋体" w:hAnsi="宋体" w:cs="宋体" w:eastAsia="宋体" w:hint="default"/>
          <w:sz w:val="14"/>
          <w:szCs w:val="14"/>
        </w:rPr>
      </w:pPr>
    </w:p>
    <w:p>
      <w:pPr>
        <w:pStyle w:val="BodyText"/>
        <w:tabs>
          <w:tab w:pos="993" w:val="left" w:leader="none"/>
          <w:tab w:pos="7714" w:val="left" w:leader="none"/>
        </w:tabs>
        <w:spacing w:line="240" w:lineRule="auto" w:before="0"/>
        <w:ind w:left="573" w:right="982"/>
        <w:jc w:val="left"/>
      </w:pPr>
      <w:r>
        <w:rPr>
          <w:rFonts w:ascii="Wingdings" w:hAnsi="Wingdings" w:cs="Wingdings" w:eastAsia="Wingdings" w:hint="default"/>
        </w:rPr>
        <w:t></w:t>
      </w:r>
      <w:r>
        <w:rPr>
          <w:rFonts w:ascii="Times New Roman" w:hAnsi="Times New Roman" w:cs="Times New Roman" w:eastAsia="Times New Roman" w:hint="default"/>
        </w:rPr>
        <w:tab/>
      </w:r>
      <w:r>
        <w:rPr>
          <w:spacing w:val="-2"/>
        </w:rPr>
        <w:t>各区域店面类型分布：</w:t>
        <w:tab/>
      </w:r>
      <w:r>
        <w:rPr>
          <w:spacing w:val="-1"/>
        </w:rPr>
        <w:t>（单位：家）</w:t>
      </w:r>
    </w:p>
    <w:p>
      <w:pPr>
        <w:spacing w:line="240" w:lineRule="auto" w:before="2"/>
        <w:rPr>
          <w:rFonts w:ascii="宋体" w:hAnsi="宋体" w:cs="宋体" w:eastAsia="宋体" w:hint="default"/>
          <w:sz w:val="9"/>
          <w:szCs w:val="9"/>
        </w:rPr>
      </w:pPr>
    </w:p>
    <w:tbl>
      <w:tblPr>
        <w:tblW w:w="0" w:type="auto"/>
        <w:jc w:val="left"/>
        <w:tblInd w:w="136" w:type="dxa"/>
        <w:tblLayout w:type="fixed"/>
        <w:tblCellMar>
          <w:top w:w="0" w:type="dxa"/>
          <w:left w:w="0" w:type="dxa"/>
          <w:bottom w:w="0" w:type="dxa"/>
          <w:right w:w="0" w:type="dxa"/>
        </w:tblCellMar>
        <w:tblLook w:val="01E0"/>
      </w:tblPr>
      <w:tblGrid>
        <w:gridCol w:w="1373"/>
        <w:gridCol w:w="1044"/>
        <w:gridCol w:w="987"/>
        <w:gridCol w:w="998"/>
        <w:gridCol w:w="999"/>
        <w:gridCol w:w="1126"/>
        <w:gridCol w:w="1087"/>
        <w:gridCol w:w="1045"/>
        <w:gridCol w:w="1001"/>
      </w:tblGrid>
      <w:tr>
        <w:trPr>
          <w:trHeight w:val="355" w:hRule="exact"/>
        </w:trPr>
        <w:tc>
          <w:tcPr>
            <w:tcW w:w="137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40" w:lineRule="auto" w:before="37"/>
              <w:ind w:left="214"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203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8" w:lineRule="exact"/>
              <w:ind w:left="590" w:right="0"/>
              <w:jc w:val="left"/>
              <w:rPr>
                <w:rFonts w:ascii="宋体" w:hAnsi="宋体" w:cs="宋体" w:eastAsia="宋体" w:hint="default"/>
                <w:sz w:val="21"/>
                <w:szCs w:val="21"/>
              </w:rPr>
            </w:pPr>
            <w:r>
              <w:rPr>
                <w:rFonts w:ascii="宋体" w:hAnsi="宋体" w:cs="宋体" w:eastAsia="宋体" w:hint="default"/>
                <w:sz w:val="21"/>
                <w:szCs w:val="21"/>
              </w:rPr>
              <w:t>华东一区</w:t>
            </w:r>
          </w:p>
        </w:tc>
        <w:tc>
          <w:tcPr>
            <w:tcW w:w="199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8" w:lineRule="exact"/>
              <w:ind w:left="571" w:right="0"/>
              <w:jc w:val="left"/>
              <w:rPr>
                <w:rFonts w:ascii="宋体" w:hAnsi="宋体" w:cs="宋体" w:eastAsia="宋体" w:hint="default"/>
                <w:sz w:val="21"/>
                <w:szCs w:val="21"/>
              </w:rPr>
            </w:pPr>
            <w:r>
              <w:rPr>
                <w:rFonts w:ascii="宋体" w:hAnsi="宋体" w:cs="宋体" w:eastAsia="宋体" w:hint="default"/>
                <w:sz w:val="21"/>
                <w:szCs w:val="21"/>
              </w:rPr>
              <w:t>华东二区</w:t>
            </w:r>
          </w:p>
        </w:tc>
        <w:tc>
          <w:tcPr>
            <w:tcW w:w="221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8" w:lineRule="exact"/>
              <w:ind w:left="681"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20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8" w:lineRule="exact"/>
              <w:ind w:left="595" w:right="0"/>
              <w:jc w:val="left"/>
              <w:rPr>
                <w:rFonts w:ascii="宋体" w:hAnsi="宋体" w:cs="宋体" w:eastAsia="宋体" w:hint="default"/>
                <w:sz w:val="21"/>
                <w:szCs w:val="21"/>
              </w:rPr>
            </w:pPr>
            <w:r>
              <w:rPr>
                <w:rFonts w:ascii="宋体" w:hAnsi="宋体" w:cs="宋体" w:eastAsia="宋体" w:hint="default"/>
                <w:sz w:val="21"/>
                <w:szCs w:val="21"/>
              </w:rPr>
              <w:t>华北地区</w:t>
            </w:r>
          </w:p>
        </w:tc>
      </w:tr>
      <w:tr>
        <w:trPr>
          <w:trHeight w:val="383" w:hRule="exact"/>
        </w:trPr>
        <w:tc>
          <w:tcPr>
            <w:tcW w:w="1373" w:type="dxa"/>
            <w:vMerge/>
            <w:tcBorders>
              <w:left w:val="single" w:sz="6" w:space="0" w:color="000000"/>
              <w:bottom w:val="single" w:sz="6" w:space="0" w:color="000000"/>
              <w:right w:val="single" w:sz="6" w:space="0" w:color="000000"/>
            </w:tcBorders>
            <w:shd w:val="clear" w:color="auto" w:fill="D2D2D2"/>
          </w:tcPr>
          <w:p>
            <w:pPr/>
          </w:p>
        </w:tc>
        <w:tc>
          <w:tcPr>
            <w:tcW w:w="10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3"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9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28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4"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338"/>
              <w:jc w:val="right"/>
              <w:rPr>
                <w:rFonts w:ascii="宋体" w:hAnsi="宋体" w:cs="宋体" w:eastAsia="宋体" w:hint="default"/>
                <w:sz w:val="21"/>
                <w:szCs w:val="21"/>
              </w:rPr>
            </w:pPr>
            <w:r>
              <w:rPr>
                <w:rFonts w:ascii="宋体" w:hAnsi="宋体" w:cs="宋体" w:eastAsia="宋体" w:hint="default"/>
                <w:sz w:val="21"/>
                <w:szCs w:val="21"/>
              </w:rPr>
              <w:t>数量</w:t>
            </w:r>
          </w:p>
        </w:tc>
        <w:tc>
          <w:tcPr>
            <w:tcW w:w="1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7"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10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3"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7" w:right="0"/>
              <w:jc w:val="center"/>
              <w:rPr>
                <w:rFonts w:ascii="宋体" w:hAnsi="宋体" w:cs="宋体" w:eastAsia="宋体" w:hint="default"/>
                <w:sz w:val="21"/>
                <w:szCs w:val="21"/>
              </w:rPr>
            </w:pPr>
            <w:r>
              <w:rPr>
                <w:rFonts w:ascii="宋体" w:hAnsi="宋体" w:cs="宋体" w:eastAsia="宋体" w:hint="default"/>
                <w:sz w:val="21"/>
                <w:szCs w:val="21"/>
              </w:rPr>
              <w:t>占比</w:t>
            </w:r>
          </w:p>
        </w:tc>
      </w:tr>
      <w:tr>
        <w:trPr>
          <w:trHeight w:val="367" w:hRule="exact"/>
        </w:trPr>
        <w:tc>
          <w:tcPr>
            <w:tcW w:w="1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旗舰店</w:t>
            </w:r>
          </w:p>
        </w:tc>
        <w:tc>
          <w:tcPr>
            <w:tcW w:w="1044" w:type="dxa"/>
            <w:tcBorders>
              <w:top w:val="single" w:sz="12" w:space="0" w:color="D2D2D2"/>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66</w:t>
            </w:r>
          </w:p>
        </w:tc>
        <w:tc>
          <w:tcPr>
            <w:tcW w:w="987" w:type="dxa"/>
            <w:tcBorders>
              <w:top w:val="single" w:sz="12" w:space="0" w:color="D2D2D2"/>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18.49%</w:t>
            </w:r>
          </w:p>
        </w:tc>
        <w:tc>
          <w:tcPr>
            <w:tcW w:w="998" w:type="dxa"/>
            <w:tcBorders>
              <w:top w:val="single" w:sz="12" w:space="0" w:color="D2D2D2"/>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69</w:t>
            </w:r>
          </w:p>
        </w:tc>
        <w:tc>
          <w:tcPr>
            <w:tcW w:w="999" w:type="dxa"/>
            <w:tcBorders>
              <w:top w:val="single" w:sz="12" w:space="0" w:color="D2D2D2"/>
              <w:left w:val="single" w:sz="6" w:space="0" w:color="000000"/>
              <w:bottom w:val="single" w:sz="6" w:space="0" w:color="000000"/>
              <w:right w:val="single" w:sz="6" w:space="0" w:color="000000"/>
            </w:tcBorders>
          </w:tcPr>
          <w:p>
            <w:pPr>
              <w:pStyle w:val="TableParagraph"/>
              <w:spacing w:line="240" w:lineRule="auto" w:before="45"/>
              <w:ind w:left="7" w:right="0"/>
              <w:jc w:val="center"/>
              <w:rPr>
                <w:rFonts w:ascii="Times New Roman" w:hAnsi="Times New Roman" w:cs="Times New Roman" w:eastAsia="Times New Roman" w:hint="default"/>
                <w:sz w:val="21"/>
                <w:szCs w:val="21"/>
              </w:rPr>
            </w:pPr>
            <w:r>
              <w:rPr>
                <w:rFonts w:ascii="Times New Roman"/>
                <w:sz w:val="21"/>
              </w:rPr>
              <w:t>24.56%</w:t>
            </w:r>
          </w:p>
        </w:tc>
        <w:tc>
          <w:tcPr>
            <w:tcW w:w="1126" w:type="dxa"/>
            <w:tcBorders>
              <w:top w:val="single" w:sz="12" w:space="0" w:color="D2D2D2"/>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45</w:t>
            </w:r>
          </w:p>
        </w:tc>
        <w:tc>
          <w:tcPr>
            <w:tcW w:w="1087" w:type="dxa"/>
            <w:tcBorders>
              <w:top w:val="single" w:sz="12" w:space="0" w:color="D2D2D2"/>
              <w:left w:val="single" w:sz="6" w:space="0" w:color="000000"/>
              <w:bottom w:val="single" w:sz="6" w:space="0" w:color="000000"/>
              <w:right w:val="single" w:sz="6" w:space="0" w:color="000000"/>
            </w:tcBorders>
          </w:tcPr>
          <w:p>
            <w:pPr>
              <w:pStyle w:val="TableParagraph"/>
              <w:spacing w:line="240" w:lineRule="auto" w:before="45"/>
              <w:ind w:left="5" w:right="0"/>
              <w:jc w:val="center"/>
              <w:rPr>
                <w:rFonts w:ascii="Times New Roman" w:hAnsi="Times New Roman" w:cs="Times New Roman" w:eastAsia="Times New Roman" w:hint="default"/>
                <w:sz w:val="21"/>
                <w:szCs w:val="21"/>
              </w:rPr>
            </w:pPr>
            <w:r>
              <w:rPr>
                <w:rFonts w:ascii="Times New Roman"/>
                <w:sz w:val="21"/>
              </w:rPr>
              <w:t>16.67%</w:t>
            </w:r>
          </w:p>
        </w:tc>
        <w:tc>
          <w:tcPr>
            <w:tcW w:w="1045" w:type="dxa"/>
            <w:tcBorders>
              <w:top w:val="single" w:sz="12" w:space="0" w:color="D2D2D2"/>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Times New Roman" w:hAnsi="Times New Roman" w:cs="Times New Roman" w:eastAsia="Times New Roman" w:hint="default"/>
                <w:sz w:val="21"/>
                <w:szCs w:val="21"/>
              </w:rPr>
            </w:pPr>
            <w:r>
              <w:rPr>
                <w:rFonts w:ascii="Times New Roman"/>
                <w:sz w:val="21"/>
              </w:rPr>
              <w:t>61</w:t>
            </w:r>
          </w:p>
        </w:tc>
        <w:tc>
          <w:tcPr>
            <w:tcW w:w="1001" w:type="dxa"/>
            <w:tcBorders>
              <w:top w:val="single" w:sz="12" w:space="0" w:color="D2D2D2"/>
              <w:left w:val="single" w:sz="6" w:space="0" w:color="000000"/>
              <w:bottom w:val="single" w:sz="6" w:space="0" w:color="000000"/>
              <w:right w:val="single" w:sz="6" w:space="0" w:color="000000"/>
            </w:tcBorders>
          </w:tcPr>
          <w:p>
            <w:pPr>
              <w:pStyle w:val="TableParagraph"/>
              <w:spacing w:line="240" w:lineRule="auto" w:before="45"/>
              <w:ind w:left="5" w:right="0"/>
              <w:jc w:val="center"/>
              <w:rPr>
                <w:rFonts w:ascii="Times New Roman" w:hAnsi="Times New Roman" w:cs="Times New Roman" w:eastAsia="Times New Roman" w:hint="default"/>
                <w:sz w:val="21"/>
                <w:szCs w:val="21"/>
              </w:rPr>
            </w:pPr>
            <w:r>
              <w:rPr>
                <w:rFonts w:ascii="Times New Roman"/>
                <w:sz w:val="21"/>
              </w:rPr>
              <w:t>27.48%</w:t>
            </w:r>
          </w:p>
        </w:tc>
      </w:tr>
      <w:tr>
        <w:trPr>
          <w:trHeight w:val="346" w:hRule="exact"/>
        </w:trPr>
        <w:tc>
          <w:tcPr>
            <w:tcW w:w="1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中心店</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76</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21.29%</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89</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31.67%</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80</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29.63%</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56</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25.23%</w:t>
            </w:r>
          </w:p>
        </w:tc>
      </w:tr>
      <w:tr>
        <w:trPr>
          <w:trHeight w:val="363" w:hRule="exact"/>
        </w:trPr>
        <w:tc>
          <w:tcPr>
            <w:tcW w:w="1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社区店</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 w:right="0"/>
              <w:jc w:val="center"/>
              <w:rPr>
                <w:rFonts w:ascii="Times New Roman" w:hAnsi="Times New Roman" w:cs="Times New Roman" w:eastAsia="Times New Roman" w:hint="default"/>
                <w:sz w:val="21"/>
                <w:szCs w:val="21"/>
              </w:rPr>
            </w:pPr>
            <w:r>
              <w:rPr>
                <w:rFonts w:ascii="Times New Roman"/>
                <w:sz w:val="21"/>
              </w:rPr>
              <w:t>157</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sz w:val="21"/>
              </w:rPr>
              <w:t>43.97%</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33" w:right="0"/>
              <w:jc w:val="left"/>
              <w:rPr>
                <w:rFonts w:ascii="Times New Roman" w:hAnsi="Times New Roman" w:cs="Times New Roman" w:eastAsia="Times New Roman" w:hint="default"/>
                <w:sz w:val="21"/>
                <w:szCs w:val="21"/>
              </w:rPr>
            </w:pPr>
            <w:r>
              <w:rPr>
                <w:rFonts w:ascii="Times New Roman"/>
                <w:sz w:val="21"/>
              </w:rPr>
              <w:t>109</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7" w:right="0"/>
              <w:jc w:val="center"/>
              <w:rPr>
                <w:rFonts w:ascii="Times New Roman" w:hAnsi="Times New Roman" w:cs="Times New Roman" w:eastAsia="Times New Roman" w:hint="default"/>
                <w:sz w:val="21"/>
                <w:szCs w:val="21"/>
              </w:rPr>
            </w:pPr>
            <w:r>
              <w:rPr>
                <w:rFonts w:ascii="Times New Roman"/>
                <w:sz w:val="21"/>
              </w:rPr>
              <w:t>38.79%</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91"/>
              <w:jc w:val="right"/>
              <w:rPr>
                <w:rFonts w:ascii="Times New Roman" w:hAnsi="Times New Roman" w:cs="Times New Roman" w:eastAsia="Times New Roman" w:hint="default"/>
                <w:sz w:val="21"/>
                <w:szCs w:val="21"/>
              </w:rPr>
            </w:pPr>
            <w:r>
              <w:rPr>
                <w:rFonts w:ascii="Times New Roman"/>
                <w:sz w:val="21"/>
              </w:rPr>
              <w:t>132</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5" w:right="0"/>
              <w:jc w:val="center"/>
              <w:rPr>
                <w:rFonts w:ascii="Times New Roman" w:hAnsi="Times New Roman" w:cs="Times New Roman" w:eastAsia="Times New Roman" w:hint="default"/>
                <w:sz w:val="21"/>
                <w:szCs w:val="21"/>
              </w:rPr>
            </w:pPr>
            <w:r>
              <w:rPr>
                <w:rFonts w:ascii="Times New Roman"/>
                <w:sz w:val="21"/>
              </w:rPr>
              <w:t>48.89%</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91</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5" w:right="0"/>
              <w:jc w:val="center"/>
              <w:rPr>
                <w:rFonts w:ascii="Times New Roman" w:hAnsi="Times New Roman" w:cs="Times New Roman" w:eastAsia="Times New Roman" w:hint="default"/>
                <w:sz w:val="21"/>
                <w:szCs w:val="21"/>
              </w:rPr>
            </w:pPr>
            <w:r>
              <w:rPr>
                <w:rFonts w:ascii="Times New Roman"/>
                <w:sz w:val="21"/>
              </w:rPr>
              <w:t>40.99%</w:t>
            </w:r>
          </w:p>
        </w:tc>
      </w:tr>
      <w:tr>
        <w:trPr>
          <w:trHeight w:val="348" w:hRule="exact"/>
        </w:trPr>
        <w:tc>
          <w:tcPr>
            <w:tcW w:w="1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常规店小计</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299</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83.75%</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33" w:right="0"/>
              <w:jc w:val="left"/>
              <w:rPr>
                <w:rFonts w:ascii="Times New Roman" w:hAnsi="Times New Roman" w:cs="Times New Roman" w:eastAsia="Times New Roman" w:hint="default"/>
                <w:sz w:val="21"/>
                <w:szCs w:val="21"/>
              </w:rPr>
            </w:pPr>
            <w:r>
              <w:rPr>
                <w:rFonts w:ascii="Times New Roman"/>
                <w:sz w:val="21"/>
              </w:rPr>
              <w:t>267</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 w:right="0"/>
              <w:jc w:val="center"/>
              <w:rPr>
                <w:rFonts w:ascii="Times New Roman" w:hAnsi="Times New Roman" w:cs="Times New Roman" w:eastAsia="Times New Roman" w:hint="default"/>
                <w:sz w:val="21"/>
                <w:szCs w:val="21"/>
              </w:rPr>
            </w:pPr>
            <w:r>
              <w:rPr>
                <w:rFonts w:ascii="Times New Roman"/>
                <w:sz w:val="21"/>
              </w:rPr>
              <w:t>95.02%</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91"/>
              <w:jc w:val="right"/>
              <w:rPr>
                <w:rFonts w:ascii="Times New Roman" w:hAnsi="Times New Roman" w:cs="Times New Roman" w:eastAsia="Times New Roman" w:hint="default"/>
                <w:sz w:val="21"/>
                <w:szCs w:val="21"/>
              </w:rPr>
            </w:pPr>
            <w:r>
              <w:rPr>
                <w:rFonts w:ascii="Times New Roman"/>
                <w:sz w:val="21"/>
              </w:rPr>
              <w:t>257</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95.19%</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sz w:val="21"/>
              </w:rPr>
              <w:t>208</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93.70%</w:t>
            </w:r>
          </w:p>
        </w:tc>
      </w:tr>
      <w:tr>
        <w:trPr>
          <w:trHeight w:val="348" w:hRule="exact"/>
        </w:trPr>
        <w:tc>
          <w:tcPr>
            <w:tcW w:w="1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精品店</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1</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0.35%</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w w:val="100"/>
                <w:sz w:val="21"/>
              </w:rPr>
              <w:t>5</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2.25%</w:t>
            </w:r>
          </w:p>
        </w:tc>
      </w:tr>
      <w:tr>
        <w:trPr>
          <w:trHeight w:val="346" w:hRule="exact"/>
        </w:trPr>
        <w:tc>
          <w:tcPr>
            <w:tcW w:w="1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县镇店</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57</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15.97%</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3.56%</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13</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4.81%</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w w:val="100"/>
                <w:sz w:val="21"/>
              </w:rPr>
              <w:t>5</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2.25%</w:t>
            </w:r>
          </w:p>
        </w:tc>
      </w:tr>
      <w:tr>
        <w:trPr>
          <w:trHeight w:val="370" w:hRule="exact"/>
        </w:trPr>
        <w:tc>
          <w:tcPr>
            <w:tcW w:w="1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3" w:right="0"/>
              <w:jc w:val="center"/>
              <w:rPr>
                <w:rFonts w:ascii="宋体" w:hAnsi="宋体" w:cs="宋体" w:eastAsia="宋体" w:hint="default"/>
                <w:sz w:val="21"/>
                <w:szCs w:val="21"/>
              </w:rPr>
            </w:pPr>
            <w:r>
              <w:rPr>
                <w:rFonts w:ascii="宋体" w:hAnsi="宋体" w:cs="宋体" w:eastAsia="宋体" w:hint="default"/>
                <w:sz w:val="21"/>
                <w:szCs w:val="21"/>
              </w:rPr>
              <w:t>乐购仕店</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0.28%</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w w:val="100"/>
                <w:sz w:val="21"/>
              </w:rPr>
              <w:t>3</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7" w:right="0"/>
              <w:jc w:val="center"/>
              <w:rPr>
                <w:rFonts w:ascii="Times New Roman" w:hAnsi="Times New Roman" w:cs="Times New Roman" w:eastAsia="Times New Roman" w:hint="default"/>
                <w:sz w:val="21"/>
                <w:szCs w:val="21"/>
              </w:rPr>
            </w:pPr>
            <w:r>
              <w:rPr>
                <w:rFonts w:ascii="Times New Roman"/>
                <w:sz w:val="21"/>
              </w:rPr>
              <w:t>1.07%</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w w:val="100"/>
                <w:sz w:val="21"/>
              </w:rPr>
              <w:t>4</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5" w:right="0"/>
              <w:jc w:val="center"/>
              <w:rPr>
                <w:rFonts w:ascii="Times New Roman" w:hAnsi="Times New Roman" w:cs="Times New Roman" w:eastAsia="Times New Roman" w:hint="default"/>
                <w:sz w:val="21"/>
                <w:szCs w:val="21"/>
              </w:rPr>
            </w:pPr>
            <w:r>
              <w:rPr>
                <w:rFonts w:ascii="Times New Roman"/>
                <w:sz w:val="21"/>
              </w:rPr>
              <w:t>1.80%</w:t>
            </w:r>
          </w:p>
        </w:tc>
      </w:tr>
      <w:tr>
        <w:trPr>
          <w:trHeight w:val="343" w:hRule="exact"/>
        </w:trPr>
        <w:tc>
          <w:tcPr>
            <w:tcW w:w="1373" w:type="dxa"/>
            <w:tcBorders>
              <w:top w:val="single" w:sz="6" w:space="0" w:color="000000"/>
              <w:left w:val="single" w:sz="6" w:space="0" w:color="000000"/>
              <w:bottom w:val="single" w:sz="4" w:space="0" w:color="000000"/>
              <w:right w:val="single" w:sz="6" w:space="0" w:color="000000"/>
            </w:tcBorders>
            <w:shd w:val="clear" w:color="auto" w:fill="D2D2D2"/>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4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357</w:t>
            </w:r>
          </w:p>
        </w:tc>
        <w:tc>
          <w:tcPr>
            <w:tcW w:w="98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100.00%</w:t>
            </w:r>
          </w:p>
        </w:tc>
        <w:tc>
          <w:tcPr>
            <w:tcW w:w="99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4"/>
              <w:ind w:left="333" w:right="0"/>
              <w:jc w:val="left"/>
              <w:rPr>
                <w:rFonts w:ascii="Times New Roman" w:hAnsi="Times New Roman" w:cs="Times New Roman" w:eastAsia="Times New Roman" w:hint="default"/>
                <w:sz w:val="21"/>
                <w:szCs w:val="21"/>
              </w:rPr>
            </w:pPr>
            <w:r>
              <w:rPr>
                <w:rFonts w:ascii="Times New Roman"/>
                <w:sz w:val="21"/>
              </w:rPr>
              <w:t>281</w:t>
            </w:r>
          </w:p>
        </w:tc>
        <w:tc>
          <w:tcPr>
            <w:tcW w:w="99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100.00%</w:t>
            </w:r>
          </w:p>
        </w:tc>
        <w:tc>
          <w:tcPr>
            <w:tcW w:w="112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4"/>
              <w:ind w:right="391"/>
              <w:jc w:val="right"/>
              <w:rPr>
                <w:rFonts w:ascii="Times New Roman" w:hAnsi="Times New Roman" w:cs="Times New Roman" w:eastAsia="Times New Roman" w:hint="default"/>
                <w:sz w:val="21"/>
                <w:szCs w:val="21"/>
              </w:rPr>
            </w:pPr>
            <w:r>
              <w:rPr>
                <w:rFonts w:ascii="Times New Roman"/>
                <w:sz w:val="21"/>
              </w:rPr>
              <w:t>270</w:t>
            </w:r>
          </w:p>
        </w:tc>
        <w:tc>
          <w:tcPr>
            <w:tcW w:w="108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100.00%</w:t>
            </w:r>
          </w:p>
        </w:tc>
        <w:tc>
          <w:tcPr>
            <w:tcW w:w="104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222</w:t>
            </w:r>
          </w:p>
        </w:tc>
        <w:tc>
          <w:tcPr>
            <w:tcW w:w="100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1373"/>
        <w:gridCol w:w="1044"/>
        <w:gridCol w:w="987"/>
        <w:gridCol w:w="998"/>
        <w:gridCol w:w="999"/>
        <w:gridCol w:w="1126"/>
        <w:gridCol w:w="1087"/>
        <w:gridCol w:w="1045"/>
        <w:gridCol w:w="1001"/>
      </w:tblGrid>
      <w:tr>
        <w:trPr>
          <w:trHeight w:val="357" w:hRule="exact"/>
        </w:trPr>
        <w:tc>
          <w:tcPr>
            <w:tcW w:w="1373" w:type="dxa"/>
            <w:vMerge w:val="restart"/>
            <w:tcBorders>
              <w:top w:val="single" w:sz="4" w:space="0" w:color="000000"/>
              <w:left w:val="single" w:sz="6" w:space="0" w:color="000000"/>
              <w:right w:val="single" w:sz="6" w:space="0" w:color="000000"/>
            </w:tcBorders>
            <w:shd w:val="clear" w:color="auto" w:fill="D2D2D2"/>
          </w:tcPr>
          <w:p>
            <w:pPr>
              <w:pStyle w:val="TableParagraph"/>
              <w:spacing w:line="240" w:lineRule="auto" w:before="38"/>
              <w:ind w:left="785" w:right="0"/>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40" w:lineRule="auto" w:before="37"/>
              <w:ind w:left="317"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2031" w:type="dxa"/>
            <w:gridSpan w:val="2"/>
            <w:tcBorders>
              <w:top w:val="single" w:sz="4"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590"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997" w:type="dxa"/>
            <w:gridSpan w:val="2"/>
            <w:tcBorders>
              <w:top w:val="single" w:sz="4"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571"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2213" w:type="dxa"/>
            <w:gridSpan w:val="2"/>
            <w:tcBorders>
              <w:top w:val="single" w:sz="4"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681"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2045" w:type="dxa"/>
            <w:gridSpan w:val="2"/>
            <w:tcBorders>
              <w:top w:val="single" w:sz="4"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595" w:right="0"/>
              <w:jc w:val="left"/>
              <w:rPr>
                <w:rFonts w:ascii="宋体" w:hAnsi="宋体" w:cs="宋体" w:eastAsia="宋体" w:hint="default"/>
                <w:sz w:val="21"/>
                <w:szCs w:val="21"/>
              </w:rPr>
            </w:pPr>
            <w:r>
              <w:rPr>
                <w:rFonts w:ascii="宋体" w:hAnsi="宋体" w:cs="宋体" w:eastAsia="宋体" w:hint="default"/>
                <w:sz w:val="21"/>
                <w:szCs w:val="21"/>
              </w:rPr>
              <w:t>西北地区</w:t>
            </w:r>
          </w:p>
        </w:tc>
      </w:tr>
      <w:tr>
        <w:trPr>
          <w:trHeight w:val="383" w:hRule="exact"/>
        </w:trPr>
        <w:tc>
          <w:tcPr>
            <w:tcW w:w="1373" w:type="dxa"/>
            <w:vMerge/>
            <w:tcBorders>
              <w:left w:val="single" w:sz="6" w:space="0" w:color="000000"/>
              <w:bottom w:val="single" w:sz="6" w:space="0" w:color="000000"/>
              <w:right w:val="single" w:sz="6" w:space="0" w:color="000000"/>
            </w:tcBorders>
            <w:shd w:val="clear" w:color="auto" w:fill="D2D2D2"/>
          </w:tcPr>
          <w:p>
            <w:pPr/>
          </w:p>
        </w:tc>
        <w:tc>
          <w:tcPr>
            <w:tcW w:w="10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3"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9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28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4"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338"/>
              <w:jc w:val="right"/>
              <w:rPr>
                <w:rFonts w:ascii="宋体" w:hAnsi="宋体" w:cs="宋体" w:eastAsia="宋体" w:hint="default"/>
                <w:sz w:val="21"/>
                <w:szCs w:val="21"/>
              </w:rPr>
            </w:pPr>
            <w:r>
              <w:rPr>
                <w:rFonts w:ascii="宋体" w:hAnsi="宋体" w:cs="宋体" w:eastAsia="宋体" w:hint="default"/>
                <w:sz w:val="21"/>
                <w:szCs w:val="21"/>
              </w:rPr>
              <w:t>数量</w:t>
            </w:r>
          </w:p>
        </w:tc>
        <w:tc>
          <w:tcPr>
            <w:tcW w:w="10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7"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10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3"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7" w:right="0"/>
              <w:jc w:val="center"/>
              <w:rPr>
                <w:rFonts w:ascii="宋体" w:hAnsi="宋体" w:cs="宋体" w:eastAsia="宋体" w:hint="default"/>
                <w:sz w:val="21"/>
                <w:szCs w:val="21"/>
              </w:rPr>
            </w:pPr>
            <w:r>
              <w:rPr>
                <w:rFonts w:ascii="宋体" w:hAnsi="宋体" w:cs="宋体" w:eastAsia="宋体" w:hint="default"/>
                <w:sz w:val="21"/>
                <w:szCs w:val="21"/>
              </w:rPr>
              <w:t>占比</w:t>
            </w:r>
          </w:p>
        </w:tc>
      </w:tr>
      <w:tr>
        <w:trPr>
          <w:trHeight w:val="346" w:hRule="exact"/>
        </w:trPr>
        <w:tc>
          <w:tcPr>
            <w:tcW w:w="1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旗舰店</w:t>
            </w:r>
          </w:p>
        </w:tc>
        <w:tc>
          <w:tcPr>
            <w:tcW w:w="1044" w:type="dxa"/>
            <w:tcBorders>
              <w:top w:val="single" w:sz="13" w:space="0" w:color="D2D2D2"/>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33</w:t>
            </w:r>
          </w:p>
        </w:tc>
        <w:tc>
          <w:tcPr>
            <w:tcW w:w="987" w:type="dxa"/>
            <w:tcBorders>
              <w:top w:val="single" w:sz="13" w:space="0" w:color="D2D2D2"/>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17.65%</w:t>
            </w:r>
          </w:p>
        </w:tc>
        <w:tc>
          <w:tcPr>
            <w:tcW w:w="998" w:type="dxa"/>
            <w:tcBorders>
              <w:top w:val="single" w:sz="13" w:space="0" w:color="D2D2D2"/>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22</w:t>
            </w:r>
          </w:p>
        </w:tc>
        <w:tc>
          <w:tcPr>
            <w:tcW w:w="999" w:type="dxa"/>
            <w:tcBorders>
              <w:top w:val="single" w:sz="13" w:space="0" w:color="D2D2D2"/>
              <w:left w:val="single" w:sz="6" w:space="0" w:color="000000"/>
              <w:bottom w:val="single" w:sz="6" w:space="0" w:color="000000"/>
              <w:right w:val="single" w:sz="6" w:space="0" w:color="000000"/>
            </w:tcBorders>
          </w:tcPr>
          <w:p>
            <w:pPr>
              <w:pStyle w:val="TableParagraph"/>
              <w:spacing w:line="240" w:lineRule="auto" w:before="34"/>
              <w:ind w:left="7" w:right="0"/>
              <w:jc w:val="center"/>
              <w:rPr>
                <w:rFonts w:ascii="Times New Roman" w:hAnsi="Times New Roman" w:cs="Times New Roman" w:eastAsia="Times New Roman" w:hint="default"/>
                <w:sz w:val="21"/>
                <w:szCs w:val="21"/>
              </w:rPr>
            </w:pPr>
            <w:r>
              <w:rPr>
                <w:rFonts w:ascii="Times New Roman"/>
                <w:sz w:val="21"/>
              </w:rPr>
              <w:t>14.11%</w:t>
            </w:r>
          </w:p>
        </w:tc>
        <w:tc>
          <w:tcPr>
            <w:tcW w:w="1126" w:type="dxa"/>
            <w:tcBorders>
              <w:top w:val="single" w:sz="13" w:space="0" w:color="D2D2D2"/>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25</w:t>
            </w:r>
          </w:p>
        </w:tc>
        <w:tc>
          <w:tcPr>
            <w:tcW w:w="1087" w:type="dxa"/>
            <w:tcBorders>
              <w:top w:val="single" w:sz="13" w:space="0" w:color="D2D2D2"/>
              <w:left w:val="single" w:sz="6" w:space="0" w:color="000000"/>
              <w:bottom w:val="single" w:sz="6" w:space="0" w:color="000000"/>
              <w:right w:val="single" w:sz="6" w:space="0" w:color="000000"/>
            </w:tcBorders>
          </w:tcPr>
          <w:p>
            <w:pPr>
              <w:pStyle w:val="TableParagraph"/>
              <w:spacing w:line="240" w:lineRule="auto" w:before="34"/>
              <w:ind w:left="5" w:right="0"/>
              <w:jc w:val="center"/>
              <w:rPr>
                <w:rFonts w:ascii="Times New Roman" w:hAnsi="Times New Roman" w:cs="Times New Roman" w:eastAsia="Times New Roman" w:hint="default"/>
                <w:sz w:val="21"/>
                <w:szCs w:val="21"/>
              </w:rPr>
            </w:pPr>
            <w:r>
              <w:rPr>
                <w:rFonts w:ascii="Times New Roman"/>
                <w:sz w:val="21"/>
              </w:rPr>
              <w:t>24.27%</w:t>
            </w:r>
          </w:p>
        </w:tc>
        <w:tc>
          <w:tcPr>
            <w:tcW w:w="1045" w:type="dxa"/>
            <w:tcBorders>
              <w:top w:val="single" w:sz="13" w:space="0" w:color="D2D2D2"/>
              <w:left w:val="single" w:sz="6" w:space="0" w:color="000000"/>
              <w:bottom w:val="single" w:sz="6" w:space="0" w:color="000000"/>
              <w:right w:val="single" w:sz="6"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15</w:t>
            </w:r>
          </w:p>
        </w:tc>
        <w:tc>
          <w:tcPr>
            <w:tcW w:w="1001" w:type="dxa"/>
            <w:tcBorders>
              <w:top w:val="single" w:sz="13" w:space="0" w:color="D2D2D2"/>
              <w:left w:val="single" w:sz="6" w:space="0" w:color="000000"/>
              <w:bottom w:val="single" w:sz="6" w:space="0" w:color="000000"/>
              <w:right w:val="single" w:sz="6" w:space="0" w:color="000000"/>
            </w:tcBorders>
          </w:tcPr>
          <w:p>
            <w:pPr>
              <w:pStyle w:val="TableParagraph"/>
              <w:spacing w:line="240" w:lineRule="auto" w:before="34"/>
              <w:ind w:left="5" w:right="0"/>
              <w:jc w:val="center"/>
              <w:rPr>
                <w:rFonts w:ascii="Times New Roman" w:hAnsi="Times New Roman" w:cs="Times New Roman" w:eastAsia="Times New Roman" w:hint="default"/>
                <w:sz w:val="21"/>
                <w:szCs w:val="21"/>
              </w:rPr>
            </w:pPr>
            <w:r>
              <w:rPr>
                <w:rFonts w:ascii="Times New Roman"/>
                <w:sz w:val="21"/>
              </w:rPr>
              <w:t>17.05%</w:t>
            </w:r>
          </w:p>
        </w:tc>
      </w:tr>
      <w:tr>
        <w:trPr>
          <w:trHeight w:val="394" w:hRule="exact"/>
        </w:trPr>
        <w:tc>
          <w:tcPr>
            <w:tcW w:w="1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中心店</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center"/>
              <w:rPr>
                <w:rFonts w:ascii="Times New Roman" w:hAnsi="Times New Roman" w:cs="Times New Roman" w:eastAsia="Times New Roman" w:hint="default"/>
                <w:sz w:val="21"/>
                <w:szCs w:val="21"/>
              </w:rPr>
            </w:pPr>
            <w:r>
              <w:rPr>
                <w:rFonts w:ascii="Times New Roman"/>
                <w:sz w:val="21"/>
              </w:rPr>
              <w:t>52</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27.81%</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32</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7" w:right="0"/>
              <w:jc w:val="center"/>
              <w:rPr>
                <w:rFonts w:ascii="Times New Roman" w:hAnsi="Times New Roman" w:cs="Times New Roman" w:eastAsia="Times New Roman" w:hint="default"/>
                <w:sz w:val="21"/>
                <w:szCs w:val="21"/>
              </w:rPr>
            </w:pPr>
            <w:r>
              <w:rPr>
                <w:rFonts w:ascii="Times New Roman"/>
                <w:sz w:val="21"/>
              </w:rPr>
              <w:t>20.51%</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center"/>
              <w:rPr>
                <w:rFonts w:ascii="Times New Roman" w:hAnsi="Times New Roman" w:cs="Times New Roman" w:eastAsia="Times New Roman" w:hint="default"/>
                <w:sz w:val="21"/>
                <w:szCs w:val="21"/>
              </w:rPr>
            </w:pPr>
            <w:r>
              <w:rPr>
                <w:rFonts w:ascii="Times New Roman"/>
                <w:sz w:val="21"/>
              </w:rPr>
              <w:t>19</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sz w:val="21"/>
              </w:rPr>
              <w:t>18.45%</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Times New Roman" w:hAnsi="Times New Roman" w:cs="Times New Roman" w:eastAsia="Times New Roman" w:hint="default"/>
                <w:sz w:val="21"/>
                <w:szCs w:val="21"/>
              </w:rPr>
            </w:pPr>
            <w:r>
              <w:rPr>
                <w:rFonts w:ascii="Times New Roman"/>
                <w:sz w:val="21"/>
              </w:rPr>
              <w:t>29</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sz w:val="21"/>
              </w:rPr>
              <w:t>32.95%</w:t>
            </w:r>
          </w:p>
        </w:tc>
      </w:tr>
      <w:tr>
        <w:trPr>
          <w:trHeight w:val="396" w:hRule="exact"/>
        </w:trPr>
        <w:tc>
          <w:tcPr>
            <w:tcW w:w="1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社区店</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Times New Roman" w:hAnsi="Times New Roman" w:cs="Times New Roman" w:eastAsia="Times New Roman" w:hint="default"/>
                <w:sz w:val="21"/>
                <w:szCs w:val="21"/>
              </w:rPr>
            </w:pPr>
            <w:r>
              <w:rPr>
                <w:rFonts w:ascii="Times New Roman"/>
                <w:sz w:val="21"/>
              </w:rPr>
              <w:t>93</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49.73%</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99</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7" w:right="0"/>
              <w:jc w:val="center"/>
              <w:rPr>
                <w:rFonts w:ascii="Times New Roman" w:hAnsi="Times New Roman" w:cs="Times New Roman" w:eastAsia="Times New Roman" w:hint="default"/>
                <w:sz w:val="21"/>
                <w:szCs w:val="21"/>
              </w:rPr>
            </w:pPr>
            <w:r>
              <w:rPr>
                <w:rFonts w:ascii="Times New Roman"/>
                <w:sz w:val="21"/>
              </w:rPr>
              <w:t>63.46%</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Times New Roman" w:hAnsi="Times New Roman" w:cs="Times New Roman" w:eastAsia="Times New Roman" w:hint="default"/>
                <w:sz w:val="21"/>
                <w:szCs w:val="21"/>
              </w:rPr>
            </w:pPr>
            <w:r>
              <w:rPr>
                <w:rFonts w:ascii="Times New Roman"/>
                <w:sz w:val="21"/>
              </w:rPr>
              <w:t>57</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5" w:right="0"/>
              <w:jc w:val="center"/>
              <w:rPr>
                <w:rFonts w:ascii="Times New Roman" w:hAnsi="Times New Roman" w:cs="Times New Roman" w:eastAsia="Times New Roman" w:hint="default"/>
                <w:sz w:val="21"/>
                <w:szCs w:val="21"/>
              </w:rPr>
            </w:pPr>
            <w:r>
              <w:rPr>
                <w:rFonts w:ascii="Times New Roman"/>
                <w:sz w:val="21"/>
              </w:rPr>
              <w:t>55.34%</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3" w:right="0"/>
              <w:jc w:val="center"/>
              <w:rPr>
                <w:rFonts w:ascii="Times New Roman" w:hAnsi="Times New Roman" w:cs="Times New Roman" w:eastAsia="Times New Roman" w:hint="default"/>
                <w:sz w:val="21"/>
                <w:szCs w:val="21"/>
              </w:rPr>
            </w:pPr>
            <w:r>
              <w:rPr>
                <w:rFonts w:ascii="Times New Roman"/>
                <w:sz w:val="21"/>
              </w:rPr>
              <w:t>39</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5" w:right="0"/>
              <w:jc w:val="center"/>
              <w:rPr>
                <w:rFonts w:ascii="Times New Roman" w:hAnsi="Times New Roman" w:cs="Times New Roman" w:eastAsia="Times New Roman" w:hint="default"/>
                <w:sz w:val="21"/>
                <w:szCs w:val="21"/>
              </w:rPr>
            </w:pPr>
            <w:r>
              <w:rPr>
                <w:rFonts w:ascii="Times New Roman"/>
                <w:sz w:val="21"/>
              </w:rPr>
              <w:t>44.32%</w:t>
            </w:r>
          </w:p>
        </w:tc>
      </w:tr>
      <w:tr>
        <w:trPr>
          <w:trHeight w:val="389" w:hRule="exact"/>
        </w:trPr>
        <w:tc>
          <w:tcPr>
            <w:tcW w:w="1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3" w:right="0"/>
              <w:jc w:val="center"/>
              <w:rPr>
                <w:rFonts w:ascii="宋体" w:hAnsi="宋体" w:cs="宋体" w:eastAsia="宋体" w:hint="default"/>
                <w:sz w:val="21"/>
                <w:szCs w:val="21"/>
              </w:rPr>
            </w:pPr>
            <w:r>
              <w:rPr>
                <w:rFonts w:ascii="宋体" w:hAnsi="宋体" w:cs="宋体" w:eastAsia="宋体" w:hint="default"/>
                <w:sz w:val="21"/>
                <w:szCs w:val="21"/>
              </w:rPr>
              <w:t>常规店小计</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21"/>
                <w:szCs w:val="21"/>
              </w:rPr>
            </w:pPr>
            <w:r>
              <w:rPr>
                <w:rFonts w:ascii="Times New Roman"/>
                <w:sz w:val="21"/>
              </w:rPr>
              <w:t>178</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21"/>
                <w:szCs w:val="21"/>
              </w:rPr>
            </w:pPr>
            <w:r>
              <w:rPr>
                <w:rFonts w:ascii="Times New Roman"/>
                <w:sz w:val="21"/>
              </w:rPr>
              <w:t>95.19%</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33" w:right="0"/>
              <w:jc w:val="left"/>
              <w:rPr>
                <w:rFonts w:ascii="Times New Roman" w:hAnsi="Times New Roman" w:cs="Times New Roman" w:eastAsia="Times New Roman" w:hint="default"/>
                <w:sz w:val="21"/>
                <w:szCs w:val="21"/>
              </w:rPr>
            </w:pPr>
            <w:r>
              <w:rPr>
                <w:rFonts w:ascii="Times New Roman"/>
                <w:sz w:val="21"/>
              </w:rPr>
              <w:t>153</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7" w:right="0"/>
              <w:jc w:val="center"/>
              <w:rPr>
                <w:rFonts w:ascii="Times New Roman" w:hAnsi="Times New Roman" w:cs="Times New Roman" w:eastAsia="Times New Roman" w:hint="default"/>
                <w:sz w:val="21"/>
                <w:szCs w:val="21"/>
              </w:rPr>
            </w:pPr>
            <w:r>
              <w:rPr>
                <w:rFonts w:ascii="Times New Roman"/>
                <w:sz w:val="21"/>
              </w:rPr>
              <w:t>98.08%</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391"/>
              <w:jc w:val="right"/>
              <w:rPr>
                <w:rFonts w:ascii="Times New Roman" w:hAnsi="Times New Roman" w:cs="Times New Roman" w:eastAsia="Times New Roman" w:hint="default"/>
                <w:sz w:val="21"/>
                <w:szCs w:val="21"/>
              </w:rPr>
            </w:pPr>
            <w:r>
              <w:rPr>
                <w:rFonts w:ascii="Times New Roman"/>
                <w:sz w:val="21"/>
              </w:rPr>
              <w:t>101</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 w:right="0"/>
              <w:jc w:val="center"/>
              <w:rPr>
                <w:rFonts w:ascii="Times New Roman" w:hAnsi="Times New Roman" w:cs="Times New Roman" w:eastAsia="Times New Roman" w:hint="default"/>
                <w:sz w:val="21"/>
                <w:szCs w:val="21"/>
              </w:rPr>
            </w:pPr>
            <w:r>
              <w:rPr>
                <w:rFonts w:ascii="Times New Roman"/>
                <w:sz w:val="21"/>
              </w:rPr>
              <w:t>98.06%</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21"/>
                <w:szCs w:val="21"/>
              </w:rPr>
            </w:pPr>
            <w:r>
              <w:rPr>
                <w:rFonts w:ascii="Times New Roman"/>
                <w:sz w:val="21"/>
              </w:rPr>
              <w:t>83</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 w:right="0"/>
              <w:jc w:val="center"/>
              <w:rPr>
                <w:rFonts w:ascii="Times New Roman" w:hAnsi="Times New Roman" w:cs="Times New Roman" w:eastAsia="Times New Roman" w:hint="default"/>
                <w:sz w:val="21"/>
                <w:szCs w:val="21"/>
              </w:rPr>
            </w:pPr>
            <w:r>
              <w:rPr>
                <w:rFonts w:ascii="Times New Roman"/>
                <w:sz w:val="21"/>
              </w:rPr>
              <w:t>94.32%</w:t>
            </w:r>
          </w:p>
        </w:tc>
      </w:tr>
      <w:tr>
        <w:trPr>
          <w:trHeight w:val="394" w:hRule="exact"/>
        </w:trPr>
        <w:tc>
          <w:tcPr>
            <w:tcW w:w="1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精品店</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w w:val="100"/>
                <w:sz w:val="21"/>
              </w:rPr>
              <w:t>-</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Times New Roman" w:hAnsi="Times New Roman" w:cs="Times New Roman" w:eastAsia="Times New Roman" w:hint="default"/>
                <w:sz w:val="21"/>
                <w:szCs w:val="21"/>
              </w:rPr>
            </w:pPr>
            <w:r>
              <w:rPr>
                <w:rFonts w:ascii="Times New Roman"/>
                <w:w w:val="100"/>
                <w:sz w:val="21"/>
              </w:rPr>
              <w:t>-</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94" w:hRule="exact"/>
        </w:trPr>
        <w:tc>
          <w:tcPr>
            <w:tcW w:w="1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县镇店</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center"/>
              <w:rPr>
                <w:rFonts w:ascii="Times New Roman" w:hAnsi="Times New Roman" w:cs="Times New Roman" w:eastAsia="Times New Roman" w:hint="default"/>
                <w:sz w:val="21"/>
                <w:szCs w:val="21"/>
              </w:rPr>
            </w:pPr>
            <w:r>
              <w:rPr>
                <w:rFonts w:ascii="Times New Roman"/>
                <w:w w:val="100"/>
                <w:sz w:val="21"/>
              </w:rPr>
              <w:t>9</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4.81%</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w w:val="100"/>
                <w:sz w:val="21"/>
              </w:rPr>
              <w:t>3</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7" w:right="0"/>
              <w:jc w:val="center"/>
              <w:rPr>
                <w:rFonts w:ascii="Times New Roman" w:hAnsi="Times New Roman" w:cs="Times New Roman" w:eastAsia="Times New Roman" w:hint="default"/>
                <w:sz w:val="21"/>
                <w:szCs w:val="21"/>
              </w:rPr>
            </w:pPr>
            <w:r>
              <w:rPr>
                <w:rFonts w:ascii="Times New Roman"/>
                <w:sz w:val="21"/>
              </w:rPr>
              <w:t>1.92%</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center"/>
              <w:rPr>
                <w:rFonts w:ascii="Times New Roman" w:hAnsi="Times New Roman" w:cs="Times New Roman" w:eastAsia="Times New Roman" w:hint="default"/>
                <w:sz w:val="21"/>
                <w:szCs w:val="21"/>
              </w:rPr>
            </w:pPr>
            <w:r>
              <w:rPr>
                <w:rFonts w:ascii="Times New Roman"/>
                <w:w w:val="100"/>
                <w:sz w:val="21"/>
              </w:rPr>
              <w:t>2</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sz w:val="21"/>
              </w:rPr>
              <w:t>1.94%</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Times New Roman" w:hAnsi="Times New Roman" w:cs="Times New Roman" w:eastAsia="Times New Roman" w:hint="default"/>
                <w:sz w:val="21"/>
                <w:szCs w:val="21"/>
              </w:rPr>
            </w:pPr>
            <w:r>
              <w:rPr>
                <w:rFonts w:ascii="Times New Roman"/>
                <w:w w:val="100"/>
                <w:sz w:val="21"/>
              </w:rPr>
              <w:t>5</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sz w:val="21"/>
              </w:rPr>
              <w:t>5.68%</w:t>
            </w:r>
          </w:p>
        </w:tc>
      </w:tr>
      <w:tr>
        <w:trPr>
          <w:trHeight w:val="348" w:hRule="exact"/>
        </w:trPr>
        <w:tc>
          <w:tcPr>
            <w:tcW w:w="1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sz w:val="21"/>
                <w:szCs w:val="21"/>
              </w:rPr>
              <w:t>乐购仕店</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w w:val="100"/>
                <w:sz w:val="21"/>
              </w:rPr>
              <w:t>-</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46" w:hRule="exact"/>
        </w:trPr>
        <w:tc>
          <w:tcPr>
            <w:tcW w:w="1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187</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100.00%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33" w:right="0"/>
              <w:jc w:val="left"/>
              <w:rPr>
                <w:rFonts w:ascii="Times New Roman" w:hAnsi="Times New Roman" w:cs="Times New Roman" w:eastAsia="Times New Roman" w:hint="default"/>
                <w:sz w:val="21"/>
                <w:szCs w:val="21"/>
              </w:rPr>
            </w:pPr>
            <w:r>
              <w:rPr>
                <w:rFonts w:ascii="Times New Roman"/>
                <w:sz w:val="21"/>
              </w:rPr>
              <w:t>156</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100.00%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91"/>
              <w:jc w:val="right"/>
              <w:rPr>
                <w:rFonts w:ascii="Times New Roman" w:hAnsi="Times New Roman" w:cs="Times New Roman" w:eastAsia="Times New Roman" w:hint="default"/>
                <w:sz w:val="21"/>
                <w:szCs w:val="21"/>
              </w:rPr>
            </w:pPr>
            <w:r>
              <w:rPr>
                <w:rFonts w:ascii="Times New Roman"/>
                <w:sz w:val="21"/>
              </w:rPr>
              <w:t>103</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100.00%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88</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100.00%</w:t>
            </w:r>
          </w:p>
        </w:tc>
      </w:tr>
    </w:tbl>
    <w:p>
      <w:pPr>
        <w:pStyle w:val="BodyText"/>
        <w:spacing w:line="263" w:lineRule="exact" w:before="0"/>
        <w:ind w:left="573" w:right="982"/>
        <w:jc w:val="left"/>
      </w:pPr>
      <w:r>
        <w:rPr/>
        <w:t>注：由于香港、日本地区连锁店类型较为特殊，类型分布情况未列示。</w:t>
      </w:r>
    </w:p>
    <w:p>
      <w:pPr>
        <w:pStyle w:val="BodyText"/>
        <w:tabs>
          <w:tab w:pos="993" w:val="left" w:leader="none"/>
        </w:tabs>
        <w:spacing w:line="240" w:lineRule="auto" w:before="114"/>
        <w:ind w:left="573" w:right="982"/>
        <w:jc w:val="left"/>
      </w:pPr>
      <w:r>
        <w:rPr>
          <w:rFonts w:ascii="Wingdings" w:hAnsi="Wingdings" w:cs="Wingdings" w:eastAsia="Wingdings" w:hint="default"/>
        </w:rPr>
        <w:t></w:t>
      </w:r>
      <w:r>
        <w:rPr>
          <w:rFonts w:ascii="Times New Roman" w:hAnsi="Times New Roman" w:cs="Times New Roman" w:eastAsia="Times New Roman" w:hint="default"/>
        </w:rPr>
        <w:tab/>
      </w:r>
      <w:r>
        <w:rPr/>
        <w:t>重点城市店面类型分布：（单位：家）</w:t>
      </w:r>
    </w:p>
    <w:p>
      <w:pPr>
        <w:spacing w:line="240" w:lineRule="auto" w:before="2"/>
        <w:rPr>
          <w:rFonts w:ascii="宋体" w:hAnsi="宋体" w:cs="宋体" w:eastAsia="宋体" w:hint="default"/>
          <w:sz w:val="9"/>
          <w:szCs w:val="9"/>
        </w:rPr>
      </w:pPr>
    </w:p>
    <w:tbl>
      <w:tblPr>
        <w:tblW w:w="0" w:type="auto"/>
        <w:jc w:val="left"/>
        <w:tblInd w:w="136" w:type="dxa"/>
        <w:tblLayout w:type="fixed"/>
        <w:tblCellMar>
          <w:top w:w="0" w:type="dxa"/>
          <w:left w:w="0" w:type="dxa"/>
          <w:bottom w:w="0" w:type="dxa"/>
          <w:right w:w="0" w:type="dxa"/>
        </w:tblCellMar>
        <w:tblLook w:val="01E0"/>
      </w:tblPr>
      <w:tblGrid>
        <w:gridCol w:w="1032"/>
        <w:gridCol w:w="809"/>
        <w:gridCol w:w="869"/>
        <w:gridCol w:w="842"/>
        <w:gridCol w:w="910"/>
        <w:gridCol w:w="953"/>
        <w:gridCol w:w="799"/>
        <w:gridCol w:w="919"/>
        <w:gridCol w:w="836"/>
        <w:gridCol w:w="881"/>
        <w:gridCol w:w="809"/>
      </w:tblGrid>
      <w:tr>
        <w:trPr>
          <w:trHeight w:val="342" w:hRule="exact"/>
        </w:trPr>
        <w:tc>
          <w:tcPr>
            <w:tcW w:w="1032" w:type="dxa"/>
            <w:vMerge w:val="restart"/>
            <w:tcBorders>
              <w:top w:val="single" w:sz="6" w:space="0" w:color="000000"/>
              <w:left w:val="single" w:sz="6" w:space="0" w:color="000000"/>
              <w:right w:val="single" w:sz="6" w:space="0" w:color="000000"/>
            </w:tcBorders>
            <w:shd w:val="clear" w:color="auto" w:fill="D2D2D2"/>
          </w:tcPr>
          <w:p>
            <w:pPr>
              <w:pStyle w:val="TableParagraph"/>
              <w:spacing w:line="273" w:lineRule="auto" w:before="10"/>
              <w:ind w:left="2" w:right="295" w:firstLine="295"/>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w w:val="100"/>
                <w:sz w:val="21"/>
                <w:szCs w:val="21"/>
              </w:rPr>
              <w:t> </w:t>
            </w:r>
            <w:r>
              <w:rPr>
                <w:rFonts w:ascii="宋体" w:hAnsi="宋体" w:cs="宋体" w:eastAsia="宋体" w:hint="default"/>
                <w:sz w:val="21"/>
                <w:szCs w:val="21"/>
              </w:rPr>
              <w:t>类型</w:t>
            </w:r>
          </w:p>
        </w:tc>
        <w:tc>
          <w:tcPr>
            <w:tcW w:w="167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8"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75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75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广州</w:t>
            </w:r>
          </w:p>
        </w:tc>
        <w:tc>
          <w:tcPr>
            <w:tcW w:w="17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8" w:lineRule="exact"/>
              <w:ind w:left="1" w:right="0"/>
              <w:jc w:val="center"/>
              <w:rPr>
                <w:rFonts w:ascii="宋体" w:hAnsi="宋体" w:cs="宋体" w:eastAsia="宋体" w:hint="default"/>
                <w:sz w:val="21"/>
                <w:szCs w:val="21"/>
              </w:rPr>
            </w:pPr>
            <w:r>
              <w:rPr>
                <w:rFonts w:ascii="宋体" w:hAnsi="宋体" w:cs="宋体" w:eastAsia="宋体" w:hint="default"/>
                <w:sz w:val="21"/>
                <w:szCs w:val="21"/>
              </w:rPr>
              <w:t>深圳</w:t>
            </w:r>
          </w:p>
        </w:tc>
        <w:tc>
          <w:tcPr>
            <w:tcW w:w="169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天津</w:t>
            </w:r>
          </w:p>
        </w:tc>
      </w:tr>
      <w:tr>
        <w:trPr>
          <w:trHeight w:val="334" w:hRule="exact"/>
        </w:trPr>
        <w:tc>
          <w:tcPr>
            <w:tcW w:w="1032" w:type="dxa"/>
            <w:vMerge/>
            <w:tcBorders>
              <w:left w:val="single" w:sz="6" w:space="0" w:color="000000"/>
              <w:bottom w:val="single" w:sz="6" w:space="0" w:color="000000"/>
              <w:right w:val="single" w:sz="6" w:space="0" w:color="000000"/>
            </w:tcBorders>
            <w:shd w:val="clear" w:color="auto" w:fill="D2D2D2"/>
          </w:tcPr>
          <w:p>
            <w:pPr/>
          </w:p>
        </w:tc>
        <w:tc>
          <w:tcPr>
            <w:tcW w:w="8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237" w:right="0"/>
              <w:jc w:val="left"/>
              <w:rPr>
                <w:rFonts w:ascii="宋体" w:hAnsi="宋体" w:cs="宋体" w:eastAsia="宋体" w:hint="default"/>
                <w:sz w:val="21"/>
                <w:szCs w:val="21"/>
              </w:rPr>
            </w:pPr>
            <w:r>
              <w:rPr>
                <w:rFonts w:ascii="宋体" w:hAnsi="宋体" w:cs="宋体" w:eastAsia="宋体" w:hint="default"/>
                <w:sz w:val="21"/>
                <w:szCs w:val="21"/>
              </w:rPr>
              <w:t>占比</w:t>
            </w:r>
          </w:p>
        </w:tc>
        <w:tc>
          <w:tcPr>
            <w:tcW w:w="9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占比</w:t>
            </w:r>
          </w:p>
        </w:tc>
        <w:tc>
          <w:tcPr>
            <w:tcW w:w="9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8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189" w:right="0"/>
              <w:jc w:val="left"/>
              <w:rPr>
                <w:rFonts w:ascii="宋体" w:hAnsi="宋体" w:cs="宋体" w:eastAsia="宋体" w:hint="default"/>
                <w:sz w:val="21"/>
                <w:szCs w:val="21"/>
              </w:rPr>
            </w:pPr>
            <w:r>
              <w:rPr>
                <w:rFonts w:ascii="宋体" w:hAnsi="宋体" w:cs="宋体" w:eastAsia="宋体" w:hint="default"/>
                <w:sz w:val="21"/>
                <w:szCs w:val="21"/>
              </w:rPr>
              <w:t>占比</w:t>
            </w:r>
          </w:p>
        </w:tc>
      </w:tr>
      <w:tr>
        <w:trPr>
          <w:trHeight w:val="360" w:hRule="exact"/>
        </w:trPr>
        <w:tc>
          <w:tcPr>
            <w:tcW w:w="10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旗舰店</w:t>
            </w:r>
          </w:p>
        </w:tc>
        <w:tc>
          <w:tcPr>
            <w:tcW w:w="80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8"/>
              <w:ind w:left="1" w:right="0"/>
              <w:jc w:val="center"/>
              <w:rPr>
                <w:rFonts w:ascii="Times New Roman" w:hAnsi="Times New Roman" w:cs="Times New Roman" w:eastAsia="Times New Roman" w:hint="default"/>
                <w:sz w:val="21"/>
                <w:szCs w:val="21"/>
              </w:rPr>
            </w:pPr>
            <w:r>
              <w:rPr>
                <w:rFonts w:ascii="Times New Roman"/>
                <w:sz w:val="21"/>
              </w:rPr>
              <w:t>34</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Times New Roman" w:hAnsi="Times New Roman" w:cs="Times New Roman" w:eastAsia="Times New Roman" w:hint="default"/>
                <w:sz w:val="21"/>
                <w:szCs w:val="21"/>
              </w:rPr>
            </w:pPr>
            <w:r>
              <w:rPr>
                <w:rFonts w:ascii="Times New Roman"/>
                <w:sz w:val="21"/>
              </w:rPr>
              <w:t>41.98%</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31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17"/>
              <w:jc w:val="right"/>
              <w:rPr>
                <w:rFonts w:ascii="Times New Roman" w:hAnsi="Times New Roman" w:cs="Times New Roman" w:eastAsia="Times New Roman" w:hint="default"/>
                <w:sz w:val="21"/>
                <w:szCs w:val="21"/>
              </w:rPr>
            </w:pPr>
            <w:r>
              <w:rPr>
                <w:rFonts w:ascii="Times New Roman"/>
                <w:sz w:val="21"/>
              </w:rPr>
              <w:t>37.80%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14</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62"/>
              <w:jc w:val="right"/>
              <w:rPr>
                <w:rFonts w:ascii="Times New Roman" w:hAnsi="Times New Roman" w:cs="Times New Roman" w:eastAsia="Times New Roman" w:hint="default"/>
                <w:sz w:val="21"/>
                <w:szCs w:val="21"/>
              </w:rPr>
            </w:pPr>
            <w:r>
              <w:rPr>
                <w:rFonts w:ascii="Times New Roman"/>
                <w:sz w:val="21"/>
              </w:rPr>
              <w:t>29.79%</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Times New Roman" w:hAnsi="Times New Roman" w:cs="Times New Roman" w:eastAsia="Times New Roman" w:hint="default"/>
                <w:sz w:val="21"/>
                <w:szCs w:val="21"/>
              </w:rPr>
            </w:pPr>
            <w:r>
              <w:rPr>
                <w:rFonts w:ascii="Times New Roman"/>
                <w:sz w:val="21"/>
              </w:rPr>
              <w:t>12</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Times New Roman" w:hAnsi="Times New Roman" w:cs="Times New Roman" w:eastAsia="Times New Roman" w:hint="default"/>
                <w:sz w:val="21"/>
                <w:szCs w:val="21"/>
              </w:rPr>
            </w:pPr>
            <w:r>
              <w:rPr>
                <w:rFonts w:ascii="Times New Roman"/>
                <w:sz w:val="21"/>
              </w:rPr>
              <w:t>30.77%</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11</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66"/>
              <w:jc w:val="right"/>
              <w:rPr>
                <w:rFonts w:ascii="Times New Roman" w:hAnsi="Times New Roman" w:cs="Times New Roman" w:eastAsia="Times New Roman" w:hint="default"/>
                <w:sz w:val="21"/>
                <w:szCs w:val="21"/>
              </w:rPr>
            </w:pPr>
            <w:r>
              <w:rPr>
                <w:rFonts w:ascii="Times New Roman"/>
                <w:sz w:val="21"/>
              </w:rPr>
              <w:t>32.36%</w:t>
            </w:r>
          </w:p>
        </w:tc>
      </w:tr>
      <w:tr>
        <w:trPr>
          <w:trHeight w:val="348" w:hRule="exact"/>
        </w:trPr>
        <w:tc>
          <w:tcPr>
            <w:tcW w:w="10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中心店</w:t>
            </w:r>
          </w:p>
        </w:tc>
        <w:tc>
          <w:tcPr>
            <w:tcW w:w="80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38</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46.91%</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24</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17"/>
              <w:jc w:val="right"/>
              <w:rPr>
                <w:rFonts w:ascii="Times New Roman" w:hAnsi="Times New Roman" w:cs="Times New Roman" w:eastAsia="Times New Roman" w:hint="default"/>
                <w:sz w:val="21"/>
                <w:szCs w:val="21"/>
              </w:rPr>
            </w:pPr>
            <w:r>
              <w:rPr>
                <w:rFonts w:ascii="Times New Roman"/>
                <w:sz w:val="21"/>
              </w:rPr>
              <w:t>29.27%</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62"/>
              <w:jc w:val="right"/>
              <w:rPr>
                <w:rFonts w:ascii="Times New Roman" w:hAnsi="Times New Roman" w:cs="Times New Roman" w:eastAsia="Times New Roman" w:hint="default"/>
                <w:sz w:val="21"/>
                <w:szCs w:val="21"/>
              </w:rPr>
            </w:pPr>
            <w:r>
              <w:rPr>
                <w:rFonts w:ascii="Times New Roman"/>
                <w:sz w:val="21"/>
              </w:rPr>
              <w:t>42.55%</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14</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35.90%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10</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66"/>
              <w:jc w:val="right"/>
              <w:rPr>
                <w:rFonts w:ascii="Times New Roman" w:hAnsi="Times New Roman" w:cs="Times New Roman" w:eastAsia="Times New Roman" w:hint="default"/>
                <w:sz w:val="21"/>
                <w:szCs w:val="21"/>
              </w:rPr>
            </w:pPr>
            <w:r>
              <w:rPr>
                <w:rFonts w:ascii="Times New Roman"/>
                <w:sz w:val="21"/>
              </w:rPr>
              <w:t>29.41%</w:t>
            </w:r>
          </w:p>
        </w:tc>
      </w:tr>
      <w:tr>
        <w:trPr>
          <w:trHeight w:val="346" w:hRule="exact"/>
        </w:trPr>
        <w:tc>
          <w:tcPr>
            <w:tcW w:w="10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社区店</w:t>
            </w:r>
          </w:p>
        </w:tc>
        <w:tc>
          <w:tcPr>
            <w:tcW w:w="80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w w:val="100"/>
                <w:sz w:val="21"/>
              </w:rPr>
              <w:t>7</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8.64%</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18</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17"/>
              <w:jc w:val="right"/>
              <w:rPr>
                <w:rFonts w:ascii="Times New Roman" w:hAnsi="Times New Roman" w:cs="Times New Roman" w:eastAsia="Times New Roman" w:hint="default"/>
                <w:sz w:val="21"/>
                <w:szCs w:val="21"/>
              </w:rPr>
            </w:pPr>
            <w:r>
              <w:rPr>
                <w:rFonts w:ascii="Times New Roman"/>
                <w:sz w:val="21"/>
              </w:rPr>
              <w:t>21.95%</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13</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62"/>
              <w:jc w:val="right"/>
              <w:rPr>
                <w:rFonts w:ascii="Times New Roman" w:hAnsi="Times New Roman" w:cs="Times New Roman" w:eastAsia="Times New Roman" w:hint="default"/>
                <w:sz w:val="21"/>
                <w:szCs w:val="21"/>
              </w:rPr>
            </w:pPr>
            <w:r>
              <w:rPr>
                <w:rFonts w:ascii="Times New Roman"/>
                <w:sz w:val="21"/>
              </w:rPr>
              <w:t>27.66%</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13</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33.33%</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11</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66"/>
              <w:jc w:val="right"/>
              <w:rPr>
                <w:rFonts w:ascii="Times New Roman" w:hAnsi="Times New Roman" w:cs="Times New Roman" w:eastAsia="Times New Roman" w:hint="default"/>
                <w:sz w:val="21"/>
                <w:szCs w:val="21"/>
              </w:rPr>
            </w:pPr>
            <w:r>
              <w:rPr>
                <w:rFonts w:ascii="Times New Roman"/>
                <w:sz w:val="21"/>
              </w:rPr>
              <w:t>32.35%</w:t>
            </w:r>
          </w:p>
        </w:tc>
      </w:tr>
      <w:tr>
        <w:trPr>
          <w:trHeight w:val="348" w:hRule="exact"/>
        </w:trPr>
        <w:tc>
          <w:tcPr>
            <w:tcW w:w="10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精品店</w:t>
            </w:r>
          </w:p>
        </w:tc>
        <w:tc>
          <w:tcPr>
            <w:tcW w:w="80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5</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70"/>
              <w:jc w:val="right"/>
              <w:rPr>
                <w:rFonts w:ascii="Times New Roman" w:hAnsi="Times New Roman" w:cs="Times New Roman" w:eastAsia="Times New Roman" w:hint="default"/>
                <w:sz w:val="21"/>
                <w:szCs w:val="21"/>
              </w:rPr>
            </w:pPr>
            <w:r>
              <w:rPr>
                <w:rFonts w:ascii="Times New Roman"/>
                <w:sz w:val="21"/>
              </w:rPr>
              <w:t>6.10%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46" w:hRule="exact"/>
        </w:trPr>
        <w:tc>
          <w:tcPr>
            <w:tcW w:w="10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县镇店</w:t>
            </w:r>
          </w:p>
        </w:tc>
        <w:tc>
          <w:tcPr>
            <w:tcW w:w="80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70"/>
              <w:jc w:val="right"/>
              <w:rPr>
                <w:rFonts w:ascii="Times New Roman" w:hAnsi="Times New Roman" w:cs="Times New Roman" w:eastAsia="Times New Roman" w:hint="default"/>
                <w:sz w:val="21"/>
                <w:szCs w:val="21"/>
              </w:rPr>
            </w:pPr>
            <w:r>
              <w:rPr>
                <w:rFonts w:ascii="Times New Roman"/>
                <w:sz w:val="21"/>
              </w:rPr>
              <w:t>1.22%</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1</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27" w:right="0"/>
              <w:jc w:val="left"/>
              <w:rPr>
                <w:rFonts w:ascii="Times New Roman" w:hAnsi="Times New Roman" w:cs="Times New Roman" w:eastAsia="Times New Roman" w:hint="default"/>
                <w:sz w:val="21"/>
                <w:szCs w:val="21"/>
              </w:rPr>
            </w:pPr>
            <w:r>
              <w:rPr>
                <w:rFonts w:ascii="Times New Roman"/>
                <w:sz w:val="21"/>
              </w:rPr>
              <w:t>2.94%</w:t>
            </w:r>
          </w:p>
        </w:tc>
      </w:tr>
      <w:tr>
        <w:trPr>
          <w:trHeight w:val="348" w:hRule="exact"/>
        </w:trPr>
        <w:tc>
          <w:tcPr>
            <w:tcW w:w="10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乐购仕店</w:t>
            </w:r>
          </w:p>
        </w:tc>
        <w:tc>
          <w:tcPr>
            <w:tcW w:w="80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w w:val="100"/>
                <w:sz w:val="21"/>
              </w:rPr>
              <w:t>2</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2.47%</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3</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70"/>
              <w:jc w:val="right"/>
              <w:rPr>
                <w:rFonts w:ascii="Times New Roman" w:hAnsi="Times New Roman" w:cs="Times New Roman" w:eastAsia="Times New Roman" w:hint="default"/>
                <w:sz w:val="21"/>
                <w:szCs w:val="21"/>
              </w:rPr>
            </w:pPr>
            <w:r>
              <w:rPr>
                <w:rFonts w:ascii="Times New Roman"/>
                <w:sz w:val="21"/>
              </w:rPr>
              <w:t>3.66%</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1</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27" w:right="0"/>
              <w:jc w:val="left"/>
              <w:rPr>
                <w:rFonts w:ascii="Times New Roman" w:hAnsi="Times New Roman" w:cs="Times New Roman" w:eastAsia="Times New Roman" w:hint="default"/>
                <w:sz w:val="21"/>
                <w:szCs w:val="21"/>
              </w:rPr>
            </w:pPr>
            <w:r>
              <w:rPr>
                <w:rFonts w:ascii="Times New Roman"/>
                <w:sz w:val="21"/>
              </w:rPr>
              <w:t>2.94%</w:t>
            </w:r>
          </w:p>
        </w:tc>
      </w:tr>
      <w:tr>
        <w:trPr>
          <w:trHeight w:val="348" w:hRule="exact"/>
        </w:trPr>
        <w:tc>
          <w:tcPr>
            <w:tcW w:w="10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0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81</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100.00%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82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64"/>
              <w:jc w:val="right"/>
              <w:rPr>
                <w:rFonts w:ascii="Times New Roman" w:hAnsi="Times New Roman" w:cs="Times New Roman" w:eastAsia="Times New Roman" w:hint="default"/>
                <w:sz w:val="21"/>
                <w:szCs w:val="21"/>
              </w:rPr>
            </w:pPr>
            <w:r>
              <w:rPr>
                <w:rFonts w:ascii="Times New Roman"/>
                <w:sz w:val="21"/>
              </w:rPr>
              <w:t>100.00%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47</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
              <w:jc w:val="right"/>
              <w:rPr>
                <w:rFonts w:ascii="Times New Roman" w:hAnsi="Times New Roman" w:cs="Times New Roman" w:eastAsia="Times New Roman" w:hint="default"/>
                <w:sz w:val="21"/>
                <w:szCs w:val="21"/>
              </w:rPr>
            </w:pPr>
            <w:r>
              <w:rPr>
                <w:rFonts w:ascii="Times New Roman"/>
                <w:sz w:val="21"/>
              </w:rPr>
              <w:t>100.00%</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39</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100.00%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34</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Times New Roman" w:hAnsi="Times New Roman" w:cs="Times New Roman" w:eastAsia="Times New Roman" w:hint="default"/>
                <w:sz w:val="21"/>
                <w:szCs w:val="21"/>
              </w:rPr>
            </w:pPr>
            <w:r>
              <w:rPr>
                <w:rFonts w:ascii="Times New Roman"/>
                <w:sz w:val="21"/>
              </w:rPr>
              <w:t>100.00%</w:t>
            </w:r>
          </w:p>
        </w:tc>
      </w:tr>
      <w:tr>
        <w:trPr>
          <w:trHeight w:val="398" w:hRule="exact"/>
        </w:trPr>
        <w:tc>
          <w:tcPr>
            <w:tcW w:w="9660" w:type="dxa"/>
            <w:gridSpan w:val="11"/>
            <w:tcBorders>
              <w:top w:val="single" w:sz="6" w:space="0" w:color="000000"/>
              <w:left w:val="single" w:sz="6" w:space="0" w:color="000000"/>
              <w:bottom w:val="single" w:sz="6" w:space="0" w:color="000000"/>
              <w:right w:val="single" w:sz="6" w:space="0" w:color="000000"/>
            </w:tcBorders>
          </w:tcPr>
          <w:p>
            <w:pPr/>
          </w:p>
        </w:tc>
      </w:tr>
      <w:tr>
        <w:trPr>
          <w:trHeight w:val="354" w:hRule="exact"/>
        </w:trPr>
        <w:tc>
          <w:tcPr>
            <w:tcW w:w="10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3"/>
              <w:ind w:left="458" w:right="0"/>
              <w:jc w:val="lef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67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重庆</w:t>
            </w:r>
          </w:p>
        </w:tc>
        <w:tc>
          <w:tcPr>
            <w:tcW w:w="175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75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7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69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武汉</w:t>
            </w:r>
          </w:p>
        </w:tc>
      </w:tr>
      <w:tr>
        <w:trPr>
          <w:trHeight w:val="383" w:hRule="exact"/>
        </w:trPr>
        <w:tc>
          <w:tcPr>
            <w:tcW w:w="1032" w:type="dxa"/>
            <w:vMerge/>
            <w:tcBorders>
              <w:left w:val="single" w:sz="6" w:space="0" w:color="000000"/>
              <w:bottom w:val="single" w:sz="6" w:space="0" w:color="000000"/>
              <w:right w:val="single" w:sz="6" w:space="0" w:color="000000"/>
            </w:tcBorders>
            <w:shd w:val="clear" w:color="auto" w:fill="D2D2D2"/>
          </w:tcPr>
          <w:p>
            <w:pPr/>
          </w:p>
        </w:tc>
        <w:tc>
          <w:tcPr>
            <w:tcW w:w="8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7"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4"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237" w:right="0"/>
              <w:jc w:val="left"/>
              <w:rPr>
                <w:rFonts w:ascii="宋体" w:hAnsi="宋体" w:cs="宋体" w:eastAsia="宋体" w:hint="default"/>
                <w:sz w:val="21"/>
                <w:szCs w:val="21"/>
              </w:rPr>
            </w:pPr>
            <w:r>
              <w:rPr>
                <w:rFonts w:ascii="宋体" w:hAnsi="宋体" w:cs="宋体" w:eastAsia="宋体" w:hint="default"/>
                <w:sz w:val="21"/>
                <w:szCs w:val="21"/>
              </w:rPr>
              <w:t>占比</w:t>
            </w:r>
          </w:p>
        </w:tc>
        <w:tc>
          <w:tcPr>
            <w:tcW w:w="9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184" w:right="0"/>
              <w:jc w:val="left"/>
              <w:rPr>
                <w:rFonts w:ascii="宋体" w:hAnsi="宋体" w:cs="宋体" w:eastAsia="宋体" w:hint="default"/>
                <w:sz w:val="21"/>
                <w:szCs w:val="21"/>
              </w:rPr>
            </w:pPr>
            <w:r>
              <w:rPr>
                <w:rFonts w:ascii="宋体" w:hAnsi="宋体" w:cs="宋体" w:eastAsia="宋体" w:hint="default"/>
                <w:sz w:val="21"/>
                <w:szCs w:val="21"/>
              </w:rPr>
              <w:t>占比</w:t>
            </w:r>
          </w:p>
        </w:tc>
        <w:tc>
          <w:tcPr>
            <w:tcW w:w="9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7"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4"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8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189" w:right="0"/>
              <w:jc w:val="left"/>
              <w:rPr>
                <w:rFonts w:ascii="宋体" w:hAnsi="宋体" w:cs="宋体" w:eastAsia="宋体" w:hint="default"/>
                <w:sz w:val="21"/>
                <w:szCs w:val="21"/>
              </w:rPr>
            </w:pPr>
            <w:r>
              <w:rPr>
                <w:rFonts w:ascii="宋体" w:hAnsi="宋体" w:cs="宋体" w:eastAsia="宋体" w:hint="default"/>
                <w:sz w:val="21"/>
                <w:szCs w:val="21"/>
              </w:rPr>
              <w:t>占比</w:t>
            </w:r>
          </w:p>
        </w:tc>
      </w:tr>
      <w:tr>
        <w:trPr>
          <w:trHeight w:val="346" w:hRule="exact"/>
        </w:trPr>
        <w:tc>
          <w:tcPr>
            <w:tcW w:w="10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旗舰店</w:t>
            </w:r>
          </w:p>
        </w:tc>
        <w:tc>
          <w:tcPr>
            <w:tcW w:w="809" w:type="dxa"/>
            <w:tcBorders>
              <w:top w:val="single" w:sz="19" w:space="0" w:color="D2D2D2"/>
              <w:left w:val="single" w:sz="7" w:space="0" w:color="000000"/>
              <w:bottom w:val="single" w:sz="6" w:space="0" w:color="000000"/>
              <w:right w:val="single" w:sz="6" w:space="0" w:color="000000"/>
            </w:tcBorders>
          </w:tcPr>
          <w:p>
            <w:pPr>
              <w:pStyle w:val="TableParagraph"/>
              <w:spacing w:line="240" w:lineRule="auto" w:before="27"/>
              <w:ind w:left="1" w:right="0"/>
              <w:jc w:val="center"/>
              <w:rPr>
                <w:rFonts w:ascii="Times New Roman" w:hAnsi="Times New Roman" w:cs="Times New Roman" w:eastAsia="Times New Roman" w:hint="default"/>
                <w:sz w:val="21"/>
                <w:szCs w:val="21"/>
              </w:rPr>
            </w:pPr>
            <w:r>
              <w:rPr>
                <w:rFonts w:ascii="Times New Roman"/>
                <w:sz w:val="21"/>
              </w:rPr>
              <w:t>10</w:t>
            </w:r>
          </w:p>
        </w:tc>
        <w:tc>
          <w:tcPr>
            <w:tcW w:w="869" w:type="dxa"/>
            <w:tcBorders>
              <w:top w:val="single" w:sz="19" w:space="0" w:color="D2D2D2"/>
              <w:left w:val="single" w:sz="6" w:space="0" w:color="000000"/>
              <w:bottom w:val="single" w:sz="6" w:space="0" w:color="000000"/>
              <w:right w:val="single" w:sz="6" w:space="0" w:color="000000"/>
            </w:tcBorders>
          </w:tcPr>
          <w:p>
            <w:pPr>
              <w:pStyle w:val="TableParagraph"/>
              <w:spacing w:line="240" w:lineRule="auto" w:before="27"/>
              <w:ind w:left="2" w:right="0"/>
              <w:jc w:val="center"/>
              <w:rPr>
                <w:rFonts w:ascii="Times New Roman" w:hAnsi="Times New Roman" w:cs="Times New Roman" w:eastAsia="Times New Roman" w:hint="default"/>
                <w:sz w:val="21"/>
                <w:szCs w:val="21"/>
              </w:rPr>
            </w:pPr>
            <w:r>
              <w:rPr>
                <w:rFonts w:ascii="Times New Roman"/>
                <w:sz w:val="21"/>
              </w:rPr>
              <w:t>21.28%</w:t>
            </w:r>
          </w:p>
        </w:tc>
        <w:tc>
          <w:tcPr>
            <w:tcW w:w="842" w:type="dxa"/>
            <w:tcBorders>
              <w:top w:val="single" w:sz="19" w:space="0" w:color="D2D2D2"/>
              <w:left w:val="single" w:sz="6" w:space="0" w:color="000000"/>
              <w:bottom w:val="single" w:sz="6" w:space="0" w:color="000000"/>
              <w:right w:val="single" w:sz="6" w:space="0" w:color="000000"/>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12</w:t>
            </w:r>
          </w:p>
        </w:tc>
        <w:tc>
          <w:tcPr>
            <w:tcW w:w="910" w:type="dxa"/>
            <w:tcBorders>
              <w:top w:val="single" w:sz="19" w:space="0" w:color="D2D2D2"/>
              <w:left w:val="single" w:sz="6" w:space="0" w:color="000000"/>
              <w:bottom w:val="single" w:sz="6" w:space="0" w:color="000000"/>
              <w:right w:val="single" w:sz="6" w:space="0" w:color="000000"/>
            </w:tcBorders>
          </w:tcPr>
          <w:p>
            <w:pPr>
              <w:pStyle w:val="TableParagraph"/>
              <w:spacing w:line="240" w:lineRule="auto" w:before="27"/>
              <w:ind w:right="117"/>
              <w:jc w:val="right"/>
              <w:rPr>
                <w:rFonts w:ascii="Times New Roman" w:hAnsi="Times New Roman" w:cs="Times New Roman" w:eastAsia="Times New Roman" w:hint="default"/>
                <w:sz w:val="21"/>
                <w:szCs w:val="21"/>
              </w:rPr>
            </w:pPr>
            <w:r>
              <w:rPr>
                <w:rFonts w:ascii="Times New Roman"/>
                <w:sz w:val="21"/>
              </w:rPr>
              <w:t>37.50%</w:t>
            </w:r>
          </w:p>
        </w:tc>
        <w:tc>
          <w:tcPr>
            <w:tcW w:w="953" w:type="dxa"/>
            <w:tcBorders>
              <w:top w:val="single" w:sz="19" w:space="0" w:color="D2D2D2"/>
              <w:left w:val="single" w:sz="6" w:space="0" w:color="000000"/>
              <w:bottom w:val="single" w:sz="6" w:space="0" w:color="000000"/>
              <w:right w:val="single" w:sz="6" w:space="0" w:color="000000"/>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10</w:t>
            </w:r>
          </w:p>
        </w:tc>
        <w:tc>
          <w:tcPr>
            <w:tcW w:w="799" w:type="dxa"/>
            <w:tcBorders>
              <w:top w:val="single" w:sz="19" w:space="0" w:color="D2D2D2"/>
              <w:left w:val="single" w:sz="6" w:space="0" w:color="000000"/>
              <w:bottom w:val="single" w:sz="6" w:space="0" w:color="000000"/>
              <w:right w:val="single" w:sz="6" w:space="0" w:color="000000"/>
            </w:tcBorders>
          </w:tcPr>
          <w:p>
            <w:pPr>
              <w:pStyle w:val="TableParagraph"/>
              <w:spacing w:line="240" w:lineRule="auto" w:before="27"/>
              <w:ind w:right="62"/>
              <w:jc w:val="right"/>
              <w:rPr>
                <w:rFonts w:ascii="Times New Roman" w:hAnsi="Times New Roman" w:cs="Times New Roman" w:eastAsia="Times New Roman" w:hint="default"/>
                <w:sz w:val="21"/>
                <w:szCs w:val="21"/>
              </w:rPr>
            </w:pPr>
            <w:r>
              <w:rPr>
                <w:rFonts w:ascii="Times New Roman"/>
                <w:sz w:val="21"/>
              </w:rPr>
              <w:t>55.56%</w:t>
            </w:r>
          </w:p>
        </w:tc>
        <w:tc>
          <w:tcPr>
            <w:tcW w:w="919" w:type="dxa"/>
            <w:tcBorders>
              <w:top w:val="single" w:sz="19" w:space="0" w:color="D2D2D2"/>
              <w:left w:val="single" w:sz="6" w:space="0" w:color="000000"/>
              <w:bottom w:val="single" w:sz="6" w:space="0" w:color="000000"/>
              <w:right w:val="single" w:sz="6" w:space="0" w:color="000000"/>
            </w:tcBorders>
          </w:tcPr>
          <w:p>
            <w:pPr>
              <w:pStyle w:val="TableParagraph"/>
              <w:spacing w:line="240" w:lineRule="auto" w:before="27"/>
              <w:ind w:left="2" w:right="0"/>
              <w:jc w:val="center"/>
              <w:rPr>
                <w:rFonts w:ascii="Times New Roman" w:hAnsi="Times New Roman" w:cs="Times New Roman" w:eastAsia="Times New Roman" w:hint="default"/>
                <w:sz w:val="21"/>
                <w:szCs w:val="21"/>
              </w:rPr>
            </w:pPr>
            <w:r>
              <w:rPr>
                <w:rFonts w:ascii="Times New Roman"/>
                <w:sz w:val="21"/>
              </w:rPr>
              <w:t>11</w:t>
            </w:r>
          </w:p>
        </w:tc>
        <w:tc>
          <w:tcPr>
            <w:tcW w:w="836" w:type="dxa"/>
            <w:tcBorders>
              <w:top w:val="single" w:sz="19" w:space="0" w:color="D2D2D2"/>
              <w:left w:val="single" w:sz="6" w:space="0" w:color="000000"/>
              <w:bottom w:val="single" w:sz="6" w:space="0" w:color="000000"/>
              <w:right w:val="single" w:sz="6" w:space="0" w:color="000000"/>
            </w:tcBorders>
          </w:tcPr>
          <w:p>
            <w:pPr>
              <w:pStyle w:val="TableParagraph"/>
              <w:spacing w:line="240" w:lineRule="auto" w:before="27"/>
              <w:ind w:left="2" w:right="0"/>
              <w:jc w:val="center"/>
              <w:rPr>
                <w:rFonts w:ascii="Times New Roman" w:hAnsi="Times New Roman" w:cs="Times New Roman" w:eastAsia="Times New Roman" w:hint="default"/>
                <w:sz w:val="21"/>
                <w:szCs w:val="21"/>
              </w:rPr>
            </w:pPr>
            <w:r>
              <w:rPr>
                <w:rFonts w:ascii="Times New Roman"/>
                <w:sz w:val="21"/>
              </w:rPr>
              <w:t>42.31%</w:t>
            </w:r>
          </w:p>
        </w:tc>
        <w:tc>
          <w:tcPr>
            <w:tcW w:w="881" w:type="dxa"/>
            <w:tcBorders>
              <w:top w:val="single" w:sz="19" w:space="0" w:color="D2D2D2"/>
              <w:left w:val="single" w:sz="6" w:space="0" w:color="000000"/>
              <w:bottom w:val="single" w:sz="6" w:space="0" w:color="000000"/>
              <w:right w:val="single" w:sz="6" w:space="0" w:color="000000"/>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w w:val="100"/>
                <w:sz w:val="21"/>
              </w:rPr>
              <w:t>7</w:t>
            </w:r>
          </w:p>
        </w:tc>
        <w:tc>
          <w:tcPr>
            <w:tcW w:w="809" w:type="dxa"/>
            <w:tcBorders>
              <w:top w:val="single" w:sz="19" w:space="0" w:color="D2D2D2"/>
              <w:left w:val="single" w:sz="6" w:space="0" w:color="000000"/>
              <w:bottom w:val="single" w:sz="6" w:space="0" w:color="000000"/>
              <w:right w:val="single" w:sz="6" w:space="0" w:color="000000"/>
            </w:tcBorders>
          </w:tcPr>
          <w:p>
            <w:pPr>
              <w:pStyle w:val="TableParagraph"/>
              <w:spacing w:line="240" w:lineRule="auto" w:before="27"/>
              <w:ind w:right="66"/>
              <w:jc w:val="right"/>
              <w:rPr>
                <w:rFonts w:ascii="Times New Roman" w:hAnsi="Times New Roman" w:cs="Times New Roman" w:eastAsia="Times New Roman" w:hint="default"/>
                <w:sz w:val="21"/>
                <w:szCs w:val="21"/>
              </w:rPr>
            </w:pPr>
            <w:r>
              <w:rPr>
                <w:rFonts w:ascii="Times New Roman"/>
                <w:sz w:val="21"/>
              </w:rPr>
              <w:t>33.34%</w:t>
            </w:r>
          </w:p>
        </w:tc>
      </w:tr>
      <w:tr>
        <w:trPr>
          <w:trHeight w:val="348" w:hRule="exact"/>
        </w:trPr>
        <w:tc>
          <w:tcPr>
            <w:tcW w:w="10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中心店</w:t>
            </w:r>
          </w:p>
        </w:tc>
        <w:tc>
          <w:tcPr>
            <w:tcW w:w="80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14</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29.79%</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6</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17"/>
              <w:jc w:val="right"/>
              <w:rPr>
                <w:rFonts w:ascii="Times New Roman" w:hAnsi="Times New Roman" w:cs="Times New Roman" w:eastAsia="Times New Roman" w:hint="default"/>
                <w:sz w:val="21"/>
                <w:szCs w:val="21"/>
              </w:rPr>
            </w:pPr>
            <w:r>
              <w:rPr>
                <w:rFonts w:ascii="Times New Roman"/>
                <w:sz w:val="21"/>
              </w:rPr>
              <w:t>18.75%</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6</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62"/>
              <w:jc w:val="right"/>
              <w:rPr>
                <w:rFonts w:ascii="Times New Roman" w:hAnsi="Times New Roman" w:cs="Times New Roman" w:eastAsia="Times New Roman" w:hint="default"/>
                <w:sz w:val="21"/>
                <w:szCs w:val="21"/>
              </w:rPr>
            </w:pPr>
            <w:r>
              <w:rPr>
                <w:rFonts w:ascii="Times New Roman"/>
                <w:sz w:val="21"/>
              </w:rPr>
              <w:t>33.32%</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8</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30.77%</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7</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66"/>
              <w:jc w:val="right"/>
              <w:rPr>
                <w:rFonts w:ascii="Times New Roman" w:hAnsi="Times New Roman" w:cs="Times New Roman" w:eastAsia="Times New Roman" w:hint="default"/>
                <w:sz w:val="21"/>
                <w:szCs w:val="21"/>
              </w:rPr>
            </w:pPr>
            <w:r>
              <w:rPr>
                <w:rFonts w:ascii="Times New Roman"/>
                <w:sz w:val="21"/>
              </w:rPr>
              <w:t>33.33%</w:t>
            </w:r>
          </w:p>
        </w:tc>
      </w:tr>
      <w:tr>
        <w:trPr>
          <w:trHeight w:val="346" w:hRule="exact"/>
        </w:trPr>
        <w:tc>
          <w:tcPr>
            <w:tcW w:w="10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社区店</w:t>
            </w:r>
          </w:p>
        </w:tc>
        <w:tc>
          <w:tcPr>
            <w:tcW w:w="80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22</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46.81%</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7</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17"/>
              <w:jc w:val="right"/>
              <w:rPr>
                <w:rFonts w:ascii="Times New Roman" w:hAnsi="Times New Roman" w:cs="Times New Roman" w:eastAsia="Times New Roman" w:hint="default"/>
                <w:sz w:val="21"/>
                <w:szCs w:val="21"/>
              </w:rPr>
            </w:pPr>
            <w:r>
              <w:rPr>
                <w:rFonts w:ascii="Times New Roman"/>
                <w:sz w:val="21"/>
              </w:rPr>
              <w:t>21.88%</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1</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22" w:right="0"/>
              <w:jc w:val="left"/>
              <w:rPr>
                <w:rFonts w:ascii="Times New Roman" w:hAnsi="Times New Roman" w:cs="Times New Roman" w:eastAsia="Times New Roman" w:hint="default"/>
                <w:sz w:val="21"/>
                <w:szCs w:val="21"/>
              </w:rPr>
            </w:pPr>
            <w:r>
              <w:rPr>
                <w:rFonts w:ascii="Times New Roman"/>
                <w:sz w:val="21"/>
              </w:rPr>
              <w:t>5.56%</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7</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26.92%</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7</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66"/>
              <w:jc w:val="right"/>
              <w:rPr>
                <w:rFonts w:ascii="Times New Roman" w:hAnsi="Times New Roman" w:cs="Times New Roman" w:eastAsia="Times New Roman" w:hint="default"/>
                <w:sz w:val="21"/>
                <w:szCs w:val="21"/>
              </w:rPr>
            </w:pPr>
            <w:r>
              <w:rPr>
                <w:rFonts w:ascii="Times New Roman"/>
                <w:sz w:val="21"/>
              </w:rPr>
              <w:t>33.33%</w:t>
            </w:r>
          </w:p>
        </w:tc>
      </w:tr>
      <w:tr>
        <w:trPr>
          <w:trHeight w:val="348" w:hRule="exact"/>
        </w:trPr>
        <w:tc>
          <w:tcPr>
            <w:tcW w:w="10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精品店</w:t>
            </w:r>
          </w:p>
        </w:tc>
        <w:tc>
          <w:tcPr>
            <w:tcW w:w="80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1</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22" w:right="0"/>
              <w:jc w:val="left"/>
              <w:rPr>
                <w:rFonts w:ascii="Times New Roman" w:hAnsi="Times New Roman" w:cs="Times New Roman" w:eastAsia="Times New Roman" w:hint="default"/>
                <w:sz w:val="21"/>
                <w:szCs w:val="21"/>
              </w:rPr>
            </w:pPr>
            <w:r>
              <w:rPr>
                <w:rFonts w:ascii="Times New Roman"/>
                <w:sz w:val="21"/>
              </w:rPr>
              <w:t>5.56%</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46" w:hRule="exact"/>
        </w:trPr>
        <w:tc>
          <w:tcPr>
            <w:tcW w:w="10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县镇店</w:t>
            </w:r>
          </w:p>
        </w:tc>
        <w:tc>
          <w:tcPr>
            <w:tcW w:w="80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w w:val="100"/>
                <w:sz w:val="21"/>
              </w:rPr>
              <w:t>1</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2.12%</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6</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17"/>
              <w:jc w:val="right"/>
              <w:rPr>
                <w:rFonts w:ascii="Times New Roman" w:hAnsi="Times New Roman" w:cs="Times New Roman" w:eastAsia="Times New Roman" w:hint="default"/>
                <w:sz w:val="21"/>
                <w:szCs w:val="21"/>
              </w:rPr>
            </w:pPr>
            <w:r>
              <w:rPr>
                <w:rFonts w:ascii="Times New Roman"/>
                <w:sz w:val="21"/>
              </w:rPr>
              <w:t>18.75%</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50" w:hRule="exact"/>
        </w:trPr>
        <w:tc>
          <w:tcPr>
            <w:tcW w:w="10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乐购仕店</w:t>
            </w:r>
          </w:p>
        </w:tc>
        <w:tc>
          <w:tcPr>
            <w:tcW w:w="80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70"/>
              <w:jc w:val="right"/>
              <w:rPr>
                <w:rFonts w:ascii="Times New Roman" w:hAnsi="Times New Roman" w:cs="Times New Roman" w:eastAsia="Times New Roman" w:hint="default"/>
                <w:sz w:val="21"/>
                <w:szCs w:val="21"/>
              </w:rPr>
            </w:pPr>
            <w:r>
              <w:rPr>
                <w:rFonts w:ascii="Times New Roman"/>
                <w:sz w:val="21"/>
              </w:rPr>
              <w:t>3.12%</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46" w:hRule="exact"/>
        </w:trPr>
        <w:tc>
          <w:tcPr>
            <w:tcW w:w="10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0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47</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100.00%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64"/>
              <w:jc w:val="right"/>
              <w:rPr>
                <w:rFonts w:ascii="Times New Roman" w:hAnsi="Times New Roman" w:cs="Times New Roman" w:eastAsia="Times New Roman" w:hint="default"/>
                <w:sz w:val="21"/>
                <w:szCs w:val="21"/>
              </w:rPr>
            </w:pPr>
            <w:r>
              <w:rPr>
                <w:rFonts w:ascii="Times New Roman"/>
                <w:sz w:val="21"/>
              </w:rPr>
              <w:t>100.00%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18</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
              <w:jc w:val="right"/>
              <w:rPr>
                <w:rFonts w:ascii="Times New Roman" w:hAnsi="Times New Roman" w:cs="Times New Roman" w:eastAsia="Times New Roman" w:hint="default"/>
                <w:sz w:val="21"/>
                <w:szCs w:val="21"/>
              </w:rPr>
            </w:pPr>
            <w:r>
              <w:rPr>
                <w:rFonts w:ascii="Times New Roman"/>
                <w:sz w:val="21"/>
              </w:rPr>
              <w:t>100.00%</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26</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100.00%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21</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40" w:lineRule="auto" w:before="64"/>
        <w:ind w:left="573" w:right="982"/>
        <w:jc w:val="left"/>
      </w:pPr>
      <w:r>
        <w:rPr/>
        <w:t>注：统计中包括上述城市下辖郊区、县的连锁店开设情况。</w:t>
      </w:r>
    </w:p>
    <w:p>
      <w:pPr>
        <w:spacing w:line="240" w:lineRule="auto" w:before="10"/>
        <w:rPr>
          <w:rFonts w:ascii="宋体" w:hAnsi="宋体" w:cs="宋体" w:eastAsia="宋体" w:hint="default"/>
          <w:sz w:val="14"/>
          <w:szCs w:val="14"/>
        </w:rPr>
      </w:pPr>
    </w:p>
    <w:p>
      <w:pPr>
        <w:pStyle w:val="BodyText"/>
        <w:spacing w:line="408" w:lineRule="auto" w:before="0"/>
        <w:ind w:left="573" w:right="982"/>
        <w:jc w:val="left"/>
      </w:pPr>
      <w:r>
        <w:rPr/>
        <w:t>（</w:t>
      </w:r>
      <w:r>
        <w:rPr>
          <w:rFonts w:ascii="宋体" w:hAnsi="宋体" w:cs="宋体" w:eastAsia="宋体" w:hint="default"/>
        </w:rPr>
        <w:t>3</w:t>
      </w:r>
      <w:r>
        <w:rPr/>
        <w:t>）连锁店市场分布情况</w:t>
      </w:r>
      <w:r>
        <w:rPr>
          <w:w w:val="100"/>
        </w:rPr>
        <w:t> </w:t>
      </w:r>
      <w:r>
        <w:rPr>
          <w:spacing w:val="-2"/>
        </w:rPr>
        <w:t>报告期内，公司加大了一级市场的店面结构优化，对于不具备发展潜力的社区店不再开设，并调整关</w:t>
      </w:r>
    </w:p>
    <w:p>
      <w:pPr>
        <w:pStyle w:val="BodyText"/>
        <w:spacing w:line="408" w:lineRule="auto"/>
        <w:ind w:right="982"/>
        <w:jc w:val="left"/>
      </w:pPr>
      <w:r>
        <w:rPr>
          <w:spacing w:val="-2"/>
        </w:rPr>
        <w:t>闭较多低效、无效店面，一级市场店面数量占比下降；为充分挖掘消费市场潜力，公司精耕二三级市场，</w:t>
      </w:r>
      <w:r>
        <w:rPr>
          <w:spacing w:val="-21"/>
        </w:rPr>
        <w:t> </w:t>
      </w:r>
      <w:r>
        <w:rPr>
          <w:spacing w:val="-21"/>
        </w:rPr>
      </w:r>
      <w:r>
        <w:rPr/>
        <w:t>使得二三级市场店面布局更加合理，店面数量占比也较上年末提升</w:t>
      </w:r>
      <w:r>
        <w:rPr>
          <w:rFonts w:ascii="宋体" w:hAnsi="宋体" w:cs="宋体" w:eastAsia="宋体" w:hint="default"/>
        </w:rPr>
        <w:t>3.02%</w:t>
      </w:r>
      <w:r>
        <w:rPr/>
        <w:t>；四级市场由于县镇店的调整升</w:t>
      </w:r>
    </w:p>
    <w:p>
      <w:pPr>
        <w:pStyle w:val="BodyText"/>
        <w:spacing w:line="240" w:lineRule="auto"/>
        <w:ind w:right="982"/>
        <w:jc w:val="left"/>
      </w:pPr>
      <w:r>
        <w:rPr/>
        <w:t>级，数量占比下降。（单位：家）</w:t>
      </w:r>
    </w:p>
    <w:p>
      <w:pPr>
        <w:spacing w:after="0" w:line="240" w:lineRule="auto"/>
        <w:jc w:val="left"/>
        <w:sectPr>
          <w:footerReference w:type="default" r:id="rId19"/>
          <w:pgSz w:w="11910" w:h="16840"/>
          <w:pgMar w:footer="1258" w:header="745" w:top="1060" w:bottom="1440" w:left="980" w:right="0"/>
          <w:pgNumType w:start="14"/>
        </w:sectPr>
      </w:pPr>
    </w:p>
    <w:p>
      <w:pPr>
        <w:spacing w:line="240" w:lineRule="auto" w:before="11"/>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1116"/>
        <w:gridCol w:w="1068"/>
        <w:gridCol w:w="1069"/>
        <w:gridCol w:w="1068"/>
        <w:gridCol w:w="1068"/>
        <w:gridCol w:w="1066"/>
        <w:gridCol w:w="1068"/>
        <w:gridCol w:w="1069"/>
        <w:gridCol w:w="1068"/>
      </w:tblGrid>
      <w:tr>
        <w:trPr>
          <w:trHeight w:val="337" w:hRule="exact"/>
        </w:trPr>
        <w:tc>
          <w:tcPr>
            <w:tcW w:w="111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13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3" w:lineRule="exact"/>
              <w:ind w:left="3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213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3" w:lineRule="exact"/>
              <w:ind w:left="3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213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left="429" w:right="0"/>
              <w:jc w:val="left"/>
              <w:rPr>
                <w:rFonts w:ascii="宋体" w:hAnsi="宋体" w:cs="宋体" w:eastAsia="宋体" w:hint="default"/>
                <w:sz w:val="21"/>
                <w:szCs w:val="21"/>
              </w:rPr>
            </w:pPr>
            <w:r>
              <w:rPr>
                <w:rFonts w:ascii="宋体" w:hAnsi="宋体" w:cs="宋体" w:eastAsia="宋体" w:hint="default"/>
                <w:sz w:val="21"/>
                <w:szCs w:val="21"/>
              </w:rPr>
              <w:t>增减变化情况</w:t>
            </w:r>
          </w:p>
        </w:tc>
        <w:tc>
          <w:tcPr>
            <w:tcW w:w="213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3" w:lineRule="exact"/>
              <w:ind w:left="3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664" w:hRule="exact"/>
        </w:trPr>
        <w:tc>
          <w:tcPr>
            <w:tcW w:w="1116" w:type="dxa"/>
            <w:vMerge/>
            <w:tcBorders>
              <w:left w:val="single" w:sz="6" w:space="0" w:color="000000"/>
              <w:bottom w:val="single" w:sz="6" w:space="0" w:color="000000"/>
              <w:right w:val="single" w:sz="6" w:space="0" w:color="000000"/>
            </w:tcBorders>
            <w:shd w:val="clear" w:color="auto" w:fill="D2D2D2"/>
          </w:tcPr>
          <w:p>
            <w:pPr/>
          </w:p>
        </w:tc>
        <w:tc>
          <w:tcPr>
            <w:tcW w:w="10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9"/>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0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9"/>
              <w:ind w:left="1"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10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9"/>
              <w:ind w:right="311"/>
              <w:jc w:val="right"/>
              <w:rPr>
                <w:rFonts w:ascii="宋体" w:hAnsi="宋体" w:cs="宋体" w:eastAsia="宋体" w:hint="default"/>
                <w:sz w:val="21"/>
                <w:szCs w:val="21"/>
              </w:rPr>
            </w:pPr>
            <w:r>
              <w:rPr>
                <w:rFonts w:ascii="宋体" w:hAnsi="宋体" w:cs="宋体" w:eastAsia="宋体" w:hint="default"/>
                <w:sz w:val="21"/>
                <w:szCs w:val="21"/>
              </w:rPr>
              <w:t>数量</w:t>
            </w:r>
          </w:p>
        </w:tc>
        <w:tc>
          <w:tcPr>
            <w:tcW w:w="10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9"/>
              <w:ind w:left="2"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3"/>
              <w:ind w:left="314" w:right="312"/>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pacing w:val="-103"/>
                <w:sz w:val="21"/>
                <w:szCs w:val="21"/>
              </w:rPr>
              <w:t> </w:t>
            </w:r>
            <w:r>
              <w:rPr>
                <w:rFonts w:ascii="宋体" w:hAnsi="宋体" w:cs="宋体" w:eastAsia="宋体" w:hint="default"/>
                <w:sz w:val="21"/>
                <w:szCs w:val="21"/>
              </w:rPr>
              <w:t>变化</w:t>
            </w:r>
          </w:p>
        </w:tc>
        <w:tc>
          <w:tcPr>
            <w:tcW w:w="10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left="4" w:right="0"/>
              <w:jc w:val="center"/>
              <w:rPr>
                <w:rFonts w:ascii="宋体" w:hAnsi="宋体" w:cs="宋体" w:eastAsia="宋体" w:hint="default"/>
                <w:sz w:val="21"/>
                <w:szCs w:val="21"/>
              </w:rPr>
            </w:pPr>
            <w:r>
              <w:rPr>
                <w:rFonts w:ascii="宋体" w:hAnsi="宋体" w:cs="宋体" w:eastAsia="宋体" w:hint="default"/>
                <w:sz w:val="21"/>
                <w:szCs w:val="21"/>
              </w:rPr>
              <w:t>占比变化</w:t>
            </w:r>
          </w:p>
          <w:p>
            <w:pPr>
              <w:pStyle w:val="TableParagraph"/>
              <w:spacing w:line="240" w:lineRule="auto" w:before="84"/>
              <w:ind w:left="4" w:right="0"/>
              <w:jc w:val="center"/>
              <w:rPr>
                <w:rFonts w:ascii="Times New Roman" w:hAnsi="Times New Roman" w:cs="Times New Roman" w:eastAsia="Times New Roman" w:hint="default"/>
                <w:sz w:val="21"/>
                <w:szCs w:val="21"/>
              </w:rPr>
            </w:pPr>
            <w:r>
              <w:rPr>
                <w:rFonts w:ascii="Times New Roman"/>
                <w:sz w:val="21"/>
              </w:rPr>
              <w:t>(%)</w:t>
            </w:r>
          </w:p>
        </w:tc>
        <w:tc>
          <w:tcPr>
            <w:tcW w:w="10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9"/>
              <w:ind w:left="7"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0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9"/>
              <w:ind w:left="319" w:right="0"/>
              <w:jc w:val="left"/>
              <w:rPr>
                <w:rFonts w:ascii="宋体" w:hAnsi="宋体" w:cs="宋体" w:eastAsia="宋体" w:hint="default"/>
                <w:sz w:val="21"/>
                <w:szCs w:val="21"/>
              </w:rPr>
            </w:pPr>
            <w:r>
              <w:rPr>
                <w:rFonts w:ascii="宋体" w:hAnsi="宋体" w:cs="宋体" w:eastAsia="宋体" w:hint="default"/>
                <w:sz w:val="21"/>
                <w:szCs w:val="21"/>
              </w:rPr>
              <w:t>占比</w:t>
            </w:r>
          </w:p>
        </w:tc>
      </w:tr>
      <w:tr>
        <w:trPr>
          <w:trHeight w:val="348" w:hRule="exact"/>
        </w:trPr>
        <w:tc>
          <w:tcPr>
            <w:tcW w:w="11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一级市场</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565</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33.95%</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 w:right="0"/>
              <w:jc w:val="center"/>
              <w:rPr>
                <w:rFonts w:ascii="Times New Roman" w:hAnsi="Times New Roman" w:cs="Times New Roman" w:eastAsia="Times New Roman" w:hint="default"/>
                <w:sz w:val="21"/>
                <w:szCs w:val="21"/>
              </w:rPr>
            </w:pPr>
            <w:r>
              <w:rPr>
                <w:rFonts w:ascii="Times New Roman"/>
                <w:sz w:val="21"/>
              </w:rPr>
              <w:t>608</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36.10%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83" w:right="0"/>
              <w:jc w:val="left"/>
              <w:rPr>
                <w:rFonts w:ascii="Times New Roman" w:hAnsi="Times New Roman" w:cs="Times New Roman" w:eastAsia="Times New Roman" w:hint="default"/>
                <w:sz w:val="21"/>
                <w:szCs w:val="21"/>
              </w:rPr>
            </w:pPr>
            <w:r>
              <w:rPr>
                <w:rFonts w:ascii="Times New Roman"/>
                <w:sz w:val="21"/>
              </w:rPr>
              <w:t>-43</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-2.15%</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 w:right="0"/>
              <w:jc w:val="center"/>
              <w:rPr>
                <w:rFonts w:ascii="Times New Roman" w:hAnsi="Times New Roman" w:cs="Times New Roman" w:eastAsia="Times New Roman" w:hint="default"/>
                <w:sz w:val="21"/>
                <w:szCs w:val="21"/>
              </w:rPr>
            </w:pPr>
            <w:r>
              <w:rPr>
                <w:rFonts w:ascii="Times New Roman"/>
                <w:sz w:val="21"/>
              </w:rPr>
              <w:t>525</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96"/>
              <w:jc w:val="right"/>
              <w:rPr>
                <w:rFonts w:ascii="Times New Roman" w:hAnsi="Times New Roman" w:cs="Times New Roman" w:eastAsia="Times New Roman" w:hint="default"/>
                <w:sz w:val="21"/>
                <w:szCs w:val="21"/>
              </w:rPr>
            </w:pPr>
            <w:r>
              <w:rPr>
                <w:rFonts w:ascii="Times New Roman"/>
                <w:sz w:val="21"/>
              </w:rPr>
              <w:t>40.05%</w:t>
            </w:r>
          </w:p>
        </w:tc>
      </w:tr>
      <w:tr>
        <w:trPr>
          <w:trHeight w:val="346" w:hRule="exact"/>
        </w:trPr>
        <w:tc>
          <w:tcPr>
            <w:tcW w:w="11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二级市场</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472</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28.37%</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461</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27.38%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20" w:right="0"/>
              <w:jc w:val="left"/>
              <w:rPr>
                <w:rFonts w:ascii="Times New Roman" w:hAnsi="Times New Roman" w:cs="Times New Roman" w:eastAsia="Times New Roman" w:hint="default"/>
                <w:sz w:val="21"/>
                <w:szCs w:val="21"/>
              </w:rPr>
            </w:pPr>
            <w:r>
              <w:rPr>
                <w:rFonts w:ascii="Times New Roman"/>
                <w:sz w:val="21"/>
              </w:rPr>
              <w:t>11</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0.99%</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379</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6"/>
              <w:jc w:val="right"/>
              <w:rPr>
                <w:rFonts w:ascii="Times New Roman" w:hAnsi="Times New Roman" w:cs="Times New Roman" w:eastAsia="Times New Roman" w:hint="default"/>
                <w:sz w:val="21"/>
                <w:szCs w:val="21"/>
              </w:rPr>
            </w:pPr>
            <w:r>
              <w:rPr>
                <w:rFonts w:ascii="Times New Roman"/>
                <w:sz w:val="21"/>
              </w:rPr>
              <w:t>28.91%</w:t>
            </w:r>
          </w:p>
        </w:tc>
      </w:tr>
      <w:tr>
        <w:trPr>
          <w:trHeight w:val="348" w:hRule="exact"/>
        </w:trPr>
        <w:tc>
          <w:tcPr>
            <w:tcW w:w="11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三级市场</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507</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30.47%</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 w:right="0"/>
              <w:jc w:val="center"/>
              <w:rPr>
                <w:rFonts w:ascii="Times New Roman" w:hAnsi="Times New Roman" w:cs="Times New Roman" w:eastAsia="Times New Roman" w:hint="default"/>
                <w:sz w:val="21"/>
                <w:szCs w:val="21"/>
              </w:rPr>
            </w:pPr>
            <w:r>
              <w:rPr>
                <w:rFonts w:ascii="Times New Roman"/>
                <w:sz w:val="21"/>
              </w:rPr>
              <w:t>479</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28.44%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20" w:right="0"/>
              <w:jc w:val="left"/>
              <w:rPr>
                <w:rFonts w:ascii="Times New Roman" w:hAnsi="Times New Roman" w:cs="Times New Roman" w:eastAsia="Times New Roman" w:hint="default"/>
                <w:sz w:val="21"/>
                <w:szCs w:val="21"/>
              </w:rPr>
            </w:pPr>
            <w:r>
              <w:rPr>
                <w:rFonts w:ascii="Times New Roman"/>
                <w:sz w:val="21"/>
              </w:rPr>
              <w:t>28</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2.03%</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 w:right="0"/>
              <w:jc w:val="center"/>
              <w:rPr>
                <w:rFonts w:ascii="Times New Roman" w:hAnsi="Times New Roman" w:cs="Times New Roman" w:eastAsia="Times New Roman" w:hint="default"/>
                <w:sz w:val="21"/>
                <w:szCs w:val="21"/>
              </w:rPr>
            </w:pPr>
            <w:r>
              <w:rPr>
                <w:rFonts w:ascii="Times New Roman"/>
                <w:sz w:val="21"/>
              </w:rPr>
              <w:t>303</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96"/>
              <w:jc w:val="right"/>
              <w:rPr>
                <w:rFonts w:ascii="Times New Roman" w:hAnsi="Times New Roman" w:cs="Times New Roman" w:eastAsia="Times New Roman" w:hint="default"/>
                <w:sz w:val="21"/>
                <w:szCs w:val="21"/>
              </w:rPr>
            </w:pPr>
            <w:r>
              <w:rPr>
                <w:rFonts w:ascii="Times New Roman"/>
                <w:sz w:val="21"/>
              </w:rPr>
              <w:t>23.11%</w:t>
            </w:r>
          </w:p>
        </w:tc>
      </w:tr>
      <w:tr>
        <w:trPr>
          <w:trHeight w:val="348" w:hRule="exact"/>
        </w:trPr>
        <w:tc>
          <w:tcPr>
            <w:tcW w:w="11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四级市场</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120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7.21%</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136</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8.08%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83" w:right="0"/>
              <w:jc w:val="left"/>
              <w:rPr>
                <w:rFonts w:ascii="Times New Roman" w:hAnsi="Times New Roman" w:cs="Times New Roman" w:eastAsia="Times New Roman" w:hint="default"/>
                <w:sz w:val="21"/>
                <w:szCs w:val="21"/>
              </w:rPr>
            </w:pPr>
            <w:r>
              <w:rPr>
                <w:rFonts w:ascii="Times New Roman"/>
                <w:sz w:val="21"/>
              </w:rPr>
              <w:t>-16</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-0.87%</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104</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49"/>
              <w:jc w:val="right"/>
              <w:rPr>
                <w:rFonts w:ascii="Times New Roman" w:hAnsi="Times New Roman" w:cs="Times New Roman" w:eastAsia="Times New Roman" w:hint="default"/>
                <w:sz w:val="21"/>
                <w:szCs w:val="21"/>
              </w:rPr>
            </w:pPr>
            <w:r>
              <w:rPr>
                <w:rFonts w:ascii="Times New Roman"/>
                <w:sz w:val="21"/>
              </w:rPr>
              <w:t>7.93%</w:t>
            </w:r>
          </w:p>
        </w:tc>
      </w:tr>
      <w:tr>
        <w:trPr>
          <w:trHeight w:val="346" w:hRule="exact"/>
        </w:trPr>
        <w:tc>
          <w:tcPr>
            <w:tcW w:w="11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1,664</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100.00%</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3"/>
              <w:jc w:val="right"/>
              <w:rPr>
                <w:rFonts w:ascii="Times New Roman" w:hAnsi="Times New Roman" w:cs="Times New Roman" w:eastAsia="Times New Roman" w:hint="default"/>
                <w:sz w:val="21"/>
                <w:szCs w:val="21"/>
              </w:rPr>
            </w:pPr>
            <w:r>
              <w:rPr>
                <w:rFonts w:ascii="Times New Roman"/>
                <w:sz w:val="21"/>
              </w:rPr>
              <w:t>1,684</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83" w:right="0"/>
              <w:jc w:val="left"/>
              <w:rPr>
                <w:rFonts w:ascii="Times New Roman" w:hAnsi="Times New Roman" w:cs="Times New Roman" w:eastAsia="Times New Roman" w:hint="default"/>
                <w:sz w:val="21"/>
                <w:szCs w:val="21"/>
              </w:rPr>
            </w:pPr>
            <w:r>
              <w:rPr>
                <w:rFonts w:ascii="Times New Roman"/>
                <w:sz w:val="21"/>
              </w:rPr>
              <w:t>-20</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1311</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3"/>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73" w:lineRule="auto" w:before="0"/>
        <w:ind w:right="982" w:firstLine="420"/>
        <w:jc w:val="left"/>
      </w:pPr>
      <w:r>
        <w:rPr>
          <w:spacing w:val="-2"/>
        </w:rPr>
        <w:t>注：一级市场指副省级以上城市；二级市场指一级市场以外的地级市；三级市场指一二级市场下辖的</w:t>
      </w:r>
      <w:r>
        <w:rPr>
          <w:w w:val="100"/>
        </w:rPr>
        <w:t> </w:t>
      </w:r>
      <w:r>
        <w:rPr/>
        <w:t>县、县级市或远郊区；四级市场主要指镇级城市。</w:t>
      </w:r>
    </w:p>
    <w:p>
      <w:pPr>
        <w:pStyle w:val="BodyText"/>
        <w:spacing w:line="410" w:lineRule="auto" w:before="84"/>
        <w:ind w:left="573" w:right="982"/>
        <w:jc w:val="left"/>
      </w:pPr>
      <w:r>
        <w:rPr>
          <w:rFonts w:ascii="宋体" w:hAnsi="宋体" w:cs="宋体" w:eastAsia="宋体" w:hint="default"/>
        </w:rPr>
        <w:t>3</w:t>
      </w:r>
      <w:r>
        <w:rPr/>
        <w:t>、连锁店经营质量分析</w:t>
      </w:r>
      <w:r>
        <w:rPr>
          <w:w w:val="100"/>
        </w:rPr>
        <w:t> </w:t>
      </w:r>
      <w:r>
        <w:rPr>
          <w:spacing w:val="-3"/>
        </w:rPr>
        <w:t>报告期内，受外部宏观调控、家电激励政策退出的影响，短期内带来同店增长在不同店面、市场类型</w:t>
      </w:r>
    </w:p>
    <w:p>
      <w:pPr>
        <w:pStyle w:val="BodyText"/>
        <w:spacing w:line="408" w:lineRule="auto" w:before="44"/>
        <w:ind w:right="982"/>
        <w:jc w:val="left"/>
      </w:pPr>
      <w:r>
        <w:rPr>
          <w:spacing w:val="-2"/>
        </w:rPr>
        <w:t>中整体出现较大的下降，公司可比店面（指</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日当日及之前开设的店面）销售收入同比下降</w:t>
      </w:r>
      <w:r>
        <w:rPr>
          <w:spacing w:val="-21"/>
        </w:rPr>
        <w:t> </w:t>
      </w:r>
      <w:r>
        <w:rPr>
          <w:spacing w:val="-21"/>
        </w:rPr>
      </w:r>
      <w:r>
        <w:rPr>
          <w:rFonts w:ascii="宋体" w:hAnsi="宋体" w:cs="宋体" w:eastAsia="宋体" w:hint="default"/>
        </w:rPr>
        <w:t>12.38%</w:t>
      </w:r>
      <w:r>
        <w:rPr/>
        <w:t>。</w:t>
      </w:r>
    </w:p>
    <w:p>
      <w:pPr>
        <w:pStyle w:val="BodyText"/>
        <w:spacing w:line="240" w:lineRule="auto"/>
        <w:ind w:left="573" w:right="982"/>
        <w:jc w:val="left"/>
      </w:pPr>
      <w:r>
        <w:rPr/>
        <w:t>公司大陆地区可比店面按店面类型及市场类型分布经营质量情况：</w:t>
      </w:r>
    </w:p>
    <w:p>
      <w:pPr>
        <w:spacing w:line="240" w:lineRule="auto" w:before="4"/>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2559"/>
        <w:gridCol w:w="1419"/>
        <w:gridCol w:w="1421"/>
        <w:gridCol w:w="1421"/>
        <w:gridCol w:w="1419"/>
        <w:gridCol w:w="1421"/>
      </w:tblGrid>
      <w:tr>
        <w:trPr>
          <w:trHeight w:val="342" w:hRule="exact"/>
        </w:trPr>
        <w:tc>
          <w:tcPr>
            <w:tcW w:w="2559" w:type="dxa"/>
            <w:tcBorders>
              <w:top w:val="single" w:sz="6" w:space="0" w:color="000000"/>
              <w:left w:val="single" w:sz="8" w:space="0" w:color="000000"/>
              <w:bottom w:val="single" w:sz="6" w:space="0" w:color="000000"/>
              <w:right w:val="single" w:sz="8" w:space="0" w:color="000000"/>
            </w:tcBorders>
            <w:shd w:val="clear" w:color="auto" w:fill="D2D2D2"/>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店面类型</w:t>
            </w:r>
          </w:p>
        </w:tc>
        <w:tc>
          <w:tcPr>
            <w:tcW w:w="1419" w:type="dxa"/>
            <w:tcBorders>
              <w:top w:val="single" w:sz="6" w:space="0" w:color="000000"/>
              <w:left w:val="single" w:sz="8" w:space="0" w:color="000000"/>
              <w:bottom w:val="single" w:sz="6" w:space="0" w:color="000000"/>
              <w:right w:val="single" w:sz="8" w:space="0" w:color="000000"/>
            </w:tcBorders>
            <w:shd w:val="clear" w:color="auto" w:fill="D2D2D2"/>
          </w:tcPr>
          <w:p>
            <w:pPr>
              <w:pStyle w:val="TableParagraph"/>
              <w:spacing w:line="268" w:lineRule="exact"/>
              <w:ind w:left="384" w:right="0"/>
              <w:jc w:val="left"/>
              <w:rPr>
                <w:rFonts w:ascii="宋体" w:hAnsi="宋体" w:cs="宋体" w:eastAsia="宋体" w:hint="default"/>
                <w:sz w:val="21"/>
                <w:szCs w:val="21"/>
              </w:rPr>
            </w:pPr>
            <w:r>
              <w:rPr>
                <w:rFonts w:ascii="宋体" w:hAnsi="宋体" w:cs="宋体" w:eastAsia="宋体" w:hint="default"/>
                <w:sz w:val="21"/>
                <w:szCs w:val="21"/>
              </w:rPr>
              <w:t>旗舰店</w:t>
            </w:r>
          </w:p>
        </w:tc>
        <w:tc>
          <w:tcPr>
            <w:tcW w:w="1421" w:type="dxa"/>
            <w:tcBorders>
              <w:top w:val="single" w:sz="6" w:space="0" w:color="000000"/>
              <w:left w:val="single" w:sz="8" w:space="0" w:color="000000"/>
              <w:bottom w:val="single" w:sz="6" w:space="0" w:color="000000"/>
              <w:right w:val="single" w:sz="8" w:space="0" w:color="000000"/>
            </w:tcBorders>
            <w:shd w:val="clear" w:color="auto" w:fill="D2D2D2"/>
          </w:tcPr>
          <w:p>
            <w:pPr>
              <w:pStyle w:val="TableParagraph"/>
              <w:spacing w:line="268" w:lineRule="exact"/>
              <w:ind w:left="386" w:right="0"/>
              <w:jc w:val="left"/>
              <w:rPr>
                <w:rFonts w:ascii="宋体" w:hAnsi="宋体" w:cs="宋体" w:eastAsia="宋体" w:hint="default"/>
                <w:sz w:val="21"/>
                <w:szCs w:val="21"/>
              </w:rPr>
            </w:pPr>
            <w:r>
              <w:rPr>
                <w:rFonts w:ascii="宋体" w:hAnsi="宋体" w:cs="宋体" w:eastAsia="宋体" w:hint="default"/>
                <w:sz w:val="21"/>
                <w:szCs w:val="21"/>
              </w:rPr>
              <w:t>中心店</w:t>
            </w:r>
          </w:p>
        </w:tc>
        <w:tc>
          <w:tcPr>
            <w:tcW w:w="1421" w:type="dxa"/>
            <w:tcBorders>
              <w:top w:val="single" w:sz="6" w:space="0" w:color="000000"/>
              <w:left w:val="single" w:sz="8" w:space="0" w:color="000000"/>
              <w:bottom w:val="single" w:sz="6" w:space="0" w:color="000000"/>
              <w:right w:val="single" w:sz="8" w:space="0" w:color="000000"/>
            </w:tcBorders>
            <w:shd w:val="clear" w:color="auto" w:fill="D2D2D2"/>
          </w:tcPr>
          <w:p>
            <w:pPr>
              <w:pStyle w:val="TableParagraph"/>
              <w:spacing w:line="268" w:lineRule="exact"/>
              <w:ind w:left="386" w:right="0"/>
              <w:jc w:val="left"/>
              <w:rPr>
                <w:rFonts w:ascii="宋体" w:hAnsi="宋体" w:cs="宋体" w:eastAsia="宋体" w:hint="default"/>
                <w:sz w:val="21"/>
                <w:szCs w:val="21"/>
              </w:rPr>
            </w:pPr>
            <w:r>
              <w:rPr>
                <w:rFonts w:ascii="宋体" w:hAnsi="宋体" w:cs="宋体" w:eastAsia="宋体" w:hint="default"/>
                <w:sz w:val="21"/>
                <w:szCs w:val="21"/>
              </w:rPr>
              <w:t>社区店</w:t>
            </w:r>
          </w:p>
        </w:tc>
        <w:tc>
          <w:tcPr>
            <w:tcW w:w="1419" w:type="dxa"/>
            <w:tcBorders>
              <w:top w:val="single" w:sz="6" w:space="0" w:color="000000"/>
              <w:left w:val="single" w:sz="8" w:space="0" w:color="000000"/>
              <w:bottom w:val="single" w:sz="6" w:space="0" w:color="000000"/>
              <w:right w:val="single" w:sz="8" w:space="0" w:color="000000"/>
            </w:tcBorders>
            <w:shd w:val="clear" w:color="auto" w:fill="D2D2D2"/>
          </w:tcPr>
          <w:p>
            <w:pPr>
              <w:pStyle w:val="TableParagraph"/>
              <w:spacing w:line="268" w:lineRule="exact"/>
              <w:ind w:left="383" w:right="0"/>
              <w:jc w:val="left"/>
              <w:rPr>
                <w:rFonts w:ascii="宋体" w:hAnsi="宋体" w:cs="宋体" w:eastAsia="宋体" w:hint="default"/>
                <w:sz w:val="21"/>
                <w:szCs w:val="21"/>
              </w:rPr>
            </w:pPr>
            <w:r>
              <w:rPr>
                <w:rFonts w:ascii="宋体" w:hAnsi="宋体" w:cs="宋体" w:eastAsia="宋体" w:hint="default"/>
                <w:sz w:val="21"/>
                <w:szCs w:val="21"/>
              </w:rPr>
              <w:t>精品店</w:t>
            </w:r>
          </w:p>
        </w:tc>
        <w:tc>
          <w:tcPr>
            <w:tcW w:w="1421" w:type="dxa"/>
            <w:tcBorders>
              <w:top w:val="single" w:sz="6" w:space="0" w:color="000000"/>
              <w:left w:val="single" w:sz="8" w:space="0" w:color="000000"/>
              <w:bottom w:val="single" w:sz="6" w:space="0" w:color="000000"/>
              <w:right w:val="single" w:sz="8" w:space="0" w:color="000000"/>
            </w:tcBorders>
            <w:shd w:val="clear" w:color="auto" w:fill="D2D2D2"/>
          </w:tcPr>
          <w:p>
            <w:pPr>
              <w:pStyle w:val="TableParagraph"/>
              <w:spacing w:line="268" w:lineRule="exact"/>
              <w:ind w:left="386" w:right="0"/>
              <w:jc w:val="left"/>
              <w:rPr>
                <w:rFonts w:ascii="宋体" w:hAnsi="宋体" w:cs="宋体" w:eastAsia="宋体" w:hint="default"/>
                <w:sz w:val="21"/>
                <w:szCs w:val="21"/>
              </w:rPr>
            </w:pPr>
            <w:r>
              <w:rPr>
                <w:rFonts w:ascii="宋体" w:hAnsi="宋体" w:cs="宋体" w:eastAsia="宋体" w:hint="default"/>
                <w:sz w:val="21"/>
                <w:szCs w:val="21"/>
              </w:rPr>
              <w:t>县镇店</w:t>
            </w:r>
          </w:p>
        </w:tc>
      </w:tr>
      <w:tr>
        <w:trPr>
          <w:trHeight w:val="348" w:hRule="exact"/>
        </w:trPr>
        <w:tc>
          <w:tcPr>
            <w:tcW w:w="2559" w:type="dxa"/>
            <w:tcBorders>
              <w:top w:val="single" w:sz="6" w:space="0" w:color="000000"/>
              <w:left w:val="single" w:sz="8" w:space="0" w:color="000000"/>
              <w:bottom w:val="single" w:sz="6" w:space="0" w:color="000000"/>
              <w:right w:val="single" w:sz="8" w:space="0" w:color="000000"/>
            </w:tcBorders>
            <w:shd w:val="clear" w:color="auto" w:fill="D2D2D2"/>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可比店面销售同比增长</w:t>
            </w:r>
          </w:p>
        </w:tc>
        <w:tc>
          <w:tcPr>
            <w:tcW w:w="1419"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44"/>
              <w:ind w:left="682" w:right="-1"/>
              <w:jc w:val="left"/>
              <w:rPr>
                <w:rFonts w:ascii="Times New Roman" w:hAnsi="Times New Roman" w:cs="Times New Roman" w:eastAsia="Times New Roman" w:hint="default"/>
                <w:sz w:val="21"/>
                <w:szCs w:val="21"/>
              </w:rPr>
            </w:pPr>
            <w:r>
              <w:rPr>
                <w:rFonts w:ascii="Times New Roman"/>
                <w:sz w:val="21"/>
              </w:rPr>
              <w:t>-12.52%</w:t>
            </w:r>
          </w:p>
        </w:tc>
        <w:tc>
          <w:tcPr>
            <w:tcW w:w="1421"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44"/>
              <w:ind w:left="683" w:right="-1"/>
              <w:jc w:val="left"/>
              <w:rPr>
                <w:rFonts w:ascii="Times New Roman" w:hAnsi="Times New Roman" w:cs="Times New Roman" w:eastAsia="Times New Roman" w:hint="default"/>
                <w:sz w:val="21"/>
                <w:szCs w:val="21"/>
              </w:rPr>
            </w:pPr>
            <w:r>
              <w:rPr>
                <w:rFonts w:ascii="Times New Roman"/>
                <w:sz w:val="21"/>
              </w:rPr>
              <w:t>-11.73%</w:t>
            </w:r>
          </w:p>
        </w:tc>
        <w:tc>
          <w:tcPr>
            <w:tcW w:w="1421"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44"/>
              <w:ind w:left="683" w:right="-1"/>
              <w:jc w:val="left"/>
              <w:rPr>
                <w:rFonts w:ascii="Times New Roman" w:hAnsi="Times New Roman" w:cs="Times New Roman" w:eastAsia="Times New Roman" w:hint="default"/>
                <w:sz w:val="21"/>
                <w:szCs w:val="21"/>
              </w:rPr>
            </w:pPr>
            <w:r>
              <w:rPr>
                <w:rFonts w:ascii="Times New Roman"/>
                <w:sz w:val="21"/>
              </w:rPr>
              <w:t>-12.89%</w:t>
            </w:r>
          </w:p>
        </w:tc>
        <w:tc>
          <w:tcPr>
            <w:tcW w:w="1419"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44"/>
              <w:ind w:left="681" w:right="-1"/>
              <w:jc w:val="left"/>
              <w:rPr>
                <w:rFonts w:ascii="Times New Roman" w:hAnsi="Times New Roman" w:cs="Times New Roman" w:eastAsia="Times New Roman" w:hint="default"/>
                <w:sz w:val="21"/>
                <w:szCs w:val="21"/>
              </w:rPr>
            </w:pPr>
            <w:r>
              <w:rPr>
                <w:rFonts w:ascii="Times New Roman"/>
                <w:sz w:val="21"/>
              </w:rPr>
              <w:t>-21.54%</w:t>
            </w:r>
          </w:p>
        </w:tc>
        <w:tc>
          <w:tcPr>
            <w:tcW w:w="1421"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44"/>
              <w:ind w:left="789" w:right="-1"/>
              <w:jc w:val="left"/>
              <w:rPr>
                <w:rFonts w:ascii="Times New Roman" w:hAnsi="Times New Roman" w:cs="Times New Roman" w:eastAsia="Times New Roman" w:hint="default"/>
                <w:sz w:val="21"/>
                <w:szCs w:val="21"/>
              </w:rPr>
            </w:pPr>
            <w:r>
              <w:rPr>
                <w:rFonts w:ascii="Times New Roman"/>
                <w:sz w:val="21"/>
              </w:rPr>
              <w:t>-9.14%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36" w:type="dxa"/>
        <w:tblLayout w:type="fixed"/>
        <w:tblCellMar>
          <w:top w:w="0" w:type="dxa"/>
          <w:left w:w="0" w:type="dxa"/>
          <w:bottom w:w="0" w:type="dxa"/>
          <w:right w:w="0" w:type="dxa"/>
        </w:tblCellMar>
        <w:tblLook w:val="01E0"/>
      </w:tblPr>
      <w:tblGrid>
        <w:gridCol w:w="2578"/>
        <w:gridCol w:w="1769"/>
        <w:gridCol w:w="1772"/>
        <w:gridCol w:w="1772"/>
        <w:gridCol w:w="1769"/>
      </w:tblGrid>
      <w:tr>
        <w:trPr>
          <w:trHeight w:val="342" w:hRule="exact"/>
        </w:trPr>
        <w:tc>
          <w:tcPr>
            <w:tcW w:w="25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市场级别</w:t>
            </w:r>
          </w:p>
        </w:tc>
        <w:tc>
          <w:tcPr>
            <w:tcW w:w="1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left="458" w:right="0"/>
              <w:jc w:val="left"/>
              <w:rPr>
                <w:rFonts w:ascii="宋体" w:hAnsi="宋体" w:cs="宋体" w:eastAsia="宋体" w:hint="default"/>
                <w:sz w:val="21"/>
                <w:szCs w:val="21"/>
              </w:rPr>
            </w:pPr>
            <w:r>
              <w:rPr>
                <w:rFonts w:ascii="宋体" w:hAnsi="宋体" w:cs="宋体" w:eastAsia="宋体" w:hint="default"/>
                <w:sz w:val="21"/>
                <w:szCs w:val="21"/>
              </w:rPr>
              <w:t>一级市场</w:t>
            </w:r>
          </w:p>
        </w:tc>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left="460" w:right="0"/>
              <w:jc w:val="left"/>
              <w:rPr>
                <w:rFonts w:ascii="宋体" w:hAnsi="宋体" w:cs="宋体" w:eastAsia="宋体" w:hint="default"/>
                <w:sz w:val="21"/>
                <w:szCs w:val="21"/>
              </w:rPr>
            </w:pPr>
            <w:r>
              <w:rPr>
                <w:rFonts w:ascii="宋体" w:hAnsi="宋体" w:cs="宋体" w:eastAsia="宋体" w:hint="default"/>
                <w:sz w:val="21"/>
                <w:szCs w:val="21"/>
              </w:rPr>
              <w:t>二级市场</w:t>
            </w:r>
          </w:p>
        </w:tc>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left="460" w:right="0"/>
              <w:jc w:val="left"/>
              <w:rPr>
                <w:rFonts w:ascii="宋体" w:hAnsi="宋体" w:cs="宋体" w:eastAsia="宋体" w:hint="default"/>
                <w:sz w:val="21"/>
                <w:szCs w:val="21"/>
              </w:rPr>
            </w:pPr>
            <w:r>
              <w:rPr>
                <w:rFonts w:ascii="宋体" w:hAnsi="宋体" w:cs="宋体" w:eastAsia="宋体" w:hint="default"/>
                <w:sz w:val="21"/>
                <w:szCs w:val="21"/>
              </w:rPr>
              <w:t>三级市场</w:t>
            </w:r>
          </w:p>
        </w:tc>
        <w:tc>
          <w:tcPr>
            <w:tcW w:w="1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left="458" w:right="0"/>
              <w:jc w:val="left"/>
              <w:rPr>
                <w:rFonts w:ascii="宋体" w:hAnsi="宋体" w:cs="宋体" w:eastAsia="宋体" w:hint="default"/>
                <w:sz w:val="21"/>
                <w:szCs w:val="21"/>
              </w:rPr>
            </w:pPr>
            <w:r>
              <w:rPr>
                <w:rFonts w:ascii="宋体" w:hAnsi="宋体" w:cs="宋体" w:eastAsia="宋体" w:hint="default"/>
                <w:sz w:val="21"/>
                <w:szCs w:val="21"/>
              </w:rPr>
              <w:t>四级市场</w:t>
            </w:r>
          </w:p>
        </w:tc>
      </w:tr>
      <w:tr>
        <w:trPr>
          <w:trHeight w:val="347" w:hRule="exact"/>
        </w:trPr>
        <w:tc>
          <w:tcPr>
            <w:tcW w:w="25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可比店面销售同比增长</w:t>
            </w:r>
          </w:p>
        </w:tc>
        <w:tc>
          <w:tcPr>
            <w:tcW w:w="1769"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39"/>
              <w:ind w:left="1037" w:right="-1"/>
              <w:jc w:val="left"/>
              <w:rPr>
                <w:rFonts w:ascii="Times New Roman" w:hAnsi="Times New Roman" w:cs="Times New Roman" w:eastAsia="Times New Roman" w:hint="default"/>
                <w:sz w:val="21"/>
                <w:szCs w:val="21"/>
              </w:rPr>
            </w:pPr>
            <w:r>
              <w:rPr>
                <w:rFonts w:ascii="Times New Roman"/>
                <w:sz w:val="21"/>
              </w:rPr>
              <w:t>-12.17%</w:t>
            </w:r>
          </w:p>
        </w:tc>
        <w:tc>
          <w:tcPr>
            <w:tcW w:w="1772"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39"/>
              <w:ind w:left="1039" w:right="-1"/>
              <w:jc w:val="left"/>
              <w:rPr>
                <w:rFonts w:ascii="Times New Roman" w:hAnsi="Times New Roman" w:cs="Times New Roman" w:eastAsia="Times New Roman" w:hint="default"/>
                <w:sz w:val="21"/>
                <w:szCs w:val="21"/>
              </w:rPr>
            </w:pPr>
            <w:r>
              <w:rPr>
                <w:rFonts w:ascii="Times New Roman"/>
                <w:sz w:val="21"/>
              </w:rPr>
              <w:t>-12.62%</w:t>
            </w:r>
          </w:p>
        </w:tc>
        <w:tc>
          <w:tcPr>
            <w:tcW w:w="1772"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39"/>
              <w:ind w:left="1039" w:right="-1"/>
              <w:jc w:val="left"/>
              <w:rPr>
                <w:rFonts w:ascii="Times New Roman" w:hAnsi="Times New Roman" w:cs="Times New Roman" w:eastAsia="Times New Roman" w:hint="default"/>
                <w:sz w:val="21"/>
                <w:szCs w:val="21"/>
              </w:rPr>
            </w:pPr>
            <w:r>
              <w:rPr>
                <w:rFonts w:ascii="Times New Roman"/>
                <w:sz w:val="21"/>
              </w:rPr>
              <w:t>-13.40%</w:t>
            </w:r>
          </w:p>
        </w:tc>
        <w:tc>
          <w:tcPr>
            <w:tcW w:w="1769"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39"/>
              <w:ind w:left="1036" w:right="-1"/>
              <w:jc w:val="left"/>
              <w:rPr>
                <w:rFonts w:ascii="Times New Roman" w:hAnsi="Times New Roman" w:cs="Times New Roman" w:eastAsia="Times New Roman" w:hint="default"/>
                <w:sz w:val="21"/>
                <w:szCs w:val="21"/>
              </w:rPr>
            </w:pPr>
            <w:r>
              <w:rPr>
                <w:rFonts w:ascii="Times New Roman"/>
                <w:sz w:val="21"/>
              </w:rPr>
              <w:t>-10.80%</w:t>
            </w:r>
          </w:p>
        </w:tc>
      </w:tr>
    </w:tbl>
    <w:p>
      <w:pPr>
        <w:spacing w:line="240" w:lineRule="auto" w:before="1"/>
        <w:rPr>
          <w:rFonts w:ascii="宋体" w:hAnsi="宋体" w:cs="宋体" w:eastAsia="宋体" w:hint="default"/>
          <w:sz w:val="14"/>
          <w:szCs w:val="14"/>
        </w:rPr>
      </w:pPr>
    </w:p>
    <w:p>
      <w:pPr>
        <w:pStyle w:val="BodyText"/>
        <w:spacing w:line="408" w:lineRule="auto" w:before="36"/>
        <w:ind w:left="573" w:right="982"/>
        <w:jc w:val="left"/>
      </w:pPr>
      <w:r>
        <w:rPr/>
        <w:t>从长期来看，中国经济仍将保持平稳的增长，外部环境变化对可比店面增速的影响应该是暂时的。</w:t>
      </w:r>
      <w:r>
        <w:rPr>
          <w:w w:val="100"/>
        </w:rPr>
        <w:t> </w:t>
      </w:r>
      <w:r>
        <w:rPr>
          <w:spacing w:val="-2"/>
        </w:rPr>
        <w:t>一方面，公司基于对市场格局演变的把握，积极主动调整店面结构，经营中进一步关注和提升店面精</w:t>
      </w:r>
    </w:p>
    <w:p>
      <w:pPr>
        <w:pStyle w:val="BodyText"/>
        <w:spacing w:line="408" w:lineRule="auto"/>
        <w:ind w:right="1126"/>
        <w:jc w:val="both"/>
      </w:pPr>
      <w:r>
        <w:rPr>
          <w:spacing w:val="-2"/>
        </w:rPr>
        <w:t>细化管理水平，并建立了以坪效作为经营提升能力指标的考核机制，提升店面经营质量，随着一系列调整</w:t>
      </w:r>
      <w:r>
        <w:rPr>
          <w:spacing w:val="-44"/>
        </w:rPr>
        <w:t> </w:t>
      </w:r>
      <w:r>
        <w:rPr>
          <w:spacing w:val="-44"/>
        </w:rPr>
      </w:r>
      <w:r>
        <w:rPr>
          <w:spacing w:val="-2"/>
        </w:rPr>
        <w:t>举措效应的逐步显现，店面经营能力不断提升。此外随着互联网移动技术在店面终端的兴起应用，为消费</w:t>
      </w:r>
      <w:r>
        <w:rPr>
          <w:spacing w:val="-45"/>
        </w:rPr>
        <w:t> </w:t>
      </w:r>
      <w:r>
        <w:rPr>
          <w:spacing w:val="-45"/>
        </w:rPr>
      </w:r>
      <w:r>
        <w:rPr>
          <w:spacing w:val="-2"/>
        </w:rPr>
        <w:t>者提供了更加丰富的体验和产品，店面经营范围得到了极大的拓展。综上，随着宏观经济逐步回暖，通过</w:t>
      </w:r>
      <w:r>
        <w:rPr>
          <w:spacing w:val="-47"/>
        </w:rPr>
        <w:t> </w:t>
      </w:r>
      <w:r>
        <w:rPr>
          <w:spacing w:val="-47"/>
        </w:rPr>
      </w:r>
      <w:r>
        <w:rPr>
          <w:spacing w:val="-2"/>
        </w:rPr>
        <w:t>各项店面调整措施落实到位以及结合互联网发展不断丰富店面的经营范围，公司的可比店面将保持稳定的</w:t>
      </w:r>
      <w:r>
        <w:rPr>
          <w:spacing w:val="-43"/>
        </w:rPr>
        <w:t> </w:t>
      </w:r>
      <w:r>
        <w:rPr>
          <w:spacing w:val="-43"/>
        </w:rPr>
      </w:r>
      <w:r>
        <w:rPr/>
        <w:t>增长。</w:t>
      </w:r>
    </w:p>
    <w:p>
      <w:pPr>
        <w:pStyle w:val="BodyText"/>
        <w:spacing w:line="408" w:lineRule="auto"/>
        <w:ind w:right="1126" w:firstLine="420"/>
        <w:jc w:val="both"/>
      </w:pPr>
      <w:r>
        <w:rPr>
          <w:spacing w:val="-3"/>
        </w:rPr>
        <w:t>另一方面，对于家电消费增速较快的二三级市场，公司积极调整店面结构，加强这一地区人员、团队</w:t>
      </w:r>
      <w:r>
        <w:rPr>
          <w:w w:val="100"/>
        </w:rPr>
        <w:t> </w:t>
      </w:r>
      <w:r>
        <w:rPr>
          <w:spacing w:val="-2"/>
        </w:rPr>
        <w:t>建设，推进组织扁平化，提升内部协同效率，并在物流、市场资源方面予以重点投入。与此同时，公司将</w:t>
      </w:r>
      <w:r>
        <w:rPr>
          <w:spacing w:val="-42"/>
        </w:rPr>
        <w:t> </w:t>
      </w:r>
      <w:r>
        <w:rPr>
          <w:spacing w:val="-42"/>
        </w:rPr>
      </w:r>
      <w:r>
        <w:rPr>
          <w:spacing w:val="-2"/>
        </w:rPr>
        <w:t>依托苏宁的供应链优势、物流优势、品牌优势，充分运用互联网技术，虚实结合，双管齐下，快速获取客</w:t>
      </w:r>
      <w:r>
        <w:rPr>
          <w:spacing w:val="-42"/>
        </w:rPr>
        <w:t> </w:t>
      </w:r>
      <w:r>
        <w:rPr>
          <w:spacing w:val="-42"/>
        </w:rPr>
      </w:r>
      <w:r>
        <w:rPr>
          <w:spacing w:val="-2"/>
        </w:rPr>
        <w:t>户资源，抢占市场份额。公司管理层预期二三级市场将通过半年左右的时间探索实践，可比店面业绩将取</w:t>
      </w:r>
      <w:r>
        <w:rPr>
          <w:spacing w:val="-43"/>
        </w:rPr>
        <w:t> </w:t>
      </w:r>
      <w:r>
        <w:rPr>
          <w:spacing w:val="-43"/>
        </w:rPr>
      </w:r>
      <w:r>
        <w:rPr/>
        <w:t>得实质突破。</w:t>
      </w:r>
    </w:p>
    <w:p>
      <w:pPr>
        <w:spacing w:after="0" w:line="408" w:lineRule="auto"/>
        <w:jc w:val="both"/>
        <w:sectPr>
          <w:pgSz w:w="11910" w:h="16840"/>
          <w:pgMar w:header="745" w:footer="1258" w:top="1060" w:bottom="144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635" w:right="982"/>
        <w:jc w:val="left"/>
        <w:rPr>
          <w:b w:val="0"/>
          <w:bCs w:val="0"/>
        </w:rPr>
      </w:pPr>
      <w:r>
        <w:rPr/>
        <w:t>三、经营结果及原因概述</w:t>
      </w:r>
      <w:r>
        <w:rPr>
          <w:b w:val="0"/>
          <w:bCs w:val="0"/>
        </w:rPr>
      </w:r>
    </w:p>
    <w:p>
      <w:pPr>
        <w:spacing w:line="240" w:lineRule="auto" w:before="0"/>
        <w:rPr>
          <w:rFonts w:ascii="宋体" w:hAnsi="宋体" w:cs="宋体" w:eastAsia="宋体" w:hint="default"/>
          <w:b/>
          <w:bCs/>
          <w:sz w:val="28"/>
          <w:szCs w:val="28"/>
        </w:rPr>
      </w:pPr>
    </w:p>
    <w:p>
      <w:pPr>
        <w:pStyle w:val="BodyText"/>
        <w:spacing w:line="240" w:lineRule="auto" w:before="36"/>
        <w:ind w:left="0" w:right="1128"/>
        <w:jc w:val="right"/>
      </w:pPr>
      <w:r>
        <w:rPr>
          <w:spacing w:val="-1"/>
        </w:rPr>
        <w:t>（单位：千元）</w:t>
      </w:r>
    </w:p>
    <w:p>
      <w:pPr>
        <w:spacing w:line="240" w:lineRule="auto" w:before="3"/>
        <w:rPr>
          <w:rFonts w:ascii="宋体" w:hAnsi="宋体" w:cs="宋体" w:eastAsia="宋体" w:hint="default"/>
          <w:sz w:val="10"/>
          <w:szCs w:val="10"/>
        </w:rPr>
      </w:pPr>
    </w:p>
    <w:tbl>
      <w:tblPr>
        <w:tblW w:w="0" w:type="auto"/>
        <w:jc w:val="left"/>
        <w:tblInd w:w="136" w:type="dxa"/>
        <w:tblLayout w:type="fixed"/>
        <w:tblCellMar>
          <w:top w:w="0" w:type="dxa"/>
          <w:left w:w="0" w:type="dxa"/>
          <w:bottom w:w="0" w:type="dxa"/>
          <w:right w:w="0" w:type="dxa"/>
        </w:tblCellMar>
        <w:tblLook w:val="01E0"/>
      </w:tblPr>
      <w:tblGrid>
        <w:gridCol w:w="3144"/>
        <w:gridCol w:w="1628"/>
        <w:gridCol w:w="1630"/>
        <w:gridCol w:w="1633"/>
        <w:gridCol w:w="1625"/>
      </w:tblGrid>
      <w:tr>
        <w:trPr>
          <w:trHeight w:val="342" w:hRule="exact"/>
        </w:trPr>
        <w:tc>
          <w:tcPr>
            <w:tcW w:w="31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tabs>
                <w:tab w:pos="423" w:val="left" w:leader="none"/>
              </w:tabs>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left="17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1-12</w:t>
            </w:r>
            <w:r>
              <w:rPr>
                <w:rFonts w:ascii="宋体" w:hAnsi="宋体" w:cs="宋体" w:eastAsia="宋体" w:hint="default"/>
                <w:sz w:val="21"/>
                <w:szCs w:val="21"/>
              </w:rPr>
              <w:t>月</w:t>
            </w:r>
          </w:p>
        </w:tc>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left="17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1-12</w:t>
            </w:r>
            <w:r>
              <w:rPr>
                <w:rFonts w:ascii="宋体" w:hAnsi="宋体" w:cs="宋体" w:eastAsia="宋体" w:hint="default"/>
                <w:sz w:val="21"/>
                <w:szCs w:val="21"/>
              </w:rPr>
              <w:t>月</w:t>
            </w:r>
          </w:p>
        </w:tc>
        <w:tc>
          <w:tcPr>
            <w:tcW w:w="16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left="232" w:right="0"/>
              <w:jc w:val="left"/>
              <w:rPr>
                <w:rFonts w:ascii="宋体" w:hAnsi="宋体" w:cs="宋体" w:eastAsia="宋体" w:hint="default"/>
                <w:sz w:val="21"/>
                <w:szCs w:val="21"/>
              </w:rPr>
            </w:pPr>
            <w:r>
              <w:rPr>
                <w:rFonts w:ascii="宋体" w:hAnsi="宋体" w:cs="宋体" w:eastAsia="宋体" w:hint="default"/>
                <w:sz w:val="21"/>
                <w:szCs w:val="21"/>
              </w:rPr>
              <w:t>增减率（</w:t>
            </w:r>
            <w:r>
              <w:rPr>
                <w:rFonts w:ascii="宋体" w:hAnsi="宋体" w:cs="宋体" w:eastAsia="宋体" w:hint="default"/>
                <w:sz w:val="21"/>
                <w:szCs w:val="21"/>
              </w:rPr>
              <w:t>%</w:t>
            </w:r>
            <w:r>
              <w:rPr>
                <w:rFonts w:ascii="宋体" w:hAnsi="宋体" w:cs="宋体" w:eastAsia="宋体" w:hint="default"/>
                <w:sz w:val="21"/>
                <w:szCs w:val="21"/>
              </w:rPr>
              <w:t>）</w:t>
            </w:r>
          </w:p>
        </w:tc>
        <w:tc>
          <w:tcPr>
            <w:tcW w:w="16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left="17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1-12</w:t>
            </w:r>
            <w:r>
              <w:rPr>
                <w:rFonts w:ascii="宋体" w:hAnsi="宋体" w:cs="宋体" w:eastAsia="宋体" w:hint="default"/>
                <w:sz w:val="21"/>
                <w:szCs w:val="21"/>
              </w:rPr>
              <w:t>月</w:t>
            </w:r>
          </w:p>
        </w:tc>
      </w:tr>
      <w:tr>
        <w:trPr>
          <w:trHeight w:val="347" w:hRule="exact"/>
        </w:trPr>
        <w:tc>
          <w:tcPr>
            <w:tcW w:w="31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62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1"/>
                <w:szCs w:val="21"/>
              </w:rPr>
            </w:pPr>
            <w:r>
              <w:rPr>
                <w:rFonts w:ascii="Times New Roman"/>
                <w:spacing w:val="-1"/>
                <w:sz w:val="21"/>
              </w:rPr>
              <w:t>98,357,161</w:t>
            </w:r>
          </w:p>
        </w:tc>
        <w:tc>
          <w:tcPr>
            <w:tcW w:w="163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right="-3"/>
              <w:jc w:val="right"/>
              <w:rPr>
                <w:rFonts w:ascii="Times New Roman" w:hAnsi="Times New Roman" w:cs="Times New Roman" w:eastAsia="Times New Roman" w:hint="default"/>
                <w:sz w:val="21"/>
                <w:szCs w:val="21"/>
              </w:rPr>
            </w:pPr>
            <w:r>
              <w:rPr>
                <w:rFonts w:ascii="Times New Roman"/>
                <w:spacing w:val="-1"/>
                <w:sz w:val="21"/>
              </w:rPr>
              <w:t>93,888,580</w:t>
            </w:r>
          </w:p>
        </w:tc>
        <w:tc>
          <w:tcPr>
            <w:tcW w:w="163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1"/>
                <w:szCs w:val="21"/>
              </w:rPr>
            </w:pPr>
            <w:r>
              <w:rPr>
                <w:rFonts w:ascii="Times New Roman"/>
                <w:sz w:val="21"/>
              </w:rPr>
              <w:t>4.76%</w:t>
            </w:r>
          </w:p>
        </w:tc>
        <w:tc>
          <w:tcPr>
            <w:tcW w:w="162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1"/>
                <w:szCs w:val="21"/>
              </w:rPr>
            </w:pPr>
            <w:r>
              <w:rPr>
                <w:rFonts w:ascii="Times New Roman"/>
                <w:spacing w:val="-1"/>
                <w:sz w:val="21"/>
              </w:rPr>
              <w:t>75,504,739</w:t>
            </w:r>
          </w:p>
        </w:tc>
      </w:tr>
      <w:tr>
        <w:trPr>
          <w:trHeight w:val="346" w:hRule="exact"/>
        </w:trPr>
        <w:tc>
          <w:tcPr>
            <w:tcW w:w="31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80,884,646</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76,104,656</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6.28%</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62,040,712</w:t>
            </w:r>
          </w:p>
        </w:tc>
      </w:tr>
      <w:tr>
        <w:trPr>
          <w:trHeight w:val="348" w:hRule="exact"/>
        </w:trPr>
        <w:tc>
          <w:tcPr>
            <w:tcW w:w="31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2"/>
                <w:sz w:val="21"/>
              </w:rPr>
              <w:t>11,810,941</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9,367,346</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26.09%</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6,809,109</w:t>
            </w:r>
          </w:p>
        </w:tc>
      </w:tr>
      <w:tr>
        <w:trPr>
          <w:trHeight w:val="346" w:hRule="exact"/>
        </w:trPr>
        <w:tc>
          <w:tcPr>
            <w:tcW w:w="31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2,350,107</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2,088,637</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12.52%</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2"/>
                <w:sz w:val="21"/>
              </w:rPr>
              <w:t>1,250,311</w:t>
            </w:r>
          </w:p>
        </w:tc>
      </w:tr>
      <w:tr>
        <w:trPr>
          <w:trHeight w:val="348" w:hRule="exact"/>
        </w:trPr>
        <w:tc>
          <w:tcPr>
            <w:tcW w:w="31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财务收入—净额</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186,083</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403,236</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-53.85%</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360,769</w:t>
            </w:r>
          </w:p>
        </w:tc>
      </w:tr>
      <w:tr>
        <w:trPr>
          <w:trHeight w:val="348" w:hRule="exact"/>
        </w:trPr>
        <w:tc>
          <w:tcPr>
            <w:tcW w:w="31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3,013,603</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6,444,081</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-53.23%</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5,431,948</w:t>
            </w:r>
          </w:p>
        </w:tc>
      </w:tr>
      <w:tr>
        <w:trPr>
          <w:trHeight w:val="346" w:hRule="exact"/>
        </w:trPr>
        <w:tc>
          <w:tcPr>
            <w:tcW w:w="31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3,241,598</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6,473,226</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-49.92%</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5,402,044</w:t>
            </w:r>
          </w:p>
        </w:tc>
      </w:tr>
      <w:tr>
        <w:trPr>
          <w:trHeight w:val="349" w:hRule="exact"/>
        </w:trPr>
        <w:tc>
          <w:tcPr>
            <w:tcW w:w="31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spacing w:val="-2"/>
                <w:sz w:val="21"/>
              </w:rPr>
              <w:t>2,676,119</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3"/>
              <w:jc w:val="right"/>
              <w:rPr>
                <w:rFonts w:ascii="Times New Roman" w:hAnsi="Times New Roman" w:cs="Times New Roman" w:eastAsia="Times New Roman" w:hint="default"/>
                <w:sz w:val="21"/>
                <w:szCs w:val="21"/>
              </w:rPr>
            </w:pPr>
            <w:r>
              <w:rPr>
                <w:rFonts w:ascii="Times New Roman"/>
                <w:spacing w:val="-1"/>
                <w:sz w:val="21"/>
              </w:rPr>
              <w:t>4,820,594</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spacing w:val="-1"/>
                <w:sz w:val="21"/>
              </w:rPr>
              <w:t>-44.49%</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spacing w:val="-2"/>
                <w:sz w:val="21"/>
              </w:rPr>
              <w:t>4,011,820</w:t>
            </w:r>
          </w:p>
        </w:tc>
      </w:tr>
      <w:tr>
        <w:trPr>
          <w:trHeight w:val="348" w:hRule="exact"/>
        </w:trPr>
        <w:tc>
          <w:tcPr>
            <w:tcW w:w="31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5,299,441</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6,588,520</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-19.57%</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3,881,336</w:t>
            </w:r>
          </w:p>
        </w:tc>
      </w:tr>
    </w:tbl>
    <w:p>
      <w:pPr>
        <w:pStyle w:val="BodyText"/>
        <w:spacing w:line="408" w:lineRule="auto" w:before="64"/>
        <w:ind w:left="573" w:right="982"/>
        <w:jc w:val="left"/>
      </w:pPr>
      <w:r>
        <w:rPr>
          <w:rFonts w:ascii="宋体" w:hAnsi="宋体" w:cs="宋体" w:eastAsia="宋体" w:hint="default"/>
        </w:rPr>
        <w:t>1</w:t>
      </w:r>
      <w:r>
        <w:rPr/>
        <w:t>、营业收入变化情况</w:t>
      </w:r>
      <w:r>
        <w:rPr>
          <w:w w:val="100"/>
        </w:rPr>
        <w:t> </w:t>
      </w:r>
      <w:r>
        <w:rPr>
          <w:spacing w:val="-2"/>
        </w:rPr>
        <w:t>报告期内，公司线下业务由于宏观调控政策的持续，家电激励政策退出等因素，增长受到一定影响，</w:t>
      </w:r>
    </w:p>
    <w:p>
      <w:pPr>
        <w:pStyle w:val="BodyText"/>
        <w:spacing w:line="408" w:lineRule="auto"/>
        <w:ind w:right="982"/>
        <w:jc w:val="left"/>
      </w:pPr>
      <w:r>
        <w:rPr/>
        <w:t>与此同时公司线上业务保持了较快增长态势。综上，公司实现营业收入同比上年同期增长</w:t>
      </w:r>
      <w:r>
        <w:rPr>
          <w:rFonts w:ascii="宋体" w:hAnsi="宋体" w:cs="宋体" w:eastAsia="宋体" w:hint="default"/>
        </w:rPr>
        <w:t>4.76%</w:t>
      </w:r>
      <w:r>
        <w:rPr/>
        <w:t>，其中主</w:t>
      </w:r>
      <w:r>
        <w:rPr>
          <w:spacing w:val="-26"/>
        </w:rPr>
        <w:t> </w:t>
      </w:r>
      <w:r>
        <w:rPr/>
        <w:t>营业务收入同比增长</w:t>
      </w:r>
      <w:r>
        <w:rPr>
          <w:rFonts w:ascii="宋体" w:hAnsi="宋体" w:cs="宋体" w:eastAsia="宋体" w:hint="default"/>
        </w:rPr>
        <w:t>4.91%</w:t>
      </w:r>
      <w:r>
        <w:rPr/>
        <w:t>。</w:t>
      </w:r>
    </w:p>
    <w:p>
      <w:pPr>
        <w:pStyle w:val="BodyText"/>
        <w:spacing w:line="240" w:lineRule="auto"/>
        <w:ind w:left="573" w:right="982"/>
        <w:jc w:val="left"/>
      </w:pPr>
      <w:r>
        <w:rPr>
          <w:rFonts w:ascii="宋体" w:hAnsi="宋体" w:cs="宋体" w:eastAsia="宋体" w:hint="default"/>
        </w:rPr>
        <w:t>2</w:t>
      </w:r>
      <w:r>
        <w:rPr/>
        <w:t>、毛利率变化情况</w:t>
      </w:r>
    </w:p>
    <w:p>
      <w:pPr>
        <w:spacing w:line="240" w:lineRule="auto" w:before="3"/>
        <w:rPr>
          <w:rFonts w:ascii="宋体" w:hAnsi="宋体" w:cs="宋体" w:eastAsia="宋体" w:hint="default"/>
          <w:sz w:val="10"/>
          <w:szCs w:val="10"/>
        </w:rPr>
      </w:pPr>
    </w:p>
    <w:tbl>
      <w:tblPr>
        <w:tblW w:w="0" w:type="auto"/>
        <w:jc w:val="left"/>
        <w:tblInd w:w="136" w:type="dxa"/>
        <w:tblLayout w:type="fixed"/>
        <w:tblCellMar>
          <w:top w:w="0" w:type="dxa"/>
          <w:left w:w="0" w:type="dxa"/>
          <w:bottom w:w="0" w:type="dxa"/>
          <w:right w:w="0" w:type="dxa"/>
        </w:tblCellMar>
        <w:tblLook w:val="01E0"/>
      </w:tblPr>
      <w:tblGrid>
        <w:gridCol w:w="3132"/>
        <w:gridCol w:w="1631"/>
        <w:gridCol w:w="1632"/>
        <w:gridCol w:w="1697"/>
        <w:gridCol w:w="1567"/>
      </w:tblGrid>
      <w:tr>
        <w:trPr>
          <w:trHeight w:val="342" w:hRule="exact"/>
        </w:trPr>
        <w:tc>
          <w:tcPr>
            <w:tcW w:w="3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tabs>
                <w:tab w:pos="422" w:val="left" w:leader="none"/>
              </w:tabs>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right="487"/>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c>
          <w:tcPr>
            <w:tcW w:w="16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left="49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增减变化</w:t>
            </w:r>
          </w:p>
        </w:tc>
        <w:tc>
          <w:tcPr>
            <w:tcW w:w="15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p>
        </w:tc>
      </w:tr>
      <w:tr>
        <w:trPr>
          <w:trHeight w:val="347" w:hRule="exact"/>
        </w:trPr>
        <w:tc>
          <w:tcPr>
            <w:tcW w:w="3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主营业务毛利率（</w:t>
            </w:r>
            <w:r>
              <w:rPr>
                <w:rFonts w:ascii="宋体" w:hAnsi="宋体" w:cs="宋体" w:eastAsia="宋体" w:hint="default"/>
                <w:sz w:val="21"/>
                <w:szCs w:val="21"/>
              </w:rPr>
              <w:t>%</w:t>
            </w:r>
            <w:r>
              <w:rPr>
                <w:rFonts w:ascii="宋体" w:hAnsi="宋体" w:cs="宋体" w:eastAsia="宋体" w:hint="default"/>
                <w:sz w:val="21"/>
                <w:szCs w:val="21"/>
              </w:rPr>
              <w:t>）</w:t>
            </w:r>
          </w:p>
        </w:tc>
        <w:tc>
          <w:tcPr>
            <w:tcW w:w="163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right="477"/>
              <w:jc w:val="right"/>
              <w:rPr>
                <w:rFonts w:ascii="Times New Roman" w:hAnsi="Times New Roman" w:cs="Times New Roman" w:eastAsia="Times New Roman" w:hint="default"/>
                <w:sz w:val="21"/>
                <w:szCs w:val="21"/>
              </w:rPr>
            </w:pPr>
            <w:r>
              <w:rPr>
                <w:rFonts w:ascii="Times New Roman"/>
                <w:sz w:val="21"/>
              </w:rPr>
              <w:t>16.93%</w:t>
            </w:r>
          </w:p>
        </w:tc>
        <w:tc>
          <w:tcPr>
            <w:tcW w:w="163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left="487" w:right="0"/>
              <w:jc w:val="left"/>
              <w:rPr>
                <w:rFonts w:ascii="Times New Roman" w:hAnsi="Times New Roman" w:cs="Times New Roman" w:eastAsia="Times New Roman" w:hint="default"/>
                <w:sz w:val="21"/>
                <w:szCs w:val="21"/>
              </w:rPr>
            </w:pPr>
            <w:r>
              <w:rPr>
                <w:rFonts w:ascii="Times New Roman"/>
                <w:sz w:val="21"/>
              </w:rPr>
              <w:t>17.96%</w:t>
            </w:r>
          </w:p>
        </w:tc>
        <w:tc>
          <w:tcPr>
            <w:tcW w:w="1697" w:type="dxa"/>
            <w:tcBorders>
              <w:top w:val="single" w:sz="10" w:space="0" w:color="000000"/>
              <w:left w:val="single" w:sz="6" w:space="0" w:color="000000"/>
              <w:bottom w:val="single" w:sz="6" w:space="0" w:color="000000"/>
              <w:right w:val="single" w:sz="6" w:space="0" w:color="000000"/>
            </w:tcBorders>
          </w:tcPr>
          <w:p>
            <w:pPr>
              <w:pStyle w:val="TableParagraph"/>
              <w:spacing w:line="285" w:lineRule="exact"/>
              <w:ind w:left="4" w:right="0"/>
              <w:jc w:val="center"/>
              <w:rPr>
                <w:rFonts w:ascii="宋体" w:hAnsi="宋体" w:cs="宋体" w:eastAsia="宋体" w:hint="default"/>
                <w:sz w:val="21"/>
                <w:szCs w:val="21"/>
              </w:rPr>
            </w:pPr>
            <w:r>
              <w:rPr>
                <w:rFonts w:ascii="宋体" w:hAnsi="宋体" w:cs="宋体" w:eastAsia="宋体" w:hint="default"/>
                <w:sz w:val="21"/>
                <w:szCs w:val="21"/>
              </w:rPr>
              <w:t>下降</w:t>
            </w:r>
            <w:r>
              <w:rPr>
                <w:rFonts w:ascii="Times New Roman" w:hAnsi="Times New Roman" w:cs="Times New Roman" w:eastAsia="Times New Roman" w:hint="default"/>
                <w:sz w:val="21"/>
                <w:szCs w:val="21"/>
              </w:rPr>
              <w:t>1.03</w:t>
            </w:r>
            <w:r>
              <w:rPr>
                <w:rFonts w:ascii="宋体" w:hAnsi="宋体" w:cs="宋体" w:eastAsia="宋体" w:hint="default"/>
                <w:sz w:val="21"/>
                <w:szCs w:val="21"/>
              </w:rPr>
              <w:t>个百分点</w:t>
            </w:r>
          </w:p>
        </w:tc>
        <w:tc>
          <w:tcPr>
            <w:tcW w:w="156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sz w:val="21"/>
              </w:rPr>
              <w:t>16.59%</w:t>
            </w:r>
          </w:p>
        </w:tc>
      </w:tr>
      <w:tr>
        <w:trPr>
          <w:trHeight w:val="346" w:hRule="exact"/>
        </w:trPr>
        <w:tc>
          <w:tcPr>
            <w:tcW w:w="3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其他业务毛利率（</w:t>
            </w:r>
            <w:r>
              <w:rPr>
                <w:rFonts w:ascii="宋体" w:hAnsi="宋体" w:cs="宋体" w:eastAsia="宋体" w:hint="default"/>
                <w:sz w:val="21"/>
                <w:szCs w:val="21"/>
              </w:rPr>
              <w:t>%</w:t>
            </w:r>
            <w:r>
              <w:rPr>
                <w:rFonts w:ascii="宋体" w:hAnsi="宋体" w:cs="宋体" w:eastAsia="宋体" w:hint="default"/>
                <w:sz w:val="21"/>
                <w:szCs w:val="21"/>
              </w:rPr>
              <w:t>）</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530"/>
              <w:jc w:val="right"/>
              <w:rPr>
                <w:rFonts w:ascii="Times New Roman" w:hAnsi="Times New Roman" w:cs="Times New Roman" w:eastAsia="Times New Roman" w:hint="default"/>
                <w:sz w:val="21"/>
                <w:szCs w:val="21"/>
              </w:rPr>
            </w:pPr>
            <w:r>
              <w:rPr>
                <w:rFonts w:ascii="Times New Roman"/>
                <w:sz w:val="21"/>
              </w:rPr>
              <w:t>1.08%</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40" w:right="0"/>
              <w:jc w:val="left"/>
              <w:rPr>
                <w:rFonts w:ascii="Times New Roman" w:hAnsi="Times New Roman" w:cs="Times New Roman" w:eastAsia="Times New Roman" w:hint="default"/>
                <w:sz w:val="21"/>
                <w:szCs w:val="21"/>
              </w:rPr>
            </w:pPr>
            <w:r>
              <w:rPr>
                <w:rFonts w:ascii="Times New Roman"/>
                <w:sz w:val="21"/>
              </w:rPr>
              <w:t>1.27%</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center"/>
              <w:rPr>
                <w:rFonts w:ascii="宋体" w:hAnsi="宋体" w:cs="宋体" w:eastAsia="宋体" w:hint="default"/>
                <w:sz w:val="21"/>
                <w:szCs w:val="21"/>
              </w:rPr>
            </w:pPr>
            <w:r>
              <w:rPr>
                <w:rFonts w:ascii="宋体" w:hAnsi="宋体" w:cs="宋体" w:eastAsia="宋体" w:hint="default"/>
                <w:sz w:val="21"/>
                <w:szCs w:val="21"/>
              </w:rPr>
              <w:t>下降</w:t>
            </w:r>
            <w:r>
              <w:rPr>
                <w:rFonts w:ascii="Times New Roman" w:hAnsi="Times New Roman" w:cs="Times New Roman" w:eastAsia="Times New Roman" w:hint="default"/>
                <w:sz w:val="21"/>
                <w:szCs w:val="21"/>
              </w:rPr>
              <w:t>0.19</w:t>
            </w:r>
            <w:r>
              <w:rPr>
                <w:rFonts w:ascii="宋体" w:hAnsi="宋体" w:cs="宋体" w:eastAsia="宋体" w:hint="default"/>
                <w:sz w:val="21"/>
                <w:szCs w:val="21"/>
              </w:rPr>
              <w:t>个百分点</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1.55%</w:t>
            </w:r>
          </w:p>
        </w:tc>
      </w:tr>
      <w:tr>
        <w:trPr>
          <w:trHeight w:val="348" w:hRule="exact"/>
        </w:trPr>
        <w:tc>
          <w:tcPr>
            <w:tcW w:w="3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综合毛利率（</w:t>
            </w:r>
            <w:r>
              <w:rPr>
                <w:rFonts w:ascii="宋体" w:hAnsi="宋体" w:cs="宋体" w:eastAsia="宋体" w:hint="default"/>
                <w:sz w:val="21"/>
                <w:szCs w:val="21"/>
              </w:rPr>
              <w:t>%</w:t>
            </w:r>
            <w:r>
              <w:rPr>
                <w:rFonts w:ascii="宋体" w:hAnsi="宋体" w:cs="宋体" w:eastAsia="宋体" w:hint="default"/>
                <w:sz w:val="21"/>
                <w:szCs w:val="21"/>
              </w:rPr>
              <w:t>）</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477"/>
              <w:jc w:val="right"/>
              <w:rPr>
                <w:rFonts w:ascii="Times New Roman" w:hAnsi="Times New Roman" w:cs="Times New Roman" w:eastAsia="Times New Roman" w:hint="default"/>
                <w:sz w:val="21"/>
                <w:szCs w:val="21"/>
              </w:rPr>
            </w:pPr>
            <w:r>
              <w:rPr>
                <w:rFonts w:ascii="Times New Roman"/>
                <w:sz w:val="21"/>
              </w:rPr>
              <w:t>18.01%</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87" w:right="0"/>
              <w:jc w:val="left"/>
              <w:rPr>
                <w:rFonts w:ascii="Times New Roman" w:hAnsi="Times New Roman" w:cs="Times New Roman" w:eastAsia="Times New Roman" w:hint="default"/>
                <w:sz w:val="21"/>
                <w:szCs w:val="21"/>
              </w:rPr>
            </w:pPr>
            <w:r>
              <w:rPr>
                <w:rFonts w:ascii="Times New Roman"/>
                <w:sz w:val="21"/>
              </w:rPr>
              <w:t>19.23%</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center"/>
              <w:rPr>
                <w:rFonts w:ascii="宋体" w:hAnsi="宋体" w:cs="宋体" w:eastAsia="宋体" w:hint="default"/>
                <w:sz w:val="21"/>
                <w:szCs w:val="21"/>
              </w:rPr>
            </w:pPr>
            <w:r>
              <w:rPr>
                <w:rFonts w:ascii="宋体" w:hAnsi="宋体" w:cs="宋体" w:eastAsia="宋体" w:hint="default"/>
                <w:sz w:val="21"/>
                <w:szCs w:val="21"/>
              </w:rPr>
              <w:t>下降</w:t>
            </w:r>
            <w:r>
              <w:rPr>
                <w:rFonts w:ascii="Times New Roman" w:hAnsi="Times New Roman" w:cs="Times New Roman" w:eastAsia="Times New Roman" w:hint="default"/>
                <w:sz w:val="21"/>
                <w:szCs w:val="21"/>
              </w:rPr>
              <w:t>1.22</w:t>
            </w:r>
            <w:r>
              <w:rPr>
                <w:rFonts w:ascii="宋体" w:hAnsi="宋体" w:cs="宋体" w:eastAsia="宋体" w:hint="default"/>
                <w:sz w:val="21"/>
                <w:szCs w:val="21"/>
              </w:rPr>
              <w:t>个百分点</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18.14%</w:t>
            </w:r>
          </w:p>
        </w:tc>
      </w:tr>
    </w:tbl>
    <w:p>
      <w:pPr>
        <w:pStyle w:val="BodyText"/>
        <w:spacing w:line="408" w:lineRule="auto" w:before="64"/>
        <w:ind w:right="982" w:firstLine="420"/>
        <w:jc w:val="left"/>
      </w:pPr>
      <w:r>
        <w:rPr/>
        <w:t>报告期内，公司持续推进差异化采购，自主产品占比稳步提升；在市场整体环境不甚理想的情况下，</w:t>
      </w:r>
      <w:r>
        <w:rPr>
          <w:w w:val="100"/>
        </w:rPr>
        <w:t> </w:t>
      </w:r>
      <w:r>
        <w:rPr>
          <w:spacing w:val="-2"/>
        </w:rPr>
        <w:t>公司加大促销力度提升销售，尤其是线上业务快速增长，对整体毛利率水平有一定影响。此外，报告期内</w:t>
      </w:r>
      <w:r>
        <w:rPr>
          <w:spacing w:val="-47"/>
        </w:rPr>
        <w:t> </w:t>
      </w:r>
      <w:r>
        <w:rPr>
          <w:spacing w:val="-47"/>
        </w:rPr>
      </w:r>
      <w:r>
        <w:rPr>
          <w:spacing w:val="-4"/>
        </w:rPr>
        <w:t>公司消费类电子产品运营进一步成熟，规模占比提升。综上，公司主营业务毛利率同比下降</w:t>
      </w:r>
      <w:r>
        <w:rPr>
          <w:rFonts w:ascii="宋体" w:hAnsi="宋体" w:cs="宋体" w:eastAsia="宋体" w:hint="default"/>
          <w:spacing w:val="-4"/>
        </w:rPr>
        <w:t>1.03</w:t>
      </w:r>
      <w:r>
        <w:rPr>
          <w:spacing w:val="-4"/>
        </w:rPr>
        <w:t>个百分点，</w:t>
      </w:r>
      <w:r>
        <w:rPr>
          <w:spacing w:val="-44"/>
        </w:rPr>
        <w:t> </w:t>
      </w:r>
      <w:r>
        <w:rPr>
          <w:spacing w:val="-44"/>
        </w:rPr>
      </w:r>
      <w:r>
        <w:rPr/>
        <w:t>其他业务毛利率同比下降</w:t>
      </w:r>
      <w:r>
        <w:rPr>
          <w:rFonts w:ascii="宋体" w:hAnsi="宋体" w:cs="宋体" w:eastAsia="宋体" w:hint="default"/>
        </w:rPr>
        <w:t>0.19</w:t>
      </w:r>
      <w:r>
        <w:rPr/>
        <w:t>个百分点，综合毛利率同比下降</w:t>
      </w:r>
      <w:r>
        <w:rPr>
          <w:rFonts w:ascii="宋体" w:hAnsi="宋体" w:cs="宋体" w:eastAsia="宋体" w:hint="default"/>
        </w:rPr>
        <w:t>1.22</w:t>
      </w:r>
      <w:r>
        <w:rPr/>
        <w:t>个百分点。</w:t>
      </w:r>
    </w:p>
    <w:p>
      <w:pPr>
        <w:pStyle w:val="BodyText"/>
        <w:spacing w:line="240" w:lineRule="auto"/>
        <w:ind w:left="573" w:right="982"/>
        <w:jc w:val="left"/>
      </w:pPr>
      <w:r>
        <w:rPr>
          <w:rFonts w:ascii="宋体" w:hAnsi="宋体" w:cs="宋体" w:eastAsia="宋体" w:hint="default"/>
        </w:rPr>
        <w:t>3</w:t>
      </w:r>
      <w:r>
        <w:rPr/>
        <w:t>、三项费用率变化情况</w:t>
      </w:r>
    </w:p>
    <w:p>
      <w:pPr>
        <w:spacing w:line="240" w:lineRule="auto" w:before="4"/>
        <w:rPr>
          <w:rFonts w:ascii="宋体" w:hAnsi="宋体" w:cs="宋体" w:eastAsia="宋体" w:hint="default"/>
          <w:sz w:val="10"/>
          <w:szCs w:val="10"/>
        </w:rPr>
      </w:pPr>
    </w:p>
    <w:tbl>
      <w:tblPr>
        <w:tblW w:w="0" w:type="auto"/>
        <w:jc w:val="left"/>
        <w:tblInd w:w="136" w:type="dxa"/>
        <w:tblLayout w:type="fixed"/>
        <w:tblCellMar>
          <w:top w:w="0" w:type="dxa"/>
          <w:left w:w="0" w:type="dxa"/>
          <w:bottom w:w="0" w:type="dxa"/>
          <w:right w:w="0" w:type="dxa"/>
        </w:tblCellMar>
        <w:tblLook w:val="01E0"/>
      </w:tblPr>
      <w:tblGrid>
        <w:gridCol w:w="3132"/>
        <w:gridCol w:w="1631"/>
        <w:gridCol w:w="1632"/>
        <w:gridCol w:w="1697"/>
        <w:gridCol w:w="1567"/>
      </w:tblGrid>
      <w:tr>
        <w:trPr>
          <w:trHeight w:val="342" w:hRule="exact"/>
        </w:trPr>
        <w:tc>
          <w:tcPr>
            <w:tcW w:w="3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tabs>
                <w:tab w:pos="422" w:val="left" w:leader="none"/>
              </w:tabs>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8" w:lineRule="exact"/>
              <w:ind w:right="487"/>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c>
          <w:tcPr>
            <w:tcW w:w="16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8" w:lineRule="exact"/>
              <w:ind w:left="49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8" w:lineRule="exact"/>
              <w:ind w:left="4" w:right="0"/>
              <w:jc w:val="center"/>
              <w:rPr>
                <w:rFonts w:ascii="宋体" w:hAnsi="宋体" w:cs="宋体" w:eastAsia="宋体" w:hint="default"/>
                <w:sz w:val="21"/>
                <w:szCs w:val="21"/>
              </w:rPr>
            </w:pPr>
            <w:r>
              <w:rPr>
                <w:rFonts w:ascii="宋体" w:hAnsi="宋体" w:cs="宋体" w:eastAsia="宋体" w:hint="default"/>
                <w:sz w:val="21"/>
                <w:szCs w:val="21"/>
              </w:rPr>
              <w:t>增减变化</w:t>
            </w:r>
          </w:p>
        </w:tc>
        <w:tc>
          <w:tcPr>
            <w:tcW w:w="15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8"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p>
        </w:tc>
      </w:tr>
      <w:tr>
        <w:trPr>
          <w:trHeight w:val="346" w:hRule="exact"/>
        </w:trPr>
        <w:tc>
          <w:tcPr>
            <w:tcW w:w="3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销售费用率</w:t>
            </w:r>
          </w:p>
        </w:tc>
        <w:tc>
          <w:tcPr>
            <w:tcW w:w="163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9"/>
              <w:ind w:right="477"/>
              <w:jc w:val="right"/>
              <w:rPr>
                <w:rFonts w:ascii="Times New Roman" w:hAnsi="Times New Roman" w:cs="Times New Roman" w:eastAsia="Times New Roman" w:hint="default"/>
                <w:sz w:val="21"/>
                <w:szCs w:val="21"/>
              </w:rPr>
            </w:pPr>
            <w:r>
              <w:rPr>
                <w:rFonts w:ascii="Times New Roman"/>
                <w:sz w:val="21"/>
              </w:rPr>
              <w:t>12.18%</w:t>
            </w:r>
          </w:p>
        </w:tc>
        <w:tc>
          <w:tcPr>
            <w:tcW w:w="163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9"/>
              <w:ind w:left="487" w:right="0"/>
              <w:jc w:val="left"/>
              <w:rPr>
                <w:rFonts w:ascii="Times New Roman" w:hAnsi="Times New Roman" w:cs="Times New Roman" w:eastAsia="Times New Roman" w:hint="default"/>
                <w:sz w:val="21"/>
                <w:szCs w:val="21"/>
              </w:rPr>
            </w:pPr>
            <w:r>
              <w:rPr>
                <w:rFonts w:ascii="Times New Roman"/>
                <w:sz w:val="21"/>
              </w:rPr>
              <w:t>10.13%</w:t>
            </w:r>
          </w:p>
        </w:tc>
        <w:tc>
          <w:tcPr>
            <w:tcW w:w="1697" w:type="dxa"/>
            <w:tcBorders>
              <w:top w:val="single" w:sz="10" w:space="0" w:color="000000"/>
              <w:left w:val="single" w:sz="6" w:space="0" w:color="000000"/>
              <w:bottom w:val="single" w:sz="6" w:space="0" w:color="000000"/>
              <w:right w:val="single" w:sz="6" w:space="0" w:color="000000"/>
            </w:tcBorders>
          </w:tcPr>
          <w:p>
            <w:pPr>
              <w:pStyle w:val="TableParagraph"/>
              <w:spacing w:line="284" w:lineRule="exact"/>
              <w:ind w:left="4"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2.05</w:t>
            </w:r>
            <w:r>
              <w:rPr>
                <w:rFonts w:ascii="宋体" w:hAnsi="宋体" w:cs="宋体" w:eastAsia="宋体" w:hint="default"/>
                <w:sz w:val="21"/>
                <w:szCs w:val="21"/>
              </w:rPr>
              <w:t>个百分点</w:t>
            </w:r>
          </w:p>
        </w:tc>
        <w:tc>
          <w:tcPr>
            <w:tcW w:w="156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9.17%</w:t>
            </w:r>
          </w:p>
        </w:tc>
      </w:tr>
      <w:tr>
        <w:trPr>
          <w:trHeight w:val="348" w:hRule="exact"/>
        </w:trPr>
        <w:tc>
          <w:tcPr>
            <w:tcW w:w="3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管理费用率</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530"/>
              <w:jc w:val="right"/>
              <w:rPr>
                <w:rFonts w:ascii="Times New Roman" w:hAnsi="Times New Roman" w:cs="Times New Roman" w:eastAsia="Times New Roman" w:hint="default"/>
                <w:sz w:val="21"/>
                <w:szCs w:val="21"/>
              </w:rPr>
            </w:pPr>
            <w:r>
              <w:rPr>
                <w:rFonts w:ascii="Times New Roman"/>
                <w:sz w:val="21"/>
              </w:rPr>
              <w:t>2.42%</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40" w:right="0"/>
              <w:jc w:val="left"/>
              <w:rPr>
                <w:rFonts w:ascii="Times New Roman" w:hAnsi="Times New Roman" w:cs="Times New Roman" w:eastAsia="Times New Roman" w:hint="default"/>
                <w:sz w:val="21"/>
                <w:szCs w:val="21"/>
              </w:rPr>
            </w:pPr>
            <w:r>
              <w:rPr>
                <w:rFonts w:ascii="Times New Roman"/>
                <w:sz w:val="21"/>
              </w:rPr>
              <w:t>2.26%</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0.16</w:t>
            </w:r>
            <w:r>
              <w:rPr>
                <w:rFonts w:ascii="宋体" w:hAnsi="宋体" w:cs="宋体" w:eastAsia="宋体" w:hint="default"/>
                <w:sz w:val="21"/>
                <w:szCs w:val="21"/>
              </w:rPr>
              <w:t>个百分点</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1.68%</w:t>
            </w:r>
          </w:p>
        </w:tc>
      </w:tr>
      <w:tr>
        <w:trPr>
          <w:trHeight w:val="346" w:hRule="exact"/>
        </w:trPr>
        <w:tc>
          <w:tcPr>
            <w:tcW w:w="3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财务费用率</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98"/>
              <w:jc w:val="right"/>
              <w:rPr>
                <w:rFonts w:ascii="Times New Roman" w:hAnsi="Times New Roman" w:cs="Times New Roman" w:eastAsia="Times New Roman" w:hint="default"/>
                <w:sz w:val="21"/>
                <w:szCs w:val="21"/>
              </w:rPr>
            </w:pPr>
            <w:r>
              <w:rPr>
                <w:rFonts w:ascii="Times New Roman"/>
                <w:spacing w:val="-1"/>
                <w:sz w:val="21"/>
              </w:rPr>
              <w:t>-0.19%</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04" w:right="0"/>
              <w:jc w:val="left"/>
              <w:rPr>
                <w:rFonts w:ascii="Times New Roman" w:hAnsi="Times New Roman" w:cs="Times New Roman" w:eastAsia="Times New Roman" w:hint="default"/>
                <w:sz w:val="21"/>
                <w:szCs w:val="21"/>
              </w:rPr>
            </w:pPr>
            <w:r>
              <w:rPr>
                <w:rFonts w:ascii="Times New Roman"/>
                <w:sz w:val="21"/>
              </w:rPr>
              <w:t>-0.44%</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0.25</w:t>
            </w:r>
            <w:r>
              <w:rPr>
                <w:rFonts w:ascii="宋体" w:hAnsi="宋体" w:cs="宋体" w:eastAsia="宋体" w:hint="default"/>
                <w:sz w:val="21"/>
                <w:szCs w:val="21"/>
              </w:rPr>
              <w:t>个百分点</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-0.49%</w:t>
            </w:r>
          </w:p>
        </w:tc>
      </w:tr>
      <w:tr>
        <w:trPr>
          <w:trHeight w:val="348" w:hRule="exact"/>
        </w:trPr>
        <w:tc>
          <w:tcPr>
            <w:tcW w:w="3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三项费用率</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477"/>
              <w:jc w:val="right"/>
              <w:rPr>
                <w:rFonts w:ascii="Times New Roman" w:hAnsi="Times New Roman" w:cs="Times New Roman" w:eastAsia="Times New Roman" w:hint="default"/>
                <w:sz w:val="21"/>
                <w:szCs w:val="21"/>
              </w:rPr>
            </w:pPr>
            <w:r>
              <w:rPr>
                <w:rFonts w:ascii="Times New Roman"/>
                <w:sz w:val="21"/>
              </w:rPr>
              <w:t>14.41%</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89" w:right="0"/>
              <w:jc w:val="left"/>
              <w:rPr>
                <w:rFonts w:ascii="Times New Roman" w:hAnsi="Times New Roman" w:cs="Times New Roman" w:eastAsia="Times New Roman" w:hint="default"/>
                <w:sz w:val="21"/>
                <w:szCs w:val="21"/>
              </w:rPr>
            </w:pPr>
            <w:r>
              <w:rPr>
                <w:rFonts w:ascii="Times New Roman"/>
                <w:sz w:val="21"/>
              </w:rPr>
              <w:t>11.95%</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2.46</w:t>
            </w:r>
            <w:r>
              <w:rPr>
                <w:rFonts w:ascii="宋体" w:hAnsi="宋体" w:cs="宋体" w:eastAsia="宋体" w:hint="default"/>
                <w:sz w:val="21"/>
                <w:szCs w:val="21"/>
              </w:rPr>
              <w:t>个百分点</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10.36%</w:t>
            </w:r>
          </w:p>
        </w:tc>
      </w:tr>
    </w:tbl>
    <w:p>
      <w:pPr>
        <w:pStyle w:val="BodyText"/>
        <w:spacing w:line="408" w:lineRule="auto" w:before="64"/>
        <w:ind w:right="1128" w:firstLine="420"/>
        <w:jc w:val="both"/>
      </w:pPr>
      <w:r>
        <w:rPr>
          <w:spacing w:val="-2"/>
        </w:rPr>
        <w:t>报告期内，可比店面同比销售下降，而租金、人员等费用相对刚性，此外为提升苏宁易购品牌形象及</w:t>
      </w:r>
      <w:r>
        <w:rPr>
          <w:w w:val="100"/>
        </w:rPr>
        <w:t> </w:t>
      </w:r>
      <w:r>
        <w:rPr>
          <w:spacing w:val="-2"/>
        </w:rPr>
        <w:t>市场份额，公司加大了宣传、促销推广力度，相关投入增加，使得销售费用率、管理费用率同比增加。另</w:t>
      </w:r>
      <w:r>
        <w:rPr>
          <w:spacing w:val="-45"/>
        </w:rPr>
        <w:t> </w:t>
      </w:r>
      <w:r>
        <w:rPr>
          <w:spacing w:val="-45"/>
        </w:rPr>
      </w:r>
      <w:r>
        <w:rPr/>
        <w:t>公司银行借款增加带来利息支出有所增加以及消费刷卡比例上升，财务费用率也有所上升。</w:t>
      </w:r>
    </w:p>
    <w:p>
      <w:pPr>
        <w:spacing w:after="0" w:line="408" w:lineRule="auto"/>
        <w:jc w:val="both"/>
        <w:sectPr>
          <w:pgSz w:w="11910" w:h="16840"/>
          <w:pgMar w:header="745" w:footer="1258" w:top="1060" w:bottom="144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653" w:right="876"/>
        <w:jc w:val="left"/>
      </w:pPr>
      <w:r>
        <w:rPr>
          <w:spacing w:val="-2"/>
        </w:rPr>
        <w:t>综上，报告期内，公司三项费用率同比上升了</w:t>
      </w:r>
      <w:r>
        <w:rPr>
          <w:rFonts w:ascii="宋体" w:hAnsi="宋体" w:cs="宋体" w:eastAsia="宋体" w:hint="default"/>
          <w:spacing w:val="-2"/>
        </w:rPr>
        <w:t>2.46</w:t>
      </w:r>
      <w:r>
        <w:rPr>
          <w:spacing w:val="-2"/>
        </w:rPr>
        <w:t>个百分点。</w:t>
      </w:r>
      <w:r>
        <w:rPr>
          <w:spacing w:val="-48"/>
        </w:rPr>
        <w:t> </w:t>
      </w:r>
      <w:r>
        <w:rPr>
          <w:spacing w:val="-48"/>
        </w:rPr>
      </w:r>
      <w:r>
        <w:rPr>
          <w:rFonts w:ascii="宋体" w:hAnsi="宋体" w:cs="宋体" w:eastAsia="宋体" w:hint="default"/>
        </w:rPr>
        <w:t>4</w:t>
      </w:r>
      <w:r>
        <w:rPr/>
        <w:t>、归属于上市公司股东的净利润变化情况</w:t>
      </w:r>
    </w:p>
    <w:p>
      <w:pPr>
        <w:pStyle w:val="BodyText"/>
        <w:spacing w:line="240" w:lineRule="auto"/>
        <w:ind w:left="653" w:right="876"/>
        <w:jc w:val="left"/>
      </w:pPr>
      <w:r>
        <w:rPr/>
        <w:t>鉴于上述</w:t>
      </w:r>
      <w:r>
        <w:rPr>
          <w:rFonts w:ascii="宋体" w:hAnsi="宋体" w:cs="宋体" w:eastAsia="宋体" w:hint="default"/>
        </w:rPr>
        <w:t>1-3</w:t>
      </w:r>
      <w:r>
        <w:rPr/>
        <w:t>项，报告期内，公司实现归属于上市公司股东的净利润同比下降</w:t>
      </w:r>
      <w:r>
        <w:rPr>
          <w:rFonts w:ascii="宋体" w:hAnsi="宋体" w:cs="宋体" w:eastAsia="宋体" w:hint="default"/>
        </w:rPr>
        <w:t>44.49%</w:t>
      </w:r>
      <w:r>
        <w:rPr/>
        <w:t>。</w:t>
      </w:r>
    </w:p>
    <w:p>
      <w:pPr>
        <w:spacing w:line="240" w:lineRule="auto" w:before="1"/>
        <w:rPr>
          <w:rFonts w:ascii="宋体" w:hAnsi="宋体" w:cs="宋体" w:eastAsia="宋体" w:hint="default"/>
          <w:sz w:val="25"/>
          <w:szCs w:val="25"/>
        </w:rPr>
      </w:pPr>
    </w:p>
    <w:p>
      <w:pPr>
        <w:pStyle w:val="Heading2"/>
        <w:spacing w:line="240" w:lineRule="auto"/>
        <w:ind w:left="715" w:right="876"/>
        <w:jc w:val="left"/>
        <w:rPr>
          <w:b w:val="0"/>
          <w:bCs w:val="0"/>
        </w:rPr>
      </w:pPr>
      <w:r>
        <w:rPr/>
        <w:t>四、主营业务构成情况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653" w:right="876"/>
        <w:jc w:val="left"/>
      </w:pPr>
      <w:r>
        <w:rPr>
          <w:rFonts w:ascii="宋体" w:hAnsi="宋体" w:cs="宋体" w:eastAsia="宋体" w:hint="default"/>
        </w:rPr>
        <w:t>1</w:t>
      </w:r>
      <w:r>
        <w:rPr/>
        <w:t>、报告期内公司主营业务范围为：家用电器及消费类电子产品的销售和服务，未发生变更。</w:t>
      </w:r>
    </w:p>
    <w:p>
      <w:pPr>
        <w:spacing w:line="240" w:lineRule="auto" w:before="10"/>
        <w:rPr>
          <w:rFonts w:ascii="宋体" w:hAnsi="宋体" w:cs="宋体" w:eastAsia="宋体" w:hint="default"/>
          <w:sz w:val="14"/>
          <w:szCs w:val="14"/>
        </w:rPr>
      </w:pPr>
    </w:p>
    <w:p>
      <w:pPr>
        <w:pStyle w:val="BodyText"/>
        <w:tabs>
          <w:tab w:pos="7482" w:val="left" w:leader="none"/>
        </w:tabs>
        <w:spacing w:line="408" w:lineRule="auto" w:before="0"/>
        <w:ind w:left="653" w:right="2050"/>
        <w:jc w:val="left"/>
      </w:pPr>
      <w:r>
        <w:rPr>
          <w:rFonts w:ascii="宋体" w:hAnsi="宋体" w:cs="宋体" w:eastAsia="宋体" w:hint="default"/>
          <w:spacing w:val="-2"/>
        </w:rPr>
        <w:t>2</w:t>
      </w:r>
      <w:r>
        <w:rPr>
          <w:spacing w:val="-2"/>
        </w:rPr>
        <w:t>、报告期内公司主营业务收入、主营业务利润的构成情况</w:t>
        <w:tab/>
        <w:t>（单位：千元）</w:t>
      </w:r>
      <w:r>
        <w:rPr>
          <w:spacing w:val="-92"/>
        </w:rPr>
        <w:t> </w:t>
      </w:r>
      <w:r>
        <w:rPr>
          <w:spacing w:val="-92"/>
        </w:rPr>
      </w:r>
      <w:r>
        <w:rPr>
          <w:rFonts w:ascii="宋体" w:hAnsi="宋体" w:cs="宋体" w:eastAsia="宋体" w:hint="default"/>
        </w:rPr>
        <w:t>A</w:t>
      </w:r>
      <w:r>
        <w:rPr/>
        <w:t>、主营业务分行业、产品情况表：</w:t>
      </w:r>
    </w:p>
    <w:tbl>
      <w:tblPr>
        <w:tblW w:w="0" w:type="auto"/>
        <w:jc w:val="left"/>
        <w:tblInd w:w="117" w:type="dxa"/>
        <w:tblLayout w:type="fixed"/>
        <w:tblCellMar>
          <w:top w:w="0" w:type="dxa"/>
          <w:left w:w="0" w:type="dxa"/>
          <w:bottom w:w="0" w:type="dxa"/>
          <w:right w:w="0" w:type="dxa"/>
        </w:tblCellMar>
        <w:tblLook w:val="01E0"/>
      </w:tblPr>
      <w:tblGrid>
        <w:gridCol w:w="1724"/>
        <w:gridCol w:w="1376"/>
        <w:gridCol w:w="1385"/>
        <w:gridCol w:w="989"/>
        <w:gridCol w:w="1190"/>
        <w:gridCol w:w="1186"/>
        <w:gridCol w:w="2006"/>
      </w:tblGrid>
      <w:tr>
        <w:trPr>
          <w:trHeight w:val="1263" w:hRule="exact"/>
        </w:trPr>
        <w:tc>
          <w:tcPr>
            <w:tcW w:w="17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5"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3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21"/>
                <w:szCs w:val="21"/>
              </w:rPr>
            </w:pPr>
          </w:p>
          <w:p>
            <w:pPr>
              <w:pStyle w:val="TableParagraph"/>
              <w:spacing w:line="273" w:lineRule="auto"/>
              <w:ind w:left="470" w:right="257" w:hanging="212"/>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w w:val="100"/>
                <w:sz w:val="21"/>
                <w:szCs w:val="21"/>
              </w:rPr>
              <w:t> </w:t>
            </w:r>
            <w:r>
              <w:rPr>
                <w:rFonts w:ascii="宋体" w:hAnsi="宋体" w:cs="宋体" w:eastAsia="宋体" w:hint="default"/>
                <w:sz w:val="21"/>
                <w:szCs w:val="21"/>
              </w:rPr>
              <w:t>收入</w:t>
            </w:r>
          </w:p>
        </w:tc>
        <w:tc>
          <w:tcPr>
            <w:tcW w:w="13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21"/>
                <w:szCs w:val="21"/>
              </w:rPr>
            </w:pPr>
          </w:p>
          <w:p>
            <w:pPr>
              <w:pStyle w:val="TableParagraph"/>
              <w:spacing w:line="273" w:lineRule="auto"/>
              <w:ind w:left="475" w:right="261" w:hanging="212"/>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9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126"/>
              <w:ind w:left="100" w:right="29" w:hanging="70"/>
              <w:jc w:val="center"/>
              <w:rPr>
                <w:rFonts w:ascii="宋体" w:hAnsi="宋体" w:cs="宋体" w:eastAsia="宋体" w:hint="default"/>
                <w:sz w:val="21"/>
                <w:szCs w:val="21"/>
              </w:rPr>
            </w:pPr>
            <w:r>
              <w:rPr>
                <w:rFonts w:ascii="宋体" w:hAnsi="宋体" w:cs="宋体" w:eastAsia="宋体" w:hint="default"/>
                <w:sz w:val="21"/>
                <w:szCs w:val="21"/>
              </w:rPr>
              <w:t>主营业</w:t>
            </w:r>
            <w:r>
              <w:rPr>
                <w:rFonts w:ascii="宋体" w:hAnsi="宋体" w:cs="宋体" w:eastAsia="宋体" w:hint="default"/>
                <w:w w:val="100"/>
                <w:sz w:val="21"/>
                <w:szCs w:val="21"/>
              </w:rPr>
              <w:t> </w:t>
            </w:r>
            <w:r>
              <w:rPr>
                <w:rFonts w:ascii="宋体" w:hAnsi="宋体" w:cs="宋体" w:eastAsia="宋体" w:hint="default"/>
                <w:sz w:val="21"/>
                <w:szCs w:val="21"/>
              </w:rPr>
              <w:t>务毛利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1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4" w:lineRule="exact"/>
              <w:ind w:left="170" w:right="0"/>
              <w:jc w:val="both"/>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3" w:lineRule="auto" w:before="37"/>
              <w:ind w:left="170" w:right="161"/>
              <w:jc w:val="both"/>
              <w:rPr>
                <w:rFonts w:ascii="宋体" w:hAnsi="宋体" w:cs="宋体" w:eastAsia="宋体" w:hint="default"/>
                <w:sz w:val="21"/>
                <w:szCs w:val="21"/>
              </w:rPr>
            </w:pPr>
            <w:r>
              <w:rPr>
                <w:rFonts w:ascii="宋体" w:hAnsi="宋体" w:cs="宋体" w:eastAsia="宋体" w:hint="default"/>
                <w:sz w:val="21"/>
                <w:szCs w:val="21"/>
              </w:rPr>
              <w:t>收入比上</w:t>
            </w:r>
            <w:r>
              <w:rPr>
                <w:rFonts w:ascii="宋体" w:hAnsi="宋体" w:cs="宋体" w:eastAsia="宋体" w:hint="default"/>
                <w:w w:val="100"/>
                <w:sz w:val="21"/>
                <w:szCs w:val="21"/>
              </w:rPr>
              <w:t> </w:t>
            </w: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4" w:lineRule="exact"/>
              <w:ind w:left="165" w:right="0"/>
              <w:jc w:val="both"/>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3" w:lineRule="auto" w:before="37"/>
              <w:ind w:left="165" w:right="161"/>
              <w:jc w:val="both"/>
              <w:rPr>
                <w:rFonts w:ascii="宋体" w:hAnsi="宋体" w:cs="宋体" w:eastAsia="宋体" w:hint="default"/>
                <w:sz w:val="21"/>
                <w:szCs w:val="21"/>
              </w:rPr>
            </w:pPr>
            <w:r>
              <w:rPr>
                <w:rFonts w:ascii="宋体" w:hAnsi="宋体" w:cs="宋体" w:eastAsia="宋体" w:hint="default"/>
                <w:sz w:val="21"/>
                <w:szCs w:val="21"/>
              </w:rPr>
              <w:t>成本比上</w:t>
            </w:r>
            <w:r>
              <w:rPr>
                <w:rFonts w:ascii="宋体" w:hAnsi="宋体" w:cs="宋体" w:eastAsia="宋体" w:hint="default"/>
                <w:w w:val="100"/>
                <w:sz w:val="21"/>
                <w:szCs w:val="21"/>
              </w:rPr>
              <w:t> </w:t>
            </w: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2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21"/>
                <w:szCs w:val="21"/>
              </w:rPr>
            </w:pPr>
          </w:p>
          <w:p>
            <w:pPr>
              <w:pStyle w:val="TableParagraph"/>
              <w:spacing w:line="273" w:lineRule="auto"/>
              <w:ind w:left="367" w:right="148" w:hanging="209"/>
              <w:jc w:val="left"/>
              <w:rPr>
                <w:rFonts w:ascii="宋体" w:hAnsi="宋体" w:cs="宋体" w:eastAsia="宋体" w:hint="default"/>
                <w:sz w:val="21"/>
                <w:szCs w:val="21"/>
              </w:rPr>
            </w:pPr>
            <w:r>
              <w:rPr>
                <w:rFonts w:ascii="宋体" w:hAnsi="宋体" w:cs="宋体" w:eastAsia="宋体" w:hint="default"/>
                <w:sz w:val="21"/>
                <w:szCs w:val="21"/>
              </w:rPr>
              <w:t>主营业务毛利率比</w:t>
            </w:r>
            <w:r>
              <w:rPr>
                <w:rFonts w:ascii="宋体" w:hAnsi="宋体" w:cs="宋体" w:eastAsia="宋体" w:hint="default"/>
                <w:w w:val="100"/>
                <w:sz w:val="21"/>
                <w:szCs w:val="21"/>
              </w:rPr>
              <w:t> </w:t>
            </w:r>
            <w:r>
              <w:rPr>
                <w:rFonts w:ascii="宋体" w:hAnsi="宋体" w:cs="宋体" w:eastAsia="宋体" w:hint="default"/>
                <w:sz w:val="21"/>
                <w:szCs w:val="21"/>
              </w:rPr>
              <w:t>上年同期增减</w:t>
            </w:r>
          </w:p>
        </w:tc>
      </w:tr>
      <w:tr>
        <w:trPr>
          <w:trHeight w:val="326" w:hRule="exact"/>
        </w:trPr>
        <w:tc>
          <w:tcPr>
            <w:tcW w:w="1724" w:type="dxa"/>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零售业（注）</w:t>
            </w:r>
          </w:p>
        </w:tc>
        <w:tc>
          <w:tcPr>
            <w:tcW w:w="137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6"/>
              <w:ind w:left="208" w:right="0"/>
              <w:jc w:val="left"/>
              <w:rPr>
                <w:rFonts w:ascii="Times New Roman" w:hAnsi="Times New Roman" w:cs="Times New Roman" w:eastAsia="Times New Roman" w:hint="default"/>
                <w:sz w:val="21"/>
                <w:szCs w:val="21"/>
              </w:rPr>
            </w:pPr>
            <w:r>
              <w:rPr>
                <w:rFonts w:ascii="Times New Roman"/>
                <w:sz w:val="21"/>
              </w:rPr>
              <w:t>97,006,791</w:t>
            </w:r>
          </w:p>
        </w:tc>
        <w:tc>
          <w:tcPr>
            <w:tcW w:w="138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6"/>
              <w:ind w:left="213" w:right="0"/>
              <w:jc w:val="left"/>
              <w:rPr>
                <w:rFonts w:ascii="Times New Roman" w:hAnsi="Times New Roman" w:cs="Times New Roman" w:eastAsia="Times New Roman" w:hint="default"/>
                <w:sz w:val="21"/>
                <w:szCs w:val="21"/>
              </w:rPr>
            </w:pPr>
            <w:r>
              <w:rPr>
                <w:rFonts w:ascii="Times New Roman"/>
                <w:sz w:val="21"/>
              </w:rPr>
              <w:t>80,581,387</w:t>
            </w:r>
          </w:p>
        </w:tc>
        <w:tc>
          <w:tcPr>
            <w:tcW w:w="98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6"/>
              <w:ind w:left="165" w:right="0"/>
              <w:jc w:val="left"/>
              <w:rPr>
                <w:rFonts w:ascii="Times New Roman" w:hAnsi="Times New Roman" w:cs="Times New Roman" w:eastAsia="Times New Roman" w:hint="default"/>
                <w:sz w:val="21"/>
                <w:szCs w:val="21"/>
              </w:rPr>
            </w:pPr>
            <w:r>
              <w:rPr>
                <w:rFonts w:ascii="Times New Roman"/>
                <w:sz w:val="21"/>
              </w:rPr>
              <w:t>16.93%</w:t>
            </w:r>
          </w:p>
        </w:tc>
        <w:tc>
          <w:tcPr>
            <w:tcW w:w="119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6"/>
              <w:ind w:left="319" w:right="0"/>
              <w:jc w:val="left"/>
              <w:rPr>
                <w:rFonts w:ascii="Times New Roman" w:hAnsi="Times New Roman" w:cs="Times New Roman" w:eastAsia="Times New Roman" w:hint="default"/>
                <w:sz w:val="21"/>
                <w:szCs w:val="21"/>
              </w:rPr>
            </w:pPr>
            <w:r>
              <w:rPr>
                <w:rFonts w:ascii="Times New Roman"/>
                <w:sz w:val="21"/>
              </w:rPr>
              <w:t>4.91%</w:t>
            </w:r>
          </w:p>
        </w:tc>
        <w:tc>
          <w:tcPr>
            <w:tcW w:w="118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6"/>
              <w:ind w:left="316" w:right="0"/>
              <w:jc w:val="left"/>
              <w:rPr>
                <w:rFonts w:ascii="Times New Roman" w:hAnsi="Times New Roman" w:cs="Times New Roman" w:eastAsia="Times New Roman" w:hint="default"/>
                <w:sz w:val="21"/>
                <w:szCs w:val="21"/>
              </w:rPr>
            </w:pPr>
            <w:r>
              <w:rPr>
                <w:rFonts w:ascii="Times New Roman"/>
                <w:sz w:val="21"/>
              </w:rPr>
              <w:t>6.23%</w:t>
            </w:r>
          </w:p>
        </w:tc>
        <w:tc>
          <w:tcPr>
            <w:tcW w:w="200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Times New Roman" w:hAnsi="Times New Roman" w:cs="Times New Roman" w:eastAsia="Times New Roman" w:hint="default"/>
                <w:sz w:val="21"/>
                <w:szCs w:val="21"/>
              </w:rPr>
            </w:pPr>
            <w:r>
              <w:rPr>
                <w:rFonts w:ascii="Times New Roman"/>
                <w:sz w:val="21"/>
              </w:rPr>
              <w:t>-1.03%</w:t>
            </w:r>
          </w:p>
        </w:tc>
      </w:tr>
    </w:tbl>
    <w:p>
      <w:pPr>
        <w:pStyle w:val="BodyText"/>
        <w:spacing w:line="244" w:lineRule="exact" w:before="0"/>
        <w:ind w:left="773" w:right="876"/>
        <w:jc w:val="left"/>
      </w:pPr>
      <w:r>
        <w:rPr/>
        <w:t>注：报告期内，关联方苏宁置业集团有限公司及子公司、苏宁电器集团有限公司及子公司、南京钟</w:t>
      </w:r>
    </w:p>
    <w:p>
      <w:pPr>
        <w:pStyle w:val="BodyText"/>
        <w:spacing w:line="273" w:lineRule="auto" w:before="37"/>
        <w:ind w:left="232" w:right="876"/>
        <w:jc w:val="left"/>
      </w:pPr>
      <w:r>
        <w:rPr>
          <w:spacing w:val="-5"/>
        </w:rPr>
        <w:t>山高尔夫置业有限公司因其业务发展需要，向公司采购了电器产品，并接受公司向其提供的相关安维服务， </w:t>
      </w:r>
      <w:r>
        <w:rPr/>
        <w:t>由此带来公司实现主营收入</w:t>
      </w:r>
      <w:r>
        <w:rPr>
          <w:spacing w:val="-53"/>
        </w:rPr>
        <w:t> </w:t>
      </w:r>
      <w:r>
        <w:rPr>
          <w:rFonts w:ascii="Times New Roman" w:hAnsi="Times New Roman" w:cs="Times New Roman" w:eastAsia="Times New Roman" w:hint="default"/>
        </w:rPr>
        <w:t>2,609.9</w:t>
      </w:r>
      <w:r>
        <w:rPr>
          <w:rFonts w:ascii="Times New Roman" w:hAnsi="Times New Roman" w:cs="Times New Roman" w:eastAsia="Times New Roman" w:hint="default"/>
          <w:spacing w:val="-3"/>
        </w:rPr>
        <w:t> </w:t>
      </w:r>
      <w:r>
        <w:rPr/>
        <w:t>万元。</w:t>
      </w:r>
    </w:p>
    <w:p>
      <w:pPr>
        <w:spacing w:line="240" w:lineRule="auto" w:before="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844"/>
        <w:gridCol w:w="1477"/>
        <w:gridCol w:w="1476"/>
        <w:gridCol w:w="1277"/>
        <w:gridCol w:w="1265"/>
        <w:gridCol w:w="1263"/>
        <w:gridCol w:w="1255"/>
      </w:tblGrid>
      <w:tr>
        <w:trPr>
          <w:trHeight w:val="1258"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0"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主营业务收入</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主营业务成本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24" w:right="101" w:hanging="315"/>
              <w:jc w:val="left"/>
              <w:rPr>
                <w:rFonts w:ascii="宋体" w:hAnsi="宋体" w:cs="宋体" w:eastAsia="宋体" w:hint="default"/>
                <w:sz w:val="21"/>
                <w:szCs w:val="21"/>
              </w:rPr>
            </w:pPr>
            <w:r>
              <w:rPr>
                <w:rFonts w:ascii="宋体" w:hAnsi="宋体" w:cs="宋体" w:eastAsia="宋体" w:hint="default"/>
                <w:sz w:val="21"/>
                <w:szCs w:val="21"/>
              </w:rPr>
              <w:t>主营业务毛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利率</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08" w:right="201"/>
              <w:jc w:val="both"/>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w w:val="100"/>
                <w:sz w:val="21"/>
                <w:szCs w:val="21"/>
              </w:rPr>
              <w:t> </w:t>
            </w:r>
            <w:r>
              <w:rPr>
                <w:rFonts w:ascii="宋体" w:hAnsi="宋体" w:cs="宋体" w:eastAsia="宋体" w:hint="default"/>
                <w:sz w:val="21"/>
                <w:szCs w:val="21"/>
              </w:rPr>
              <w:t>收入比上</w:t>
            </w:r>
            <w:r>
              <w:rPr>
                <w:rFonts w:ascii="宋体" w:hAnsi="宋体" w:cs="宋体" w:eastAsia="宋体" w:hint="default"/>
                <w:w w:val="100"/>
                <w:sz w:val="21"/>
                <w:szCs w:val="21"/>
              </w:rPr>
              <w:t> </w:t>
            </w: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06" w:right="202"/>
              <w:jc w:val="both"/>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w w:val="100"/>
                <w:sz w:val="21"/>
                <w:szCs w:val="21"/>
              </w:rPr>
              <w:t> </w:t>
            </w:r>
            <w:r>
              <w:rPr>
                <w:rFonts w:ascii="宋体" w:hAnsi="宋体" w:cs="宋体" w:eastAsia="宋体" w:hint="default"/>
                <w:sz w:val="21"/>
                <w:szCs w:val="21"/>
              </w:rPr>
              <w:t>成本比上</w:t>
            </w:r>
            <w:r>
              <w:rPr>
                <w:rFonts w:ascii="宋体" w:hAnsi="宋体" w:cs="宋体" w:eastAsia="宋体" w:hint="default"/>
                <w:w w:val="100"/>
                <w:sz w:val="21"/>
                <w:szCs w:val="21"/>
              </w:rPr>
              <w:t> </w:t>
            </w: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48" w:right="146" w:firstLine="52"/>
              <w:jc w:val="both"/>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w w:val="100"/>
                <w:sz w:val="21"/>
                <w:szCs w:val="21"/>
              </w:rPr>
              <w:t> </w:t>
            </w: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彩电、音像、碟机</w:t>
            </w:r>
            <w:r>
              <w:rPr>
                <w:rFonts w:ascii="宋体" w:hAnsi="宋体" w:cs="宋体" w:eastAsia="宋体" w:hint="default"/>
                <w:sz w:val="21"/>
                <w:szCs w:val="21"/>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21,408,773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17,108,058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20.09%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-9.66%</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-8.88%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-0.68%</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数码及</w:t>
            </w:r>
            <w:r>
              <w:rPr>
                <w:rFonts w:ascii="宋体" w:hAnsi="宋体" w:cs="宋体" w:eastAsia="宋体" w:hint="default"/>
                <w:spacing w:val="-60"/>
                <w:sz w:val="21"/>
                <w:szCs w:val="21"/>
              </w:rPr>
              <w:t> </w:t>
            </w:r>
            <w:r>
              <w:rPr>
                <w:rFonts w:ascii="宋体" w:hAnsi="宋体" w:cs="宋体" w:eastAsia="宋体" w:hint="default"/>
                <w:spacing w:val="-3"/>
                <w:sz w:val="21"/>
                <w:szCs w:val="21"/>
              </w:rPr>
              <w:t>IT</w:t>
            </w:r>
            <w:r>
              <w:rPr>
                <w:rFonts w:ascii="宋体" w:hAnsi="宋体" w:cs="宋体" w:eastAsia="宋体" w:hint="default"/>
                <w:spacing w:val="-56"/>
                <w:sz w:val="21"/>
                <w:szCs w:val="21"/>
              </w:rPr>
              <w:t> </w:t>
            </w:r>
            <w:r>
              <w:rPr>
                <w:rFonts w:ascii="宋体" w:hAnsi="宋体" w:cs="宋体" w:eastAsia="宋体" w:hint="default"/>
                <w:spacing w:val="-10"/>
                <w:sz w:val="21"/>
                <w:szCs w:val="21"/>
              </w:rPr>
              <w:t>产品</w:t>
            </w:r>
            <w:r>
              <w:rPr>
                <w:rFonts w:ascii="宋体" w:hAnsi="宋体" w:cs="宋体" w:eastAsia="宋体" w:hint="default"/>
                <w:sz w:val="21"/>
                <w:szCs w:val="21"/>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18,448,785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16,814,784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8.86%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7.58%</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7.49%</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0.08%</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通讯产品</w:t>
            </w:r>
            <w:r>
              <w:rPr>
                <w:rFonts w:ascii="宋体" w:hAnsi="宋体" w:cs="宋体" w:eastAsia="宋体" w:hint="default"/>
                <w:sz w:val="21"/>
                <w:szCs w:val="21"/>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16,571,708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14,669,145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2"/>
                <w:sz w:val="21"/>
              </w:rPr>
              <w:t>11.48%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33.93%</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33.78%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0.10%</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冰箱、洗衣机</w:t>
            </w:r>
            <w:r>
              <w:rPr>
                <w:rFonts w:ascii="宋体" w:hAnsi="宋体" w:cs="宋体" w:eastAsia="宋体" w:hint="default"/>
                <w:sz w:val="21"/>
                <w:szCs w:val="21"/>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15,507,326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12,218,743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21.21%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-1.15%</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0.69%</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-1.43%</w:t>
            </w:r>
          </w:p>
        </w:tc>
      </w:tr>
      <w:tr>
        <w:trPr>
          <w:trHeight w:val="32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小家电产品（注）</w:t>
            </w:r>
            <w:r>
              <w:rPr>
                <w:rFonts w:ascii="宋体" w:hAnsi="宋体" w:cs="宋体" w:eastAsia="宋体" w:hint="default"/>
                <w:sz w:val="21"/>
                <w:szCs w:val="21"/>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13,155,810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10,318,892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21.56%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18.88%</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20.92%</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-1.33%</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空调器产品</w:t>
            </w:r>
            <w:r>
              <w:rPr>
                <w:rFonts w:ascii="宋体" w:hAnsi="宋体" w:cs="宋体" w:eastAsia="宋体" w:hint="default"/>
                <w:sz w:val="21"/>
                <w:szCs w:val="21"/>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10,899,207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8,706,706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20.12%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-3.31%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-2.57%</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-0.61%</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安装维修业务</w:t>
            </w:r>
            <w:r>
              <w:rPr>
                <w:rFonts w:ascii="宋体" w:hAnsi="宋体" w:cs="宋体" w:eastAsia="宋体" w:hint="default"/>
                <w:sz w:val="21"/>
                <w:szCs w:val="21"/>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868,153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625,810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27.91%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-4.56%</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4.23%</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-6.08%</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其他产品</w:t>
            </w:r>
            <w:r>
              <w:rPr>
                <w:rFonts w:ascii="宋体" w:hAnsi="宋体" w:cs="宋体" w:eastAsia="宋体" w:hint="default"/>
                <w:sz w:val="21"/>
                <w:szCs w:val="21"/>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147,029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2"/>
                <w:sz w:val="21"/>
              </w:rPr>
              <w:t>119,249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18.89%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-52.54%</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-54.96%</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4.36%</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97,006,791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80,581,387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16.93%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4.91%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6.23%</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-1.03%</w:t>
            </w:r>
          </w:p>
        </w:tc>
      </w:tr>
    </w:tbl>
    <w:p>
      <w:pPr>
        <w:pStyle w:val="BodyText"/>
        <w:spacing w:line="240" w:lineRule="auto" w:before="64"/>
        <w:ind w:left="653" w:right="876"/>
        <w:jc w:val="left"/>
      </w:pPr>
      <w:r>
        <w:rPr/>
        <w:t>注：小家电产品包括厨卫、生活电器以及百货类产品。</w:t>
      </w:r>
    </w:p>
    <w:p>
      <w:pPr>
        <w:spacing w:line="240" w:lineRule="auto" w:before="11"/>
        <w:rPr>
          <w:rFonts w:ascii="宋体" w:hAnsi="宋体" w:cs="宋体" w:eastAsia="宋体" w:hint="default"/>
          <w:sz w:val="14"/>
          <w:szCs w:val="14"/>
        </w:rPr>
      </w:pPr>
    </w:p>
    <w:p>
      <w:pPr>
        <w:pStyle w:val="BodyText"/>
        <w:tabs>
          <w:tab w:pos="1073" w:val="left" w:leader="none"/>
        </w:tabs>
        <w:spacing w:line="240" w:lineRule="auto" w:before="0"/>
        <w:ind w:left="653" w:right="876"/>
        <w:jc w:val="left"/>
      </w:pPr>
      <w:r>
        <w:rPr>
          <w:rFonts w:ascii="Wingdings" w:hAnsi="Wingdings" w:cs="Wingdings" w:eastAsia="Wingdings" w:hint="default"/>
        </w:rPr>
        <w:t></w:t>
      </w:r>
      <w:r>
        <w:rPr>
          <w:rFonts w:ascii="Times New Roman" w:hAnsi="Times New Roman" w:cs="Times New Roman" w:eastAsia="Times New Roman" w:hint="default"/>
        </w:rPr>
        <w:tab/>
      </w:r>
      <w:r>
        <w:rPr/>
        <w:t>分品类产品销售及毛利率变动情况</w:t>
      </w:r>
    </w:p>
    <w:p>
      <w:pPr>
        <w:pStyle w:val="BodyText"/>
        <w:tabs>
          <w:tab w:pos="1073" w:val="left" w:leader="none"/>
        </w:tabs>
        <w:spacing w:line="388" w:lineRule="auto" w:before="178"/>
        <w:ind w:left="653" w:right="1126"/>
        <w:jc w:val="left"/>
      </w:pPr>
      <w:r>
        <w:rPr>
          <w:rFonts w:ascii="Wingdings" w:hAnsi="Wingdings" w:cs="Wingdings" w:eastAsia="Wingdings" w:hint="default"/>
        </w:rPr>
        <w:t></w:t>
      </w:r>
      <w:r>
        <w:rPr>
          <w:rFonts w:ascii="Times New Roman" w:hAnsi="Times New Roman" w:cs="Times New Roman" w:eastAsia="Times New Roman" w:hint="default"/>
        </w:rPr>
        <w:tab/>
      </w:r>
      <w:r>
        <w:rPr/>
        <w:t>传统家电产品、厨卫电器</w:t>
      </w:r>
      <w:r>
        <w:rPr>
          <w:w w:val="100"/>
        </w:rPr>
        <w:t> </w:t>
      </w:r>
      <w:r>
        <w:rPr>
          <w:spacing w:val="-2"/>
        </w:rPr>
        <w:t>受家电激励政策退出，宏观经济下行以及房地产调控市场政策的持续影响，大家电及厨卫产品销售消</w:t>
      </w:r>
    </w:p>
    <w:p>
      <w:pPr>
        <w:pStyle w:val="BodyText"/>
        <w:spacing w:line="408" w:lineRule="auto" w:before="63"/>
        <w:ind w:left="232" w:right="876"/>
        <w:jc w:val="left"/>
      </w:pPr>
      <w:r>
        <w:rPr>
          <w:spacing w:val="-2"/>
        </w:rPr>
        <w:t>费受到抑制，销售出现下滑。为有效拉动销售，公司针对性的开展一系列促销推广活动，尤其加大了线上</w:t>
      </w:r>
      <w:r>
        <w:rPr>
          <w:spacing w:val="-47"/>
        </w:rPr>
        <w:t> </w:t>
      </w:r>
      <w:r>
        <w:rPr>
          <w:spacing w:val="-47"/>
        </w:rPr>
      </w:r>
      <w:r>
        <w:rPr/>
        <w:t>促销，使得大家电毛利率水平有所下降。</w:t>
      </w:r>
    </w:p>
    <w:p>
      <w:pPr>
        <w:pStyle w:val="BodyText"/>
        <w:tabs>
          <w:tab w:pos="1073" w:val="left" w:leader="none"/>
        </w:tabs>
        <w:spacing w:line="240" w:lineRule="auto"/>
        <w:ind w:left="653" w:right="876"/>
        <w:jc w:val="left"/>
      </w:pPr>
      <w:r>
        <w:rPr>
          <w:rFonts w:ascii="Wingdings" w:hAnsi="Wingdings" w:cs="Wingdings" w:eastAsia="Wingdings" w:hint="default"/>
        </w:rPr>
        <w:t></w:t>
      </w:r>
      <w:r>
        <w:rPr>
          <w:rFonts w:ascii="Times New Roman" w:hAnsi="Times New Roman" w:cs="Times New Roman" w:eastAsia="Times New Roman" w:hint="default"/>
        </w:rPr>
        <w:tab/>
      </w:r>
      <w:r>
        <w:rPr/>
        <w:t>通讯、数码及</w:t>
      </w:r>
      <w:r>
        <w:rPr>
          <w:spacing w:val="-53"/>
        </w:rPr>
        <w:t> </w:t>
      </w:r>
      <w:r>
        <w:rPr>
          <w:rFonts w:ascii="宋体" w:hAnsi="宋体" w:cs="宋体" w:eastAsia="宋体" w:hint="default"/>
        </w:rPr>
        <w:t>IT</w:t>
      </w:r>
      <w:r>
        <w:rPr>
          <w:rFonts w:ascii="宋体" w:hAnsi="宋体" w:cs="宋体" w:eastAsia="宋体" w:hint="default"/>
          <w:spacing w:val="-53"/>
        </w:rPr>
        <w:t> </w:t>
      </w:r>
      <w:r>
        <w:rPr>
          <w:spacing w:val="-3"/>
        </w:rPr>
        <w:t>产品</w:t>
      </w:r>
      <w:r>
        <w:rPr/>
      </w:r>
    </w:p>
    <w:p>
      <w:pPr>
        <w:spacing w:after="0" w:line="240" w:lineRule="auto"/>
        <w:jc w:val="left"/>
        <w:sectPr>
          <w:pgSz w:w="11910" w:h="16840"/>
          <w:pgMar w:header="745" w:footer="1258" w:top="1060" w:bottom="1440" w:left="900" w:right="0"/>
        </w:sectPr>
      </w:pPr>
    </w:p>
    <w:p>
      <w:pPr>
        <w:spacing w:line="240" w:lineRule="auto" w:before="0"/>
        <w:rPr>
          <w:rFonts w:ascii="宋体" w:hAnsi="宋体" w:cs="宋体" w:eastAsia="宋体" w:hint="default"/>
          <w:sz w:val="20"/>
          <w:szCs w:val="20"/>
        </w:rPr>
      </w:pPr>
    </w:p>
    <w:p>
      <w:pPr>
        <w:pStyle w:val="BodyText"/>
        <w:spacing w:line="408" w:lineRule="auto" w:before="175"/>
        <w:ind w:left="212" w:right="1021" w:firstLine="420"/>
        <w:jc w:val="both"/>
      </w:pPr>
      <w:r>
        <w:rPr>
          <w:spacing w:val="-3"/>
        </w:rPr>
        <w:t>报告期内，随着</w:t>
      </w:r>
      <w:r>
        <w:rPr>
          <w:spacing w:val="-56"/>
        </w:rPr>
        <w:t> </w:t>
      </w:r>
      <w:r>
        <w:rPr>
          <w:rFonts w:ascii="宋体" w:hAnsi="宋体" w:cs="宋体" w:eastAsia="宋体" w:hint="default"/>
        </w:rPr>
        <w:t>3C</w:t>
      </w:r>
      <w:r>
        <w:rPr>
          <w:rFonts w:ascii="宋体" w:hAnsi="宋体" w:cs="宋体" w:eastAsia="宋体" w:hint="default"/>
          <w:spacing w:val="-56"/>
        </w:rPr>
        <w:t> </w:t>
      </w:r>
      <w:r>
        <w:rPr/>
        <w:t>智能产品的普及，电子商务渠道销售的较快增长以及香港地区通讯产品销售提升，</w:t>
      </w:r>
      <w:r>
        <w:rPr>
          <w:w w:val="100"/>
        </w:rPr>
        <w:t> </w:t>
      </w:r>
      <w:r>
        <w:rPr/>
        <w:t>公司</w:t>
      </w:r>
      <w:r>
        <w:rPr>
          <w:spacing w:val="-36"/>
        </w:rPr>
        <w:t> </w:t>
      </w:r>
      <w:r>
        <w:rPr>
          <w:rFonts w:ascii="宋体" w:hAnsi="宋体" w:cs="宋体" w:eastAsia="宋体" w:hint="default"/>
        </w:rPr>
        <w:t>3C</w:t>
      </w:r>
      <w:r>
        <w:rPr>
          <w:rFonts w:ascii="宋体" w:hAnsi="宋体" w:cs="宋体" w:eastAsia="宋体" w:hint="default"/>
          <w:spacing w:val="-38"/>
        </w:rPr>
        <w:t> </w:t>
      </w:r>
      <w:r>
        <w:rPr>
          <w:spacing w:val="-5"/>
        </w:rPr>
        <w:t>产品整体收入较上年同期有所增加。公司持续提高</w:t>
      </w:r>
      <w:r>
        <w:rPr>
          <w:spacing w:val="-38"/>
        </w:rPr>
        <w:t> </w:t>
      </w:r>
      <w:r>
        <w:rPr>
          <w:rFonts w:ascii="宋体" w:hAnsi="宋体" w:cs="宋体" w:eastAsia="宋体" w:hint="default"/>
        </w:rPr>
        <w:t>3C</w:t>
      </w:r>
      <w:r>
        <w:rPr>
          <w:rFonts w:ascii="宋体" w:hAnsi="宋体" w:cs="宋体" w:eastAsia="宋体" w:hint="default"/>
          <w:spacing w:val="-40"/>
        </w:rPr>
        <w:t> </w:t>
      </w:r>
      <w:r>
        <w:rPr>
          <w:spacing w:val="-5"/>
        </w:rPr>
        <w:t>产品差异化采购能力，进一步优化采购政策，</w:t>
      </w:r>
      <w:r>
        <w:rPr>
          <w:spacing w:val="-97"/>
        </w:rPr>
        <w:t> </w:t>
      </w:r>
      <w:r>
        <w:rPr>
          <w:spacing w:val="-97"/>
        </w:rPr>
      </w:r>
      <w:r>
        <w:rPr>
          <w:spacing w:val="-5"/>
        </w:rPr>
        <w:t>通讯产品方面，公司还加强了与运营商的战略合作，推广运营商合约销售计划，使得毛利率有一定的提升。</w:t>
      </w:r>
      <w:r>
        <w:rPr>
          <w:spacing w:val="-4"/>
        </w:rPr>
        <w:t> </w:t>
      </w:r>
      <w:r>
        <w:rPr>
          <w:spacing w:val="-4"/>
        </w:rPr>
      </w:r>
      <w:r>
        <w:rPr/>
        <w:t>由于 </w:t>
      </w:r>
      <w:r>
        <w:rPr>
          <w:rFonts w:ascii="宋体" w:hAnsi="宋体" w:cs="宋体" w:eastAsia="宋体" w:hint="default"/>
          <w:spacing w:val="-2"/>
        </w:rPr>
        <w:t>3C</w:t>
      </w:r>
      <w:r>
        <w:rPr>
          <w:rFonts w:ascii="宋体" w:hAnsi="宋体" w:cs="宋体" w:eastAsia="宋体" w:hint="default"/>
          <w:spacing w:val="-48"/>
        </w:rPr>
        <w:t> </w:t>
      </w:r>
      <w:r>
        <w:rPr>
          <w:spacing w:val="-2"/>
        </w:rPr>
        <w:t>产品毛利率相对于平均毛利率有一定差距，公司将积极推动销售规模的提升，带来毛利额的增加。</w:t>
      </w:r>
    </w:p>
    <w:p>
      <w:pPr>
        <w:pStyle w:val="BodyText"/>
        <w:tabs>
          <w:tab w:pos="1053" w:val="left" w:leader="none"/>
        </w:tabs>
        <w:spacing w:line="388" w:lineRule="auto"/>
        <w:ind w:left="633" w:right="1126"/>
        <w:jc w:val="left"/>
      </w:pPr>
      <w:r>
        <w:rPr>
          <w:rFonts w:ascii="Wingdings" w:hAnsi="Wingdings" w:cs="Wingdings" w:eastAsia="Wingdings" w:hint="default"/>
        </w:rPr>
        <w:t></w:t>
      </w:r>
      <w:r>
        <w:rPr>
          <w:rFonts w:ascii="Times New Roman" w:hAnsi="Times New Roman" w:cs="Times New Roman" w:eastAsia="Times New Roman" w:hint="default"/>
        </w:rPr>
        <w:tab/>
      </w:r>
      <w:r>
        <w:rPr/>
        <w:t>生活类产品</w:t>
      </w:r>
      <w:r>
        <w:rPr>
          <w:spacing w:val="-102"/>
        </w:rPr>
        <w:t> </w:t>
      </w:r>
      <w:r>
        <w:rPr>
          <w:spacing w:val="-102"/>
        </w:rPr>
      </w:r>
      <w:r>
        <w:rPr>
          <w:spacing w:val="-2"/>
        </w:rPr>
        <w:t>报告期内，公司进一步加强生活电器、百货、服装、日用品、图书等线上渠道销售力度，依托互联网</w:t>
      </w:r>
    </w:p>
    <w:p>
      <w:pPr>
        <w:pStyle w:val="BodyText"/>
        <w:spacing w:line="408" w:lineRule="auto" w:before="63"/>
        <w:ind w:left="212" w:right="1131"/>
        <w:jc w:val="both"/>
      </w:pPr>
      <w:r>
        <w:rPr>
          <w:spacing w:val="-2"/>
        </w:rPr>
        <w:t>优势，加大生活类产品的培育力度，实现了较快的增长。公司将进一步丰富生活类产品种类，探究生活类</w:t>
      </w:r>
      <w:r>
        <w:rPr>
          <w:spacing w:val="-50"/>
        </w:rPr>
        <w:t> </w:t>
      </w:r>
      <w:r>
        <w:rPr>
          <w:spacing w:val="-50"/>
        </w:rPr>
      </w:r>
      <w:r>
        <w:rPr>
          <w:spacing w:val="-2"/>
        </w:rPr>
        <w:t>产品行业销售特点，充分利用线上渠道，提升销售规模带来毛利额的提升。同时对于图书类产品，公司将</w:t>
      </w:r>
      <w:r>
        <w:rPr>
          <w:spacing w:val="-50"/>
        </w:rPr>
        <w:t> </w:t>
      </w:r>
      <w:r>
        <w:rPr>
          <w:spacing w:val="-50"/>
        </w:rPr>
      </w:r>
      <w:r>
        <w:rPr/>
        <w:t>加强专业化供应链水平，提高产品收入水平。</w:t>
      </w:r>
    </w:p>
    <w:p>
      <w:pPr>
        <w:pStyle w:val="BodyText"/>
        <w:spacing w:line="240" w:lineRule="auto"/>
        <w:ind w:left="633" w:right="1021"/>
        <w:jc w:val="left"/>
      </w:pPr>
      <w:r>
        <w:rPr>
          <w:rFonts w:ascii="宋体" w:hAnsi="宋体" w:cs="宋体" w:eastAsia="宋体" w:hint="default"/>
        </w:rPr>
        <w:t>B</w:t>
      </w:r>
      <w:r>
        <w:rPr/>
        <w:t>、主营业务分地区情况表：</w:t>
      </w:r>
    </w:p>
    <w:p>
      <w:pPr>
        <w:spacing w:line="240" w:lineRule="auto" w:before="10"/>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1774"/>
        <w:gridCol w:w="2021"/>
        <w:gridCol w:w="2021"/>
        <w:gridCol w:w="2019"/>
        <w:gridCol w:w="2021"/>
      </w:tblGrid>
      <w:tr>
        <w:trPr>
          <w:trHeight w:val="782" w:hRule="exact"/>
        </w:trPr>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62"/>
              <w:ind w:left="902" w:right="132" w:hanging="761"/>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年主营业务收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62"/>
              <w:ind w:left="847" w:right="161" w:hanging="682"/>
              <w:jc w:val="left"/>
              <w:rPr>
                <w:rFonts w:ascii="宋体" w:hAnsi="宋体" w:cs="宋体" w:eastAsia="宋体" w:hint="default"/>
                <w:sz w:val="21"/>
                <w:szCs w:val="21"/>
              </w:rPr>
            </w:pPr>
            <w:r>
              <w:rPr>
                <w:rFonts w:ascii="宋体" w:hAnsi="宋体" w:cs="宋体" w:eastAsia="宋体" w:hint="default"/>
                <w:sz w:val="21"/>
                <w:szCs w:val="21"/>
              </w:rPr>
              <w:t>占主营业务收入比</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sz w:val="21"/>
                <w:szCs w:val="21"/>
              </w:rPr>
              <w:t>%</w:t>
            </w:r>
          </w:p>
        </w:tc>
        <w:tc>
          <w:tcPr>
            <w:tcW w:w="2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62"/>
              <w:ind w:left="900" w:right="132" w:hanging="761"/>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年主营业务收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62"/>
              <w:ind w:left="168" w:right="158"/>
              <w:jc w:val="left"/>
              <w:rPr>
                <w:rFonts w:ascii="宋体" w:hAnsi="宋体" w:cs="宋体" w:eastAsia="宋体" w:hint="default"/>
                <w:sz w:val="21"/>
                <w:szCs w:val="21"/>
              </w:rPr>
            </w:pPr>
            <w:r>
              <w:rPr>
                <w:rFonts w:ascii="宋体" w:hAnsi="宋体" w:cs="宋体" w:eastAsia="宋体" w:hint="default"/>
                <w:sz w:val="21"/>
                <w:szCs w:val="21"/>
              </w:rPr>
              <w:t>主营业务收入比上</w:t>
            </w:r>
            <w:r>
              <w:rPr>
                <w:rFonts w:ascii="宋体" w:hAnsi="宋体" w:cs="宋体" w:eastAsia="宋体" w:hint="default"/>
                <w:w w:val="100"/>
                <w:sz w:val="21"/>
                <w:szCs w:val="21"/>
              </w:rPr>
              <w:t> </w:t>
            </w:r>
            <w:r>
              <w:rPr>
                <w:rFonts w:ascii="宋体" w:hAnsi="宋体" w:cs="宋体" w:eastAsia="宋体" w:hint="default"/>
                <w:sz w:val="21"/>
                <w:szCs w:val="21"/>
              </w:rPr>
              <w:t>年同期增减（％）</w:t>
            </w:r>
          </w:p>
        </w:tc>
      </w:tr>
      <w:tr>
        <w:trPr>
          <w:trHeight w:val="317" w:hRule="exact"/>
        </w:trPr>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华东一区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21,219,408</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21.87%</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22,647,570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-6.31%</w:t>
            </w:r>
          </w:p>
        </w:tc>
      </w:tr>
      <w:tr>
        <w:trPr>
          <w:trHeight w:val="319" w:hRule="exact"/>
        </w:trPr>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华东二区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2"/>
                <w:sz w:val="21"/>
              </w:rPr>
              <w:t>15,456,118</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15.93%</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2"/>
                <w:sz w:val="21"/>
              </w:rPr>
              <w:t>15,115,193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2.26%</w:t>
            </w:r>
          </w:p>
        </w:tc>
      </w:tr>
      <w:tr>
        <w:trPr>
          <w:trHeight w:val="317" w:hRule="exact"/>
        </w:trPr>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14,818,581</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15.28%</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14,362,746</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3.17%</w:t>
            </w:r>
          </w:p>
        </w:tc>
      </w:tr>
      <w:tr>
        <w:trPr>
          <w:trHeight w:val="319" w:hRule="exact"/>
        </w:trPr>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13,409,653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13.82%</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13,635,283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-1.65%</w:t>
            </w:r>
          </w:p>
        </w:tc>
      </w:tr>
      <w:tr>
        <w:trPr>
          <w:trHeight w:val="317" w:hRule="exact"/>
        </w:trPr>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西南地区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10,126,475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10.44%</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9,905,433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2.23%</w:t>
            </w:r>
          </w:p>
        </w:tc>
      </w:tr>
      <w:tr>
        <w:trPr>
          <w:trHeight w:val="320" w:hRule="exact"/>
        </w:trPr>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华中地区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5,421,331</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5.59%</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5,294,576</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2.39%</w:t>
            </w:r>
          </w:p>
        </w:tc>
      </w:tr>
      <w:tr>
        <w:trPr>
          <w:trHeight w:val="317" w:hRule="exact"/>
        </w:trPr>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东北地区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5,239,720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5.40%</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5,197,520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0.81%</w:t>
            </w:r>
          </w:p>
        </w:tc>
      </w:tr>
      <w:tr>
        <w:trPr>
          <w:trHeight w:val="319" w:hRule="exact"/>
        </w:trPr>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西北地区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4,488,652</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4.63%</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4,325,590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3.77%</w:t>
            </w:r>
          </w:p>
        </w:tc>
      </w:tr>
      <w:tr>
        <w:trPr>
          <w:trHeight w:val="317" w:hRule="exact"/>
        </w:trPr>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香港地区（注）</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5,773,344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5.95%</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1,653,427</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249.17%</w:t>
            </w:r>
          </w:p>
        </w:tc>
      </w:tr>
      <w:tr>
        <w:trPr>
          <w:trHeight w:val="319" w:hRule="exact"/>
        </w:trPr>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日本地区（注）</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1,053,509</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1.09%</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328,039</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221.15%</w:t>
            </w:r>
          </w:p>
        </w:tc>
      </w:tr>
      <w:tr>
        <w:trPr>
          <w:trHeight w:val="317" w:hRule="exact"/>
        </w:trPr>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97,006,791</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100.00%</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92,465,377</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4.91%</w:t>
            </w:r>
          </w:p>
        </w:tc>
      </w:tr>
    </w:tbl>
    <w:p>
      <w:pPr>
        <w:pStyle w:val="BodyText"/>
        <w:spacing w:line="386" w:lineRule="auto" w:before="64"/>
        <w:ind w:left="212" w:right="1021" w:firstLine="420"/>
        <w:jc w:val="left"/>
      </w:pPr>
      <w:r>
        <w:rPr>
          <w:spacing w:val="-7"/>
          <w:w w:val="100"/>
        </w:rPr>
        <w:t>注：（</w:t>
      </w:r>
      <w:r>
        <w:rPr>
          <w:rFonts w:ascii="宋体" w:hAnsi="宋体" w:cs="宋体" w:eastAsia="宋体" w:hint="default"/>
          <w:spacing w:val="-7"/>
          <w:w w:val="100"/>
        </w:rPr>
        <w:t>1</w:t>
      </w:r>
      <w:r>
        <w:rPr>
          <w:spacing w:val="-7"/>
          <w:w w:val="100"/>
        </w:rPr>
        <w:t>）报告期内，香港地区实现销售按照</w:t>
      </w:r>
      <w:r>
        <w:rPr>
          <w:spacing w:val="-45"/>
          <w:w w:val="100"/>
        </w:rPr>
        <w:t> </w:t>
      </w:r>
      <w:r>
        <w:rPr>
          <w:rFonts w:ascii="宋体" w:hAnsi="宋体" w:cs="宋体" w:eastAsia="宋体" w:hint="default"/>
          <w:spacing w:val="-1"/>
          <w:w w:val="100"/>
        </w:rPr>
        <w:t>2012</w:t>
      </w:r>
      <w:r>
        <w:rPr>
          <w:rFonts w:ascii="宋体" w:hAnsi="宋体" w:cs="宋体" w:eastAsia="宋体" w:hint="default"/>
          <w:spacing w:val="-48"/>
          <w:w w:val="100"/>
        </w:rPr>
        <w:t> </w:t>
      </w:r>
      <w:r>
        <w:rPr>
          <w:w w:val="100"/>
        </w:rPr>
        <w:t>年</w:t>
      </w:r>
      <w:r>
        <w:rPr>
          <w:spacing w:val="-44"/>
          <w:w w:val="100"/>
        </w:rPr>
        <w:t> </w:t>
      </w:r>
      <w:r>
        <w:rPr>
          <w:rFonts w:ascii="宋体" w:hAnsi="宋体" w:cs="宋体" w:eastAsia="宋体" w:hint="default"/>
          <w:w w:val="100"/>
        </w:rPr>
        <w:t>1-12</w:t>
      </w:r>
      <w:r>
        <w:rPr>
          <w:rFonts w:ascii="宋体" w:hAnsi="宋体" w:cs="宋体" w:eastAsia="宋体" w:hint="default"/>
          <w:spacing w:val="-48"/>
          <w:w w:val="100"/>
        </w:rPr>
        <w:t> </w:t>
      </w:r>
      <w:r>
        <w:rPr>
          <w:spacing w:val="-2"/>
          <w:w w:val="100"/>
        </w:rPr>
        <w:t>月平均汇率港元兑人民币</w:t>
      </w:r>
      <w:r>
        <w:rPr>
          <w:spacing w:val="-48"/>
          <w:w w:val="100"/>
        </w:rPr>
        <w:t> </w:t>
      </w:r>
      <w:r>
        <w:rPr>
          <w:rFonts w:ascii="Times New Roman" w:hAnsi="Times New Roman" w:cs="Times New Roman" w:eastAsia="Times New Roman" w:hint="default"/>
          <w:spacing w:val="-1"/>
          <w:w w:val="100"/>
        </w:rPr>
        <w:t>1</w:t>
      </w:r>
      <w:r>
        <w:rPr>
          <w:spacing w:val="-1"/>
          <w:w w:val="100"/>
        </w:rPr>
        <w:t>：</w:t>
      </w:r>
      <w:r>
        <w:rPr>
          <w:rFonts w:ascii="Times New Roman" w:hAnsi="Times New Roman" w:cs="Times New Roman" w:eastAsia="Times New Roman" w:hint="default"/>
          <w:spacing w:val="-1"/>
          <w:w w:val="100"/>
        </w:rPr>
        <w:t>0.8108</w:t>
      </w:r>
      <w:r>
        <w:rPr>
          <w:rFonts w:ascii="Times New Roman" w:hAnsi="Times New Roman" w:cs="Times New Roman" w:eastAsia="Times New Roman" w:hint="default"/>
          <w:spacing w:val="8"/>
          <w:w w:val="100"/>
        </w:rPr>
        <w:t> </w:t>
      </w:r>
      <w:r>
        <w:rPr>
          <w:spacing w:val="-1"/>
          <w:w w:val="100"/>
        </w:rPr>
        <w:t>进行计</w:t>
      </w:r>
      <w:r>
        <w:rPr>
          <w:w w:val="100"/>
        </w:rPr>
        <w:t> </w:t>
      </w:r>
      <w:r>
        <w:rPr/>
        <w:t>算；</w:t>
      </w:r>
    </w:p>
    <w:p>
      <w:pPr>
        <w:pStyle w:val="BodyText"/>
        <w:spacing w:line="386" w:lineRule="auto" w:before="65"/>
        <w:ind w:left="212" w:right="1021" w:firstLine="420"/>
        <w:jc w:val="left"/>
      </w:pPr>
      <w:r>
        <w:rPr>
          <w:rFonts w:ascii="宋体" w:hAnsi="宋体" w:cs="宋体" w:eastAsia="宋体" w:hint="default"/>
        </w:rPr>
        <w:t>(2)</w:t>
      </w:r>
      <w:r>
        <w:rPr/>
        <w:t>日本</w:t>
      </w:r>
      <w:r>
        <w:rPr>
          <w:spacing w:val="-52"/>
        </w:rPr>
        <w:t> </w:t>
      </w:r>
      <w:r>
        <w:rPr>
          <w:rFonts w:ascii="宋体" w:hAnsi="宋体" w:cs="宋体" w:eastAsia="宋体" w:hint="default"/>
        </w:rPr>
        <w:t>LAOX</w:t>
      </w:r>
      <w:r>
        <w:rPr>
          <w:rFonts w:ascii="宋体" w:hAnsi="宋体" w:cs="宋体" w:eastAsia="宋体" w:hint="default"/>
          <w:spacing w:val="-49"/>
        </w:rPr>
        <w:t> </w:t>
      </w:r>
      <w:r>
        <w:rPr/>
        <w:t>株式会社销售收入按照</w:t>
      </w:r>
      <w:r>
        <w:rPr>
          <w:spacing w:val="-49"/>
        </w:rPr>
        <w:t> </w:t>
      </w:r>
      <w:r>
        <w:rPr>
          <w:rFonts w:ascii="宋体" w:hAnsi="宋体" w:cs="宋体" w:eastAsia="宋体" w:hint="default"/>
        </w:rPr>
        <w:t>2012</w:t>
      </w:r>
      <w:r>
        <w:rPr>
          <w:rFonts w:ascii="宋体" w:hAnsi="宋体" w:cs="宋体" w:eastAsia="宋体" w:hint="default"/>
          <w:spacing w:val="-49"/>
        </w:rPr>
        <w:t> </w:t>
      </w:r>
      <w:r>
        <w:rPr/>
        <w:t>年</w:t>
      </w:r>
      <w:r>
        <w:rPr>
          <w:spacing w:val="-49"/>
        </w:rPr>
        <w:t> </w:t>
      </w:r>
      <w:r>
        <w:rPr>
          <w:rFonts w:ascii="宋体" w:hAnsi="宋体" w:cs="宋体" w:eastAsia="宋体" w:hint="default"/>
        </w:rPr>
        <w:t>1-12</w:t>
      </w:r>
      <w:r>
        <w:rPr>
          <w:rFonts w:ascii="宋体" w:hAnsi="宋体" w:cs="宋体" w:eastAsia="宋体" w:hint="default"/>
          <w:spacing w:val="-52"/>
        </w:rPr>
        <w:t> </w:t>
      </w:r>
      <w:r>
        <w:rPr/>
        <w:t>月平均汇率日元兑人民币</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0.077076</w:t>
      </w:r>
      <w:r>
        <w:rPr>
          <w:rFonts w:ascii="Times New Roman" w:hAnsi="Times New Roman" w:cs="Times New Roman" w:eastAsia="Times New Roman" w:hint="default"/>
          <w:spacing w:val="1"/>
        </w:rPr>
        <w:t> </w:t>
      </w:r>
      <w:r>
        <w:rPr/>
        <w:t>进行计算。</w:t>
      </w:r>
      <w:r>
        <w:rPr>
          <w:w w:val="100"/>
        </w:rPr>
        <w:t> </w:t>
      </w:r>
      <w:r>
        <w:rPr/>
        <w:t>由于日本</w:t>
      </w:r>
      <w:r>
        <w:rPr>
          <w:spacing w:val="-52"/>
        </w:rPr>
        <w:t> </w:t>
      </w:r>
      <w:r>
        <w:rPr>
          <w:rFonts w:ascii="宋体" w:hAnsi="宋体" w:cs="宋体" w:eastAsia="宋体" w:hint="default"/>
        </w:rPr>
        <w:t>LAOX</w:t>
      </w:r>
      <w:r>
        <w:rPr>
          <w:rFonts w:ascii="宋体" w:hAnsi="宋体" w:cs="宋体" w:eastAsia="宋体" w:hint="default"/>
          <w:spacing w:val="-55"/>
        </w:rPr>
        <w:t> </w:t>
      </w:r>
      <w:r>
        <w:rPr/>
        <w:t>于</w:t>
      </w:r>
      <w:r>
        <w:rPr>
          <w:spacing w:val="-53"/>
        </w:rPr>
        <w:t> </w:t>
      </w:r>
      <w:r>
        <w:rPr>
          <w:rFonts w:ascii="宋体" w:hAnsi="宋体" w:cs="宋体" w:eastAsia="宋体" w:hint="default"/>
        </w:rPr>
        <w:t>2011</w:t>
      </w:r>
      <w:r>
        <w:rPr>
          <w:rFonts w:ascii="宋体" w:hAnsi="宋体" w:cs="宋体" w:eastAsia="宋体" w:hint="default"/>
          <w:spacing w:val="-55"/>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月并入公司合并报表，故上表中</w:t>
      </w:r>
      <w:r>
        <w:rPr>
          <w:spacing w:val="-53"/>
        </w:rPr>
        <w:t> </w:t>
      </w:r>
      <w:r>
        <w:rPr>
          <w:rFonts w:ascii="宋体" w:hAnsi="宋体" w:cs="宋体" w:eastAsia="宋体" w:hint="default"/>
        </w:rPr>
        <w:t>2011</w:t>
      </w:r>
      <w:r>
        <w:rPr>
          <w:rFonts w:ascii="宋体" w:hAnsi="宋体" w:cs="宋体" w:eastAsia="宋体" w:hint="default"/>
          <w:spacing w:val="-55"/>
        </w:rPr>
        <w:t> </w:t>
      </w:r>
      <w:r>
        <w:rPr/>
        <w:t>年主营业务收入为</w:t>
      </w:r>
      <w:r>
        <w:rPr>
          <w:spacing w:val="-52"/>
        </w:rPr>
        <w:t> </w:t>
      </w:r>
      <w:r>
        <w:rPr>
          <w:rFonts w:ascii="宋体" w:hAnsi="宋体" w:cs="宋体" w:eastAsia="宋体" w:hint="default"/>
        </w:rPr>
        <w:t>9-12</w:t>
      </w:r>
      <w:r>
        <w:rPr>
          <w:rFonts w:ascii="宋体" w:hAnsi="宋体" w:cs="宋体" w:eastAsia="宋体" w:hint="default"/>
          <w:spacing w:val="-53"/>
        </w:rPr>
        <w:t> </w:t>
      </w:r>
      <w:r>
        <w:rPr/>
        <w:t>月份收入。</w:t>
      </w:r>
    </w:p>
    <w:p>
      <w:pPr>
        <w:pStyle w:val="BodyText"/>
        <w:spacing w:line="386" w:lineRule="auto" w:before="65"/>
        <w:ind w:left="212" w:right="1021" w:firstLine="420"/>
        <w:jc w:val="left"/>
      </w:pPr>
      <w:r>
        <w:rPr>
          <w:w w:val="100"/>
        </w:rPr>
        <w:t>报告</w:t>
      </w:r>
      <w:r>
        <w:rPr>
          <w:spacing w:val="-3"/>
          <w:w w:val="100"/>
        </w:rPr>
        <w:t>期</w:t>
      </w:r>
      <w:r>
        <w:rPr>
          <w:w w:val="100"/>
        </w:rPr>
        <w:t>内</w:t>
      </w:r>
      <w:r>
        <w:rPr>
          <w:spacing w:val="-3"/>
          <w:w w:val="100"/>
        </w:rPr>
        <w:t>，</w:t>
      </w:r>
      <w:r>
        <w:rPr>
          <w:w w:val="100"/>
        </w:rPr>
        <w:t>大</w:t>
      </w:r>
      <w:r>
        <w:rPr>
          <w:spacing w:val="-3"/>
          <w:w w:val="100"/>
        </w:rPr>
        <w:t>陆</w:t>
      </w:r>
      <w:r>
        <w:rPr>
          <w:w w:val="100"/>
        </w:rPr>
        <w:t>地</w:t>
      </w:r>
      <w:r>
        <w:rPr>
          <w:spacing w:val="-3"/>
          <w:w w:val="100"/>
        </w:rPr>
        <w:t>区</w:t>
      </w:r>
      <w:r>
        <w:rPr>
          <w:w w:val="100"/>
        </w:rPr>
        <w:t>线</w:t>
      </w:r>
      <w:r>
        <w:rPr>
          <w:spacing w:val="-3"/>
          <w:w w:val="100"/>
        </w:rPr>
        <w:t>下</w:t>
      </w:r>
      <w:r>
        <w:rPr>
          <w:w w:val="100"/>
        </w:rPr>
        <w:t>实体</w:t>
      </w:r>
      <w:r>
        <w:rPr>
          <w:spacing w:val="-3"/>
          <w:w w:val="100"/>
        </w:rPr>
        <w:t>实</w:t>
      </w:r>
      <w:r>
        <w:rPr>
          <w:w w:val="100"/>
        </w:rPr>
        <w:t>现</w:t>
      </w:r>
      <w:r>
        <w:rPr>
          <w:spacing w:val="-3"/>
          <w:w w:val="100"/>
        </w:rPr>
        <w:t>销</w:t>
      </w:r>
      <w:r>
        <w:rPr>
          <w:w w:val="100"/>
        </w:rPr>
        <w:t>售</w:t>
      </w:r>
      <w:r>
        <w:rPr>
          <w:spacing w:val="-3"/>
          <w:w w:val="100"/>
        </w:rPr>
        <w:t>收</w:t>
      </w:r>
      <w:r>
        <w:rPr>
          <w:w w:val="100"/>
        </w:rPr>
        <w:t>入</w:t>
      </w:r>
      <w:r>
        <w:rPr>
          <w:spacing w:val="-31"/>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2.95</w:t>
      </w:r>
      <w:r>
        <w:rPr>
          <w:rFonts w:ascii="Times New Roman" w:hAnsi="Times New Roman" w:cs="Times New Roman" w:eastAsia="Times New Roman" w:hint="default"/>
          <w:spacing w:val="19"/>
        </w:rPr>
        <w:t> </w:t>
      </w:r>
      <w:r>
        <w:rPr>
          <w:w w:val="100"/>
        </w:rPr>
        <w:t>亿元</w:t>
      </w:r>
      <w:r>
        <w:rPr>
          <w:spacing w:val="-3"/>
          <w:w w:val="100"/>
        </w:rPr>
        <w:t>（</w:t>
      </w:r>
      <w:r>
        <w:rPr>
          <w:w w:val="100"/>
        </w:rPr>
        <w:t>含</w:t>
      </w:r>
      <w:r>
        <w:rPr>
          <w:spacing w:val="-3"/>
          <w:w w:val="100"/>
        </w:rPr>
        <w:t>税</w:t>
      </w:r>
      <w:r>
        <w:rPr>
          <w:spacing w:val="-106"/>
          <w:w w:val="100"/>
        </w:rPr>
        <w:t>）</w:t>
      </w:r>
      <w:r>
        <w:rPr>
          <w:spacing w:val="-3"/>
          <w:w w:val="100"/>
        </w:rPr>
        <w:t>，</w:t>
      </w:r>
      <w:r>
        <w:rPr>
          <w:w w:val="100"/>
        </w:rPr>
        <w:t>同</w:t>
      </w:r>
      <w:r>
        <w:rPr>
          <w:spacing w:val="-3"/>
          <w:w w:val="100"/>
        </w:rPr>
        <w:t>比</w:t>
      </w:r>
      <w:r>
        <w:rPr>
          <w:w w:val="100"/>
        </w:rPr>
        <w:t>下降</w:t>
      </w:r>
      <w:r>
        <w:rPr>
          <w:spacing w:val="-31"/>
        </w:rPr>
        <w:t> </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67</w:t>
      </w:r>
      <w:r>
        <w:rPr>
          <w:rFonts w:ascii="Times New Roman" w:hAnsi="Times New Roman" w:cs="Times New Roman" w:eastAsia="Times New Roman" w:hint="default"/>
          <w:spacing w:val="-1"/>
          <w:w w:val="100"/>
        </w:rPr>
        <w:t>%</w:t>
      </w:r>
      <w:r>
        <w:rPr>
          <w:spacing w:val="-3"/>
          <w:w w:val="100"/>
        </w:rPr>
        <w:t>，</w:t>
      </w:r>
      <w:r>
        <w:rPr>
          <w:w w:val="100"/>
        </w:rPr>
        <w:t>线</w:t>
      </w:r>
      <w:r>
        <w:rPr>
          <w:spacing w:val="-3"/>
          <w:w w:val="100"/>
        </w:rPr>
        <w:t>上</w:t>
      </w:r>
      <w:r>
        <w:rPr>
          <w:w w:val="100"/>
        </w:rPr>
        <w:t>业</w:t>
      </w:r>
      <w:r>
        <w:rPr>
          <w:spacing w:val="-3"/>
          <w:w w:val="100"/>
        </w:rPr>
        <w:t>务</w:t>
      </w:r>
      <w:r>
        <w:rPr>
          <w:w w:val="100"/>
        </w:rPr>
        <w:t>实</w:t>
      </w:r>
      <w:r>
        <w:rPr>
          <w:spacing w:val="-3"/>
          <w:w w:val="100"/>
        </w:rPr>
        <w:t>现</w:t>
      </w:r>
      <w:r>
        <w:rPr>
          <w:w w:val="100"/>
        </w:rPr>
        <w:t>商</w:t>
      </w:r>
      <w:r>
        <w:rPr>
          <w:w w:val="100"/>
        </w:rPr>
        <w:t> 品销</w:t>
      </w:r>
      <w:r>
        <w:rPr>
          <w:spacing w:val="-3"/>
          <w:w w:val="100"/>
        </w:rPr>
        <w:t>售收</w:t>
      </w:r>
      <w:r>
        <w:rPr>
          <w:w w:val="100"/>
        </w:rPr>
        <w:t>入</w:t>
      </w:r>
      <w:r>
        <w:rPr>
          <w:spacing w:val="-52"/>
        </w:rPr>
        <w:t> </w:t>
      </w:r>
      <w:r>
        <w:rPr>
          <w:rFonts w:ascii="Times New Roman" w:hAnsi="Times New Roman" w:cs="Times New Roman" w:eastAsia="Times New Roman" w:hint="default"/>
          <w:w w:val="100"/>
        </w:rPr>
        <w:t>152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16</w:t>
      </w:r>
      <w:r>
        <w:rPr>
          <w:rFonts w:ascii="Times New Roman" w:hAnsi="Times New Roman" w:cs="Times New Roman" w:eastAsia="Times New Roman" w:hint="default"/>
          <w:spacing w:val="-3"/>
        </w:rPr>
        <w:t> </w:t>
      </w:r>
      <w:r>
        <w:rPr>
          <w:w w:val="100"/>
        </w:rPr>
        <w:t>亿</w:t>
      </w:r>
      <w:r>
        <w:rPr>
          <w:spacing w:val="-51"/>
          <w:w w:val="100"/>
        </w:rPr>
        <w:t>元</w:t>
      </w:r>
      <w:r>
        <w:rPr>
          <w:spacing w:val="-3"/>
          <w:w w:val="100"/>
        </w:rPr>
        <w:t>（</w:t>
      </w:r>
      <w:r>
        <w:rPr>
          <w:w w:val="100"/>
        </w:rPr>
        <w:t>含税</w:t>
      </w:r>
      <w:r>
        <w:rPr>
          <w:spacing w:val="-106"/>
          <w:w w:val="100"/>
        </w:rPr>
        <w:t>）</w:t>
      </w:r>
      <w:r>
        <w:rPr>
          <w:spacing w:val="-53"/>
          <w:w w:val="100"/>
        </w:rPr>
        <w:t>，</w:t>
      </w:r>
      <w:r>
        <w:rPr>
          <w:w w:val="100"/>
        </w:rPr>
        <w:t>同</w:t>
      </w:r>
      <w:r>
        <w:rPr>
          <w:spacing w:val="-3"/>
          <w:w w:val="100"/>
        </w:rPr>
        <w:t>比</w:t>
      </w:r>
      <w:r>
        <w:rPr>
          <w:w w:val="100"/>
        </w:rPr>
        <w:t>增长</w:t>
      </w:r>
      <w:r>
        <w:rPr>
          <w:spacing w:val="-55"/>
        </w:rPr>
        <w:t> </w:t>
      </w:r>
      <w:r>
        <w:rPr>
          <w:rFonts w:ascii="Times New Roman" w:hAnsi="Times New Roman" w:cs="Times New Roman" w:eastAsia="Times New Roman" w:hint="default"/>
          <w:w w:val="100"/>
        </w:rPr>
        <w:t>157.</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0</w:t>
      </w:r>
      <w:r>
        <w:rPr>
          <w:rFonts w:ascii="Times New Roman" w:hAnsi="Times New Roman" w:cs="Times New Roman" w:eastAsia="Times New Roman" w:hint="default"/>
          <w:spacing w:val="-4"/>
          <w:w w:val="100"/>
        </w:rPr>
        <w:t>%</w:t>
      </w:r>
      <w:r>
        <w:rPr>
          <w:spacing w:val="-51"/>
          <w:w w:val="100"/>
        </w:rPr>
        <w:t>。</w:t>
      </w:r>
      <w:r>
        <w:rPr>
          <w:w w:val="100"/>
        </w:rPr>
        <w:t>另香</w:t>
      </w:r>
      <w:r>
        <w:rPr>
          <w:spacing w:val="-3"/>
          <w:w w:val="100"/>
        </w:rPr>
        <w:t>港</w:t>
      </w:r>
      <w:r>
        <w:rPr>
          <w:w w:val="100"/>
        </w:rPr>
        <w:t>地区</w:t>
      </w:r>
      <w:r>
        <w:rPr>
          <w:spacing w:val="-53"/>
          <w:w w:val="100"/>
        </w:rPr>
        <w:t>、</w:t>
      </w:r>
      <w:r>
        <w:rPr>
          <w:w w:val="100"/>
        </w:rPr>
        <w:t>日</w:t>
      </w:r>
      <w:r>
        <w:rPr>
          <w:spacing w:val="-3"/>
          <w:w w:val="100"/>
        </w:rPr>
        <w:t>本</w:t>
      </w:r>
      <w:r>
        <w:rPr>
          <w:w w:val="100"/>
        </w:rPr>
        <w:t>市</w:t>
      </w:r>
      <w:r>
        <w:rPr>
          <w:spacing w:val="-3"/>
          <w:w w:val="100"/>
        </w:rPr>
        <w:t>场分</w:t>
      </w:r>
      <w:r>
        <w:rPr>
          <w:w w:val="100"/>
        </w:rPr>
        <w:t>别实</w:t>
      </w:r>
      <w:r>
        <w:rPr>
          <w:spacing w:val="-3"/>
          <w:w w:val="100"/>
        </w:rPr>
        <w:t>现</w:t>
      </w:r>
      <w:r>
        <w:rPr>
          <w:w w:val="100"/>
        </w:rPr>
        <w:t>销</w:t>
      </w:r>
      <w:r>
        <w:rPr>
          <w:spacing w:val="-3"/>
          <w:w w:val="100"/>
        </w:rPr>
        <w:t>售收</w:t>
      </w:r>
      <w:r>
        <w:rPr>
          <w:w w:val="100"/>
        </w:rPr>
        <w:t>入</w:t>
      </w:r>
      <w:r>
        <w:rPr>
          <w:spacing w:val="-52"/>
        </w:rPr>
        <w:t> </w:t>
      </w:r>
      <w:r>
        <w:rPr>
          <w:rFonts w:ascii="Times New Roman" w:hAnsi="Times New Roman" w:cs="Times New Roman" w:eastAsia="Times New Roman" w:hint="default"/>
          <w:w w:val="100"/>
        </w:rPr>
        <w:t>57.</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spacing w:val="-3"/>
          <w:w w:val="100"/>
        </w:rPr>
        <w:t>亿</w:t>
      </w:r>
      <w:r>
        <w:rPr>
          <w:w w:val="100"/>
        </w:rPr>
        <w:t>元、</w:t>
      </w:r>
    </w:p>
    <w:p>
      <w:pPr>
        <w:pStyle w:val="BodyText"/>
        <w:spacing w:line="240" w:lineRule="auto" w:before="35"/>
        <w:ind w:left="212" w:right="1021"/>
        <w:jc w:val="left"/>
      </w:pPr>
      <w:r>
        <w:rPr>
          <w:rFonts w:ascii="Times New Roman" w:hAnsi="Times New Roman" w:cs="Times New Roman" w:eastAsia="Times New Roman" w:hint="default"/>
        </w:rPr>
        <w:t>10.54 </w:t>
      </w:r>
      <w:r>
        <w:rPr/>
        <w:t>亿元，较上年分别增加</w:t>
      </w:r>
      <w:r>
        <w:rPr>
          <w:spacing w:val="-59"/>
        </w:rPr>
        <w:t> </w:t>
      </w:r>
      <w:r>
        <w:rPr>
          <w:rFonts w:ascii="Times New Roman" w:hAnsi="Times New Roman" w:cs="Times New Roman" w:eastAsia="Times New Roman" w:hint="default"/>
        </w:rPr>
        <w:t>249.17%</w:t>
      </w:r>
      <w:r>
        <w:rPr/>
        <w:t>、</w:t>
      </w:r>
      <w:r>
        <w:rPr>
          <w:rFonts w:ascii="Times New Roman" w:hAnsi="Times New Roman" w:cs="Times New Roman" w:eastAsia="Times New Roman" w:hint="default"/>
        </w:rPr>
        <w:t>221.15%</w:t>
      </w:r>
      <w:r>
        <w:rPr/>
        <w:t>。</w:t>
      </w:r>
    </w:p>
    <w:p>
      <w:pPr>
        <w:spacing w:after="0" w:line="240" w:lineRule="auto"/>
        <w:jc w:val="left"/>
        <w:sectPr>
          <w:pgSz w:w="11910" w:h="16840"/>
          <w:pgMar w:header="745" w:footer="1258" w:top="1060" w:bottom="1440" w:left="920" w:right="0"/>
        </w:sectPr>
      </w:pPr>
    </w:p>
    <w:p>
      <w:pPr>
        <w:spacing w:line="240" w:lineRule="auto" w:before="10"/>
        <w:rPr>
          <w:rFonts w:ascii="宋体" w:hAnsi="宋体" w:cs="宋体" w:eastAsia="宋体" w:hint="default"/>
          <w:sz w:val="24"/>
          <w:szCs w:val="24"/>
        </w:rPr>
      </w:pPr>
    </w:p>
    <w:p>
      <w:pPr>
        <w:pStyle w:val="BodyText"/>
        <w:spacing w:line="240" w:lineRule="auto" w:before="36"/>
        <w:ind w:left="633" w:right="1021"/>
        <w:jc w:val="left"/>
      </w:pPr>
      <w:r>
        <w:rPr>
          <w:rFonts w:ascii="宋体" w:hAnsi="宋体" w:cs="宋体" w:eastAsia="宋体" w:hint="default"/>
          <w:spacing w:val="-2"/>
        </w:rPr>
        <w:t>C</w:t>
      </w:r>
      <w:r>
        <w:rPr>
          <w:spacing w:val="-2"/>
        </w:rPr>
        <w:t>、占公司主营业务收入或主营业务利润</w:t>
      </w:r>
      <w:r>
        <w:rPr>
          <w:spacing w:val="4"/>
        </w:rPr>
        <w:t> </w:t>
      </w:r>
      <w:r>
        <w:rPr>
          <w:rFonts w:ascii="宋体" w:hAnsi="宋体" w:cs="宋体" w:eastAsia="宋体" w:hint="default"/>
          <w:spacing w:val="-2"/>
        </w:rPr>
        <w:t>10%</w:t>
      </w:r>
      <w:r>
        <w:rPr>
          <w:spacing w:val="-2"/>
        </w:rPr>
        <w:t>以上的主要产品情况：</w:t>
      </w:r>
    </w:p>
    <w:p>
      <w:pPr>
        <w:spacing w:line="240" w:lineRule="auto" w:before="12"/>
        <w:rPr>
          <w:rFonts w:ascii="宋体" w:hAnsi="宋体" w:cs="宋体" w:eastAsia="宋体"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1959"/>
        <w:gridCol w:w="1539"/>
        <w:gridCol w:w="1863"/>
        <w:gridCol w:w="1553"/>
        <w:gridCol w:w="1561"/>
        <w:gridCol w:w="1382"/>
      </w:tblGrid>
      <w:tr>
        <w:trPr>
          <w:trHeight w:val="312" w:hRule="exact"/>
        </w:trPr>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22" w:val="left" w:leader="none"/>
              </w:tabs>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right="130"/>
              <w:jc w:val="right"/>
              <w:rPr>
                <w:rFonts w:ascii="宋体" w:hAnsi="宋体" w:cs="宋体" w:eastAsia="宋体" w:hint="default"/>
                <w:sz w:val="21"/>
                <w:szCs w:val="21"/>
              </w:rPr>
            </w:pPr>
            <w:r>
              <w:rPr>
                <w:rFonts w:ascii="宋体" w:hAnsi="宋体" w:cs="宋体" w:eastAsia="宋体" w:hint="default"/>
                <w:spacing w:val="-1"/>
                <w:sz w:val="21"/>
                <w:szCs w:val="21"/>
              </w:rPr>
              <w:t>主营业务收入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95"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561" w:right="0"/>
              <w:jc w:val="left"/>
              <w:rPr>
                <w:rFonts w:ascii="宋体" w:hAnsi="宋体" w:cs="宋体" w:eastAsia="宋体" w:hint="default"/>
                <w:sz w:val="21"/>
                <w:szCs w:val="21"/>
              </w:rPr>
            </w:pPr>
            <w:r>
              <w:rPr>
                <w:rFonts w:ascii="宋体" w:hAnsi="宋体" w:cs="宋体" w:eastAsia="宋体" w:hint="default"/>
                <w:sz w:val="21"/>
                <w:szCs w:val="21"/>
              </w:rPr>
              <w:t>毛利</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51" w:right="0"/>
              <w:jc w:val="left"/>
              <w:rPr>
                <w:rFonts w:ascii="宋体" w:hAnsi="宋体" w:cs="宋体" w:eastAsia="宋体" w:hint="default"/>
                <w:sz w:val="21"/>
                <w:szCs w:val="21"/>
              </w:rPr>
            </w:pPr>
            <w:r>
              <w:rPr>
                <w:rFonts w:ascii="宋体" w:hAnsi="宋体" w:cs="宋体" w:eastAsia="宋体" w:hint="default"/>
                <w:sz w:val="21"/>
                <w:szCs w:val="21"/>
              </w:rPr>
              <w:t>占收入比率</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160" w:right="0"/>
              <w:jc w:val="left"/>
              <w:rPr>
                <w:rFonts w:ascii="宋体" w:hAnsi="宋体" w:cs="宋体" w:eastAsia="宋体" w:hint="default"/>
                <w:sz w:val="21"/>
                <w:szCs w:val="21"/>
              </w:rPr>
            </w:pPr>
            <w:r>
              <w:rPr>
                <w:rFonts w:ascii="宋体" w:hAnsi="宋体" w:cs="宋体" w:eastAsia="宋体" w:hint="default"/>
                <w:sz w:val="21"/>
                <w:szCs w:val="21"/>
              </w:rPr>
              <w:t>占利润比率</w:t>
            </w:r>
          </w:p>
        </w:tc>
      </w:tr>
      <w:tr>
        <w:trPr>
          <w:trHeight w:val="396" w:hRule="exact"/>
        </w:trPr>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彩电、音像、碟机</w:t>
            </w:r>
          </w:p>
        </w:tc>
        <w:tc>
          <w:tcPr>
            <w:tcW w:w="1539"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21,408,773</w:t>
            </w:r>
          </w:p>
        </w:tc>
        <w:tc>
          <w:tcPr>
            <w:tcW w:w="1863"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17,108,058</w:t>
            </w:r>
          </w:p>
        </w:tc>
        <w:tc>
          <w:tcPr>
            <w:tcW w:w="1553"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75"/>
              <w:ind w:left="602" w:right="0"/>
              <w:jc w:val="left"/>
              <w:rPr>
                <w:rFonts w:ascii="Times New Roman" w:hAnsi="Times New Roman" w:cs="Times New Roman" w:eastAsia="Times New Roman" w:hint="default"/>
                <w:sz w:val="21"/>
                <w:szCs w:val="21"/>
              </w:rPr>
            </w:pPr>
            <w:r>
              <w:rPr>
                <w:rFonts w:ascii="Times New Roman"/>
                <w:sz w:val="21"/>
              </w:rPr>
              <w:t>4,300,715</w:t>
            </w:r>
          </w:p>
        </w:tc>
        <w:tc>
          <w:tcPr>
            <w:tcW w:w="1561"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z w:val="21"/>
              </w:rPr>
              <w:t>22.07%</w:t>
            </w:r>
          </w:p>
        </w:tc>
        <w:tc>
          <w:tcPr>
            <w:tcW w:w="1382"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26.18%</w:t>
            </w:r>
          </w:p>
        </w:tc>
      </w:tr>
      <w:tr>
        <w:trPr>
          <w:trHeight w:val="370" w:hRule="exact"/>
        </w:trPr>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数码及</w:t>
            </w:r>
            <w:r>
              <w:rPr>
                <w:rFonts w:ascii="宋体" w:hAnsi="宋体" w:cs="宋体" w:eastAsia="宋体" w:hint="default"/>
                <w:spacing w:val="-50"/>
                <w:sz w:val="21"/>
                <w:szCs w:val="21"/>
              </w:rPr>
              <w:t> </w:t>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产品</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18,448,785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16,814,784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02" w:right="0"/>
              <w:jc w:val="left"/>
              <w:rPr>
                <w:rFonts w:ascii="Times New Roman" w:hAnsi="Times New Roman" w:cs="Times New Roman" w:eastAsia="Times New Roman" w:hint="default"/>
                <w:sz w:val="21"/>
                <w:szCs w:val="21"/>
              </w:rPr>
            </w:pPr>
            <w:r>
              <w:rPr>
                <w:rFonts w:ascii="Times New Roman"/>
                <w:sz w:val="21"/>
              </w:rPr>
              <w:t>1,634,001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z w:val="21"/>
              </w:rPr>
              <w:t>19.02%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z w:val="21"/>
              </w:rPr>
              <w:t>9.95%</w:t>
            </w:r>
          </w:p>
        </w:tc>
      </w:tr>
      <w:tr>
        <w:trPr>
          <w:trHeight w:val="370" w:hRule="exact"/>
        </w:trPr>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通讯产品</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16,571,708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14,669,145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02" w:right="0"/>
              <w:jc w:val="left"/>
              <w:rPr>
                <w:rFonts w:ascii="Times New Roman" w:hAnsi="Times New Roman" w:cs="Times New Roman" w:eastAsia="Times New Roman" w:hint="default"/>
                <w:sz w:val="21"/>
                <w:szCs w:val="21"/>
              </w:rPr>
            </w:pPr>
            <w:r>
              <w:rPr>
                <w:rFonts w:ascii="Times New Roman"/>
                <w:sz w:val="21"/>
              </w:rPr>
              <w:t>1,902,563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z w:val="21"/>
              </w:rPr>
              <w:t>17.08%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2"/>
                <w:sz w:val="21"/>
              </w:rPr>
              <w:t>11.58%</w:t>
            </w:r>
          </w:p>
        </w:tc>
      </w:tr>
      <w:tr>
        <w:trPr>
          <w:trHeight w:val="370" w:hRule="exact"/>
        </w:trPr>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冰箱、洗衣机</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15,507,326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12,218,743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02" w:right="0"/>
              <w:jc w:val="left"/>
              <w:rPr>
                <w:rFonts w:ascii="Times New Roman" w:hAnsi="Times New Roman" w:cs="Times New Roman" w:eastAsia="Times New Roman" w:hint="default"/>
                <w:sz w:val="21"/>
                <w:szCs w:val="21"/>
              </w:rPr>
            </w:pPr>
            <w:r>
              <w:rPr>
                <w:rFonts w:ascii="Times New Roman"/>
                <w:sz w:val="21"/>
              </w:rPr>
              <w:t>3,288,583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z w:val="21"/>
              </w:rPr>
              <w:t>15.99%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z w:val="21"/>
              </w:rPr>
              <w:t>20.02%</w:t>
            </w:r>
          </w:p>
        </w:tc>
      </w:tr>
      <w:tr>
        <w:trPr>
          <w:trHeight w:val="367" w:hRule="exact"/>
        </w:trPr>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小家电产品</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13,155,810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10,318,892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02" w:right="0"/>
              <w:jc w:val="left"/>
              <w:rPr>
                <w:rFonts w:ascii="Times New Roman" w:hAnsi="Times New Roman" w:cs="Times New Roman" w:eastAsia="Times New Roman" w:hint="default"/>
                <w:sz w:val="21"/>
                <w:szCs w:val="21"/>
              </w:rPr>
            </w:pPr>
            <w:r>
              <w:rPr>
                <w:rFonts w:ascii="Times New Roman"/>
                <w:sz w:val="21"/>
              </w:rPr>
              <w:t>2,836,918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z w:val="21"/>
              </w:rPr>
              <w:t>13.56%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z w:val="21"/>
              </w:rPr>
              <w:t>17.27%</w:t>
            </w:r>
          </w:p>
        </w:tc>
      </w:tr>
      <w:tr>
        <w:trPr>
          <w:trHeight w:val="370" w:hRule="exact"/>
        </w:trPr>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空调器产品</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10,899,207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8,706,706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02" w:right="0"/>
              <w:jc w:val="left"/>
              <w:rPr>
                <w:rFonts w:ascii="Times New Roman" w:hAnsi="Times New Roman" w:cs="Times New Roman" w:eastAsia="Times New Roman" w:hint="default"/>
                <w:sz w:val="21"/>
                <w:szCs w:val="21"/>
              </w:rPr>
            </w:pPr>
            <w:r>
              <w:rPr>
                <w:rFonts w:ascii="Times New Roman"/>
                <w:sz w:val="21"/>
              </w:rPr>
              <w:t>2,192,501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2"/>
                <w:sz w:val="21"/>
              </w:rPr>
              <w:t>11.24%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z w:val="21"/>
              </w:rPr>
              <w:t>13.35%</w:t>
            </w:r>
          </w:p>
        </w:tc>
      </w:tr>
    </w:tbl>
    <w:p>
      <w:pPr>
        <w:spacing w:line="240" w:lineRule="auto" w:before="1"/>
        <w:rPr>
          <w:rFonts w:ascii="宋体" w:hAnsi="宋体" w:cs="宋体" w:eastAsia="宋体" w:hint="default"/>
          <w:sz w:val="14"/>
          <w:szCs w:val="14"/>
        </w:rPr>
      </w:pPr>
    </w:p>
    <w:p>
      <w:pPr>
        <w:pStyle w:val="BodyText"/>
        <w:tabs>
          <w:tab w:pos="7774" w:val="left" w:leader="none"/>
        </w:tabs>
        <w:spacing w:line="240" w:lineRule="auto" w:before="36"/>
        <w:ind w:left="633" w:right="1021"/>
        <w:jc w:val="left"/>
      </w:pPr>
      <w:r>
        <w:rPr>
          <w:rFonts w:ascii="宋体" w:hAnsi="宋体" w:cs="宋体" w:eastAsia="宋体" w:hint="default"/>
          <w:spacing w:val="-2"/>
        </w:rPr>
        <w:t>3</w:t>
      </w:r>
      <w:r>
        <w:rPr>
          <w:spacing w:val="-2"/>
        </w:rPr>
        <w:t>、销售费用和管理费用情况分析</w:t>
        <w:tab/>
      </w:r>
      <w:r>
        <w:rPr>
          <w:spacing w:val="-1"/>
        </w:rPr>
        <w:t>（单位：千元）</w:t>
      </w:r>
    </w:p>
    <w:p>
      <w:pPr>
        <w:spacing w:line="240" w:lineRule="auto" w:before="3"/>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947"/>
        <w:gridCol w:w="1561"/>
        <w:gridCol w:w="1844"/>
        <w:gridCol w:w="1562"/>
        <w:gridCol w:w="1561"/>
        <w:gridCol w:w="1382"/>
      </w:tblGrid>
      <w:tr>
        <w:trPr>
          <w:trHeight w:val="331" w:hRule="exact"/>
        </w:trPr>
        <w:tc>
          <w:tcPr>
            <w:tcW w:w="1947" w:type="dxa"/>
            <w:vMerge w:val="restart"/>
            <w:tcBorders>
              <w:top w:val="single" w:sz="4" w:space="0" w:color="000000"/>
              <w:left w:val="single" w:sz="4" w:space="0" w:color="000000"/>
              <w:right w:val="single" w:sz="4" w:space="0" w:color="000000"/>
            </w:tcBorders>
            <w:shd w:val="clear" w:color="auto" w:fill="D2D2D2"/>
          </w:tcPr>
          <w:p>
            <w:pPr>
              <w:pStyle w:val="TableParagraph"/>
              <w:tabs>
                <w:tab w:pos="1178" w:val="left" w:leader="none"/>
              </w:tabs>
              <w:spacing w:line="240" w:lineRule="auto" w:before="153"/>
              <w:ind w:left="54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986"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3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84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8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66" w:right="261"/>
              <w:jc w:val="left"/>
              <w:rPr>
                <w:rFonts w:ascii="宋体" w:hAnsi="宋体" w:cs="宋体" w:eastAsia="宋体" w:hint="default"/>
                <w:sz w:val="21"/>
                <w:szCs w:val="21"/>
              </w:rPr>
            </w:pPr>
            <w:r>
              <w:rPr>
                <w:rFonts w:ascii="宋体" w:hAnsi="宋体" w:cs="宋体" w:eastAsia="宋体" w:hint="default"/>
                <w:sz w:val="21"/>
                <w:szCs w:val="21"/>
              </w:rPr>
              <w:t>费用占比</w:t>
            </w:r>
            <w:r>
              <w:rPr>
                <w:rFonts w:ascii="宋体" w:hAnsi="宋体" w:cs="宋体" w:eastAsia="宋体" w:hint="default"/>
                <w:w w:val="100"/>
                <w:sz w:val="21"/>
                <w:szCs w:val="21"/>
              </w:rPr>
              <w:t> </w:t>
            </w:r>
            <w:r>
              <w:rPr>
                <w:rFonts w:ascii="宋体" w:hAnsi="宋体" w:cs="宋体" w:eastAsia="宋体" w:hint="default"/>
                <w:sz w:val="21"/>
                <w:szCs w:val="21"/>
              </w:rPr>
              <w:t>变动情况</w:t>
            </w:r>
          </w:p>
        </w:tc>
      </w:tr>
      <w:tr>
        <w:trPr>
          <w:trHeight w:val="325" w:hRule="exact"/>
        </w:trPr>
        <w:tc>
          <w:tcPr>
            <w:tcW w:w="1947"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87" w:right="0"/>
              <w:jc w:val="left"/>
              <w:rPr>
                <w:rFonts w:ascii="宋体" w:hAnsi="宋体" w:cs="宋体" w:eastAsia="宋体" w:hint="default"/>
                <w:sz w:val="21"/>
                <w:szCs w:val="21"/>
              </w:rPr>
            </w:pPr>
            <w:r>
              <w:rPr>
                <w:rFonts w:ascii="宋体" w:hAnsi="宋体" w:cs="宋体" w:eastAsia="宋体" w:hint="default"/>
                <w:sz w:val="21"/>
                <w:szCs w:val="21"/>
              </w:rPr>
              <w:t>占主营收入比</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142"/>
              <w:jc w:val="right"/>
              <w:rPr>
                <w:rFonts w:ascii="宋体" w:hAnsi="宋体" w:cs="宋体" w:eastAsia="宋体" w:hint="default"/>
                <w:sz w:val="21"/>
                <w:szCs w:val="21"/>
              </w:rPr>
            </w:pPr>
            <w:r>
              <w:rPr>
                <w:rFonts w:ascii="宋体" w:hAnsi="宋体" w:cs="宋体" w:eastAsia="宋体" w:hint="default"/>
                <w:spacing w:val="-1"/>
                <w:sz w:val="21"/>
                <w:szCs w:val="21"/>
              </w:rPr>
              <w:t>占主营收入比</w:t>
            </w:r>
          </w:p>
        </w:tc>
        <w:tc>
          <w:tcPr>
            <w:tcW w:w="1382"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租赁及仓储费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4,506,880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4.65%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3,615,831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3.91%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0.74%</w:t>
            </w:r>
          </w:p>
        </w:tc>
      </w:tr>
      <w:tr>
        <w:trPr>
          <w:trHeight w:val="322"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人员费用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4,109,741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4.24%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3,585,182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3.88%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0.36%</w:t>
            </w:r>
          </w:p>
        </w:tc>
      </w:tr>
      <w:tr>
        <w:trPr>
          <w:trHeight w:val="322"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2"/>
                <w:sz w:val="21"/>
              </w:rPr>
              <w:t>1,905,311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1.96%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1,397,609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1.51%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0.45%</w:t>
            </w:r>
          </w:p>
        </w:tc>
      </w:tr>
      <w:tr>
        <w:trPr>
          <w:trHeight w:val="324"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广告促销费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1,580,373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1.63%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1,191,805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1.29%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0.34%</w:t>
            </w:r>
          </w:p>
        </w:tc>
      </w:tr>
      <w:tr>
        <w:trPr>
          <w:trHeight w:val="322"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721,875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0.74%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634,929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0.69%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0.05%</w:t>
            </w:r>
          </w:p>
        </w:tc>
      </w:tr>
      <w:tr>
        <w:trPr>
          <w:trHeight w:val="322"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运杂费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653,084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0.67%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556,831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0.60%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0.07%</w:t>
            </w:r>
          </w:p>
        </w:tc>
      </w:tr>
      <w:tr>
        <w:trPr>
          <w:trHeight w:val="322"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装潢费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683,784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0.70%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473,796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0.51%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0.19%</w:t>
            </w:r>
          </w:p>
        </w:tc>
      </w:tr>
      <w:tr>
        <w:trPr>
          <w:trHeight w:val="322"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14,161,048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14.60%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2"/>
                <w:sz w:val="21"/>
              </w:rPr>
              <w:t>11,455,983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12.39%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2.21%</w:t>
            </w:r>
          </w:p>
        </w:tc>
      </w:tr>
    </w:tbl>
    <w:p>
      <w:pPr>
        <w:spacing w:line="240" w:lineRule="auto" w:before="3"/>
        <w:rPr>
          <w:rFonts w:ascii="宋体" w:hAnsi="宋体" w:cs="宋体" w:eastAsia="宋体" w:hint="default"/>
          <w:sz w:val="5"/>
          <w:szCs w:val="5"/>
        </w:rPr>
      </w:pPr>
    </w:p>
    <w:p>
      <w:pPr>
        <w:pStyle w:val="BodyText"/>
        <w:spacing w:line="408" w:lineRule="auto" w:before="36"/>
        <w:ind w:left="212" w:right="1122" w:firstLine="420"/>
        <w:jc w:val="left"/>
      </w:pPr>
      <w:r>
        <w:rPr/>
        <w:t>报告期内，公司管理费用率和销售费用率较去年同期合计上升 </w:t>
      </w:r>
      <w:r>
        <w:rPr>
          <w:rFonts w:ascii="宋体" w:hAnsi="宋体" w:cs="宋体" w:eastAsia="宋体" w:hint="default"/>
        </w:rPr>
        <w:t>2.21</w:t>
      </w:r>
      <w:r>
        <w:rPr>
          <w:rFonts w:ascii="宋体" w:hAnsi="宋体" w:cs="宋体" w:eastAsia="宋体" w:hint="default"/>
          <w:spacing w:val="-28"/>
        </w:rPr>
        <w:t> </w:t>
      </w:r>
      <w:r>
        <w:rPr/>
        <w:t>个百分点。主要费率变动分析如</w:t>
      </w:r>
      <w:r>
        <w:rPr>
          <w:w w:val="100"/>
        </w:rPr>
        <w:t> </w:t>
      </w:r>
      <w:r>
        <w:rPr/>
        <w:t>下：</w:t>
      </w:r>
    </w:p>
    <w:p>
      <w:pPr>
        <w:pStyle w:val="BodyText"/>
        <w:spacing w:line="408" w:lineRule="auto" w:before="87"/>
        <w:ind w:left="633" w:right="1021"/>
        <w:jc w:val="left"/>
      </w:pPr>
      <w:r>
        <w:rPr/>
        <w:t>（</w:t>
      </w:r>
      <w:r>
        <w:rPr>
          <w:rFonts w:ascii="宋体" w:hAnsi="宋体" w:cs="宋体" w:eastAsia="宋体" w:hint="default"/>
        </w:rPr>
        <w:t>1</w:t>
      </w:r>
      <w:r>
        <w:rPr/>
        <w:t>）租赁费用率变动的主要原因：</w:t>
      </w:r>
      <w:r>
        <w:rPr>
          <w:w w:val="100"/>
        </w:rPr>
        <w:t> </w:t>
      </w:r>
      <w:r>
        <w:rPr>
          <w:spacing w:val="-3"/>
        </w:rPr>
        <w:t>近年来，为应对物价水平的上涨，公司加快了连锁布局提前锁定物业，店面租金成本有所增加。另外</w:t>
      </w:r>
    </w:p>
    <w:p>
      <w:pPr>
        <w:pStyle w:val="BodyText"/>
        <w:spacing w:line="408" w:lineRule="auto"/>
        <w:ind w:left="633" w:right="1021" w:hanging="421"/>
        <w:jc w:val="left"/>
      </w:pPr>
      <w:r>
        <w:rPr/>
        <w:t>由于外部环境影响导致销售不理想，使得租赁费率同比提高</w:t>
      </w:r>
      <w:r>
        <w:rPr>
          <w:rFonts w:ascii="宋体" w:hAnsi="宋体" w:cs="宋体" w:eastAsia="宋体" w:hint="default"/>
        </w:rPr>
        <w:t>0.74</w:t>
      </w:r>
      <w:r>
        <w:rPr/>
        <w:t>个百分点。</w:t>
      </w:r>
      <w:r>
        <w:rPr>
          <w:w w:val="100"/>
        </w:rPr>
        <w:t> </w:t>
      </w:r>
      <w:r>
        <w:rPr>
          <w:spacing w:val="-2"/>
        </w:rPr>
        <w:t>结合外部市场环境的变化以及公司线上线下协同发展战略的实施，公司在保持稳定的连锁发展速度同</w:t>
      </w:r>
    </w:p>
    <w:p>
      <w:pPr>
        <w:pStyle w:val="BodyText"/>
        <w:spacing w:line="408" w:lineRule="auto"/>
        <w:ind w:left="212" w:right="1021"/>
        <w:jc w:val="left"/>
      </w:pPr>
      <w:r>
        <w:rPr/>
        <w:t>时，将更加注重店面经营质量的提升，实施旗舰店战略，升级改造核心店面，提升单店销售；加快调整</w:t>
      </w:r>
      <w:r>
        <w:rPr>
          <w:rFonts w:ascii="宋体" w:hAnsi="宋体" w:cs="宋体" w:eastAsia="宋体" w:hint="default"/>
        </w:rPr>
        <w:t>/</w:t>
      </w:r>
      <w:r>
        <w:rPr>
          <w:rFonts w:ascii="宋体" w:hAnsi="宋体" w:cs="宋体" w:eastAsia="宋体" w:hint="default"/>
          <w:spacing w:val="-20"/>
        </w:rPr>
        <w:t> </w:t>
      </w:r>
      <w:r>
        <w:rPr>
          <w:spacing w:val="-5"/>
        </w:rPr>
        <w:t>关闭绩效较差店面，优化门店结构。随着一系列调整措施效应的逐步显现，租售比水平将能得到有效控制。</w:t>
      </w:r>
    </w:p>
    <w:p>
      <w:pPr>
        <w:pStyle w:val="BodyText"/>
        <w:spacing w:line="408" w:lineRule="auto"/>
        <w:ind w:left="633" w:right="1021"/>
        <w:jc w:val="left"/>
      </w:pPr>
      <w:r>
        <w:rPr/>
        <w:t>（</w:t>
      </w:r>
      <w:r>
        <w:rPr>
          <w:rFonts w:ascii="宋体" w:hAnsi="宋体" w:cs="宋体" w:eastAsia="宋体" w:hint="default"/>
        </w:rPr>
        <w:t>2</w:t>
      </w:r>
      <w:r>
        <w:rPr/>
        <w:t>）人员费用率变动的主要原因</w:t>
      </w:r>
      <w:r>
        <w:rPr>
          <w:w w:val="100"/>
        </w:rPr>
        <w:t> </w:t>
      </w:r>
      <w:r>
        <w:rPr>
          <w:spacing w:val="-3"/>
        </w:rPr>
        <w:t>随着大量技术性、专业性人才的引进，以及为有效稳定激励团队，员工薪酬福利水平持续提高，公司</w:t>
      </w:r>
    </w:p>
    <w:p>
      <w:pPr>
        <w:pStyle w:val="BodyText"/>
        <w:spacing w:line="408" w:lineRule="auto"/>
        <w:ind w:left="212" w:right="1021"/>
        <w:jc w:val="left"/>
      </w:pPr>
      <w:r>
        <w:rPr>
          <w:spacing w:val="-5"/>
        </w:rPr>
        <w:t>薪酬支出额继续同比增长。与此同时，随着公司进一步精简业务流程、优化岗位设置，加强人员绩效管理，</w:t>
      </w:r>
      <w:r>
        <w:rPr>
          <w:spacing w:val="-10"/>
        </w:rPr>
        <w:t> </w:t>
      </w:r>
      <w:r>
        <w:rPr>
          <w:spacing w:val="-10"/>
        </w:rPr>
      </w:r>
      <w:r>
        <w:rPr/>
        <w:t>报告期内人效水平逐步提升。整体来看，报告期内公司人员费用率同比增加</w:t>
      </w:r>
      <w:r>
        <w:rPr>
          <w:rFonts w:ascii="宋体" w:hAnsi="宋体" w:cs="宋体" w:eastAsia="宋体" w:hint="default"/>
        </w:rPr>
        <w:t>0.36%</w:t>
      </w:r>
      <w:r>
        <w:rPr/>
        <w:t>，增速较上半年已经收</w:t>
      </w:r>
      <w:r>
        <w:rPr>
          <w:spacing w:val="-24"/>
        </w:rPr>
        <w:t> </w:t>
      </w:r>
      <w:r>
        <w:rPr>
          <w:spacing w:val="-24"/>
        </w:rPr>
      </w:r>
      <w:r>
        <w:rPr/>
        <w:t>窄。</w:t>
      </w:r>
    </w:p>
    <w:p>
      <w:pPr>
        <w:pStyle w:val="BodyText"/>
        <w:spacing w:line="240" w:lineRule="auto"/>
        <w:ind w:left="633" w:right="1021"/>
        <w:jc w:val="left"/>
      </w:pPr>
      <w:r>
        <w:rPr/>
        <w:t>（</w:t>
      </w:r>
      <w:r>
        <w:rPr>
          <w:rFonts w:ascii="宋体" w:hAnsi="宋体" w:cs="宋体" w:eastAsia="宋体" w:hint="default"/>
        </w:rPr>
        <w:t>3</w:t>
      </w:r>
      <w:r>
        <w:rPr/>
        <w:t>）广告促销费变动的主要原因</w:t>
      </w:r>
    </w:p>
    <w:p>
      <w:pPr>
        <w:spacing w:line="240" w:lineRule="auto" w:before="10"/>
        <w:rPr>
          <w:rFonts w:ascii="宋体" w:hAnsi="宋体" w:cs="宋体" w:eastAsia="宋体" w:hint="default"/>
          <w:sz w:val="14"/>
          <w:szCs w:val="14"/>
        </w:rPr>
      </w:pPr>
    </w:p>
    <w:p>
      <w:pPr>
        <w:pStyle w:val="BodyText"/>
        <w:spacing w:line="240" w:lineRule="auto" w:before="0"/>
        <w:ind w:left="633" w:right="1021"/>
        <w:jc w:val="left"/>
      </w:pPr>
      <w:r>
        <w:rPr/>
        <w:t>报告期内，公司加大苏宁易购的推广力度，投入有所增加，相应的苏宁易购品牌形象及市场竞争力也</w:t>
      </w:r>
    </w:p>
    <w:p>
      <w:pPr>
        <w:spacing w:after="0" w:line="240" w:lineRule="auto"/>
        <w:jc w:val="left"/>
        <w:sectPr>
          <w:pgSz w:w="11910" w:h="16840"/>
          <w:pgMar w:header="745" w:footer="1258" w:top="1060" w:bottom="1440" w:left="92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1597960" type="#_x0000_t75" stroked="false">
            <v:imagedata r:id="rId10" o:title=""/>
          </v:shape>
        </w:pict>
      </w:r>
    </w:p>
    <w:p>
      <w:pPr>
        <w:pStyle w:val="BodyText"/>
        <w:spacing w:line="408" w:lineRule="auto" w:before="175"/>
        <w:ind w:left="212" w:right="1021"/>
        <w:jc w:val="left"/>
      </w:pPr>
      <w:r>
        <w:rPr>
          <w:spacing w:val="-3"/>
        </w:rPr>
        <w:t>得到提升。随着公司品牌推广经验的不断丰富，加强不同媒体宣传手段的有效运用以提升投入产出比，广</w:t>
      </w:r>
      <w:r>
        <w:rPr>
          <w:spacing w:val="-9"/>
        </w:rPr>
        <w:t> </w:t>
      </w:r>
      <w:r>
        <w:rPr>
          <w:spacing w:val="-9"/>
        </w:rPr>
      </w:r>
      <w:r>
        <w:rPr/>
        <w:t>告促销费率将得到改善。</w:t>
      </w:r>
    </w:p>
    <w:p>
      <w:pPr>
        <w:pStyle w:val="BodyText"/>
        <w:spacing w:line="408" w:lineRule="auto"/>
        <w:ind w:left="633" w:right="1021"/>
        <w:jc w:val="left"/>
      </w:pPr>
      <w:r>
        <w:rPr/>
        <w:t>（</w:t>
      </w:r>
      <w:r>
        <w:rPr>
          <w:rFonts w:ascii="宋体" w:hAnsi="宋体" w:cs="宋体" w:eastAsia="宋体" w:hint="default"/>
        </w:rPr>
        <w:t>4</w:t>
      </w:r>
      <w:r>
        <w:rPr/>
        <w:t>）装潢费变动的主要原因</w:t>
      </w:r>
      <w:r>
        <w:rPr>
          <w:w w:val="100"/>
        </w:rPr>
        <w:t> </w:t>
      </w:r>
      <w:r>
        <w:rPr>
          <w:spacing w:val="-2"/>
        </w:rPr>
        <w:t>近年来新开店较多，报告期内装潢费摊销增加。此外公司注重购物环境的改善，加大店面装修硬件投</w:t>
      </w:r>
    </w:p>
    <w:p>
      <w:pPr>
        <w:pStyle w:val="BodyText"/>
        <w:spacing w:line="408" w:lineRule="auto"/>
        <w:ind w:left="212" w:right="1021"/>
        <w:jc w:val="left"/>
      </w:pPr>
      <w:r>
        <w:rPr/>
        <w:t>入，提升店面形象，装修单价也有所提升，使得装潢费率同比增加</w:t>
      </w:r>
      <w:r>
        <w:rPr>
          <w:rFonts w:ascii="宋体" w:hAnsi="宋体" w:cs="宋体" w:eastAsia="宋体" w:hint="default"/>
        </w:rPr>
        <w:t>0.19%</w:t>
      </w:r>
      <w:r>
        <w:rPr/>
        <w:t>。公司将进一步完善不同类型店</w:t>
      </w:r>
      <w:r>
        <w:rPr>
          <w:spacing w:val="-26"/>
        </w:rPr>
        <w:t> </w:t>
      </w:r>
      <w:r>
        <w:rPr>
          <w:spacing w:val="-26"/>
        </w:rPr>
      </w:r>
      <w:r>
        <w:rPr/>
        <w:t>面装修标准，充分发挥规模采购优势，有效控制投入成本。</w:t>
      </w:r>
    </w:p>
    <w:p>
      <w:pPr>
        <w:pStyle w:val="BodyText"/>
        <w:spacing w:line="408" w:lineRule="auto"/>
        <w:ind w:left="633" w:right="1021"/>
        <w:jc w:val="left"/>
      </w:pPr>
      <w:r>
        <w:rPr/>
        <w:t>（</w:t>
      </w:r>
      <w:r>
        <w:rPr>
          <w:rFonts w:ascii="宋体" w:hAnsi="宋体" w:cs="宋体" w:eastAsia="宋体" w:hint="default"/>
        </w:rPr>
        <w:t>5</w:t>
      </w:r>
      <w:r>
        <w:rPr/>
        <w:t>）运杂费变动的主要原因</w:t>
      </w:r>
      <w:r>
        <w:rPr>
          <w:w w:val="100"/>
        </w:rPr>
        <w:t> </w:t>
      </w:r>
      <w:r>
        <w:rPr>
          <w:spacing w:val="-3"/>
        </w:rPr>
        <w:t>报告期内，线上业务实现快速增长，配送业务量增加较快，使得运输费用增长加快。公司将加强物流</w:t>
      </w:r>
    </w:p>
    <w:p>
      <w:pPr>
        <w:pStyle w:val="BodyText"/>
        <w:spacing w:line="408" w:lineRule="auto"/>
        <w:ind w:left="212" w:right="1021"/>
        <w:jc w:val="left"/>
      </w:pPr>
      <w:r>
        <w:rPr>
          <w:spacing w:val="-2"/>
        </w:rPr>
        <w:t>管理，尤其是干线运输方面，随着供应链网络优化，尽量实现本地化，减少长途费用的增加，有效控制配</w:t>
      </w:r>
      <w:r>
        <w:rPr>
          <w:spacing w:val="-42"/>
        </w:rPr>
        <w:t> </w:t>
      </w:r>
      <w:r>
        <w:rPr>
          <w:spacing w:val="-42"/>
        </w:rPr>
      </w:r>
      <w:r>
        <w:rPr/>
        <w:t>送费用。</w:t>
      </w:r>
    </w:p>
    <w:p>
      <w:pPr>
        <w:pStyle w:val="BodyText"/>
        <w:tabs>
          <w:tab w:pos="7668" w:val="left" w:leader="none"/>
        </w:tabs>
        <w:spacing w:line="408" w:lineRule="auto"/>
        <w:ind w:left="633" w:right="1467"/>
        <w:jc w:val="left"/>
      </w:pPr>
      <w:r>
        <w:rPr/>
        <w:t>（</w:t>
      </w:r>
      <w:r>
        <w:rPr>
          <w:rFonts w:ascii="宋体" w:hAnsi="宋体" w:cs="宋体" w:eastAsia="宋体" w:hint="default"/>
        </w:rPr>
        <w:t>6</w:t>
      </w:r>
      <w:r>
        <w:rPr/>
        <w:t>）其他费率变动的主要原因</w:t>
      </w:r>
      <w:r>
        <w:rPr>
          <w:w w:val="100"/>
        </w:rPr>
        <w:t> </w:t>
      </w:r>
      <w:r>
        <w:rPr>
          <w:spacing w:val="-2"/>
        </w:rPr>
        <w:t>随着公司规模扩大，资产增加带来相应的折旧费用也有所增加，其他费用率水平同比增加</w:t>
      </w:r>
      <w:r>
        <w:rPr>
          <w:rFonts w:ascii="宋体" w:hAnsi="宋体" w:cs="宋体" w:eastAsia="宋体" w:hint="default"/>
          <w:spacing w:val="-2"/>
        </w:rPr>
        <w:t>0.45%</w:t>
      </w:r>
      <w:r>
        <w:rPr>
          <w:spacing w:val="-2"/>
        </w:rPr>
        <w:t>。</w:t>
      </w:r>
      <w:r>
        <w:rPr>
          <w:spacing w:val="-21"/>
        </w:rPr>
        <w:t> </w:t>
      </w:r>
      <w:r>
        <w:rPr>
          <w:rFonts w:ascii="宋体" w:hAnsi="宋体" w:cs="宋体" w:eastAsia="宋体" w:hint="default"/>
          <w:spacing w:val="-1"/>
        </w:rPr>
        <w:t>4</w:t>
      </w:r>
      <w:r>
        <w:rPr>
          <w:spacing w:val="-1"/>
        </w:rPr>
        <w:t>、研发支出</w:t>
        <w:tab/>
      </w:r>
      <w:r>
        <w:rPr>
          <w:spacing w:val="-2"/>
        </w:rPr>
        <w:t>（单位：千元）</w:t>
      </w:r>
    </w:p>
    <w:tbl>
      <w:tblPr>
        <w:tblW w:w="0" w:type="auto"/>
        <w:jc w:val="left"/>
        <w:tblInd w:w="100" w:type="dxa"/>
        <w:tblLayout w:type="fixed"/>
        <w:tblCellMar>
          <w:top w:w="0" w:type="dxa"/>
          <w:left w:w="0" w:type="dxa"/>
          <w:bottom w:w="0" w:type="dxa"/>
          <w:right w:w="0" w:type="dxa"/>
        </w:tblCellMar>
        <w:tblLook w:val="01E0"/>
      </w:tblPr>
      <w:tblGrid>
        <w:gridCol w:w="3229"/>
        <w:gridCol w:w="1656"/>
        <w:gridCol w:w="1656"/>
        <w:gridCol w:w="1657"/>
        <w:gridCol w:w="1658"/>
      </w:tblGrid>
      <w:tr>
        <w:trPr>
          <w:trHeight w:val="322"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24" w:val="left" w:leader="none"/>
              </w:tabs>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48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48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244" w:right="0"/>
              <w:jc w:val="left"/>
              <w:rPr>
                <w:rFonts w:ascii="宋体" w:hAnsi="宋体" w:cs="宋体" w:eastAsia="宋体" w:hint="default"/>
                <w:sz w:val="21"/>
                <w:szCs w:val="21"/>
              </w:rPr>
            </w:pPr>
            <w:r>
              <w:rPr>
                <w:rFonts w:ascii="宋体" w:hAnsi="宋体" w:cs="宋体" w:eastAsia="宋体" w:hint="default"/>
                <w:sz w:val="21"/>
                <w:szCs w:val="21"/>
              </w:rPr>
              <w:t>比上年增减</w:t>
            </w:r>
            <w:r>
              <w:rPr>
                <w:rFonts w:ascii="宋体" w:hAnsi="宋体" w:cs="宋体" w:eastAsia="宋体" w:hint="default"/>
                <w:sz w:val="21"/>
                <w:szCs w:val="21"/>
              </w:rPr>
              <w:t>%</w:t>
            </w:r>
          </w:p>
        </w:tc>
        <w:tc>
          <w:tcPr>
            <w:tcW w:w="1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48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研究开发支出</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pacing w:val="-2"/>
                <w:sz w:val="21"/>
              </w:rPr>
              <w:t>114,558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z w:val="21"/>
              </w:rPr>
              <w:t>87,716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z w:val="21"/>
              </w:rPr>
              <w:t>30.60%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z w:val="21"/>
              </w:rPr>
              <w:t>87,489</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归属于上市公司股东权益</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pacing w:val="-1"/>
                <w:sz w:val="21"/>
              </w:rPr>
              <w:t>28,459,130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pacing w:val="-1"/>
                <w:sz w:val="21"/>
              </w:rPr>
              <w:t>22,328,334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z w:val="21"/>
              </w:rPr>
              <w:t>27.46%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pacing w:val="-1"/>
                <w:sz w:val="21"/>
              </w:rPr>
              <w:t>18,338,189</w:t>
            </w:r>
          </w:p>
        </w:tc>
      </w:tr>
      <w:tr>
        <w:trPr>
          <w:trHeight w:val="324"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占归属于上市公司股东权益比例</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0.40%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0.39%</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0.01%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0.48%</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pacing w:val="-1"/>
                <w:sz w:val="21"/>
              </w:rPr>
              <w:t>98,357,161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pacing w:val="-1"/>
                <w:sz w:val="21"/>
              </w:rPr>
              <w:t>93,888,580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z w:val="21"/>
              </w:rPr>
              <w:t>4.76%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pacing w:val="-1"/>
                <w:sz w:val="21"/>
              </w:rPr>
              <w:t>75,504,739</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占营业收入比例</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z w:val="21"/>
              </w:rPr>
              <w:t>0.12%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z w:val="21"/>
              </w:rPr>
              <w:t>0.09%</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z w:val="21"/>
              </w:rPr>
              <w:t>0.03%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z w:val="21"/>
              </w:rPr>
              <w:t>0.12%</w:t>
            </w:r>
          </w:p>
        </w:tc>
      </w:tr>
    </w:tbl>
    <w:p>
      <w:pPr>
        <w:pStyle w:val="BodyText"/>
        <w:spacing w:line="408" w:lineRule="auto"/>
        <w:ind w:left="212" w:right="1021" w:firstLine="420"/>
        <w:jc w:val="left"/>
      </w:pPr>
      <w:r>
        <w:rPr>
          <w:rFonts w:ascii="宋体" w:hAnsi="宋体" w:cs="宋体" w:eastAsia="宋体" w:hint="default"/>
          <w:spacing w:val="-2"/>
        </w:rPr>
        <w:t>2012</w:t>
      </w:r>
      <w:r>
        <w:rPr>
          <w:spacing w:val="-2"/>
        </w:rPr>
        <w:t>年度，公司研究开发支出共计约人民币</w:t>
      </w:r>
      <w:r>
        <w:rPr>
          <w:rFonts w:ascii="宋体" w:hAnsi="宋体" w:cs="宋体" w:eastAsia="宋体" w:hint="default"/>
          <w:spacing w:val="-2"/>
        </w:rPr>
        <w:t>1.15</w:t>
      </w:r>
      <w:r>
        <w:rPr>
          <w:spacing w:val="-2"/>
        </w:rPr>
        <w:t>亿元，同比增加</w:t>
      </w:r>
      <w:r>
        <w:rPr>
          <w:rFonts w:ascii="宋体" w:hAnsi="宋体" w:cs="宋体" w:eastAsia="宋体" w:hint="default"/>
          <w:spacing w:val="-2"/>
        </w:rPr>
        <w:t>30.60%</w:t>
      </w:r>
      <w:r>
        <w:rPr>
          <w:spacing w:val="-2"/>
        </w:rPr>
        <w:t>，主要原因为：报告期内为了</w:t>
      </w:r>
      <w:r>
        <w:rPr>
          <w:w w:val="100"/>
        </w:rPr>
        <w:t> </w:t>
      </w:r>
      <w:r>
        <w:rPr/>
        <w:t>支撑公司电子商务系统、企业管理等对信息管理的全面需求，加大了系统软件开发力度。</w:t>
      </w:r>
    </w:p>
    <w:p>
      <w:pPr>
        <w:spacing w:line="240" w:lineRule="auto" w:before="8"/>
        <w:rPr>
          <w:rFonts w:ascii="宋体" w:hAnsi="宋体" w:cs="宋体" w:eastAsia="宋体" w:hint="default"/>
          <w:sz w:val="18"/>
          <w:szCs w:val="18"/>
        </w:rPr>
      </w:pPr>
    </w:p>
    <w:p>
      <w:pPr>
        <w:pStyle w:val="Heading2"/>
        <w:spacing w:line="240" w:lineRule="auto"/>
        <w:ind w:left="695" w:right="1021"/>
        <w:jc w:val="left"/>
        <w:rPr>
          <w:b w:val="0"/>
          <w:bCs w:val="0"/>
        </w:rPr>
      </w:pPr>
      <w:r>
        <w:rPr/>
        <w:t>五、资产、负债状况分析</w:t>
      </w:r>
      <w:r>
        <w:rPr>
          <w:b w:val="0"/>
          <w:bCs w:val="0"/>
        </w:rPr>
      </w:r>
    </w:p>
    <w:p>
      <w:pPr>
        <w:spacing w:line="240" w:lineRule="auto" w:before="10"/>
        <w:rPr>
          <w:rFonts w:ascii="宋体" w:hAnsi="宋体" w:cs="宋体" w:eastAsia="宋体" w:hint="default"/>
          <w:b/>
          <w:bCs/>
          <w:sz w:val="30"/>
          <w:szCs w:val="30"/>
        </w:rPr>
      </w:pPr>
    </w:p>
    <w:p>
      <w:pPr>
        <w:pStyle w:val="Heading4"/>
        <w:spacing w:line="240" w:lineRule="auto"/>
        <w:ind w:left="635" w:right="1021"/>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1"/>
        <w:rPr>
          <w:rFonts w:ascii="宋体" w:hAnsi="宋体" w:cs="宋体" w:eastAsia="宋体" w:hint="default"/>
          <w:b/>
          <w:bCs/>
          <w:sz w:val="16"/>
          <w:szCs w:val="16"/>
        </w:rPr>
      </w:pPr>
    </w:p>
    <w:p>
      <w:pPr>
        <w:pStyle w:val="BodyText"/>
        <w:spacing w:line="240" w:lineRule="auto" w:before="0"/>
        <w:ind w:left="0" w:right="1128"/>
        <w:jc w:val="right"/>
      </w:pPr>
      <w:r>
        <w:rPr>
          <w:spacing w:val="-1"/>
        </w:rPr>
        <w:t>（单位：千元）</w:t>
      </w:r>
    </w:p>
    <w:p>
      <w:pPr>
        <w:spacing w:line="240" w:lineRule="auto" w:before="10"/>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259"/>
        <w:gridCol w:w="1270"/>
        <w:gridCol w:w="1272"/>
        <w:gridCol w:w="1268"/>
        <w:gridCol w:w="1270"/>
        <w:gridCol w:w="1270"/>
        <w:gridCol w:w="1248"/>
      </w:tblGrid>
      <w:tr>
        <w:trPr>
          <w:trHeight w:val="449" w:hRule="exact"/>
        </w:trPr>
        <w:tc>
          <w:tcPr>
            <w:tcW w:w="2259" w:type="dxa"/>
            <w:tcBorders>
              <w:top w:val="single" w:sz="4" w:space="0" w:color="000000"/>
              <w:left w:val="single" w:sz="4" w:space="0" w:color="000000"/>
              <w:bottom w:val="nil" w:sz="6" w:space="0" w:color="auto"/>
              <w:right w:val="single" w:sz="4" w:space="0" w:color="000000"/>
            </w:tcBorders>
            <w:shd w:val="clear" w:color="auto" w:fill="D2D2D2"/>
          </w:tcPr>
          <w:p>
            <w:pPr/>
          </w:p>
        </w:tc>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4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39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835" w:right="0"/>
              <w:jc w:val="left"/>
              <w:rPr>
                <w:rFonts w:ascii="宋体" w:hAnsi="宋体" w:cs="宋体" w:eastAsia="宋体" w:hint="default"/>
                <w:sz w:val="21"/>
                <w:szCs w:val="21"/>
              </w:rPr>
            </w:pPr>
            <w:r>
              <w:rPr>
                <w:rFonts w:ascii="宋体" w:hAnsi="宋体" w:cs="宋体" w:eastAsia="宋体" w:hint="default"/>
                <w:sz w:val="21"/>
                <w:szCs w:val="21"/>
              </w:rPr>
              <w:t>增减情况</w:t>
            </w:r>
          </w:p>
        </w:tc>
      </w:tr>
      <w:tr>
        <w:trPr>
          <w:trHeight w:val="677" w:hRule="exact"/>
        </w:trPr>
        <w:tc>
          <w:tcPr>
            <w:tcW w:w="225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tabs>
                <w:tab w:pos="425" w:val="left" w:leader="none"/>
              </w:tabs>
              <w:spacing w:line="222"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367" w:right="206" w:hanging="156"/>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比重</w:t>
            </w:r>
            <w:r>
              <w:rPr>
                <w:rFonts w:ascii="宋体" w:hAnsi="宋体" w:cs="宋体" w:eastAsia="宋体" w:hint="default"/>
                <w:sz w:val="21"/>
                <w:szCs w:val="21"/>
              </w:rPr>
              <w:t>%</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369" w:right="204" w:hanging="15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比重</w:t>
            </w:r>
            <w:r>
              <w:rPr>
                <w:rFonts w:ascii="宋体" w:hAnsi="宋体" w:cs="宋体" w:eastAsia="宋体" w:hint="default"/>
                <w:sz w:val="21"/>
                <w:szCs w:val="21"/>
              </w:rPr>
              <w:t>%</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增减幅度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30,067,365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39.48%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22,740,084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38.04%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7,327,281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32.22%</w:t>
            </w:r>
          </w:p>
        </w:tc>
      </w:tr>
      <w:tr>
        <w:trPr>
          <w:trHeight w:val="322"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1,270,502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1.67%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1,841,778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3.08%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-571,276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-31.02%</w:t>
            </w:r>
          </w:p>
        </w:tc>
      </w:tr>
      <w:tr>
        <w:trPr>
          <w:trHeight w:val="322"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3,104,874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4.08%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2,334,507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3.90%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770,367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33.00%</w:t>
            </w:r>
          </w:p>
        </w:tc>
      </w:tr>
      <w:tr>
        <w:trPr>
          <w:trHeight w:val="322"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17,222,484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22.61%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13,426,741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22.46%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3,795,743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28.27%</w:t>
            </w:r>
          </w:p>
        </w:tc>
      </w:tr>
      <w:tr>
        <w:trPr>
          <w:trHeight w:val="322"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1,270,242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1.67%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684,420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1.14%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585,822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85.59%</w:t>
            </w:r>
          </w:p>
        </w:tc>
      </w:tr>
      <w:tr>
        <w:trPr>
          <w:trHeight w:val="324"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2,478,083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3.25%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1,251,501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2.09%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1,226,582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98.01%</w:t>
            </w:r>
          </w:p>
        </w:tc>
      </w:tr>
    </w:tbl>
    <w:p>
      <w:pPr>
        <w:spacing w:after="0" w:line="240" w:lineRule="auto"/>
        <w:jc w:val="right"/>
        <w:rPr>
          <w:rFonts w:ascii="Times New Roman" w:hAnsi="Times New Roman" w:cs="Times New Roman" w:eastAsia="Times New Roman" w:hint="default"/>
          <w:sz w:val="21"/>
          <w:szCs w:val="21"/>
        </w:rPr>
        <w:sectPr>
          <w:footerReference w:type="default" r:id="rId20"/>
          <w:pgSz w:w="11910" w:h="16840"/>
          <w:pgMar w:footer="980" w:header="745" w:top="1060" w:bottom="1160" w:left="920" w:right="0"/>
          <w:pgNumType w:start="2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1240" type="#_x0000_t75" stroked="false">
            <v:imagedata r:id="rId10" o:title=""/>
          </v:shape>
        </w:pict>
      </w:r>
    </w:p>
    <w:tbl>
      <w:tblPr>
        <w:tblW w:w="0" w:type="auto"/>
        <w:jc w:val="left"/>
        <w:tblInd w:w="101" w:type="dxa"/>
        <w:tblLayout w:type="fixed"/>
        <w:tblCellMar>
          <w:top w:w="0" w:type="dxa"/>
          <w:left w:w="0" w:type="dxa"/>
          <w:bottom w:w="0" w:type="dxa"/>
          <w:right w:w="0" w:type="dxa"/>
        </w:tblCellMar>
        <w:tblLook w:val="01E0"/>
      </w:tblPr>
      <w:tblGrid>
        <w:gridCol w:w="2258"/>
        <w:gridCol w:w="1270"/>
        <w:gridCol w:w="1272"/>
        <w:gridCol w:w="1268"/>
        <w:gridCol w:w="1270"/>
        <w:gridCol w:w="1270"/>
        <w:gridCol w:w="1248"/>
      </w:tblGrid>
      <w:tr>
        <w:trPr>
          <w:trHeight w:val="322"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7,772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0.010%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2,002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0.003%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5,770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288.21%</w:t>
            </w:r>
          </w:p>
        </w:tc>
      </w:tr>
      <w:tr>
        <w:trPr>
          <w:trHeight w:val="322"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0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6,039,735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7.93%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4,368,264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7.31%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1,671,471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38.26%</w:t>
            </w:r>
          </w:p>
        </w:tc>
      </w:tr>
      <w:tr>
        <w:trPr>
          <w:trHeight w:val="322"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42,297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93,898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0.16%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-51,601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-54.95%</w:t>
            </w:r>
          </w:p>
        </w:tc>
      </w:tr>
      <w:tr>
        <w:trPr>
          <w:trHeight w:val="324"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756,221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0.99%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512,150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0.86%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244,071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47.66%</w:t>
            </w:r>
          </w:p>
        </w:tc>
      </w:tr>
    </w:tbl>
    <w:p>
      <w:pPr>
        <w:pStyle w:val="BodyText"/>
        <w:spacing w:line="240" w:lineRule="auto" w:before="64"/>
        <w:ind w:left="633" w:right="1021"/>
        <w:jc w:val="left"/>
      </w:pPr>
      <w:r>
        <w:rPr/>
        <w:t>（</w:t>
      </w:r>
      <w:r>
        <w:rPr>
          <w:rFonts w:ascii="宋体" w:hAnsi="宋体" w:cs="宋体" w:eastAsia="宋体" w:hint="default"/>
        </w:rPr>
        <w:t>1</w:t>
      </w:r>
      <w:r>
        <w:rPr/>
        <w:t>）货币资金变化的主要原因：</w:t>
      </w:r>
    </w:p>
    <w:p>
      <w:pPr>
        <w:spacing w:line="240" w:lineRule="auto" w:before="10"/>
        <w:rPr>
          <w:rFonts w:ascii="宋体" w:hAnsi="宋体" w:cs="宋体" w:eastAsia="宋体" w:hint="default"/>
          <w:sz w:val="14"/>
          <w:szCs w:val="14"/>
        </w:rPr>
      </w:pPr>
    </w:p>
    <w:p>
      <w:pPr>
        <w:pStyle w:val="BodyText"/>
        <w:spacing w:line="408" w:lineRule="auto" w:before="0"/>
        <w:ind w:left="212" w:right="0" w:firstLine="420"/>
        <w:jc w:val="left"/>
      </w:pPr>
      <w:r>
        <w:rPr>
          <w:spacing w:val="-5"/>
        </w:rPr>
        <w:t>报告期内，公司实施完成</w:t>
      </w:r>
      <w:r>
        <w:rPr>
          <w:spacing w:val="-46"/>
        </w:rPr>
        <w:t> </w:t>
      </w:r>
      <w:r>
        <w:rPr>
          <w:rFonts w:ascii="宋体" w:hAnsi="宋体" w:cs="宋体" w:eastAsia="宋体" w:hint="default"/>
        </w:rPr>
        <w:t>2011</w:t>
      </w:r>
      <w:r>
        <w:rPr>
          <w:rFonts w:ascii="宋体" w:hAnsi="宋体" w:cs="宋体" w:eastAsia="宋体" w:hint="default"/>
          <w:spacing w:val="-48"/>
        </w:rPr>
        <w:t> </w:t>
      </w:r>
      <w:r>
        <w:rPr/>
        <w:t>年非公开发行股票项目以及公开发行</w:t>
      </w:r>
      <w:r>
        <w:rPr>
          <w:spacing w:val="-48"/>
        </w:rPr>
        <w:t> </w:t>
      </w:r>
      <w:r>
        <w:rPr>
          <w:rFonts w:ascii="宋体" w:hAnsi="宋体" w:cs="宋体" w:eastAsia="宋体" w:hint="default"/>
        </w:rPr>
        <w:t>2012</w:t>
      </w:r>
      <w:r>
        <w:rPr>
          <w:rFonts w:ascii="宋体" w:hAnsi="宋体" w:cs="宋体" w:eastAsia="宋体" w:hint="default"/>
          <w:spacing w:val="-48"/>
        </w:rPr>
        <w:t> </w:t>
      </w:r>
      <w:r>
        <w:rPr>
          <w:spacing w:val="-8"/>
        </w:rPr>
        <w:t>年公司债券（第一期）项目，</w:t>
      </w:r>
      <w:r>
        <w:rPr>
          <w:w w:val="100"/>
        </w:rPr>
        <w:t> </w:t>
      </w:r>
      <w:r>
        <w:rPr>
          <w:spacing w:val="-2"/>
        </w:rPr>
        <w:t>募集资金到位，由此带来报告期末货币资金较期初增加</w:t>
      </w:r>
      <w:r>
        <w:rPr/>
        <w:t> </w:t>
      </w:r>
      <w:r>
        <w:rPr>
          <w:rFonts w:ascii="宋体" w:hAnsi="宋体" w:cs="宋体" w:eastAsia="宋体" w:hint="default"/>
          <w:spacing w:val="-1"/>
        </w:rPr>
        <w:t>32.22%</w:t>
      </w:r>
      <w:r>
        <w:rPr>
          <w:spacing w:val="-1"/>
        </w:rPr>
        <w:t>。</w:t>
      </w:r>
    </w:p>
    <w:p>
      <w:pPr>
        <w:pStyle w:val="BodyText"/>
        <w:spacing w:line="408" w:lineRule="auto"/>
        <w:ind w:left="633" w:right="1021"/>
        <w:jc w:val="left"/>
      </w:pPr>
      <w:r>
        <w:rPr/>
        <w:t>（</w:t>
      </w:r>
      <w:r>
        <w:rPr>
          <w:rFonts w:ascii="宋体" w:hAnsi="宋体" w:cs="宋体" w:eastAsia="宋体" w:hint="default"/>
        </w:rPr>
        <w:t>2</w:t>
      </w:r>
      <w:r>
        <w:rPr/>
        <w:t>）应收账款变化的主要原因：</w:t>
      </w:r>
      <w:r>
        <w:rPr>
          <w:w w:val="100"/>
        </w:rPr>
        <w:t> </w:t>
      </w:r>
      <w:r>
        <w:rPr>
          <w:spacing w:val="-2"/>
        </w:rPr>
        <w:t>报告期内，公司基本完成了“以旧换新”政策代垫财政补贴款的收回。下半年，随着节能补贴政策的</w:t>
      </w:r>
    </w:p>
    <w:p>
      <w:pPr>
        <w:pStyle w:val="BodyText"/>
        <w:spacing w:line="240" w:lineRule="auto"/>
        <w:ind w:left="212" w:right="1021"/>
        <w:jc w:val="left"/>
      </w:pPr>
      <w:r>
        <w:rPr>
          <w:spacing w:val="-2"/>
        </w:rPr>
        <w:t>推广，带来应收补贴款相应增加。报告期末应收账款余额较期初分别减少</w:t>
      </w:r>
      <w:r>
        <w:rPr>
          <w:spacing w:val="13"/>
        </w:rPr>
        <w:t> </w:t>
      </w:r>
      <w:r>
        <w:rPr>
          <w:rFonts w:ascii="宋体" w:hAnsi="宋体" w:cs="宋体" w:eastAsia="宋体" w:hint="default"/>
          <w:spacing w:val="-1"/>
        </w:rPr>
        <w:t>31.02%</w:t>
      </w:r>
      <w:r>
        <w:rPr>
          <w:spacing w:val="-1"/>
        </w:rPr>
        <w:t>。</w:t>
      </w:r>
    </w:p>
    <w:p>
      <w:pPr>
        <w:spacing w:line="240" w:lineRule="auto" w:before="10"/>
        <w:rPr>
          <w:rFonts w:ascii="宋体" w:hAnsi="宋体" w:cs="宋体" w:eastAsia="宋体" w:hint="default"/>
          <w:sz w:val="14"/>
          <w:szCs w:val="14"/>
        </w:rPr>
      </w:pPr>
    </w:p>
    <w:p>
      <w:pPr>
        <w:pStyle w:val="BodyText"/>
        <w:spacing w:line="408" w:lineRule="auto" w:before="0"/>
        <w:ind w:left="633" w:right="1021"/>
        <w:jc w:val="left"/>
      </w:pPr>
      <w:r>
        <w:rPr/>
        <w:t>（</w:t>
      </w:r>
      <w:r>
        <w:rPr>
          <w:rFonts w:ascii="宋体" w:hAnsi="宋体" w:cs="宋体" w:eastAsia="宋体" w:hint="default"/>
        </w:rPr>
        <w:t>3</w:t>
      </w:r>
      <w:r>
        <w:rPr/>
        <w:t>）预付账款变化的主要原因：</w:t>
      </w:r>
      <w:r>
        <w:rPr>
          <w:w w:val="100"/>
        </w:rPr>
        <w:t> </w:t>
      </w:r>
      <w:r>
        <w:rPr>
          <w:spacing w:val="-2"/>
        </w:rPr>
        <w:t>报告期内，公司针对元旦、春节销售旺季，积极开展备货工作，预付供应商货款有所增加，由此带来</w:t>
      </w:r>
    </w:p>
    <w:p>
      <w:pPr>
        <w:pStyle w:val="BodyText"/>
        <w:spacing w:line="240" w:lineRule="auto"/>
        <w:ind w:left="212" w:right="1021"/>
        <w:jc w:val="left"/>
      </w:pPr>
      <w:r>
        <w:rPr/>
        <w:t>期末预付账款较期初增加</w:t>
      </w:r>
      <w:r>
        <w:rPr>
          <w:spacing w:val="-55"/>
        </w:rPr>
        <w:t> </w:t>
      </w:r>
      <w:r>
        <w:rPr>
          <w:rFonts w:ascii="宋体" w:hAnsi="宋体" w:cs="宋体" w:eastAsia="宋体" w:hint="default"/>
        </w:rPr>
        <w:t>33.00%</w:t>
      </w:r>
      <w:r>
        <w:rPr/>
        <w:t>。</w:t>
      </w:r>
    </w:p>
    <w:p>
      <w:pPr>
        <w:spacing w:line="240" w:lineRule="auto" w:before="10"/>
        <w:rPr>
          <w:rFonts w:ascii="宋体" w:hAnsi="宋体" w:cs="宋体" w:eastAsia="宋体" w:hint="default"/>
          <w:sz w:val="14"/>
          <w:szCs w:val="14"/>
        </w:rPr>
      </w:pPr>
    </w:p>
    <w:p>
      <w:pPr>
        <w:pStyle w:val="BodyText"/>
        <w:spacing w:line="408" w:lineRule="auto" w:before="0"/>
        <w:ind w:left="633" w:right="1021"/>
        <w:jc w:val="left"/>
      </w:pPr>
      <w:r>
        <w:rPr/>
        <w:t>（</w:t>
      </w:r>
      <w:r>
        <w:rPr>
          <w:rFonts w:ascii="宋体" w:hAnsi="宋体" w:cs="宋体" w:eastAsia="宋体" w:hint="default"/>
        </w:rPr>
        <w:t>4</w:t>
      </w:r>
      <w:r>
        <w:rPr/>
        <w:t>）存货变化的主要原因</w:t>
      </w:r>
      <w:r>
        <w:rPr>
          <w:w w:val="100"/>
        </w:rPr>
        <w:t> </w:t>
      </w:r>
      <w:r>
        <w:rPr>
          <w:spacing w:val="2"/>
        </w:rPr>
        <w:t>报告期内，为应对年末促销，加大备货力度，此外线上业务的快速发展，带来期末存货较期初提升</w:t>
      </w:r>
    </w:p>
    <w:p>
      <w:pPr>
        <w:pStyle w:val="BodyText"/>
        <w:spacing w:line="240" w:lineRule="auto"/>
        <w:ind w:left="212" w:right="1021"/>
        <w:jc w:val="left"/>
      </w:pPr>
      <w:r>
        <w:rPr>
          <w:rFonts w:ascii="宋体" w:hAnsi="宋体" w:cs="宋体" w:eastAsia="宋体" w:hint="default"/>
        </w:rPr>
        <w:t>28.27%</w:t>
      </w:r>
      <w:r>
        <w:rPr/>
        <w:t>。</w:t>
      </w:r>
    </w:p>
    <w:p>
      <w:pPr>
        <w:spacing w:line="240" w:lineRule="auto" w:before="10"/>
        <w:rPr>
          <w:rFonts w:ascii="宋体" w:hAnsi="宋体" w:cs="宋体" w:eastAsia="宋体" w:hint="default"/>
          <w:sz w:val="14"/>
          <w:szCs w:val="14"/>
        </w:rPr>
      </w:pPr>
    </w:p>
    <w:p>
      <w:pPr>
        <w:pStyle w:val="BodyText"/>
        <w:spacing w:line="408" w:lineRule="auto" w:before="0"/>
        <w:ind w:left="633" w:right="1021"/>
        <w:jc w:val="left"/>
      </w:pPr>
      <w:r>
        <w:rPr/>
        <w:t>（</w:t>
      </w:r>
      <w:r>
        <w:rPr>
          <w:rFonts w:ascii="宋体" w:hAnsi="宋体" w:cs="宋体" w:eastAsia="宋体" w:hint="default"/>
        </w:rPr>
        <w:t>5</w:t>
      </w:r>
      <w:r>
        <w:rPr/>
        <w:t>）投资性房地产变化的主要原因：</w:t>
      </w:r>
      <w:r>
        <w:rPr>
          <w:w w:val="100"/>
        </w:rPr>
        <w:t> </w:t>
      </w:r>
      <w:r>
        <w:rPr>
          <w:spacing w:val="-2"/>
        </w:rPr>
        <w:t>为提高店面经营效益，提升店面面积利用效率，报告期内公司加大闲置物业转租业务，由此带来投资</w:t>
      </w:r>
    </w:p>
    <w:p>
      <w:pPr>
        <w:pStyle w:val="BodyText"/>
        <w:spacing w:line="240" w:lineRule="auto"/>
        <w:ind w:left="212" w:right="1021"/>
        <w:jc w:val="left"/>
      </w:pPr>
      <w:r>
        <w:rPr/>
        <w:t>性房地产期末余额较期初增加</w:t>
      </w:r>
      <w:r>
        <w:rPr>
          <w:spacing w:val="-53"/>
        </w:rPr>
        <w:t> </w:t>
      </w:r>
      <w:r>
        <w:rPr>
          <w:rFonts w:ascii="宋体" w:hAnsi="宋体" w:cs="宋体" w:eastAsia="宋体" w:hint="default"/>
        </w:rPr>
        <w:t>85.59%</w:t>
      </w:r>
      <w:r>
        <w:rPr/>
        <w:t>。</w:t>
      </w:r>
    </w:p>
    <w:p>
      <w:pPr>
        <w:spacing w:line="240" w:lineRule="auto" w:before="10"/>
        <w:rPr>
          <w:rFonts w:ascii="宋体" w:hAnsi="宋体" w:cs="宋体" w:eastAsia="宋体" w:hint="default"/>
          <w:sz w:val="14"/>
          <w:szCs w:val="14"/>
        </w:rPr>
      </w:pPr>
    </w:p>
    <w:p>
      <w:pPr>
        <w:pStyle w:val="BodyText"/>
        <w:spacing w:line="408" w:lineRule="auto" w:before="0"/>
        <w:ind w:left="633" w:right="1021"/>
        <w:jc w:val="left"/>
      </w:pPr>
      <w:r>
        <w:rPr/>
        <w:t>（</w:t>
      </w:r>
      <w:r>
        <w:rPr>
          <w:rFonts w:ascii="宋体" w:hAnsi="宋体" w:cs="宋体" w:eastAsia="宋体" w:hint="default"/>
        </w:rPr>
        <w:t>6</w:t>
      </w:r>
      <w:r>
        <w:rPr/>
        <w:t>）在建工程、工程物资变化的主要原因：</w:t>
      </w:r>
      <w:r>
        <w:rPr>
          <w:w w:val="100"/>
        </w:rPr>
        <w:t> </w:t>
      </w:r>
      <w:r>
        <w:rPr>
          <w:spacing w:val="-2"/>
        </w:rPr>
        <w:t>报告期内，随着募集资金到位，物流基地建设进程进一步加快；北京、芜湖、汕头等地的自建店项目</w:t>
      </w:r>
    </w:p>
    <w:p>
      <w:pPr>
        <w:pStyle w:val="BodyText"/>
        <w:spacing w:line="408" w:lineRule="auto"/>
        <w:ind w:left="212" w:right="1021"/>
        <w:jc w:val="left"/>
      </w:pPr>
      <w:r>
        <w:rPr>
          <w:spacing w:val="-6"/>
        </w:rPr>
        <w:t>推进建设；此外，苏宁易购总部办公楼也动工建设。由此带来在建工程、工程物资较期初分别增加 </w:t>
      </w:r>
      <w:r>
        <w:rPr>
          <w:rFonts w:ascii="宋体" w:hAnsi="宋体" w:cs="宋体" w:eastAsia="宋体" w:hint="default"/>
        </w:rPr>
        <w:t>98.01%</w:t>
      </w:r>
      <w:r>
        <w:rPr/>
        <w:t>、</w:t>
      </w:r>
      <w:r>
        <w:rPr>
          <w:spacing w:val="-82"/>
        </w:rPr>
        <w:t> </w:t>
      </w:r>
      <w:r>
        <w:rPr>
          <w:rFonts w:ascii="宋体" w:hAnsi="宋体" w:cs="宋体" w:eastAsia="宋体" w:hint="default"/>
        </w:rPr>
        <w:t>288.21%</w:t>
      </w:r>
      <w:r>
        <w:rPr/>
        <w:t>。</w:t>
      </w:r>
    </w:p>
    <w:p>
      <w:pPr>
        <w:pStyle w:val="BodyText"/>
        <w:spacing w:line="408" w:lineRule="auto"/>
        <w:ind w:left="633" w:right="1021"/>
        <w:jc w:val="left"/>
      </w:pPr>
      <w:r>
        <w:rPr/>
        <w:t>（</w:t>
      </w:r>
      <w:r>
        <w:rPr>
          <w:rFonts w:ascii="宋体" w:hAnsi="宋体" w:cs="宋体" w:eastAsia="宋体" w:hint="default"/>
        </w:rPr>
        <w:t>7</w:t>
      </w:r>
      <w:r>
        <w:rPr/>
        <w:t>）无形资产、开发支出变化的主要原因：</w:t>
      </w:r>
      <w:r>
        <w:rPr>
          <w:w w:val="100"/>
        </w:rPr>
        <w:t> </w:t>
      </w:r>
      <w:r>
        <w:rPr>
          <w:spacing w:val="-2"/>
        </w:rPr>
        <w:t>报告期内，公司新增物流基地以及自建店土地使用权，同时信息研发成果确认为无形资产，由此带来</w:t>
      </w:r>
    </w:p>
    <w:p>
      <w:pPr>
        <w:pStyle w:val="BodyText"/>
        <w:spacing w:line="240" w:lineRule="auto"/>
        <w:ind w:left="212" w:right="1021"/>
        <w:jc w:val="left"/>
      </w:pPr>
      <w:r>
        <w:rPr/>
        <w:t>无形资产余额较期初增加</w:t>
      </w:r>
      <w:r>
        <w:rPr>
          <w:spacing w:val="-58"/>
        </w:rPr>
        <w:t> </w:t>
      </w:r>
      <w:r>
        <w:rPr>
          <w:rFonts w:ascii="宋体" w:hAnsi="宋体" w:cs="宋体" w:eastAsia="宋体" w:hint="default"/>
        </w:rPr>
        <w:t>38.26%</w:t>
      </w:r>
      <w:r>
        <w:rPr/>
        <w:t>，开发支出余额较期初减少</w:t>
      </w:r>
      <w:r>
        <w:rPr>
          <w:spacing w:val="-55"/>
        </w:rPr>
        <w:t> </w:t>
      </w:r>
      <w:r>
        <w:rPr>
          <w:rFonts w:ascii="宋体" w:hAnsi="宋体" w:cs="宋体" w:eastAsia="宋体" w:hint="default"/>
        </w:rPr>
        <w:t>54.95%</w:t>
      </w:r>
      <w:r>
        <w:rPr/>
        <w:t>。</w:t>
      </w:r>
    </w:p>
    <w:p>
      <w:pPr>
        <w:spacing w:line="240" w:lineRule="auto" w:before="10"/>
        <w:rPr>
          <w:rFonts w:ascii="宋体" w:hAnsi="宋体" w:cs="宋体" w:eastAsia="宋体" w:hint="default"/>
          <w:sz w:val="14"/>
          <w:szCs w:val="14"/>
        </w:rPr>
      </w:pPr>
    </w:p>
    <w:p>
      <w:pPr>
        <w:pStyle w:val="BodyText"/>
        <w:spacing w:line="408" w:lineRule="auto" w:before="0"/>
        <w:ind w:left="633" w:right="1021"/>
        <w:jc w:val="left"/>
      </w:pPr>
      <w:r>
        <w:rPr/>
        <w:t>（</w:t>
      </w:r>
      <w:r>
        <w:rPr>
          <w:rFonts w:ascii="宋体" w:hAnsi="宋体" w:cs="宋体" w:eastAsia="宋体" w:hint="default"/>
        </w:rPr>
        <w:t>8</w:t>
      </w:r>
      <w:r>
        <w:rPr/>
        <w:t>）递延所得税资产变化的主要原因：</w:t>
      </w:r>
      <w:r>
        <w:rPr>
          <w:w w:val="100"/>
        </w:rPr>
        <w:t> </w:t>
      </w:r>
      <w:r>
        <w:rPr>
          <w:spacing w:val="-2"/>
        </w:rPr>
        <w:t>下属子公司以后年度可抵扣亏损额增加带来递延所得税资产较期初值增加。</w:t>
      </w:r>
    </w:p>
    <w:p>
      <w:pPr>
        <w:spacing w:after="0" w:line="408" w:lineRule="auto"/>
        <w:jc w:val="left"/>
        <w:sectPr>
          <w:pgSz w:w="11910" w:h="16840"/>
          <w:pgMar w:header="745" w:footer="980" w:top="1060" w:bottom="1160" w:left="920" w:right="0"/>
        </w:sectPr>
      </w:pPr>
    </w:p>
    <w:p>
      <w:pPr>
        <w:spacing w:line="240" w:lineRule="auto" w:before="0"/>
        <w:rPr>
          <w:rFonts w:ascii="宋体" w:hAnsi="宋体" w:cs="宋体" w:eastAsia="宋体" w:hint="default"/>
          <w:sz w:val="20"/>
          <w:szCs w:val="20"/>
        </w:rPr>
      </w:pPr>
    </w:p>
    <w:p>
      <w:pPr>
        <w:pStyle w:val="Heading4"/>
        <w:spacing w:line="240" w:lineRule="auto" w:before="175"/>
        <w:ind w:left="635" w:right="1021"/>
        <w:jc w:val="left"/>
        <w:rPr>
          <w:b w:val="0"/>
          <w:bCs w:val="0"/>
        </w:rPr>
      </w:pPr>
      <w:r>
        <w:rPr>
          <w:rFonts w:ascii="Times New Roman" w:hAnsi="Times New Roman" w:cs="Times New Roman" w:eastAsia="Times New Roman" w:hint="default"/>
        </w:rPr>
        <w:t>2</w:t>
      </w:r>
      <w:r>
        <w:rPr/>
        <w:t>、负债及股东权益类项目重大变动情况</w:t>
      </w:r>
      <w:r>
        <w:rPr>
          <w:b w:val="0"/>
          <w:bCs w:val="0"/>
        </w:rPr>
      </w:r>
    </w:p>
    <w:p>
      <w:pPr>
        <w:spacing w:line="240" w:lineRule="auto" w:before="11"/>
        <w:rPr>
          <w:rFonts w:ascii="宋体" w:hAnsi="宋体" w:cs="宋体" w:eastAsia="宋体" w:hint="default"/>
          <w:b/>
          <w:bCs/>
          <w:sz w:val="10"/>
          <w:szCs w:val="10"/>
        </w:rPr>
      </w:pPr>
    </w:p>
    <w:p>
      <w:pPr>
        <w:pStyle w:val="BodyText"/>
        <w:spacing w:line="240" w:lineRule="auto" w:before="36"/>
        <w:ind w:left="0" w:right="1128"/>
        <w:jc w:val="right"/>
      </w:pPr>
      <w:r>
        <w:rPr>
          <w:spacing w:val="-1"/>
        </w:rPr>
        <w:t>（单位：千元）</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204"/>
        <w:gridCol w:w="1213"/>
        <w:gridCol w:w="1217"/>
        <w:gridCol w:w="1212"/>
        <w:gridCol w:w="1214"/>
        <w:gridCol w:w="1215"/>
        <w:gridCol w:w="1582"/>
      </w:tblGrid>
      <w:tr>
        <w:trPr>
          <w:trHeight w:val="322" w:hRule="exact"/>
        </w:trPr>
        <w:tc>
          <w:tcPr>
            <w:tcW w:w="22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3"/>
                <w:szCs w:val="23"/>
              </w:rPr>
            </w:pPr>
          </w:p>
          <w:p>
            <w:pPr>
              <w:pStyle w:val="TableParagraph"/>
              <w:tabs>
                <w:tab w:pos="1255" w:val="left" w:leader="none"/>
              </w:tabs>
              <w:spacing w:line="240" w:lineRule="auto"/>
              <w:ind w:left="73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4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4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增减情况</w:t>
            </w:r>
          </w:p>
        </w:tc>
      </w:tr>
      <w:tr>
        <w:trPr>
          <w:trHeight w:val="634" w:hRule="exact"/>
        </w:trPr>
        <w:tc>
          <w:tcPr>
            <w:tcW w:w="2204" w:type="dxa"/>
            <w:vMerge/>
            <w:tcBorders>
              <w:left w:val="single" w:sz="4" w:space="0" w:color="000000"/>
              <w:bottom w:val="single" w:sz="4" w:space="0" w:color="000000"/>
              <w:right w:val="single" w:sz="4" w:space="0" w:color="000000"/>
            </w:tcBorders>
            <w:shd w:val="clear" w:color="auto" w:fill="D2D2D2"/>
          </w:tcPr>
          <w:p>
            <w:pP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39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40" w:right="182" w:hanging="15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spacing w:val="-3"/>
                <w:w w:val="100"/>
                <w:sz w:val="21"/>
                <w:szCs w:val="21"/>
              </w:rPr>
              <w:t> </w:t>
            </w:r>
            <w:r>
              <w:rPr>
                <w:rFonts w:ascii="宋体" w:hAnsi="宋体" w:cs="宋体" w:eastAsia="宋体" w:hint="default"/>
                <w:sz w:val="21"/>
                <w:szCs w:val="21"/>
              </w:rPr>
              <w:t>比重</w:t>
            </w:r>
            <w:r>
              <w:rPr>
                <w:rFonts w:ascii="宋体" w:hAnsi="宋体" w:cs="宋体" w:eastAsia="宋体" w:hint="default"/>
                <w:sz w:val="21"/>
                <w:szCs w:val="21"/>
              </w:rPr>
              <w:t>%</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39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40" w:right="179" w:hanging="156"/>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spacing w:val="-3"/>
                <w:w w:val="100"/>
                <w:sz w:val="21"/>
                <w:szCs w:val="21"/>
              </w:rPr>
              <w:t> </w:t>
            </w:r>
            <w:r>
              <w:rPr>
                <w:rFonts w:ascii="宋体" w:hAnsi="宋体" w:cs="宋体" w:eastAsia="宋体" w:hint="default"/>
                <w:sz w:val="21"/>
                <w:szCs w:val="21"/>
              </w:rPr>
              <w:t>比重</w:t>
            </w:r>
            <w:r>
              <w:rPr>
                <w:rFonts w:ascii="宋体" w:hAnsi="宋体" w:cs="宋体" w:eastAsia="宋体" w:hint="default"/>
                <w:sz w:val="21"/>
                <w:szCs w:val="21"/>
              </w:rPr>
              <w:t>%</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87"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96"/>
              <w:jc w:val="right"/>
              <w:rPr>
                <w:rFonts w:ascii="宋体" w:hAnsi="宋体" w:cs="宋体" w:eastAsia="宋体" w:hint="default"/>
                <w:sz w:val="21"/>
                <w:szCs w:val="21"/>
              </w:rPr>
            </w:pPr>
            <w:r>
              <w:rPr>
                <w:rFonts w:ascii="宋体" w:hAnsi="宋体" w:cs="宋体" w:eastAsia="宋体" w:hint="default"/>
                <w:spacing w:val="-1"/>
                <w:sz w:val="21"/>
                <w:szCs w:val="21"/>
              </w:rPr>
              <w:t>增减幅度（</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123,312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0.16%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790,756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1.32%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-667,444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-84.41%</w:t>
            </w:r>
          </w:p>
        </w:tc>
      </w:tr>
      <w:tr>
        <w:trPr>
          <w:trHeight w:val="324"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13,810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0.02%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5,305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0.01%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8,505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160.32%</w:t>
            </w:r>
          </w:p>
        </w:tc>
      </w:tr>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542,171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0.71%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350,051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0.59%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192,120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54.88%</w:t>
            </w:r>
          </w:p>
        </w:tc>
      </w:tr>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一年到期非流动负债</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44,868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120,029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0.20%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-75,161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-62.62%</w:t>
            </w:r>
          </w:p>
        </w:tc>
      </w:tr>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62,915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101,135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0.17%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-38,220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-37.79%</w:t>
            </w:r>
          </w:p>
        </w:tc>
      </w:tr>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2"/>
                <w:sz w:val="21"/>
              </w:rPr>
              <w:t>1,113,215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1.46%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833,299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1.39%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279,916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33.59%</w:t>
            </w:r>
          </w:p>
        </w:tc>
      </w:tr>
      <w:tr>
        <w:trPr>
          <w:trHeight w:val="634"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9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9" w:right="127" w:firstLine="52"/>
              <w:jc w:val="left"/>
              <w:rPr>
                <w:rFonts w:ascii="宋体" w:hAnsi="宋体" w:cs="宋体" w:eastAsia="宋体" w:hint="default"/>
                <w:sz w:val="21"/>
                <w:szCs w:val="21"/>
              </w:rPr>
            </w:pPr>
            <w:r>
              <w:rPr>
                <w:rFonts w:ascii="宋体" w:hAnsi="宋体" w:cs="宋体" w:eastAsia="宋体" w:hint="default"/>
                <w:sz w:val="21"/>
                <w:szCs w:val="21"/>
              </w:rPr>
              <w:t>占所有者</w:t>
            </w:r>
            <w:r>
              <w:rPr>
                <w:rFonts w:ascii="宋体" w:hAnsi="宋体" w:cs="宋体" w:eastAsia="宋体" w:hint="default"/>
                <w:w w:val="100"/>
                <w:sz w:val="21"/>
                <w:szCs w:val="21"/>
              </w:rPr>
              <w:t> </w:t>
            </w:r>
            <w:r>
              <w:rPr>
                <w:rFonts w:ascii="宋体" w:hAnsi="宋体" w:cs="宋体" w:eastAsia="宋体" w:hint="default"/>
                <w:sz w:val="21"/>
                <w:szCs w:val="21"/>
              </w:rPr>
              <w:t>权益比重</w:t>
            </w:r>
            <w:r>
              <w:rPr>
                <w:rFonts w:ascii="宋体" w:hAnsi="宋体" w:cs="宋体" w:eastAsia="宋体" w:hint="default"/>
                <w:sz w:val="21"/>
                <w:szCs w:val="21"/>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9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2" w:right="122" w:firstLine="52"/>
              <w:jc w:val="left"/>
              <w:rPr>
                <w:rFonts w:ascii="宋体" w:hAnsi="宋体" w:cs="宋体" w:eastAsia="宋体" w:hint="default"/>
                <w:sz w:val="21"/>
                <w:szCs w:val="21"/>
              </w:rPr>
            </w:pPr>
            <w:r>
              <w:rPr>
                <w:rFonts w:ascii="宋体" w:hAnsi="宋体" w:cs="宋体" w:eastAsia="宋体" w:hint="default"/>
                <w:sz w:val="21"/>
                <w:szCs w:val="21"/>
              </w:rPr>
              <w:t>占所有者</w:t>
            </w:r>
            <w:r>
              <w:rPr>
                <w:rFonts w:ascii="宋体" w:hAnsi="宋体" w:cs="宋体" w:eastAsia="宋体" w:hint="default"/>
                <w:w w:val="100"/>
                <w:sz w:val="21"/>
                <w:szCs w:val="21"/>
              </w:rPr>
              <w:t> </w:t>
            </w:r>
            <w:r>
              <w:rPr>
                <w:rFonts w:ascii="宋体" w:hAnsi="宋体" w:cs="宋体" w:eastAsia="宋体" w:hint="default"/>
                <w:sz w:val="21"/>
                <w:szCs w:val="21"/>
              </w:rPr>
              <w:t>权益比重</w:t>
            </w:r>
            <w:r>
              <w:rPr>
                <w:rFonts w:ascii="宋体" w:hAnsi="宋体" w:cs="宋体" w:eastAsia="宋体" w:hint="default"/>
                <w:sz w:val="21"/>
                <w:szCs w:val="21"/>
              </w:rPr>
              <w:t>%</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7"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宋体" w:hAnsi="宋体" w:cs="宋体" w:eastAsia="宋体" w:hint="default"/>
                <w:sz w:val="21"/>
                <w:szCs w:val="21"/>
              </w:rPr>
            </w:pPr>
            <w:r>
              <w:rPr>
                <w:rFonts w:ascii="宋体" w:hAnsi="宋体" w:cs="宋体" w:eastAsia="宋体" w:hint="default"/>
                <w:spacing w:val="-1"/>
                <w:sz w:val="21"/>
                <w:szCs w:val="21"/>
              </w:rPr>
              <w:t>增减幅度（</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324"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4,679,471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16.44%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517,074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2.32%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4,162,397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804.99%</w:t>
            </w:r>
          </w:p>
        </w:tc>
      </w:tr>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-30,439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2"/>
                <w:sz w:val="21"/>
              </w:rPr>
              <w:t>-0.11%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14,680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0.07%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2"/>
                <w:sz w:val="21"/>
              </w:rPr>
              <w:t>-45,119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-307.35%</w:t>
            </w:r>
          </w:p>
        </w:tc>
      </w:tr>
    </w:tbl>
    <w:p>
      <w:pPr>
        <w:pStyle w:val="BodyText"/>
        <w:spacing w:line="386" w:lineRule="auto" w:before="64"/>
        <w:ind w:left="633" w:right="2920"/>
        <w:jc w:val="left"/>
      </w:pPr>
      <w:r>
        <w:rPr/>
        <w:t>（</w:t>
      </w:r>
      <w:r>
        <w:rPr>
          <w:rFonts w:ascii="Times New Roman" w:hAnsi="Times New Roman" w:cs="Times New Roman" w:eastAsia="Times New Roman" w:hint="default"/>
        </w:rPr>
        <w:t>1</w:t>
      </w:r>
      <w:r>
        <w:rPr/>
        <w:t>）应交税费变化的主要原因：</w:t>
      </w:r>
      <w:r>
        <w:rPr>
          <w:w w:val="100"/>
        </w:rPr>
        <w:t> </w:t>
      </w:r>
      <w:r>
        <w:rPr>
          <w:spacing w:val="-2"/>
        </w:rPr>
        <w:t>报告期内，留抵的增值税有所增加，带来期末应交税费余额较期初减少</w:t>
      </w:r>
      <w:r>
        <w:rPr>
          <w:spacing w:val="9"/>
        </w:rPr>
        <w:t> </w:t>
      </w:r>
      <w:r>
        <w:rPr>
          <w:rFonts w:ascii="Times New Roman" w:hAnsi="Times New Roman" w:cs="Times New Roman" w:eastAsia="Times New Roman" w:hint="default"/>
          <w:spacing w:val="-1"/>
        </w:rPr>
        <w:t>84.41%</w:t>
      </w:r>
      <w:r>
        <w:rPr>
          <w:spacing w:val="-1"/>
        </w:rPr>
        <w:t>。</w:t>
      </w:r>
    </w:p>
    <w:p>
      <w:pPr>
        <w:pStyle w:val="BodyText"/>
        <w:spacing w:line="240" w:lineRule="auto" w:before="35"/>
        <w:ind w:left="633" w:right="1021"/>
        <w:jc w:val="left"/>
      </w:pPr>
      <w:r>
        <w:rPr/>
        <w:t>（</w:t>
      </w:r>
      <w:r>
        <w:rPr>
          <w:rFonts w:ascii="Times New Roman" w:hAnsi="Times New Roman" w:cs="Times New Roman" w:eastAsia="Times New Roman" w:hint="default"/>
        </w:rPr>
        <w:t>2</w:t>
      </w:r>
      <w:r>
        <w:rPr/>
        <w:t>）应付利息变化的主要原因：</w:t>
      </w:r>
    </w:p>
    <w:p>
      <w:pPr>
        <w:pStyle w:val="BodyText"/>
        <w:spacing w:line="386" w:lineRule="auto" w:before="177"/>
        <w:ind w:left="212" w:right="1021" w:firstLine="420"/>
        <w:jc w:val="left"/>
      </w:pPr>
      <w:r>
        <w:rPr/>
        <w:t>公司于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月实施完成</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年期</w:t>
      </w:r>
      <w:r>
        <w:rPr>
          <w:spacing w:val="-43"/>
        </w:rPr>
        <w:t> </w:t>
      </w:r>
      <w:r>
        <w:rPr>
          <w:rFonts w:ascii="Times New Roman" w:hAnsi="Times New Roman" w:cs="Times New Roman" w:eastAsia="Times New Roman" w:hint="default"/>
        </w:rPr>
        <w:t>45</w:t>
      </w:r>
      <w:r>
        <w:rPr>
          <w:rFonts w:ascii="Times New Roman" w:hAnsi="Times New Roman" w:cs="Times New Roman" w:eastAsia="Times New Roman" w:hint="default"/>
          <w:spacing w:val="9"/>
        </w:rPr>
        <w:t> </w:t>
      </w:r>
      <w:r>
        <w:rPr/>
        <w:t>亿元固定利率债券的发行，相应计提本年度利息，带来应付</w:t>
      </w:r>
      <w:r>
        <w:rPr>
          <w:w w:val="100"/>
        </w:rPr>
        <w:t> </w:t>
      </w:r>
      <w:r>
        <w:rPr/>
        <w:t>利息较期初增加</w:t>
      </w:r>
      <w:r>
        <w:rPr>
          <w:spacing w:val="-56"/>
        </w:rPr>
        <w:t> </w:t>
      </w:r>
      <w:r>
        <w:rPr>
          <w:rFonts w:ascii="Times New Roman" w:hAnsi="Times New Roman" w:cs="Times New Roman" w:eastAsia="Times New Roman" w:hint="default"/>
        </w:rPr>
        <w:t>160.32%</w:t>
      </w:r>
      <w:r>
        <w:rPr/>
        <w:t>。</w:t>
      </w:r>
    </w:p>
    <w:p>
      <w:pPr>
        <w:pStyle w:val="BodyText"/>
        <w:spacing w:line="386" w:lineRule="auto" w:before="36"/>
        <w:ind w:left="633" w:right="1021"/>
        <w:jc w:val="left"/>
      </w:pPr>
      <w:r>
        <w:rPr/>
        <w:t>（</w:t>
      </w:r>
      <w:r>
        <w:rPr>
          <w:rFonts w:ascii="Times New Roman" w:hAnsi="Times New Roman" w:cs="Times New Roman" w:eastAsia="Times New Roman" w:hint="default"/>
        </w:rPr>
        <w:t>3</w:t>
      </w:r>
      <w:r>
        <w:rPr/>
        <w:t>）预收款项变化的主要原因：</w:t>
      </w:r>
      <w:r>
        <w:rPr>
          <w:w w:val="100"/>
        </w:rPr>
        <w:t> </w:t>
      </w:r>
      <w:r>
        <w:rPr>
          <w:spacing w:val="-3"/>
        </w:rPr>
        <w:t>报告期末，为促进元旦旺销，公司加强促销推广力度，开展了较多预充值活动以锁定客源，带来预收</w:t>
      </w:r>
    </w:p>
    <w:p>
      <w:pPr>
        <w:pStyle w:val="BodyText"/>
        <w:spacing w:line="240" w:lineRule="auto" w:before="65"/>
        <w:ind w:left="212" w:right="1021"/>
        <w:jc w:val="left"/>
      </w:pPr>
      <w:r>
        <w:rPr/>
        <w:t>款较期初增加</w:t>
      </w:r>
      <w:r>
        <w:rPr>
          <w:spacing w:val="-53"/>
        </w:rPr>
        <w:t> </w:t>
      </w:r>
      <w:r>
        <w:rPr>
          <w:rFonts w:ascii="Times New Roman" w:hAnsi="Times New Roman" w:cs="Times New Roman" w:eastAsia="Times New Roman" w:hint="default"/>
        </w:rPr>
        <w:t>54.88%</w:t>
      </w:r>
      <w:r>
        <w:rPr/>
        <w:t>。</w:t>
      </w:r>
    </w:p>
    <w:p>
      <w:pPr>
        <w:pStyle w:val="BodyText"/>
        <w:spacing w:line="240" w:lineRule="auto" w:before="177"/>
        <w:ind w:left="633" w:right="1021"/>
        <w:jc w:val="left"/>
      </w:pPr>
      <w:r>
        <w:rPr/>
        <w:t>（</w:t>
      </w:r>
      <w:r>
        <w:rPr>
          <w:rFonts w:ascii="Times New Roman" w:hAnsi="Times New Roman" w:cs="Times New Roman" w:eastAsia="Times New Roman" w:hint="default"/>
        </w:rPr>
        <w:t>4</w:t>
      </w:r>
      <w:r>
        <w:rPr/>
        <w:t>）一年到期非流动负债变化的主要原因：</w:t>
      </w:r>
    </w:p>
    <w:p>
      <w:pPr>
        <w:pStyle w:val="BodyText"/>
        <w:spacing w:line="240" w:lineRule="auto" w:before="177"/>
        <w:ind w:left="633" w:right="1021"/>
        <w:jc w:val="left"/>
      </w:pPr>
      <w:r>
        <w:rPr/>
        <w:t>公司于 </w:t>
      </w:r>
      <w:r>
        <w:rPr>
          <w:rFonts w:ascii="Times New Roman" w:hAnsi="Times New Roman" w:cs="Times New Roman" w:eastAsia="Times New Roman" w:hint="default"/>
        </w:rPr>
        <w:t>2012</w:t>
      </w:r>
      <w:r>
        <w:rPr>
          <w:rFonts w:ascii="Times New Roman" w:hAnsi="Times New Roman" w:cs="Times New Roman" w:eastAsia="Times New Roman" w:hint="default"/>
          <w:spacing w:val="25"/>
        </w:rPr>
        <w:t> </w:t>
      </w:r>
      <w:r>
        <w:rPr/>
        <w:t>年下半年减少了供应商广告位使用费的收取，带来一年内到期非流动负债较期初数减少</w:t>
      </w:r>
    </w:p>
    <w:p>
      <w:pPr>
        <w:pStyle w:val="BodyText"/>
        <w:spacing w:line="240" w:lineRule="auto" w:before="177"/>
        <w:ind w:left="212" w:right="1021"/>
        <w:jc w:val="left"/>
      </w:pPr>
      <w:r>
        <w:rPr>
          <w:rFonts w:ascii="Times New Roman" w:hAnsi="Times New Roman" w:cs="Times New Roman" w:eastAsia="Times New Roman" w:hint="default"/>
        </w:rPr>
        <w:t>62.62%</w:t>
      </w:r>
      <w:r>
        <w:rPr/>
        <w:t>。</w:t>
      </w:r>
    </w:p>
    <w:p>
      <w:pPr>
        <w:pStyle w:val="BodyText"/>
        <w:spacing w:line="386" w:lineRule="auto" w:before="177"/>
        <w:ind w:left="633" w:right="1021"/>
        <w:jc w:val="left"/>
      </w:pPr>
      <w:r>
        <w:rPr/>
        <w:t>（</w:t>
      </w:r>
      <w:r>
        <w:rPr>
          <w:rFonts w:ascii="Times New Roman" w:hAnsi="Times New Roman" w:cs="Times New Roman" w:eastAsia="Times New Roman" w:hint="default"/>
        </w:rPr>
        <w:t>5</w:t>
      </w:r>
      <w:r>
        <w:rPr/>
        <w:t>）预计负债变化的主要原因：</w:t>
      </w:r>
      <w:r>
        <w:rPr>
          <w:w w:val="100"/>
        </w:rPr>
        <w:t> </w:t>
      </w:r>
      <w:r>
        <w:rPr>
          <w:spacing w:val="-2"/>
        </w:rPr>
        <w:t>报告期内，由于待执行亏损合同所产生的预计负债随着合同的履行而转出，使得预计负债余额较期初</w:t>
      </w:r>
    </w:p>
    <w:p>
      <w:pPr>
        <w:pStyle w:val="BodyText"/>
        <w:spacing w:line="240" w:lineRule="auto" w:before="65"/>
        <w:ind w:left="212" w:right="1021"/>
        <w:jc w:val="left"/>
      </w:pPr>
      <w:r>
        <w:rPr/>
        <w:t>同比减少</w:t>
      </w:r>
      <w:r>
        <w:rPr>
          <w:spacing w:val="-53"/>
        </w:rPr>
        <w:t> </w:t>
      </w:r>
      <w:r>
        <w:rPr>
          <w:rFonts w:ascii="Times New Roman" w:hAnsi="Times New Roman" w:cs="Times New Roman" w:eastAsia="Times New Roman" w:hint="default"/>
        </w:rPr>
        <w:t>37.79%</w:t>
      </w:r>
      <w:r>
        <w:rPr/>
        <w:t>。</w:t>
      </w:r>
    </w:p>
    <w:p>
      <w:pPr>
        <w:pStyle w:val="BodyText"/>
        <w:spacing w:line="386" w:lineRule="auto" w:before="177"/>
        <w:ind w:left="633" w:right="1021"/>
        <w:jc w:val="left"/>
      </w:pPr>
      <w:r>
        <w:rPr/>
        <w:t>（</w:t>
      </w:r>
      <w:r>
        <w:rPr>
          <w:rFonts w:ascii="Times New Roman" w:hAnsi="Times New Roman" w:cs="Times New Roman" w:eastAsia="Times New Roman" w:hint="default"/>
        </w:rPr>
        <w:t>6</w:t>
      </w:r>
      <w:r>
        <w:rPr/>
        <w:t>）其他非流动负债变化的主要原因：</w:t>
      </w:r>
      <w:r>
        <w:rPr>
          <w:w w:val="100"/>
        </w:rPr>
        <w:t> </w:t>
      </w:r>
      <w:r>
        <w:rPr>
          <w:spacing w:val="-3"/>
        </w:rPr>
        <w:t>报告期内，公司继续推广延保业务，销售收入保持增长态势，同时公司收到政府补助有所增加，确认</w:t>
      </w:r>
    </w:p>
    <w:p>
      <w:pPr>
        <w:pStyle w:val="BodyText"/>
        <w:spacing w:line="240" w:lineRule="auto" w:before="65"/>
        <w:ind w:left="212" w:right="1021"/>
        <w:jc w:val="left"/>
      </w:pPr>
      <w:r>
        <w:rPr>
          <w:spacing w:val="-2"/>
        </w:rPr>
        <w:t>的递延收益增加，由此带来报告期末其他非流动负债余额较期初增长</w:t>
      </w:r>
      <w:r>
        <w:rPr>
          <w:spacing w:val="10"/>
        </w:rPr>
        <w:t> </w:t>
      </w:r>
      <w:r>
        <w:rPr>
          <w:rFonts w:ascii="Times New Roman" w:hAnsi="Times New Roman" w:cs="Times New Roman" w:eastAsia="Times New Roman" w:hint="default"/>
          <w:spacing w:val="-1"/>
        </w:rPr>
        <w:t>33.59%</w:t>
      </w:r>
      <w:r>
        <w:rPr>
          <w:spacing w:val="-1"/>
        </w:rPr>
        <w:t>。</w:t>
      </w:r>
    </w:p>
    <w:p>
      <w:pPr>
        <w:pStyle w:val="BodyText"/>
        <w:spacing w:line="240" w:lineRule="auto" w:before="177"/>
        <w:ind w:left="633" w:right="1021"/>
        <w:jc w:val="left"/>
      </w:pPr>
      <w:r>
        <w:rPr/>
        <w:t>（</w:t>
      </w:r>
      <w:r>
        <w:rPr>
          <w:rFonts w:ascii="Times New Roman" w:hAnsi="Times New Roman" w:cs="Times New Roman" w:eastAsia="Times New Roman" w:hint="default"/>
        </w:rPr>
        <w:t>7</w:t>
      </w:r>
      <w:r>
        <w:rPr/>
        <w:t>）资本公积变化的主要原因：</w:t>
      </w:r>
    </w:p>
    <w:p>
      <w:pPr>
        <w:pStyle w:val="BodyText"/>
        <w:spacing w:line="240" w:lineRule="auto" w:before="177"/>
        <w:ind w:left="633" w:right="0"/>
        <w:jc w:val="left"/>
      </w:pPr>
      <w:r>
        <w:rPr>
          <w:spacing w:val="-5"/>
        </w:rPr>
        <w:t>报告期内，公司实施完成</w:t>
      </w:r>
      <w:r>
        <w:rPr>
          <w:spacing w:val="-4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spacing w:val="-5"/>
        </w:rPr>
        <w:t>年非公开发行股票，每股发行价格</w:t>
      </w:r>
      <w:r>
        <w:rPr>
          <w:spacing w:val="-42"/>
        </w:rPr>
        <w:t> </w:t>
      </w:r>
      <w:r>
        <w:rPr>
          <w:rFonts w:ascii="Times New Roman" w:hAnsi="Times New Roman" w:cs="Times New Roman" w:eastAsia="Times New Roman" w:hint="default"/>
        </w:rPr>
        <w:t>12.15</w:t>
      </w:r>
      <w:r>
        <w:rPr>
          <w:rFonts w:ascii="Times New Roman" w:hAnsi="Times New Roman" w:cs="Times New Roman" w:eastAsia="Times New Roman" w:hint="default"/>
          <w:spacing w:val="11"/>
        </w:rPr>
        <w:t> </w:t>
      </w:r>
      <w:r>
        <w:rPr>
          <w:spacing w:val="-7"/>
        </w:rPr>
        <w:t>元，募集资金净额</w:t>
      </w:r>
      <w:r>
        <w:rPr>
          <w:spacing w:val="-41"/>
        </w:rPr>
        <w:t> </w:t>
      </w:r>
      <w:r>
        <w:rPr>
          <w:rFonts w:ascii="Times New Roman" w:hAnsi="Times New Roman" w:cs="Times New Roman" w:eastAsia="Times New Roman" w:hint="default"/>
        </w:rPr>
        <w:t>46.33</w:t>
      </w:r>
      <w:r>
        <w:rPr>
          <w:rFonts w:ascii="Times New Roman" w:hAnsi="Times New Roman" w:cs="Times New Roman" w:eastAsia="Times New Roman" w:hint="default"/>
          <w:spacing w:val="7"/>
        </w:rPr>
        <w:t> </w:t>
      </w:r>
      <w:r>
        <w:rPr/>
        <w:t>亿元，</w:t>
      </w:r>
    </w:p>
    <w:p>
      <w:pPr>
        <w:spacing w:after="0" w:line="240" w:lineRule="auto"/>
        <w:jc w:val="left"/>
        <w:sectPr>
          <w:footerReference w:type="default" r:id="rId21"/>
          <w:pgSz w:w="11910" w:h="16840"/>
          <w:pgMar w:footer="1290" w:header="745" w:top="1060" w:bottom="1480" w:left="920" w:right="0"/>
        </w:sectPr>
      </w:pPr>
    </w:p>
    <w:p>
      <w:pPr>
        <w:spacing w:line="240" w:lineRule="auto" w:before="0"/>
        <w:rPr>
          <w:rFonts w:ascii="宋体" w:hAnsi="宋体" w:cs="宋体" w:eastAsia="宋体" w:hint="default"/>
          <w:sz w:val="20"/>
          <w:szCs w:val="20"/>
        </w:rPr>
      </w:pPr>
    </w:p>
    <w:p>
      <w:pPr>
        <w:pStyle w:val="BodyText"/>
        <w:spacing w:line="240" w:lineRule="auto" w:before="175"/>
        <w:ind w:left="212" w:right="1021"/>
        <w:jc w:val="left"/>
      </w:pPr>
      <w:r>
        <w:rPr>
          <w:spacing w:val="-2"/>
        </w:rPr>
        <w:t>其超过股本金额部分计入资本公积，由此带来资本公积较期初增加</w:t>
      </w:r>
      <w:r>
        <w:rPr>
          <w:spacing w:val="8"/>
        </w:rPr>
        <w:t> </w:t>
      </w:r>
      <w:r>
        <w:rPr>
          <w:rFonts w:ascii="Times New Roman" w:hAnsi="Times New Roman" w:cs="Times New Roman" w:eastAsia="Times New Roman" w:hint="default"/>
          <w:spacing w:val="-1"/>
        </w:rPr>
        <w:t>804.99%</w:t>
      </w:r>
      <w:r>
        <w:rPr>
          <w:spacing w:val="-1"/>
        </w:rPr>
        <w:t>。</w:t>
      </w:r>
    </w:p>
    <w:p>
      <w:pPr>
        <w:pStyle w:val="BodyText"/>
        <w:spacing w:line="386" w:lineRule="auto" w:before="177"/>
        <w:ind w:left="633" w:right="1021"/>
        <w:jc w:val="left"/>
      </w:pPr>
      <w:r>
        <w:rPr/>
        <w:t>（</w:t>
      </w:r>
      <w:r>
        <w:rPr>
          <w:rFonts w:ascii="Times New Roman" w:hAnsi="Times New Roman" w:cs="Times New Roman" w:eastAsia="Times New Roman" w:hint="default"/>
        </w:rPr>
        <w:t>8</w:t>
      </w:r>
      <w:r>
        <w:rPr/>
        <w:t>）外币报表折算差额变化的主要原因：</w:t>
      </w:r>
      <w:r>
        <w:rPr>
          <w:w w:val="100"/>
        </w:rPr>
        <w:t> </w:t>
      </w:r>
      <w:r>
        <w:rPr>
          <w:spacing w:val="-2"/>
        </w:rPr>
        <w:t>报告期内，纳入公司合并报表范围的境外子公司分别以日元和港币为核算单位，受人民币外汇汇率持</w:t>
      </w:r>
    </w:p>
    <w:p>
      <w:pPr>
        <w:pStyle w:val="BodyText"/>
        <w:spacing w:line="240" w:lineRule="auto" w:before="65"/>
        <w:ind w:left="212" w:right="1021"/>
        <w:jc w:val="left"/>
      </w:pPr>
      <w:r>
        <w:rPr>
          <w:spacing w:val="-2"/>
        </w:rPr>
        <w:t>续走强影响，带来外币报表折算差额期末余额较期初下降</w:t>
      </w:r>
      <w:r>
        <w:rPr>
          <w:spacing w:val="2"/>
        </w:rPr>
        <w:t> </w:t>
      </w:r>
      <w:r>
        <w:rPr>
          <w:rFonts w:ascii="Times New Roman" w:hAnsi="Times New Roman" w:cs="Times New Roman" w:eastAsia="Times New Roman" w:hint="default"/>
          <w:spacing w:val="-1"/>
        </w:rPr>
        <w:t>307.35%</w:t>
      </w:r>
      <w:r>
        <w:rPr>
          <w:spacing w:val="-1"/>
        </w:rPr>
        <w:t>。</w:t>
      </w:r>
    </w:p>
    <w:p>
      <w:pPr>
        <w:spacing w:line="240" w:lineRule="auto" w:before="9"/>
        <w:rPr>
          <w:rFonts w:ascii="宋体" w:hAnsi="宋体" w:cs="宋体" w:eastAsia="宋体" w:hint="default"/>
          <w:sz w:val="22"/>
          <w:szCs w:val="22"/>
        </w:rPr>
      </w:pPr>
    </w:p>
    <w:p>
      <w:pPr>
        <w:pStyle w:val="Heading4"/>
        <w:spacing w:line="240" w:lineRule="auto"/>
        <w:ind w:left="635" w:right="1021"/>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11"/>
        <w:rPr>
          <w:rFonts w:ascii="宋体" w:hAnsi="宋体" w:cs="宋体" w:eastAsia="宋体" w:hint="default"/>
          <w:b/>
          <w:bCs/>
          <w:sz w:val="16"/>
          <w:szCs w:val="16"/>
        </w:rPr>
      </w:pPr>
    </w:p>
    <w:p>
      <w:pPr>
        <w:pStyle w:val="BodyText"/>
        <w:spacing w:line="240" w:lineRule="auto" w:before="0"/>
        <w:ind w:left="0" w:right="1128"/>
        <w:jc w:val="right"/>
      </w:pPr>
      <w:r>
        <w:rPr>
          <w:spacing w:val="-1"/>
        </w:rPr>
        <w:t>单位：千元</w:t>
      </w:r>
    </w:p>
    <w:p>
      <w:pPr>
        <w:spacing w:line="240" w:lineRule="auto" w:before="12"/>
        <w:rPr>
          <w:rFonts w:ascii="宋体" w:hAnsi="宋体" w:cs="宋体" w:eastAsia="宋体" w:hint="default"/>
          <w:sz w:val="6"/>
          <w:szCs w:val="6"/>
        </w:rPr>
      </w:pPr>
    </w:p>
    <w:tbl>
      <w:tblPr>
        <w:tblW w:w="0" w:type="auto"/>
        <w:jc w:val="left"/>
        <w:tblInd w:w="191" w:type="dxa"/>
        <w:tblLayout w:type="fixed"/>
        <w:tblCellMar>
          <w:top w:w="0" w:type="dxa"/>
          <w:left w:w="0" w:type="dxa"/>
          <w:bottom w:w="0" w:type="dxa"/>
          <w:right w:w="0" w:type="dxa"/>
        </w:tblCellMar>
        <w:tblLook w:val="01E0"/>
      </w:tblPr>
      <w:tblGrid>
        <w:gridCol w:w="2273"/>
        <w:gridCol w:w="1078"/>
        <w:gridCol w:w="1070"/>
        <w:gridCol w:w="1265"/>
        <w:gridCol w:w="994"/>
        <w:gridCol w:w="948"/>
        <w:gridCol w:w="1069"/>
        <w:gridCol w:w="1063"/>
      </w:tblGrid>
      <w:tr>
        <w:trPr>
          <w:trHeight w:val="161" w:hRule="exact"/>
        </w:trPr>
        <w:tc>
          <w:tcPr>
            <w:tcW w:w="2273" w:type="dxa"/>
            <w:vMerge w:val="restart"/>
            <w:tcBorders>
              <w:top w:val="single" w:sz="4" w:space="0" w:color="000000"/>
              <w:left w:val="single" w:sz="4" w:space="0" w:color="000000"/>
              <w:right w:val="single" w:sz="4" w:space="0" w:color="000000"/>
            </w:tcBorders>
            <w:shd w:val="clear" w:color="auto" w:fill="D2D2D2"/>
          </w:tcPr>
          <w:p>
            <w:pPr/>
          </w:p>
        </w:tc>
        <w:tc>
          <w:tcPr>
            <w:tcW w:w="1078"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110" w:right="105"/>
              <w:jc w:val="center"/>
              <w:rPr>
                <w:rFonts w:ascii="宋体" w:hAnsi="宋体" w:cs="宋体" w:eastAsia="宋体" w:hint="default"/>
                <w:sz w:val="21"/>
                <w:szCs w:val="21"/>
              </w:rPr>
            </w:pPr>
            <w:r>
              <w:rPr>
                <w:rFonts w:ascii="宋体" w:hAnsi="宋体" w:cs="宋体" w:eastAsia="宋体" w:hint="default"/>
                <w:sz w:val="21"/>
                <w:szCs w:val="21"/>
              </w:rPr>
              <w:t>本期公允</w:t>
            </w:r>
            <w:r>
              <w:rPr>
                <w:rFonts w:ascii="宋体" w:hAnsi="宋体" w:cs="宋体" w:eastAsia="宋体" w:hint="default"/>
                <w:w w:val="100"/>
                <w:sz w:val="21"/>
                <w:szCs w:val="21"/>
              </w:rPr>
              <w:t> </w:t>
            </w:r>
            <w:r>
              <w:rPr>
                <w:rFonts w:ascii="宋体" w:hAnsi="宋体" w:cs="宋体" w:eastAsia="宋体" w:hint="default"/>
                <w:sz w:val="21"/>
                <w:szCs w:val="21"/>
              </w:rPr>
              <w:t>价值变动</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12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103" w:right="96"/>
              <w:jc w:val="center"/>
              <w:rPr>
                <w:rFonts w:ascii="宋体" w:hAnsi="宋体" w:cs="宋体" w:eastAsia="宋体" w:hint="default"/>
                <w:sz w:val="21"/>
                <w:szCs w:val="21"/>
              </w:rPr>
            </w:pPr>
            <w:r>
              <w:rPr>
                <w:rFonts w:ascii="宋体" w:hAnsi="宋体" w:cs="宋体" w:eastAsia="宋体" w:hint="default"/>
                <w:sz w:val="21"/>
                <w:szCs w:val="21"/>
              </w:rPr>
              <w:t>计入权益的</w:t>
            </w:r>
            <w:r>
              <w:rPr>
                <w:rFonts w:ascii="宋体" w:hAnsi="宋体" w:cs="宋体" w:eastAsia="宋体" w:hint="default"/>
                <w:w w:val="100"/>
                <w:sz w:val="21"/>
                <w:szCs w:val="21"/>
              </w:rPr>
              <w:t> </w:t>
            </w:r>
            <w:r>
              <w:rPr>
                <w:rFonts w:ascii="宋体" w:hAnsi="宋体" w:cs="宋体" w:eastAsia="宋体" w:hint="default"/>
                <w:sz w:val="21"/>
                <w:szCs w:val="21"/>
              </w:rPr>
              <w:t>累计公允价</w:t>
            </w:r>
            <w:r>
              <w:rPr>
                <w:rFonts w:ascii="宋体" w:hAnsi="宋体" w:cs="宋体" w:eastAsia="宋体" w:hint="default"/>
                <w:w w:val="100"/>
                <w:sz w:val="21"/>
                <w:szCs w:val="21"/>
              </w:rPr>
              <w:t> </w:t>
            </w:r>
            <w:r>
              <w:rPr>
                <w:rFonts w:ascii="宋体" w:hAnsi="宋体" w:cs="宋体" w:eastAsia="宋体" w:hint="default"/>
                <w:sz w:val="21"/>
                <w:szCs w:val="21"/>
              </w:rPr>
              <w:t>值变动</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2273" w:type="dxa"/>
            <w:vMerge/>
            <w:tcBorders>
              <w:left w:val="single" w:sz="4" w:space="0" w:color="000000"/>
              <w:bottom w:val="nil" w:sz="6" w:space="0" w:color="auto"/>
              <w:right w:val="single" w:sz="4" w:space="0" w:color="000000"/>
            </w:tcBorders>
            <w:shd w:val="clear" w:color="auto" w:fill="D2D2D2"/>
          </w:tcPr>
          <w:p>
            <w:pPr/>
          </w:p>
        </w:tc>
        <w:tc>
          <w:tcPr>
            <w:tcW w:w="1078"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175" w:right="67" w:hanging="104"/>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w w:val="100"/>
                <w:sz w:val="21"/>
                <w:szCs w:val="21"/>
              </w:rPr>
              <w:t> </w:t>
            </w:r>
            <w:r>
              <w:rPr>
                <w:rFonts w:ascii="宋体" w:hAnsi="宋体" w:cs="宋体" w:eastAsia="宋体" w:hint="default"/>
                <w:sz w:val="21"/>
                <w:szCs w:val="21"/>
              </w:rPr>
              <w:t>的减值</w:t>
            </w:r>
          </w:p>
        </w:tc>
        <w:tc>
          <w:tcPr>
            <w:tcW w:w="94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59" w:right="43" w:hanging="209"/>
              <w:jc w:val="left"/>
              <w:rPr>
                <w:rFonts w:ascii="宋体" w:hAnsi="宋体" w:cs="宋体" w:eastAsia="宋体" w:hint="default"/>
                <w:sz w:val="21"/>
                <w:szCs w:val="21"/>
              </w:rPr>
            </w:pPr>
            <w:r>
              <w:rPr>
                <w:rFonts w:ascii="宋体" w:hAnsi="宋体" w:cs="宋体" w:eastAsia="宋体" w:hint="default"/>
                <w:sz w:val="21"/>
                <w:szCs w:val="21"/>
              </w:rPr>
              <w:t>本期购买</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6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319" w:right="103" w:hanging="209"/>
              <w:jc w:val="left"/>
              <w:rPr>
                <w:rFonts w:ascii="宋体" w:hAnsi="宋体" w:cs="宋体" w:eastAsia="宋体" w:hint="default"/>
                <w:sz w:val="21"/>
                <w:szCs w:val="21"/>
              </w:rPr>
            </w:pPr>
            <w:r>
              <w:rPr>
                <w:rFonts w:ascii="宋体" w:hAnsi="宋体" w:cs="宋体" w:eastAsia="宋体" w:hint="default"/>
                <w:sz w:val="21"/>
                <w:szCs w:val="21"/>
              </w:rPr>
              <w:t>本期出售</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312" w:hRule="exact"/>
        </w:trPr>
        <w:tc>
          <w:tcPr>
            <w:tcW w:w="2273" w:type="dxa"/>
            <w:tcBorders>
              <w:top w:val="nil" w:sz="6" w:space="0" w:color="auto"/>
              <w:left w:val="single" w:sz="4" w:space="0" w:color="000000"/>
              <w:bottom w:val="nil" w:sz="6" w:space="0" w:color="auto"/>
              <w:right w:val="single" w:sz="4" w:space="0" w:color="000000"/>
            </w:tcBorders>
            <w:shd w:val="clear" w:color="auto" w:fill="D2D2D2"/>
          </w:tcPr>
          <w:p>
            <w:pPr>
              <w:pStyle w:val="TableParagraph"/>
              <w:tabs>
                <w:tab w:pos="425" w:val="left" w:leader="none"/>
              </w:tabs>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0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22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070"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948" w:type="dxa"/>
            <w:vMerge/>
            <w:tcBorders>
              <w:left w:val="single" w:sz="4" w:space="0" w:color="000000"/>
              <w:right w:val="single" w:sz="4" w:space="0" w:color="000000"/>
            </w:tcBorders>
            <w:shd w:val="clear" w:color="auto" w:fill="D2D2D2"/>
          </w:tcPr>
          <w:p>
            <w:pPr/>
          </w:p>
        </w:tc>
        <w:tc>
          <w:tcPr>
            <w:tcW w:w="1069" w:type="dxa"/>
            <w:vMerge/>
            <w:tcBorders>
              <w:left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21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56" w:hRule="exact"/>
        </w:trPr>
        <w:tc>
          <w:tcPr>
            <w:tcW w:w="2273" w:type="dxa"/>
            <w:vMerge w:val="restart"/>
            <w:tcBorders>
              <w:top w:val="nil" w:sz="6" w:space="0" w:color="auto"/>
              <w:left w:val="single" w:sz="4" w:space="0" w:color="000000"/>
              <w:right w:val="single" w:sz="4" w:space="0" w:color="000000"/>
            </w:tcBorders>
            <w:shd w:val="clear" w:color="auto" w:fill="D2D2D2"/>
          </w:tcPr>
          <w:p>
            <w:pPr/>
          </w:p>
        </w:tc>
        <w:tc>
          <w:tcPr>
            <w:tcW w:w="1078" w:type="dxa"/>
            <w:vMerge w:val="restart"/>
            <w:tcBorders>
              <w:top w:val="nil" w:sz="6" w:space="0" w:color="auto"/>
              <w:left w:val="single" w:sz="4" w:space="0" w:color="000000"/>
              <w:right w:val="single" w:sz="4" w:space="0" w:color="000000"/>
            </w:tcBorders>
            <w:shd w:val="clear" w:color="auto" w:fill="D2D2D2"/>
          </w:tcPr>
          <w:p>
            <w:pPr/>
          </w:p>
        </w:tc>
        <w:tc>
          <w:tcPr>
            <w:tcW w:w="1070"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48" w:type="dxa"/>
            <w:vMerge/>
            <w:tcBorders>
              <w:left w:val="single" w:sz="4" w:space="0" w:color="000000"/>
              <w:bottom w:val="nil" w:sz="6" w:space="0" w:color="auto"/>
              <w:right w:val="single" w:sz="4" w:space="0" w:color="000000"/>
            </w:tcBorders>
            <w:shd w:val="clear" w:color="auto" w:fill="D2D2D2"/>
          </w:tcPr>
          <w:p>
            <w:pPr/>
          </w:p>
        </w:tc>
        <w:tc>
          <w:tcPr>
            <w:tcW w:w="1069"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273"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1265"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946"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41"/>
              <w:jc w:val="left"/>
              <w:rPr>
                <w:rFonts w:ascii="宋体" w:hAnsi="宋体" w:cs="宋体" w:eastAsia="宋体" w:hint="default"/>
                <w:sz w:val="21"/>
                <w:szCs w:val="21"/>
              </w:rPr>
            </w:pPr>
            <w:r>
              <w:rPr>
                <w:rFonts w:ascii="宋体" w:hAnsi="宋体" w:cs="宋体" w:eastAsia="宋体" w:hint="default"/>
                <w:sz w:val="21"/>
                <w:szCs w:val="21"/>
              </w:rPr>
              <w:t>金融资产：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可供出售金融资产</w:t>
            </w:r>
            <w:r>
              <w:rPr>
                <w:rFonts w:ascii="宋体" w:hAnsi="宋体" w:cs="宋体" w:eastAsia="宋体" w:hint="default"/>
                <w:spacing w:val="-2"/>
                <w:sz w:val="21"/>
                <w:szCs w:val="21"/>
              </w:rPr>
              <w:t>-</w:t>
            </w:r>
            <w:r>
              <w:rPr>
                <w:rFonts w:ascii="宋体" w:hAnsi="宋体" w:cs="宋体" w:eastAsia="宋体" w:hint="default"/>
                <w:spacing w:val="-2"/>
                <w:sz w:val="21"/>
                <w:szCs w:val="21"/>
              </w:rPr>
              <w:t>股票</w:t>
            </w:r>
            <w:r>
              <w:rPr>
                <w:rFonts w:ascii="宋体" w:hAnsi="宋体" w:cs="宋体" w:eastAsia="宋体" w:hint="default"/>
                <w:spacing w:val="-83"/>
                <w:sz w:val="21"/>
                <w:szCs w:val="21"/>
              </w:rPr>
              <w:t> </w:t>
            </w:r>
            <w:r>
              <w:rPr>
                <w:rFonts w:ascii="宋体" w:hAnsi="宋体" w:cs="宋体" w:eastAsia="宋体" w:hint="default"/>
                <w:sz w:val="21"/>
                <w:szCs w:val="21"/>
              </w:rPr>
              <w:t>投资（注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1,764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982</w:t>
            </w:r>
          </w:p>
        </w:tc>
      </w:tr>
      <w:tr>
        <w:trPr>
          <w:trHeight w:val="946"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41"/>
              <w:jc w:val="left"/>
              <w:rPr>
                <w:rFonts w:ascii="宋体" w:hAnsi="宋体" w:cs="宋体" w:eastAsia="宋体" w:hint="default"/>
                <w:sz w:val="21"/>
                <w:szCs w:val="21"/>
              </w:rPr>
            </w:pPr>
            <w:r>
              <w:rPr>
                <w:rFonts w:ascii="宋体" w:hAnsi="宋体" w:cs="宋体" w:eastAsia="宋体" w:hint="default"/>
                <w:sz w:val="21"/>
                <w:szCs w:val="21"/>
              </w:rPr>
              <w:t>金融负债：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其他非流动负债</w:t>
            </w:r>
            <w:r>
              <w:rPr>
                <w:rFonts w:ascii="宋体" w:hAnsi="宋体" w:cs="宋体" w:eastAsia="宋体" w:hint="default"/>
                <w:spacing w:val="-2"/>
                <w:sz w:val="21"/>
                <w:szCs w:val="21"/>
              </w:rPr>
              <w:t>-</w:t>
            </w:r>
            <w:r>
              <w:rPr>
                <w:rFonts w:ascii="宋体" w:hAnsi="宋体" w:cs="宋体" w:eastAsia="宋体" w:hint="default"/>
                <w:spacing w:val="-2"/>
                <w:sz w:val="21"/>
                <w:szCs w:val="21"/>
              </w:rPr>
              <w:t>远期外</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汇合约（注</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3,826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3,826</w:t>
            </w:r>
          </w:p>
        </w:tc>
      </w:tr>
    </w:tbl>
    <w:p>
      <w:pPr>
        <w:pStyle w:val="BodyText"/>
        <w:spacing w:line="273" w:lineRule="auto" w:before="0"/>
        <w:ind w:left="212" w:right="1021" w:firstLine="420"/>
        <w:jc w:val="left"/>
      </w:pPr>
      <w:r>
        <w:rPr>
          <w:w w:val="100"/>
        </w:rPr>
        <w:t>注</w:t>
      </w:r>
      <w:r>
        <w:rPr>
          <w:spacing w:val="-52"/>
          <w:w w:val="100"/>
        </w:rPr>
        <w:t> </w:t>
      </w:r>
      <w:r>
        <w:rPr>
          <w:rFonts w:ascii="宋体" w:hAnsi="宋体" w:cs="宋体" w:eastAsia="宋体" w:hint="default"/>
          <w:spacing w:val="-7"/>
          <w:w w:val="100"/>
        </w:rPr>
        <w:t>1</w:t>
      </w:r>
      <w:r>
        <w:rPr>
          <w:spacing w:val="-7"/>
          <w:w w:val="100"/>
        </w:rPr>
        <w:t>：该金融资产为公司境外控股子公司</w:t>
      </w:r>
      <w:r>
        <w:rPr>
          <w:spacing w:val="-52"/>
          <w:w w:val="100"/>
        </w:rPr>
        <w:t> </w:t>
      </w:r>
      <w:r>
        <w:rPr>
          <w:rFonts w:ascii="宋体" w:hAnsi="宋体" w:cs="宋体" w:eastAsia="宋体" w:hint="default"/>
          <w:spacing w:val="-1"/>
          <w:w w:val="100"/>
        </w:rPr>
        <w:t>LAOX</w:t>
      </w:r>
      <w:r>
        <w:rPr>
          <w:rFonts w:ascii="宋体" w:hAnsi="宋体" w:cs="宋体" w:eastAsia="宋体" w:hint="default"/>
          <w:spacing w:val="-54"/>
          <w:w w:val="100"/>
        </w:rPr>
        <w:t> </w:t>
      </w:r>
      <w:r>
        <w:rPr>
          <w:spacing w:val="-5"/>
          <w:w w:val="100"/>
        </w:rPr>
        <w:t>株式会社购买的股票投资，该股票投资存在活跃的市场，</w:t>
      </w:r>
      <w:r>
        <w:rPr>
          <w:w w:val="100"/>
        </w:rPr>
        <w:t> </w:t>
      </w:r>
      <w:r>
        <w:rPr/>
        <w:t>以活跃市场中的报价确定其公允价值。</w:t>
      </w:r>
    </w:p>
    <w:p>
      <w:pPr>
        <w:pStyle w:val="BodyText"/>
        <w:spacing w:line="307" w:lineRule="auto" w:before="7"/>
        <w:ind w:left="633" w:right="3879"/>
        <w:jc w:val="left"/>
      </w:pPr>
      <w:r>
        <w:rPr/>
        <w:t>注</w:t>
      </w:r>
      <w:r>
        <w:rPr>
          <w:spacing w:val="-56"/>
        </w:rPr>
        <w:t> </w:t>
      </w:r>
      <w:r>
        <w:rPr>
          <w:rFonts w:ascii="宋体" w:hAnsi="宋体" w:cs="宋体" w:eastAsia="宋体" w:hint="default"/>
        </w:rPr>
        <w:t>2</w:t>
      </w:r>
      <w:r>
        <w:rPr/>
        <w:t>：该金融负债为公司境外香港子公司与银行签订的远期外汇合约。</w:t>
      </w:r>
      <w:r>
        <w:rPr>
          <w:w w:val="100"/>
        </w:rPr>
        <w:t> </w:t>
      </w:r>
      <w:r>
        <w:rPr/>
        <w:t>报告期内公司主要资产计量属性是否发生重大变化</w:t>
      </w:r>
    </w:p>
    <w:p>
      <w:pPr>
        <w:pStyle w:val="BodyText"/>
        <w:spacing w:line="240" w:lineRule="auto" w:before="19"/>
        <w:ind w:left="633" w:right="1021"/>
        <w:jc w:val="left"/>
      </w:pPr>
      <w:r>
        <w:rPr/>
        <w:t>□ 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9"/>
        <w:rPr>
          <w:rFonts w:ascii="宋体" w:hAnsi="宋体" w:cs="宋体" w:eastAsia="宋体" w:hint="default"/>
          <w:sz w:val="16"/>
          <w:szCs w:val="16"/>
        </w:rPr>
      </w:pPr>
    </w:p>
    <w:p>
      <w:pPr>
        <w:pStyle w:val="Heading4"/>
        <w:spacing w:line="240" w:lineRule="auto"/>
        <w:ind w:left="635" w:right="1021"/>
        <w:jc w:val="left"/>
        <w:rPr>
          <w:b w:val="0"/>
          <w:bCs w:val="0"/>
        </w:rPr>
      </w:pPr>
      <w:r>
        <w:rPr>
          <w:rFonts w:ascii="Times New Roman" w:hAnsi="Times New Roman" w:cs="Times New Roman" w:eastAsia="Times New Roman" w:hint="default"/>
        </w:rPr>
        <w:t>4</w:t>
      </w:r>
      <w:r>
        <w:rPr/>
        <w:t>、其他损益类构成情况及变动原因分析</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0"/>
        <w:ind w:left="0" w:right="1128"/>
        <w:jc w:val="right"/>
      </w:pPr>
      <w:r>
        <w:rPr>
          <w:spacing w:val="-1"/>
        </w:rPr>
        <w:t>（单位：千元）</w:t>
      </w:r>
    </w:p>
    <w:p>
      <w:pPr>
        <w:spacing w:line="240" w:lineRule="auto" w:before="11"/>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612"/>
        <w:gridCol w:w="1810"/>
        <w:gridCol w:w="1812"/>
        <w:gridCol w:w="1810"/>
        <w:gridCol w:w="1812"/>
      </w:tblGrid>
      <w:tr>
        <w:trPr>
          <w:trHeight w:val="324"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22" w:val="left" w:leader="none"/>
              </w:tabs>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4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4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w:t>
            </w:r>
          </w:p>
        </w:tc>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80"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184" w:right="0"/>
              <w:jc w:val="left"/>
              <w:rPr>
                <w:rFonts w:ascii="宋体" w:hAnsi="宋体" w:cs="宋体" w:eastAsia="宋体" w:hint="default"/>
                <w:sz w:val="21"/>
                <w:szCs w:val="21"/>
              </w:rPr>
            </w:pPr>
            <w:r>
              <w:rPr>
                <w:rFonts w:ascii="宋体" w:hAnsi="宋体" w:cs="宋体" w:eastAsia="宋体" w:hint="default"/>
                <w:sz w:val="21"/>
                <w:szCs w:val="21"/>
              </w:rPr>
              <w:t>增减幅度（</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5"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6"/>
              <w:jc w:val="right"/>
              <w:rPr>
                <w:rFonts w:ascii="Times New Roman" w:hAnsi="Times New Roman" w:cs="Times New Roman" w:eastAsia="Times New Roman" w:hint="default"/>
                <w:sz w:val="21"/>
                <w:szCs w:val="21"/>
              </w:rPr>
            </w:pPr>
            <w:r>
              <w:rPr>
                <w:rFonts w:ascii="Times New Roman"/>
                <w:spacing w:val="-1"/>
                <w:sz w:val="21"/>
              </w:rPr>
              <w:t>179,548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6"/>
              <w:jc w:val="right"/>
              <w:rPr>
                <w:rFonts w:ascii="Times New Roman" w:hAnsi="Times New Roman" w:cs="Times New Roman" w:eastAsia="Times New Roman" w:hint="default"/>
                <w:sz w:val="21"/>
                <w:szCs w:val="21"/>
              </w:rPr>
            </w:pPr>
            <w:r>
              <w:rPr>
                <w:rFonts w:ascii="Times New Roman"/>
                <w:sz w:val="21"/>
              </w:rPr>
              <w:t>69,537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6"/>
              <w:jc w:val="right"/>
              <w:rPr>
                <w:rFonts w:ascii="Times New Roman" w:hAnsi="Times New Roman" w:cs="Times New Roman" w:eastAsia="Times New Roman" w:hint="default"/>
                <w:sz w:val="21"/>
                <w:szCs w:val="21"/>
              </w:rPr>
            </w:pPr>
            <w:r>
              <w:rPr>
                <w:rFonts w:ascii="Times New Roman"/>
                <w:spacing w:val="-3"/>
                <w:sz w:val="21"/>
              </w:rPr>
              <w:t>110,011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5"/>
              <w:jc w:val="right"/>
              <w:rPr>
                <w:rFonts w:ascii="Times New Roman" w:hAnsi="Times New Roman" w:cs="Times New Roman" w:eastAsia="Times New Roman" w:hint="default"/>
                <w:sz w:val="21"/>
                <w:szCs w:val="21"/>
              </w:rPr>
            </w:pPr>
            <w:r>
              <w:rPr>
                <w:rFonts w:ascii="Times New Roman"/>
                <w:sz w:val="21"/>
              </w:rPr>
              <w:t>158.20%</w:t>
            </w:r>
          </w:p>
        </w:tc>
      </w:tr>
      <w:tr>
        <w:trPr>
          <w:trHeight w:val="326"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12,508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152,192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-139,684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-91.78%</w:t>
            </w:r>
          </w:p>
        </w:tc>
      </w:tr>
      <w:tr>
        <w:trPr>
          <w:trHeight w:val="324"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354,445</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2"/>
                <w:sz w:val="21"/>
              </w:rPr>
              <w:t>117,555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236,890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201.51%</w:t>
            </w:r>
          </w:p>
        </w:tc>
      </w:tr>
      <w:tr>
        <w:trPr>
          <w:trHeight w:val="324"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126,450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88,410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38,040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43.03%</w:t>
            </w:r>
          </w:p>
        </w:tc>
      </w:tr>
      <w:tr>
        <w:trPr>
          <w:trHeight w:val="326"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736,136</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1,587,220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-851,084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-53.62%</w:t>
            </w:r>
          </w:p>
        </w:tc>
      </w:tr>
    </w:tbl>
    <w:p>
      <w:pPr>
        <w:pStyle w:val="BodyText"/>
        <w:spacing w:line="410" w:lineRule="auto" w:before="64"/>
        <w:ind w:left="633" w:right="1021"/>
        <w:jc w:val="left"/>
      </w:pPr>
      <w:r>
        <w:rPr/>
        <w:t>（</w:t>
      </w:r>
      <w:r>
        <w:rPr>
          <w:rFonts w:ascii="宋体" w:hAnsi="宋体" w:cs="宋体" w:eastAsia="宋体" w:hint="default"/>
        </w:rPr>
        <w:t>1</w:t>
      </w:r>
      <w:r>
        <w:rPr/>
        <w:t>）资产减值损失变化的主要原因：</w:t>
      </w:r>
      <w:r>
        <w:rPr>
          <w:w w:val="100"/>
        </w:rPr>
        <w:t> </w:t>
      </w:r>
      <w:r>
        <w:rPr>
          <w:spacing w:val="-3"/>
        </w:rPr>
        <w:t>报告期内，公司库存规模有所增加，且自主经营产品占比逐步提升，使得存货跌价损失同比增加，此</w:t>
      </w:r>
    </w:p>
    <w:p>
      <w:pPr>
        <w:pStyle w:val="BodyText"/>
        <w:spacing w:line="240" w:lineRule="auto" w:before="44"/>
        <w:ind w:left="212" w:right="1021"/>
        <w:jc w:val="left"/>
      </w:pPr>
      <w:r>
        <w:rPr/>
        <w:t>外计提了</w:t>
      </w:r>
      <w:r>
        <w:rPr>
          <w:spacing w:val="-54"/>
        </w:rPr>
        <w:t> </w:t>
      </w:r>
      <w:r>
        <w:rPr>
          <w:rFonts w:ascii="宋体" w:hAnsi="宋体" w:cs="宋体" w:eastAsia="宋体" w:hint="default"/>
        </w:rPr>
        <w:t>Laox</w:t>
      </w:r>
      <w:r>
        <w:rPr>
          <w:rFonts w:ascii="宋体" w:hAnsi="宋体" w:cs="宋体" w:eastAsia="宋体" w:hint="default"/>
          <w:spacing w:val="-56"/>
        </w:rPr>
        <w:t> </w:t>
      </w:r>
      <w:r>
        <w:rPr/>
        <w:t>株式会社的商誉及装修减值损失。</w:t>
      </w:r>
    </w:p>
    <w:p>
      <w:pPr>
        <w:spacing w:line="240" w:lineRule="auto" w:before="10"/>
        <w:rPr>
          <w:rFonts w:ascii="宋体" w:hAnsi="宋体" w:cs="宋体" w:eastAsia="宋体" w:hint="default"/>
          <w:sz w:val="14"/>
          <w:szCs w:val="14"/>
        </w:rPr>
      </w:pPr>
    </w:p>
    <w:p>
      <w:pPr>
        <w:pStyle w:val="BodyText"/>
        <w:spacing w:line="240" w:lineRule="auto" w:before="0"/>
        <w:ind w:left="633" w:right="1021"/>
        <w:jc w:val="left"/>
      </w:pPr>
      <w:r>
        <w:rPr/>
        <w:t>（</w:t>
      </w:r>
      <w:r>
        <w:rPr>
          <w:rFonts w:ascii="宋体" w:hAnsi="宋体" w:cs="宋体" w:eastAsia="宋体" w:hint="default"/>
        </w:rPr>
        <w:t>2</w:t>
      </w:r>
      <w:r>
        <w:rPr/>
        <w:t>）投资收益变化的主要原因：</w:t>
      </w:r>
    </w:p>
    <w:p>
      <w:pPr>
        <w:spacing w:line="240" w:lineRule="auto" w:before="10"/>
        <w:rPr>
          <w:rFonts w:ascii="宋体" w:hAnsi="宋体" w:cs="宋体" w:eastAsia="宋体" w:hint="default"/>
          <w:sz w:val="14"/>
          <w:szCs w:val="14"/>
        </w:rPr>
      </w:pPr>
    </w:p>
    <w:p>
      <w:pPr>
        <w:pStyle w:val="BodyText"/>
        <w:spacing w:line="408" w:lineRule="auto" w:before="0"/>
        <w:ind w:left="212" w:right="1021" w:firstLine="420"/>
        <w:jc w:val="left"/>
      </w:pPr>
      <w:r>
        <w:rPr/>
        <w:t>由于上年同期日本 </w:t>
      </w:r>
      <w:r>
        <w:rPr>
          <w:rFonts w:ascii="宋体" w:hAnsi="宋体" w:cs="宋体" w:eastAsia="宋体" w:hint="default"/>
        </w:rPr>
        <w:t>LAOX</w:t>
      </w:r>
      <w:r>
        <w:rPr>
          <w:rFonts w:ascii="宋体" w:hAnsi="宋体" w:cs="宋体" w:eastAsia="宋体" w:hint="default"/>
          <w:spacing w:val="-48"/>
        </w:rPr>
        <w:t> </w:t>
      </w:r>
      <w:r>
        <w:rPr>
          <w:spacing w:val="-3"/>
        </w:rPr>
        <w:t>公司成为公司的控股子公司，合并报表时重新计量长期股权投资的公允价值，</w:t>
      </w:r>
      <w:r>
        <w:rPr>
          <w:w w:val="100"/>
        </w:rPr>
        <w:t> </w:t>
      </w:r>
      <w:r>
        <w:rPr/>
        <w:t>而产生较大投资收益，报告期内投资收益同比下降</w:t>
      </w:r>
      <w:r>
        <w:rPr>
          <w:spacing w:val="-56"/>
        </w:rPr>
        <w:t> </w:t>
      </w:r>
      <w:r>
        <w:rPr>
          <w:rFonts w:ascii="宋体" w:hAnsi="宋体" w:cs="宋体" w:eastAsia="宋体" w:hint="default"/>
        </w:rPr>
        <w:t>91.78%</w:t>
      </w:r>
      <w:r>
        <w:rPr/>
        <w:t>。</w:t>
      </w:r>
    </w:p>
    <w:p>
      <w:pPr>
        <w:pStyle w:val="BodyText"/>
        <w:spacing w:line="240" w:lineRule="auto"/>
        <w:ind w:left="633" w:right="1021"/>
        <w:jc w:val="left"/>
      </w:pPr>
      <w:r>
        <w:rPr/>
        <w:t>（</w:t>
      </w:r>
      <w:r>
        <w:rPr>
          <w:rFonts w:ascii="宋体" w:hAnsi="宋体" w:cs="宋体" w:eastAsia="宋体" w:hint="default"/>
        </w:rPr>
        <w:t>3</w:t>
      </w:r>
      <w:r>
        <w:rPr/>
        <w:t>）营业外收入变化的主要原因：</w:t>
      </w:r>
    </w:p>
    <w:p>
      <w:pPr>
        <w:spacing w:after="0" w:line="240" w:lineRule="auto"/>
        <w:jc w:val="left"/>
        <w:sectPr>
          <w:footerReference w:type="default" r:id="rId22"/>
          <w:pgSz w:w="11910" w:h="16840"/>
          <w:pgMar w:footer="1265" w:header="745" w:top="1060" w:bottom="1460" w:left="920" w:right="0"/>
          <w:pgNumType w:start="23"/>
        </w:sectPr>
      </w:pPr>
    </w:p>
    <w:p>
      <w:pPr>
        <w:spacing w:line="240" w:lineRule="auto" w:before="0"/>
        <w:rPr>
          <w:rFonts w:ascii="宋体" w:hAnsi="宋体" w:cs="宋体" w:eastAsia="宋体" w:hint="default"/>
          <w:sz w:val="20"/>
          <w:szCs w:val="20"/>
        </w:rPr>
      </w:pPr>
    </w:p>
    <w:p>
      <w:pPr>
        <w:pStyle w:val="BodyText"/>
        <w:spacing w:line="240" w:lineRule="auto" w:before="175"/>
        <w:ind w:left="633" w:right="1021"/>
        <w:jc w:val="left"/>
      </w:pPr>
      <w:r>
        <w:rPr>
          <w:spacing w:val="-2"/>
        </w:rPr>
        <w:t>报告期内营业外收入较同期增加</w:t>
      </w:r>
      <w:r>
        <w:rPr>
          <w:spacing w:val="33"/>
        </w:rPr>
        <w:t> </w:t>
      </w:r>
      <w:r>
        <w:rPr>
          <w:rFonts w:ascii="宋体" w:hAnsi="宋体" w:cs="宋体" w:eastAsia="宋体" w:hint="default"/>
          <w:spacing w:val="-2"/>
        </w:rPr>
        <w:t>201.51%</w:t>
      </w:r>
      <w:r>
        <w:rPr>
          <w:spacing w:val="-2"/>
        </w:rPr>
        <w:t>，主要为公司收到各地政府给予的企业补助有所增加。</w:t>
      </w:r>
    </w:p>
    <w:p>
      <w:pPr>
        <w:spacing w:line="240" w:lineRule="auto" w:before="10"/>
        <w:rPr>
          <w:rFonts w:ascii="宋体" w:hAnsi="宋体" w:cs="宋体" w:eastAsia="宋体" w:hint="default"/>
          <w:sz w:val="14"/>
          <w:szCs w:val="14"/>
        </w:rPr>
      </w:pPr>
    </w:p>
    <w:p>
      <w:pPr>
        <w:pStyle w:val="BodyText"/>
        <w:spacing w:line="408" w:lineRule="auto" w:before="0"/>
        <w:ind w:left="633" w:right="3148"/>
        <w:jc w:val="left"/>
      </w:pPr>
      <w:r>
        <w:rPr/>
        <w:t>（</w:t>
      </w:r>
      <w:r>
        <w:rPr>
          <w:rFonts w:ascii="宋体" w:hAnsi="宋体" w:cs="宋体" w:eastAsia="宋体" w:hint="default"/>
        </w:rPr>
        <w:t>4</w:t>
      </w:r>
      <w:r>
        <w:rPr/>
        <w:t>）营业外支出变化的主要原因：</w:t>
      </w:r>
      <w:r>
        <w:rPr>
          <w:w w:val="100"/>
        </w:rPr>
        <w:t> </w:t>
      </w:r>
      <w:r>
        <w:rPr>
          <w:spacing w:val="-2"/>
        </w:rPr>
        <w:t>由于支付的各项地方政府基金增加，带来营业外支出较上年同期增加</w:t>
      </w:r>
      <w:r>
        <w:rPr>
          <w:spacing w:val="14"/>
        </w:rPr>
        <w:t> </w:t>
      </w:r>
      <w:r>
        <w:rPr>
          <w:rFonts w:ascii="宋体" w:hAnsi="宋体" w:cs="宋体" w:eastAsia="宋体" w:hint="default"/>
          <w:spacing w:val="-2"/>
        </w:rPr>
        <w:t>43.03%</w:t>
      </w:r>
      <w:r>
        <w:rPr>
          <w:spacing w:val="-2"/>
        </w:rPr>
        <w:t>。</w:t>
      </w:r>
    </w:p>
    <w:p>
      <w:pPr>
        <w:pStyle w:val="BodyText"/>
        <w:spacing w:line="408" w:lineRule="auto"/>
        <w:ind w:left="633" w:right="1467"/>
        <w:jc w:val="left"/>
      </w:pPr>
      <w:r>
        <w:rPr/>
        <w:t>（</w:t>
      </w:r>
      <w:r>
        <w:rPr>
          <w:rFonts w:ascii="宋体" w:hAnsi="宋体" w:cs="宋体" w:eastAsia="宋体" w:hint="default"/>
        </w:rPr>
        <w:t>5</w:t>
      </w:r>
      <w:r>
        <w:rPr/>
        <w:t>）所得税费用变化的主要原因</w:t>
      </w:r>
      <w:r>
        <w:rPr>
          <w:w w:val="100"/>
        </w:rPr>
        <w:t> </w:t>
      </w:r>
      <w:r>
        <w:rPr>
          <w:spacing w:val="-2"/>
        </w:rPr>
        <w:t>报告期内，公司实现的利润总额较上年同期减少，由此带来所得税费用较上年同期减少</w:t>
      </w:r>
      <w:r>
        <w:rPr>
          <w:spacing w:val="24"/>
        </w:rPr>
        <w:t> </w:t>
      </w:r>
      <w:r>
        <w:rPr>
          <w:rFonts w:ascii="宋体" w:hAnsi="宋体" w:cs="宋体" w:eastAsia="宋体" w:hint="default"/>
          <w:spacing w:val="-1"/>
        </w:rPr>
        <w:t>53.62%</w:t>
      </w:r>
      <w:r>
        <w:rPr>
          <w:spacing w:val="-1"/>
        </w:rPr>
        <w:t>。</w:t>
      </w:r>
    </w:p>
    <w:p>
      <w:pPr>
        <w:pStyle w:val="Heading4"/>
        <w:spacing w:line="240" w:lineRule="auto" w:before="166"/>
        <w:ind w:left="635" w:right="1021"/>
        <w:jc w:val="left"/>
        <w:rPr>
          <w:b w:val="0"/>
          <w:bCs w:val="0"/>
        </w:rPr>
      </w:pPr>
      <w:r>
        <w:rPr>
          <w:rFonts w:ascii="Times New Roman" w:hAnsi="Times New Roman" w:cs="Times New Roman" w:eastAsia="Times New Roman" w:hint="default"/>
        </w:rPr>
        <w:t>5</w:t>
      </w:r>
      <w:r>
        <w:rPr/>
        <w:t>、主要债权债务关系</w:t>
      </w:r>
      <w:r>
        <w:rPr>
          <w:b w:val="0"/>
          <w:bCs w:val="0"/>
        </w:rPr>
      </w:r>
    </w:p>
    <w:p>
      <w:pPr>
        <w:spacing w:line="240" w:lineRule="auto" w:before="11"/>
        <w:rPr>
          <w:rFonts w:ascii="宋体" w:hAnsi="宋体" w:cs="宋体" w:eastAsia="宋体" w:hint="default"/>
          <w:b/>
          <w:bCs/>
          <w:sz w:val="17"/>
          <w:szCs w:val="17"/>
        </w:rPr>
      </w:pPr>
    </w:p>
    <w:tbl>
      <w:tblPr>
        <w:tblW w:w="0" w:type="auto"/>
        <w:jc w:val="left"/>
        <w:tblInd w:w="100" w:type="dxa"/>
        <w:tblLayout w:type="fixed"/>
        <w:tblCellMar>
          <w:top w:w="0" w:type="dxa"/>
          <w:left w:w="0" w:type="dxa"/>
          <w:bottom w:w="0" w:type="dxa"/>
          <w:right w:w="0" w:type="dxa"/>
        </w:tblCellMar>
        <w:tblLook w:val="01E0"/>
      </w:tblPr>
      <w:tblGrid>
        <w:gridCol w:w="2698"/>
        <w:gridCol w:w="1791"/>
        <w:gridCol w:w="1788"/>
        <w:gridCol w:w="1789"/>
        <w:gridCol w:w="1790"/>
      </w:tblGrid>
      <w:tr>
        <w:trPr>
          <w:trHeight w:val="439"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22" w:val="left" w:leader="none"/>
              </w:tabs>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w:t>
            </w:r>
          </w:p>
        </w:tc>
        <w:tc>
          <w:tcPr>
            <w:tcW w:w="1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67"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短期借款（千元）</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1,752,492</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1,665,686</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5.21%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317,789</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应付票据余额（千元）</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24,229,852</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20,617,593</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17.52%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14,277,320</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应付债券（千元）</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4,465,405</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100"/>
                <w:sz w:val="21"/>
              </w:rPr>
              <w:t>-</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100"/>
                <w:sz w:val="21"/>
              </w:rPr>
              <w:t>-</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324"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应付票据周转天数（天）</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100.18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82.80</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99"/>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17.38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天</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82.20</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应付账款余额（千元）</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10,457,733</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8,525,857</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22.66%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6,839,024</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应付账款周转天数（天）</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42.40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36.46</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99"/>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5.94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天</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34.42</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应收账款余额（千元）</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1,270,502</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1,841,778</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-31.02%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2"/>
                <w:sz w:val="21"/>
              </w:rPr>
              <w:t>1,104,611</w:t>
            </w:r>
          </w:p>
        </w:tc>
      </w:tr>
    </w:tbl>
    <w:p>
      <w:pPr>
        <w:pStyle w:val="BodyText"/>
        <w:spacing w:line="408" w:lineRule="auto" w:before="64"/>
        <w:ind w:left="212" w:right="1021" w:firstLine="420"/>
        <w:jc w:val="left"/>
      </w:pPr>
      <w:r>
        <w:rPr>
          <w:spacing w:val="-2"/>
        </w:rPr>
        <w:t>报告期内，销售收入增长速度放缓，期末加大备货，应付款也相应增加，使得应付款项周转天数有所</w:t>
      </w:r>
      <w:r>
        <w:rPr>
          <w:w w:val="100"/>
        </w:rPr>
        <w:t> </w:t>
      </w:r>
      <w:r>
        <w:rPr/>
        <w:t>增加。</w:t>
      </w:r>
    </w:p>
    <w:p>
      <w:pPr>
        <w:pStyle w:val="Heading4"/>
        <w:spacing w:line="240" w:lineRule="auto" w:before="166"/>
        <w:ind w:left="635" w:right="1021"/>
        <w:jc w:val="left"/>
        <w:rPr>
          <w:b w:val="0"/>
          <w:bCs w:val="0"/>
        </w:rPr>
      </w:pPr>
      <w:r>
        <w:rPr>
          <w:rFonts w:ascii="Times New Roman" w:hAnsi="Times New Roman" w:cs="Times New Roman" w:eastAsia="Times New Roman" w:hint="default"/>
        </w:rPr>
        <w:t>6</w:t>
      </w:r>
      <w:r>
        <w:rPr/>
        <w:t>、偿债能力分析</w:t>
      </w:r>
      <w:r>
        <w:rPr>
          <w:b w:val="0"/>
          <w:bCs w:val="0"/>
        </w:rPr>
      </w:r>
    </w:p>
    <w:p>
      <w:pPr>
        <w:spacing w:line="240" w:lineRule="auto" w:before="11"/>
        <w:rPr>
          <w:rFonts w:ascii="宋体" w:hAnsi="宋体" w:cs="宋体" w:eastAsia="宋体" w:hint="default"/>
          <w:b/>
          <w:bCs/>
          <w:sz w:val="17"/>
          <w:szCs w:val="17"/>
        </w:rPr>
      </w:pPr>
    </w:p>
    <w:tbl>
      <w:tblPr>
        <w:tblW w:w="0" w:type="auto"/>
        <w:jc w:val="left"/>
        <w:tblInd w:w="100" w:type="dxa"/>
        <w:tblLayout w:type="fixed"/>
        <w:tblCellMar>
          <w:top w:w="0" w:type="dxa"/>
          <w:left w:w="0" w:type="dxa"/>
          <w:bottom w:w="0" w:type="dxa"/>
          <w:right w:w="0" w:type="dxa"/>
        </w:tblCellMar>
        <w:tblLook w:val="01E0"/>
      </w:tblPr>
      <w:tblGrid>
        <w:gridCol w:w="2612"/>
        <w:gridCol w:w="1810"/>
        <w:gridCol w:w="1812"/>
        <w:gridCol w:w="1810"/>
        <w:gridCol w:w="1812"/>
      </w:tblGrid>
      <w:tr>
        <w:trPr>
          <w:trHeight w:val="382"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22" w:val="left" w:leader="none"/>
              </w:tabs>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80"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41"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流动比率</w:t>
            </w:r>
          </w:p>
        </w:tc>
        <w:tc>
          <w:tcPr>
            <w:tcW w:w="1810"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39"/>
              <w:ind w:right="96"/>
              <w:jc w:val="right"/>
              <w:rPr>
                <w:rFonts w:ascii="Times New Roman" w:hAnsi="Times New Roman" w:cs="Times New Roman" w:eastAsia="Times New Roman" w:hint="default"/>
                <w:sz w:val="21"/>
                <w:szCs w:val="21"/>
              </w:rPr>
            </w:pPr>
            <w:r>
              <w:rPr>
                <w:rFonts w:ascii="Times New Roman"/>
                <w:sz w:val="21"/>
              </w:rPr>
              <w:t>1.30</w:t>
            </w:r>
          </w:p>
        </w:tc>
        <w:tc>
          <w:tcPr>
            <w:tcW w:w="1812"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39"/>
              <w:ind w:right="96"/>
              <w:jc w:val="right"/>
              <w:rPr>
                <w:rFonts w:ascii="Times New Roman" w:hAnsi="Times New Roman" w:cs="Times New Roman" w:eastAsia="Times New Roman" w:hint="default"/>
                <w:sz w:val="21"/>
                <w:szCs w:val="21"/>
              </w:rPr>
            </w:pPr>
            <w:r>
              <w:rPr>
                <w:rFonts w:ascii="Times New Roman"/>
                <w:sz w:val="21"/>
              </w:rPr>
              <w:t>1.18</w:t>
            </w:r>
          </w:p>
        </w:tc>
        <w:tc>
          <w:tcPr>
            <w:tcW w:w="1810"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z w:val="21"/>
              </w:rPr>
              <w:t>0.12</w:t>
            </w:r>
          </w:p>
        </w:tc>
        <w:tc>
          <w:tcPr>
            <w:tcW w:w="1812"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39"/>
              <w:ind w:right="96"/>
              <w:jc w:val="right"/>
              <w:rPr>
                <w:rFonts w:ascii="Times New Roman" w:hAnsi="Times New Roman" w:cs="Times New Roman" w:eastAsia="Times New Roman" w:hint="default"/>
                <w:sz w:val="21"/>
                <w:szCs w:val="21"/>
              </w:rPr>
            </w:pPr>
            <w:r>
              <w:rPr>
                <w:rFonts w:ascii="Times New Roman"/>
                <w:sz w:val="21"/>
              </w:rPr>
              <w:t>1.41</w:t>
            </w:r>
          </w:p>
        </w:tc>
      </w:tr>
      <w:tr>
        <w:trPr>
          <w:trHeight w:val="324"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速动比率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0.85</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0.77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0.08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0.99</w:t>
            </w:r>
          </w:p>
        </w:tc>
      </w:tr>
      <w:tr>
        <w:trPr>
          <w:trHeight w:val="322"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资产负债率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61.78%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61.48%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0.30%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57.08%</w:t>
            </w:r>
          </w:p>
        </w:tc>
      </w:tr>
    </w:tbl>
    <w:p>
      <w:pPr>
        <w:spacing w:before="55"/>
        <w:ind w:left="652" w:right="1021" w:firstLine="0"/>
        <w:jc w:val="left"/>
        <w:rPr>
          <w:rFonts w:ascii="宋体" w:hAnsi="宋体" w:cs="宋体" w:eastAsia="宋体" w:hint="default"/>
          <w:sz w:val="22"/>
          <w:szCs w:val="22"/>
        </w:rPr>
      </w:pPr>
      <w:r>
        <w:rPr>
          <w:rFonts w:ascii="宋体" w:hAnsi="宋体" w:cs="宋体" w:eastAsia="宋体" w:hint="default"/>
          <w:sz w:val="22"/>
          <w:szCs w:val="22"/>
        </w:rPr>
        <w:t>报告期内，公司继续保持较好的偿债能力，各项指标较上年同期未发现较大变化。</w:t>
      </w:r>
    </w:p>
    <w:p>
      <w:pPr>
        <w:spacing w:line="240" w:lineRule="auto" w:before="8"/>
        <w:rPr>
          <w:rFonts w:ascii="宋体" w:hAnsi="宋体" w:cs="宋体" w:eastAsia="宋体" w:hint="default"/>
          <w:sz w:val="23"/>
          <w:szCs w:val="23"/>
        </w:rPr>
      </w:pPr>
    </w:p>
    <w:p>
      <w:pPr>
        <w:pStyle w:val="Heading4"/>
        <w:spacing w:line="240" w:lineRule="auto"/>
        <w:ind w:left="635" w:right="1021"/>
        <w:jc w:val="left"/>
        <w:rPr>
          <w:b w:val="0"/>
          <w:bCs w:val="0"/>
        </w:rPr>
      </w:pPr>
      <w:r>
        <w:rPr>
          <w:rFonts w:ascii="Times New Roman" w:hAnsi="Times New Roman" w:cs="Times New Roman" w:eastAsia="Times New Roman" w:hint="default"/>
        </w:rPr>
        <w:t>7</w:t>
      </w:r>
      <w:r>
        <w:rPr/>
        <w:t>、资产运营能力分析</w:t>
      </w:r>
      <w:r>
        <w:rPr>
          <w:b w:val="0"/>
          <w:bCs w:val="0"/>
        </w:rPr>
      </w:r>
    </w:p>
    <w:p>
      <w:pPr>
        <w:spacing w:line="240" w:lineRule="auto" w:before="11"/>
        <w:rPr>
          <w:rFonts w:ascii="宋体" w:hAnsi="宋体" w:cs="宋体" w:eastAsia="宋体" w:hint="default"/>
          <w:b/>
          <w:bCs/>
          <w:sz w:val="17"/>
          <w:szCs w:val="17"/>
        </w:rPr>
      </w:pPr>
    </w:p>
    <w:tbl>
      <w:tblPr>
        <w:tblW w:w="0" w:type="auto"/>
        <w:jc w:val="left"/>
        <w:tblInd w:w="100" w:type="dxa"/>
        <w:tblLayout w:type="fixed"/>
        <w:tblCellMar>
          <w:top w:w="0" w:type="dxa"/>
          <w:left w:w="0" w:type="dxa"/>
          <w:bottom w:w="0" w:type="dxa"/>
          <w:right w:w="0" w:type="dxa"/>
        </w:tblCellMar>
        <w:tblLook w:val="01E0"/>
      </w:tblPr>
      <w:tblGrid>
        <w:gridCol w:w="2612"/>
        <w:gridCol w:w="1810"/>
        <w:gridCol w:w="1812"/>
        <w:gridCol w:w="1810"/>
        <w:gridCol w:w="1812"/>
      </w:tblGrid>
      <w:tr>
        <w:trPr>
          <w:trHeight w:val="418"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22" w:val="left" w:leader="none"/>
              </w:tabs>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4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4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w:t>
            </w:r>
          </w:p>
        </w:tc>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480"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4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26"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应收账款周转天数</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5.77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5.74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0.03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天</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3.52</w:t>
            </w:r>
          </w:p>
        </w:tc>
      </w:tr>
      <w:tr>
        <w:trPr>
          <w:trHeight w:val="324"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存货周转天数</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68.46</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54.38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天</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45.92</w:t>
            </w:r>
          </w:p>
        </w:tc>
      </w:tr>
      <w:tr>
        <w:trPr>
          <w:trHeight w:val="325"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流动资产周转天数</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6"/>
              <w:jc w:val="right"/>
              <w:rPr>
                <w:rFonts w:ascii="Times New Roman" w:hAnsi="Times New Roman" w:cs="Times New Roman" w:eastAsia="Times New Roman" w:hint="default"/>
                <w:sz w:val="21"/>
                <w:szCs w:val="21"/>
              </w:rPr>
            </w:pPr>
            <w:r>
              <w:rPr>
                <w:rFonts w:ascii="Times New Roman"/>
                <w:sz w:val="21"/>
              </w:rPr>
              <w:t>177.29</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6"/>
              <w:jc w:val="right"/>
              <w:rPr>
                <w:rFonts w:ascii="Times New Roman" w:hAnsi="Times New Roman" w:cs="Times New Roman" w:eastAsia="Times New Roman" w:hint="default"/>
                <w:sz w:val="21"/>
                <w:szCs w:val="21"/>
              </w:rPr>
            </w:pPr>
            <w:r>
              <w:rPr>
                <w:rFonts w:ascii="Times New Roman"/>
                <w:sz w:val="21"/>
              </w:rPr>
              <w:t>149.10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天</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6"/>
              <w:jc w:val="right"/>
              <w:rPr>
                <w:rFonts w:ascii="Times New Roman" w:hAnsi="Times New Roman" w:cs="Times New Roman" w:eastAsia="Times New Roman" w:hint="default"/>
                <w:sz w:val="21"/>
                <w:szCs w:val="21"/>
              </w:rPr>
            </w:pPr>
            <w:r>
              <w:rPr>
                <w:rFonts w:ascii="Times New Roman"/>
                <w:sz w:val="21"/>
              </w:rPr>
              <w:t>156.52</w:t>
            </w:r>
          </w:p>
        </w:tc>
      </w:tr>
      <w:tr>
        <w:trPr>
          <w:trHeight w:val="326"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总资产周转天数</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252.26</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202.25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天</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193.55</w:t>
            </w:r>
          </w:p>
        </w:tc>
      </w:tr>
    </w:tbl>
    <w:p>
      <w:pPr>
        <w:pStyle w:val="BodyText"/>
        <w:spacing w:line="400" w:lineRule="auto" w:before="64"/>
        <w:ind w:left="212" w:right="1021" w:firstLine="420"/>
        <w:jc w:val="left"/>
      </w:pPr>
      <w:r>
        <w:rPr>
          <w:spacing w:val="-3"/>
        </w:rPr>
        <w:t>报告期内，随着线上业务的快速发展，以及连锁发展的持续纵深，公司网络覆盖范围进一步扩大，相</w:t>
      </w:r>
      <w:r>
        <w:rPr>
          <w:w w:val="100"/>
        </w:rPr>
        <w:t> </w:t>
      </w:r>
      <w:r>
        <w:rPr/>
        <w:t>应的存货规模增加，此外物流、店面资产规模也在增加，受销售规模增长放缓的影响，存货、流动资产、</w:t>
      </w:r>
      <w:r>
        <w:rPr>
          <w:w w:val="100"/>
        </w:rPr>
        <w:t> </w:t>
      </w:r>
      <w:r>
        <w:rPr>
          <w:spacing w:val="-6"/>
        </w:rPr>
        <w:t>总资产周转率有所下降，周转天数较上年同期有所增加。</w:t>
      </w:r>
      <w:r>
        <w:rPr>
          <w:rFonts w:ascii="Times New Roman" w:hAnsi="Times New Roman" w:cs="Times New Roman" w:eastAsia="Times New Roman" w:hint="default"/>
          <w:spacing w:val="-6"/>
        </w:rPr>
        <w:t>2013 </w:t>
      </w:r>
      <w:r>
        <w:rPr>
          <w:spacing w:val="-5"/>
        </w:rPr>
        <w:t>年，公司将进一步加强资产运营指标的管理，</w:t>
      </w:r>
      <w:r>
        <w:rPr>
          <w:spacing w:val="-58"/>
        </w:rPr>
        <w:t> </w:t>
      </w:r>
      <w:r>
        <w:rPr>
          <w:spacing w:val="-58"/>
        </w:rPr>
      </w:r>
      <w:r>
        <w:rPr/>
        <w:t>提高资产、资金效率。</w:t>
      </w:r>
    </w:p>
    <w:p>
      <w:pPr>
        <w:spacing w:after="0" w:line="400" w:lineRule="auto"/>
        <w:jc w:val="left"/>
        <w:sectPr>
          <w:pgSz w:w="11910" w:h="16840"/>
          <w:pgMar w:header="745" w:footer="1265" w:top="1060" w:bottom="1540" w:left="920" w:right="0"/>
        </w:sectPr>
      </w:pPr>
    </w:p>
    <w:p>
      <w:pPr>
        <w:spacing w:line="240" w:lineRule="auto" w:before="6"/>
        <w:rPr>
          <w:rFonts w:ascii="宋体" w:hAnsi="宋体" w:cs="宋体" w:eastAsia="宋体" w:hint="default"/>
          <w:sz w:val="29"/>
          <w:szCs w:val="29"/>
        </w:rPr>
      </w:pPr>
    </w:p>
    <w:p>
      <w:pPr>
        <w:pStyle w:val="Heading2"/>
        <w:spacing w:line="240" w:lineRule="auto" w:before="26"/>
        <w:ind w:left="695" w:right="1021"/>
        <w:jc w:val="left"/>
        <w:rPr>
          <w:b w:val="0"/>
          <w:bCs w:val="0"/>
        </w:rPr>
      </w:pPr>
      <w:r>
        <w:rPr/>
        <w:t>六、现金流量分析</w:t>
      </w:r>
      <w:r>
        <w:rPr>
          <w:b w:val="0"/>
          <w:bCs w:val="0"/>
        </w:rPr>
      </w:r>
    </w:p>
    <w:p>
      <w:pPr>
        <w:spacing w:line="240" w:lineRule="auto" w:before="4"/>
        <w:rPr>
          <w:rFonts w:ascii="宋体" w:hAnsi="宋体" w:cs="宋体" w:eastAsia="宋体" w:hint="default"/>
          <w:b/>
          <w:bCs/>
          <w:sz w:val="14"/>
          <w:szCs w:val="14"/>
        </w:rPr>
      </w:pPr>
    </w:p>
    <w:p>
      <w:pPr>
        <w:pStyle w:val="BodyText"/>
        <w:spacing w:line="240" w:lineRule="auto" w:before="36"/>
        <w:ind w:left="0" w:right="1128"/>
        <w:jc w:val="right"/>
      </w:pPr>
      <w:r>
        <w:rPr>
          <w:spacing w:val="-1"/>
        </w:rPr>
        <w:t>（单位：千元）</w:t>
      </w:r>
    </w:p>
    <w:p>
      <w:pPr>
        <w:spacing w:line="240" w:lineRule="auto" w:before="12"/>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3671"/>
        <w:gridCol w:w="2326"/>
        <w:gridCol w:w="1930"/>
        <w:gridCol w:w="1930"/>
      </w:tblGrid>
      <w:tr>
        <w:trPr>
          <w:trHeight w:val="518"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631" w:val="left" w:leader="none"/>
              </w:tabs>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7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5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44"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70"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5,299,441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6,588,520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-19.57%</w:t>
            </w:r>
          </w:p>
        </w:tc>
      </w:tr>
      <w:tr>
        <w:trPr>
          <w:trHeight w:val="367"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4"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2"/>
                <w:sz w:val="21"/>
              </w:rPr>
              <w:t>114,076,000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109,891,721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5"/>
              <w:jc w:val="right"/>
              <w:rPr>
                <w:rFonts w:ascii="Times New Roman" w:hAnsi="Times New Roman" w:cs="Times New Roman" w:eastAsia="Times New Roman" w:hint="default"/>
                <w:sz w:val="21"/>
                <w:szCs w:val="21"/>
              </w:rPr>
            </w:pPr>
            <w:r>
              <w:rPr>
                <w:rFonts w:ascii="Times New Roman"/>
                <w:sz w:val="21"/>
              </w:rPr>
              <w:t>3.81%</w:t>
            </w:r>
          </w:p>
        </w:tc>
      </w:tr>
      <w:tr>
        <w:trPr>
          <w:trHeight w:val="370"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4"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108,776,559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103,303,201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5"/>
              <w:jc w:val="right"/>
              <w:rPr>
                <w:rFonts w:ascii="Times New Roman" w:hAnsi="Times New Roman" w:cs="Times New Roman" w:eastAsia="Times New Roman" w:hint="default"/>
                <w:sz w:val="21"/>
                <w:szCs w:val="21"/>
              </w:rPr>
            </w:pPr>
            <w:r>
              <w:rPr>
                <w:rFonts w:ascii="Times New Roman"/>
                <w:sz w:val="21"/>
              </w:rPr>
              <w:t>5.30%</w:t>
            </w:r>
          </w:p>
        </w:tc>
      </w:tr>
      <w:tr>
        <w:trPr>
          <w:trHeight w:val="370"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-6,136,459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-5,990,447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-2.44%</w:t>
            </w:r>
          </w:p>
        </w:tc>
      </w:tr>
      <w:tr>
        <w:trPr>
          <w:trHeight w:val="370"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4" w:right="0"/>
              <w:jc w:val="left"/>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169,569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992,986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-82.92%</w:t>
            </w:r>
          </w:p>
        </w:tc>
      </w:tr>
      <w:tr>
        <w:trPr>
          <w:trHeight w:val="367"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4"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6,306,028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6,983,433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-9.70%</w:t>
            </w:r>
          </w:p>
        </w:tc>
      </w:tr>
      <w:tr>
        <w:trPr>
          <w:trHeight w:val="370"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Times New Roman" w:hAnsi="Times New Roman" w:cs="Times New Roman" w:eastAsia="Times New Roman" w:hint="default"/>
                <w:sz w:val="21"/>
                <w:szCs w:val="21"/>
              </w:rPr>
            </w:pPr>
            <w:r>
              <w:rPr>
                <w:rFonts w:ascii="Times New Roman"/>
                <w:spacing w:val="-1"/>
                <w:sz w:val="21"/>
              </w:rPr>
              <w:t>8,167,101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Times New Roman" w:hAnsi="Times New Roman" w:cs="Times New Roman" w:eastAsia="Times New Roman" w:hint="default"/>
                <w:sz w:val="21"/>
                <w:szCs w:val="21"/>
              </w:rPr>
            </w:pPr>
            <w:r>
              <w:rPr>
                <w:rFonts w:ascii="Times New Roman"/>
                <w:spacing w:val="-1"/>
                <w:sz w:val="21"/>
              </w:rPr>
              <w:t>679,401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5"/>
              <w:jc w:val="right"/>
              <w:rPr>
                <w:rFonts w:ascii="Times New Roman" w:hAnsi="Times New Roman" w:cs="Times New Roman" w:eastAsia="Times New Roman" w:hint="default"/>
                <w:sz w:val="21"/>
                <w:szCs w:val="21"/>
              </w:rPr>
            </w:pPr>
            <w:r>
              <w:rPr>
                <w:rFonts w:ascii="Times New Roman"/>
                <w:spacing w:val="-2"/>
                <w:sz w:val="21"/>
              </w:rPr>
              <w:t>1102.10%</w:t>
            </w:r>
          </w:p>
        </w:tc>
      </w:tr>
      <w:tr>
        <w:trPr>
          <w:trHeight w:val="370"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4" w:right="0"/>
              <w:jc w:val="left"/>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2"/>
                <w:sz w:val="21"/>
              </w:rPr>
              <w:t>11,333,673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1,430,451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5"/>
              <w:jc w:val="right"/>
              <w:rPr>
                <w:rFonts w:ascii="Times New Roman" w:hAnsi="Times New Roman" w:cs="Times New Roman" w:eastAsia="Times New Roman" w:hint="default"/>
                <w:sz w:val="21"/>
                <w:szCs w:val="21"/>
              </w:rPr>
            </w:pPr>
            <w:r>
              <w:rPr>
                <w:rFonts w:ascii="Times New Roman"/>
                <w:sz w:val="21"/>
              </w:rPr>
              <w:t>692.31%</w:t>
            </w:r>
          </w:p>
        </w:tc>
      </w:tr>
      <w:tr>
        <w:trPr>
          <w:trHeight w:val="370"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4" w:right="0"/>
              <w:jc w:val="left"/>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3,166,572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751,050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5"/>
              <w:jc w:val="right"/>
              <w:rPr>
                <w:rFonts w:ascii="Times New Roman" w:hAnsi="Times New Roman" w:cs="Times New Roman" w:eastAsia="Times New Roman" w:hint="default"/>
                <w:sz w:val="21"/>
                <w:szCs w:val="21"/>
              </w:rPr>
            </w:pPr>
            <w:r>
              <w:rPr>
                <w:rFonts w:ascii="Times New Roman"/>
                <w:sz w:val="21"/>
              </w:rPr>
              <w:t>321.62%</w:t>
            </w:r>
          </w:p>
        </w:tc>
      </w:tr>
      <w:tr>
        <w:trPr>
          <w:trHeight w:val="367"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7,294,561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1,272,693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5"/>
              <w:jc w:val="right"/>
              <w:rPr>
                <w:rFonts w:ascii="Times New Roman" w:hAnsi="Times New Roman" w:cs="Times New Roman" w:eastAsia="Times New Roman" w:hint="default"/>
                <w:sz w:val="21"/>
                <w:szCs w:val="21"/>
              </w:rPr>
            </w:pPr>
            <w:r>
              <w:rPr>
                <w:rFonts w:ascii="Times New Roman"/>
                <w:sz w:val="21"/>
              </w:rPr>
              <w:t>473.16%</w:t>
            </w:r>
          </w:p>
        </w:tc>
      </w:tr>
      <w:tr>
        <w:trPr>
          <w:trHeight w:val="370"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4" w:right="0"/>
              <w:jc w:val="left"/>
              <w:rPr>
                <w:rFonts w:ascii="宋体" w:hAnsi="宋体" w:cs="宋体" w:eastAsia="宋体" w:hint="default"/>
                <w:sz w:val="21"/>
                <w:szCs w:val="21"/>
              </w:rPr>
            </w:pPr>
            <w:r>
              <w:rPr>
                <w:rFonts w:ascii="宋体" w:hAnsi="宋体" w:cs="宋体" w:eastAsia="宋体" w:hint="default"/>
                <w:sz w:val="21"/>
                <w:szCs w:val="21"/>
              </w:rPr>
              <w:t>现金流入总计</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125,579,242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2"/>
                <w:sz w:val="21"/>
              </w:rPr>
              <w:t>112,315,158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5"/>
              <w:jc w:val="right"/>
              <w:rPr>
                <w:rFonts w:ascii="Times New Roman" w:hAnsi="Times New Roman" w:cs="Times New Roman" w:eastAsia="Times New Roman" w:hint="default"/>
                <w:sz w:val="21"/>
                <w:szCs w:val="21"/>
              </w:rPr>
            </w:pPr>
            <w:r>
              <w:rPr>
                <w:rFonts w:ascii="Times New Roman"/>
                <w:spacing w:val="-2"/>
                <w:sz w:val="21"/>
              </w:rPr>
              <w:t>11.81%</w:t>
            </w:r>
          </w:p>
        </w:tc>
      </w:tr>
      <w:tr>
        <w:trPr>
          <w:trHeight w:val="370"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4" w:right="0"/>
              <w:jc w:val="left"/>
              <w:rPr>
                <w:rFonts w:ascii="宋体" w:hAnsi="宋体" w:cs="宋体" w:eastAsia="宋体" w:hint="default"/>
                <w:sz w:val="21"/>
                <w:szCs w:val="21"/>
              </w:rPr>
            </w:pPr>
            <w:r>
              <w:rPr>
                <w:rFonts w:ascii="宋体" w:hAnsi="宋体" w:cs="宋体" w:eastAsia="宋体" w:hint="default"/>
                <w:sz w:val="21"/>
                <w:szCs w:val="21"/>
              </w:rPr>
              <w:t>现金流出总计</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2"/>
                <w:sz w:val="21"/>
              </w:rPr>
              <w:t>118,249,159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2"/>
                <w:sz w:val="21"/>
              </w:rPr>
              <w:t>111,037,684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5"/>
              <w:jc w:val="right"/>
              <w:rPr>
                <w:rFonts w:ascii="Times New Roman" w:hAnsi="Times New Roman" w:cs="Times New Roman" w:eastAsia="Times New Roman" w:hint="default"/>
                <w:sz w:val="21"/>
                <w:szCs w:val="21"/>
              </w:rPr>
            </w:pPr>
            <w:r>
              <w:rPr>
                <w:rFonts w:ascii="Times New Roman"/>
                <w:sz w:val="21"/>
              </w:rPr>
              <w:t>6.49%</w:t>
            </w:r>
          </w:p>
        </w:tc>
      </w:tr>
    </w:tbl>
    <w:p>
      <w:pPr>
        <w:spacing w:line="240" w:lineRule="auto" w:before="1"/>
        <w:rPr>
          <w:rFonts w:ascii="宋体" w:hAnsi="宋体" w:cs="宋体" w:eastAsia="宋体" w:hint="default"/>
          <w:sz w:val="14"/>
          <w:szCs w:val="14"/>
        </w:rPr>
      </w:pPr>
    </w:p>
    <w:p>
      <w:pPr>
        <w:pStyle w:val="BodyText"/>
        <w:spacing w:line="408" w:lineRule="auto" w:before="36"/>
        <w:ind w:left="212" w:right="1021" w:firstLine="420"/>
        <w:jc w:val="left"/>
      </w:pPr>
      <w:r>
        <w:rPr>
          <w:spacing w:val="-3"/>
        </w:rPr>
        <w:t>报告期内，公司实施完成</w:t>
      </w:r>
      <w:r>
        <w:rPr>
          <w:spacing w:val="-45"/>
        </w:rPr>
        <w:t> </w:t>
      </w:r>
      <w:r>
        <w:rPr>
          <w:rFonts w:ascii="宋体" w:hAnsi="宋体" w:cs="宋体" w:eastAsia="宋体" w:hint="default"/>
        </w:rPr>
        <w:t>2011</w:t>
      </w:r>
      <w:r>
        <w:rPr>
          <w:rFonts w:ascii="宋体" w:hAnsi="宋体" w:cs="宋体" w:eastAsia="宋体" w:hint="default"/>
          <w:spacing w:val="-45"/>
        </w:rPr>
        <w:t> </w:t>
      </w:r>
      <w:r>
        <w:rPr/>
        <w:t>年非公开发行股票项目及公开发行</w:t>
      </w:r>
      <w:r>
        <w:rPr>
          <w:spacing w:val="-43"/>
        </w:rPr>
        <w:t> </w:t>
      </w:r>
      <w:r>
        <w:rPr>
          <w:rFonts w:ascii="宋体" w:hAnsi="宋体" w:cs="宋体" w:eastAsia="宋体" w:hint="default"/>
        </w:rPr>
        <w:t>45</w:t>
      </w:r>
      <w:r>
        <w:rPr>
          <w:rFonts w:ascii="宋体" w:hAnsi="宋体" w:cs="宋体" w:eastAsia="宋体" w:hint="default"/>
          <w:spacing w:val="-43"/>
        </w:rPr>
        <w:t> </w:t>
      </w:r>
      <w:r>
        <w:rPr>
          <w:spacing w:val="-3"/>
        </w:rPr>
        <w:t>亿元公司债券，筹资活动现金流</w:t>
      </w:r>
      <w:r>
        <w:rPr>
          <w:w w:val="100"/>
        </w:rPr>
        <w:t> </w:t>
      </w:r>
      <w:r>
        <w:rPr/>
        <w:t>入同比增加</w:t>
      </w:r>
      <w:r>
        <w:rPr>
          <w:spacing w:val="-56"/>
        </w:rPr>
        <w:t> </w:t>
      </w:r>
      <w:r>
        <w:rPr>
          <w:rFonts w:ascii="Times New Roman" w:hAnsi="Times New Roman" w:cs="Times New Roman" w:eastAsia="Times New Roman" w:hint="default"/>
        </w:rPr>
        <w:t>692.31%</w:t>
      </w:r>
      <w:r>
        <w:rPr/>
        <w:t>，使得报告期内现金及现金等价物净增加额同比增加</w:t>
      </w:r>
      <w:r>
        <w:rPr>
          <w:spacing w:val="-56"/>
        </w:rPr>
        <w:t> </w:t>
      </w:r>
      <w:r>
        <w:rPr>
          <w:rFonts w:ascii="Times New Roman" w:hAnsi="Times New Roman" w:cs="Times New Roman" w:eastAsia="Times New Roman" w:hint="default"/>
        </w:rPr>
        <w:t>473.16%</w:t>
      </w:r>
      <w:r>
        <w:rPr/>
        <w:t>。</w:t>
      </w:r>
    </w:p>
    <w:p>
      <w:pPr>
        <w:spacing w:line="240" w:lineRule="auto" w:before="3"/>
        <w:rPr>
          <w:rFonts w:ascii="宋体" w:hAnsi="宋体" w:cs="宋体" w:eastAsia="宋体" w:hint="default"/>
          <w:sz w:val="16"/>
          <w:szCs w:val="16"/>
        </w:rPr>
      </w:pPr>
    </w:p>
    <w:p>
      <w:pPr>
        <w:pStyle w:val="Heading2"/>
        <w:spacing w:line="240" w:lineRule="auto"/>
        <w:ind w:left="695" w:right="1021"/>
        <w:jc w:val="left"/>
        <w:rPr>
          <w:b w:val="0"/>
          <w:bCs w:val="0"/>
        </w:rPr>
      </w:pPr>
      <w:r>
        <w:rPr/>
        <w:t>七、主要供应商及客户情况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1846"/>
        <w:gridCol w:w="1601"/>
        <w:gridCol w:w="1601"/>
        <w:gridCol w:w="1604"/>
        <w:gridCol w:w="1601"/>
        <w:gridCol w:w="1603"/>
      </w:tblGrid>
      <w:tr>
        <w:trPr>
          <w:trHeight w:val="946"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376" w:right="0"/>
              <w:jc w:val="left"/>
              <w:rPr>
                <w:rFonts w:ascii="宋体" w:hAnsi="宋体" w:cs="宋体" w:eastAsia="宋体" w:hint="default"/>
                <w:sz w:val="21"/>
                <w:szCs w:val="21"/>
              </w:rPr>
            </w:pPr>
            <w:r>
              <w:rPr>
                <w:rFonts w:ascii="宋体" w:hAnsi="宋体" w:cs="宋体" w:eastAsia="宋体" w:hint="default"/>
                <w:sz w:val="21"/>
                <w:szCs w:val="21"/>
              </w:rPr>
              <w:t>采购金额</w:t>
            </w:r>
          </w:p>
          <w:p>
            <w:pPr>
              <w:pStyle w:val="TableParagraph"/>
              <w:spacing w:line="240" w:lineRule="auto" w:before="37"/>
              <w:ind w:left="376" w:right="0"/>
              <w:jc w:val="left"/>
              <w:rPr>
                <w:rFonts w:ascii="宋体" w:hAnsi="宋体" w:cs="宋体" w:eastAsia="宋体" w:hint="default"/>
                <w:sz w:val="21"/>
                <w:szCs w:val="21"/>
              </w:rPr>
            </w:pPr>
            <w:r>
              <w:rPr>
                <w:rFonts w:ascii="宋体" w:hAnsi="宋体" w:cs="宋体" w:eastAsia="宋体" w:hint="default"/>
                <w:sz w:val="21"/>
                <w:szCs w:val="21"/>
              </w:rPr>
              <w:t>（千元）</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103" w:right="-8" w:firstLine="62"/>
              <w:jc w:val="left"/>
              <w:rPr>
                <w:rFonts w:ascii="宋体" w:hAnsi="宋体" w:cs="宋体" w:eastAsia="宋体" w:hint="default"/>
                <w:sz w:val="21"/>
                <w:szCs w:val="21"/>
              </w:rPr>
            </w:pPr>
            <w:r>
              <w:rPr>
                <w:rFonts w:ascii="宋体" w:hAnsi="宋体" w:cs="宋体" w:eastAsia="宋体" w:hint="default"/>
                <w:sz w:val="21"/>
                <w:szCs w:val="21"/>
              </w:rPr>
              <w:t>占年度采购总</w:t>
            </w:r>
            <w:r>
              <w:rPr>
                <w:rFonts w:ascii="宋体" w:hAnsi="宋体" w:cs="宋体" w:eastAsia="宋体" w:hint="default"/>
                <w:w w:val="100"/>
                <w:sz w:val="21"/>
                <w:szCs w:val="21"/>
              </w:rPr>
              <w:t> </w:t>
            </w:r>
            <w:r>
              <w:rPr>
                <w:rFonts w:ascii="宋体" w:hAnsi="宋体" w:cs="宋体" w:eastAsia="宋体" w:hint="default"/>
                <w:spacing w:val="-12"/>
                <w:w w:val="100"/>
                <w:sz w:val="21"/>
                <w:szCs w:val="21"/>
              </w:rPr>
              <w:t>金额的比例（</w:t>
            </w:r>
            <w:r>
              <w:rPr>
                <w:rFonts w:ascii="宋体" w:hAnsi="宋体" w:cs="宋体" w:eastAsia="宋体" w:hint="default"/>
                <w:spacing w:val="-12"/>
                <w:w w:val="100"/>
                <w:sz w:val="21"/>
                <w:szCs w:val="21"/>
              </w:rPr>
              <w:t>%</w:t>
            </w:r>
            <w:r>
              <w:rPr>
                <w:rFonts w:ascii="宋体" w:hAnsi="宋体" w:cs="宋体" w:eastAsia="宋体" w:hint="default"/>
                <w:spacing w:val="-12"/>
                <w:w w:val="100"/>
                <w:sz w:val="21"/>
                <w:szCs w:val="21"/>
              </w:rPr>
              <w:t>）</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预付账款余额</w:t>
            </w:r>
          </w:p>
          <w:p>
            <w:pPr>
              <w:pStyle w:val="TableParagraph"/>
              <w:spacing w:line="240" w:lineRule="auto" w:before="37"/>
              <w:ind w:left="7" w:right="0"/>
              <w:jc w:val="center"/>
              <w:rPr>
                <w:rFonts w:ascii="宋体" w:hAnsi="宋体" w:cs="宋体" w:eastAsia="宋体" w:hint="default"/>
                <w:sz w:val="21"/>
                <w:szCs w:val="21"/>
              </w:rPr>
            </w:pPr>
            <w:r>
              <w:rPr>
                <w:rFonts w:ascii="宋体" w:hAnsi="宋体" w:cs="宋体" w:eastAsia="宋体" w:hint="default"/>
                <w:sz w:val="21"/>
                <w:szCs w:val="21"/>
              </w:rPr>
              <w:t>（千元）</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65" w:right="161"/>
              <w:jc w:val="center"/>
              <w:rPr>
                <w:rFonts w:ascii="宋体" w:hAnsi="宋体" w:cs="宋体" w:eastAsia="宋体" w:hint="default"/>
                <w:sz w:val="21"/>
                <w:szCs w:val="21"/>
              </w:rPr>
            </w:pPr>
            <w:r>
              <w:rPr>
                <w:rFonts w:ascii="宋体" w:hAnsi="宋体" w:cs="宋体" w:eastAsia="宋体" w:hint="default"/>
                <w:spacing w:val="-1"/>
                <w:sz w:val="21"/>
                <w:szCs w:val="21"/>
              </w:rPr>
              <w:t>占公司预付账</w:t>
            </w:r>
            <w:r>
              <w:rPr>
                <w:rFonts w:ascii="宋体" w:hAnsi="宋体" w:cs="宋体" w:eastAsia="宋体" w:hint="default"/>
                <w:w w:val="100"/>
                <w:sz w:val="21"/>
                <w:szCs w:val="21"/>
              </w:rPr>
              <w:t> </w:t>
            </w:r>
            <w:r>
              <w:rPr>
                <w:rFonts w:ascii="宋体" w:hAnsi="宋体" w:cs="宋体" w:eastAsia="宋体" w:hint="default"/>
                <w:spacing w:val="-1"/>
                <w:sz w:val="21"/>
                <w:szCs w:val="21"/>
              </w:rPr>
              <w:t>款总余额的比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587" w:right="161" w:hanging="420"/>
              <w:jc w:val="left"/>
              <w:rPr>
                <w:rFonts w:ascii="宋体" w:hAnsi="宋体" w:cs="宋体" w:eastAsia="宋体" w:hint="default"/>
                <w:sz w:val="21"/>
                <w:szCs w:val="21"/>
              </w:rPr>
            </w:pPr>
            <w:r>
              <w:rPr>
                <w:rFonts w:ascii="宋体" w:hAnsi="宋体" w:cs="宋体" w:eastAsia="宋体" w:hint="default"/>
                <w:sz w:val="21"/>
                <w:szCs w:val="21"/>
              </w:rPr>
              <w:t>是否存在关联</w:t>
            </w:r>
            <w:r>
              <w:rPr>
                <w:rFonts w:ascii="宋体" w:hAnsi="宋体" w:cs="宋体" w:eastAsia="宋体" w:hint="default"/>
                <w:w w:val="100"/>
                <w:sz w:val="21"/>
                <w:szCs w:val="21"/>
              </w:rPr>
              <w:t> </w:t>
            </w:r>
            <w:r>
              <w:rPr>
                <w:rFonts w:ascii="宋体" w:hAnsi="宋体" w:cs="宋体" w:eastAsia="宋体" w:hint="default"/>
                <w:sz w:val="21"/>
                <w:szCs w:val="21"/>
              </w:rPr>
              <w:t>关系</w:t>
            </w:r>
          </w:p>
        </w:tc>
      </w:tr>
      <w:tr>
        <w:trPr>
          <w:trHeight w:val="412"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 w:right="0"/>
              <w:jc w:val="center"/>
              <w:rPr>
                <w:rFonts w:ascii="宋体" w:hAnsi="宋体" w:cs="宋体" w:eastAsia="宋体" w:hint="default"/>
                <w:sz w:val="21"/>
                <w:szCs w:val="21"/>
              </w:rPr>
            </w:pPr>
            <w:r>
              <w:rPr>
                <w:rFonts w:ascii="宋体" w:hAnsi="宋体" w:cs="宋体" w:eastAsia="宋体" w:hint="default"/>
                <w:sz w:val="21"/>
                <w:szCs w:val="21"/>
              </w:rPr>
              <w:t>前五名供应商</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17"/>
              <w:jc w:val="right"/>
              <w:rPr>
                <w:rFonts w:ascii="Times New Roman" w:hAnsi="Times New Roman" w:cs="Times New Roman" w:eastAsia="Times New Roman" w:hint="default"/>
                <w:sz w:val="21"/>
                <w:szCs w:val="21"/>
              </w:rPr>
            </w:pPr>
            <w:r>
              <w:rPr>
                <w:rFonts w:ascii="Times New Roman"/>
                <w:spacing w:val="-1"/>
                <w:sz w:val="21"/>
              </w:rPr>
              <w:t>25,022,030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 w:right="0"/>
              <w:jc w:val="center"/>
              <w:rPr>
                <w:rFonts w:ascii="Times New Roman" w:hAnsi="Times New Roman" w:cs="Times New Roman" w:eastAsia="Times New Roman" w:hint="default"/>
                <w:sz w:val="21"/>
                <w:szCs w:val="21"/>
              </w:rPr>
            </w:pPr>
            <w:r>
              <w:rPr>
                <w:rFonts w:ascii="Times New Roman"/>
                <w:sz w:val="21"/>
              </w:rPr>
              <w:t>29.63%</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 w:right="0"/>
              <w:jc w:val="center"/>
              <w:rPr>
                <w:rFonts w:ascii="Times New Roman" w:hAnsi="Times New Roman" w:cs="Times New Roman" w:eastAsia="Times New Roman" w:hint="default"/>
                <w:sz w:val="21"/>
                <w:szCs w:val="21"/>
              </w:rPr>
            </w:pPr>
            <w:r>
              <w:rPr>
                <w:rFonts w:ascii="Times New Roman"/>
                <w:sz w:val="21"/>
              </w:rPr>
              <w:t>70,560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Times New Roman" w:hAnsi="Times New Roman" w:cs="Times New Roman" w:eastAsia="Times New Roman" w:hint="default"/>
                <w:sz w:val="21"/>
                <w:szCs w:val="21"/>
              </w:rPr>
            </w:pPr>
            <w:r>
              <w:rPr>
                <w:rFonts w:ascii="Times New Roman"/>
                <w:sz w:val="21"/>
              </w:rPr>
              <w:t>2.27%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47"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271" w:right="96" w:hanging="166"/>
              <w:jc w:val="left"/>
              <w:rPr>
                <w:rFonts w:ascii="宋体" w:hAnsi="宋体" w:cs="宋体" w:eastAsia="宋体" w:hint="default"/>
                <w:sz w:val="21"/>
                <w:szCs w:val="21"/>
              </w:rPr>
            </w:pPr>
            <w:r>
              <w:rPr>
                <w:rFonts w:ascii="宋体" w:hAnsi="宋体" w:cs="宋体" w:eastAsia="宋体" w:hint="default"/>
                <w:spacing w:val="-14"/>
                <w:w w:val="100"/>
                <w:sz w:val="21"/>
                <w:szCs w:val="21"/>
              </w:rPr>
              <w:t>销售金额（不含</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税、千元）</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65" w:right="161" w:hanging="1"/>
              <w:jc w:val="center"/>
              <w:rPr>
                <w:rFonts w:ascii="宋体" w:hAnsi="宋体" w:cs="宋体" w:eastAsia="宋体" w:hint="default"/>
                <w:sz w:val="21"/>
                <w:szCs w:val="21"/>
              </w:rPr>
            </w:pPr>
            <w:r>
              <w:rPr>
                <w:rFonts w:ascii="宋体" w:hAnsi="宋体" w:cs="宋体" w:eastAsia="宋体" w:hint="default"/>
                <w:spacing w:val="-1"/>
                <w:sz w:val="21"/>
                <w:szCs w:val="21"/>
              </w:rPr>
              <w:t>占年度主营收</w:t>
            </w:r>
            <w:r>
              <w:rPr>
                <w:rFonts w:ascii="宋体" w:hAnsi="宋体" w:cs="宋体" w:eastAsia="宋体" w:hint="default"/>
                <w:w w:val="100"/>
                <w:sz w:val="21"/>
                <w:szCs w:val="21"/>
              </w:rPr>
              <w:t> </w:t>
            </w:r>
            <w:r>
              <w:rPr>
                <w:rFonts w:ascii="宋体" w:hAnsi="宋体" w:cs="宋体" w:eastAsia="宋体" w:hint="default"/>
                <w:spacing w:val="-1"/>
                <w:sz w:val="21"/>
                <w:szCs w:val="21"/>
              </w:rPr>
              <w:t>入金额的比例</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4" w:right="0"/>
              <w:jc w:val="center"/>
              <w:rPr>
                <w:rFonts w:ascii="宋体" w:hAnsi="宋体" w:cs="宋体" w:eastAsia="宋体" w:hint="default"/>
                <w:sz w:val="21"/>
                <w:szCs w:val="21"/>
              </w:rPr>
            </w:pPr>
            <w:r>
              <w:rPr>
                <w:rFonts w:ascii="宋体" w:hAnsi="宋体" w:cs="宋体" w:eastAsia="宋体" w:hint="default"/>
                <w:sz w:val="21"/>
                <w:szCs w:val="21"/>
              </w:rPr>
              <w:t>应收账款余额</w:t>
            </w:r>
          </w:p>
          <w:p>
            <w:pPr>
              <w:pStyle w:val="TableParagraph"/>
              <w:spacing w:line="240" w:lineRule="auto" w:before="37"/>
              <w:ind w:left="7" w:right="0"/>
              <w:jc w:val="center"/>
              <w:rPr>
                <w:rFonts w:ascii="宋体" w:hAnsi="宋体" w:cs="宋体" w:eastAsia="宋体" w:hint="default"/>
                <w:sz w:val="21"/>
                <w:szCs w:val="21"/>
              </w:rPr>
            </w:pPr>
            <w:r>
              <w:rPr>
                <w:rFonts w:ascii="宋体" w:hAnsi="宋体" w:cs="宋体" w:eastAsia="宋体" w:hint="default"/>
                <w:sz w:val="21"/>
                <w:szCs w:val="21"/>
              </w:rPr>
              <w:t>（千元）</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65" w:right="161"/>
              <w:jc w:val="center"/>
              <w:rPr>
                <w:rFonts w:ascii="宋体" w:hAnsi="宋体" w:cs="宋体" w:eastAsia="宋体" w:hint="default"/>
                <w:sz w:val="21"/>
                <w:szCs w:val="21"/>
              </w:rPr>
            </w:pPr>
            <w:r>
              <w:rPr>
                <w:rFonts w:ascii="宋体" w:hAnsi="宋体" w:cs="宋体" w:eastAsia="宋体" w:hint="default"/>
                <w:spacing w:val="-1"/>
                <w:sz w:val="21"/>
                <w:szCs w:val="21"/>
              </w:rPr>
              <w:t>占公司应收账</w:t>
            </w:r>
            <w:r>
              <w:rPr>
                <w:rFonts w:ascii="宋体" w:hAnsi="宋体" w:cs="宋体" w:eastAsia="宋体" w:hint="default"/>
                <w:w w:val="100"/>
                <w:sz w:val="21"/>
                <w:szCs w:val="21"/>
              </w:rPr>
              <w:t> </w:t>
            </w:r>
            <w:r>
              <w:rPr>
                <w:rFonts w:ascii="宋体" w:hAnsi="宋体" w:cs="宋体" w:eastAsia="宋体" w:hint="default"/>
                <w:spacing w:val="-1"/>
                <w:sz w:val="21"/>
                <w:szCs w:val="21"/>
              </w:rPr>
              <w:t>款总余额的比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587" w:right="161" w:hanging="420"/>
              <w:jc w:val="left"/>
              <w:rPr>
                <w:rFonts w:ascii="宋体" w:hAnsi="宋体" w:cs="宋体" w:eastAsia="宋体" w:hint="default"/>
                <w:sz w:val="21"/>
                <w:szCs w:val="21"/>
              </w:rPr>
            </w:pPr>
            <w:r>
              <w:rPr>
                <w:rFonts w:ascii="宋体" w:hAnsi="宋体" w:cs="宋体" w:eastAsia="宋体" w:hint="default"/>
                <w:sz w:val="21"/>
                <w:szCs w:val="21"/>
              </w:rPr>
              <w:t>是否存在关联</w:t>
            </w:r>
            <w:r>
              <w:rPr>
                <w:rFonts w:ascii="宋体" w:hAnsi="宋体" w:cs="宋体" w:eastAsia="宋体" w:hint="default"/>
                <w:w w:val="100"/>
                <w:sz w:val="21"/>
                <w:szCs w:val="21"/>
              </w:rPr>
              <w:t> </w:t>
            </w:r>
            <w:r>
              <w:rPr>
                <w:rFonts w:ascii="宋体" w:hAnsi="宋体" w:cs="宋体" w:eastAsia="宋体" w:hint="default"/>
                <w:sz w:val="21"/>
                <w:szCs w:val="21"/>
              </w:rPr>
              <w:t>关系</w:t>
            </w:r>
          </w:p>
        </w:tc>
      </w:tr>
      <w:tr>
        <w:trPr>
          <w:trHeight w:val="480"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前五名销售客户</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370"/>
              <w:jc w:val="right"/>
              <w:rPr>
                <w:rFonts w:ascii="Times New Roman" w:hAnsi="Times New Roman" w:cs="Times New Roman" w:eastAsia="Times New Roman" w:hint="default"/>
                <w:sz w:val="21"/>
                <w:szCs w:val="21"/>
              </w:rPr>
            </w:pPr>
            <w:r>
              <w:rPr>
                <w:rFonts w:ascii="Times New Roman"/>
                <w:spacing w:val="-1"/>
                <w:sz w:val="21"/>
              </w:rPr>
              <w:t>1,192,903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 w:right="0"/>
              <w:jc w:val="center"/>
              <w:rPr>
                <w:rFonts w:ascii="Times New Roman" w:hAnsi="Times New Roman" w:cs="Times New Roman" w:eastAsia="Times New Roman" w:hint="default"/>
                <w:sz w:val="21"/>
                <w:szCs w:val="21"/>
              </w:rPr>
            </w:pPr>
            <w:r>
              <w:rPr>
                <w:rFonts w:ascii="Times New Roman"/>
                <w:sz w:val="21"/>
              </w:rPr>
              <w:t>1.23%</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 w:right="0"/>
              <w:jc w:val="center"/>
              <w:rPr>
                <w:rFonts w:ascii="Times New Roman" w:hAnsi="Times New Roman" w:cs="Times New Roman" w:eastAsia="Times New Roman" w:hint="default"/>
                <w:sz w:val="21"/>
                <w:szCs w:val="21"/>
              </w:rPr>
            </w:pPr>
            <w:r>
              <w:rPr>
                <w:rFonts w:ascii="Times New Roman"/>
                <w:w w:val="100"/>
                <w:sz w:val="21"/>
              </w:rPr>
              <w:t>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
        <w:rPr>
          <w:rFonts w:ascii="宋体" w:hAnsi="宋体" w:cs="宋体" w:eastAsia="宋体" w:hint="default"/>
          <w:b/>
          <w:bCs/>
          <w:sz w:val="14"/>
          <w:szCs w:val="14"/>
        </w:rPr>
      </w:pPr>
    </w:p>
    <w:p>
      <w:pPr>
        <w:pStyle w:val="BodyText"/>
        <w:spacing w:line="408" w:lineRule="auto" w:before="36"/>
        <w:ind w:left="212" w:right="1021" w:firstLine="420"/>
        <w:jc w:val="left"/>
      </w:pPr>
      <w:r>
        <w:rPr>
          <w:spacing w:val="-5"/>
        </w:rPr>
        <w:t>注：前五名供应商品牌为三星、海尔、苹果、索尼、联想；前五名销售客户主要为公司对公销售客户；</w:t>
      </w:r>
      <w:r>
        <w:rPr>
          <w:w w:val="100"/>
        </w:rPr>
        <w:t> </w:t>
      </w:r>
      <w:r>
        <w:rPr/>
        <w:t>前五名供应商预付账款余额为应付、预付抵消后净额。</w:t>
      </w:r>
    </w:p>
    <w:p>
      <w:pPr>
        <w:spacing w:line="240" w:lineRule="auto" w:before="8"/>
        <w:rPr>
          <w:rFonts w:ascii="宋体" w:hAnsi="宋体" w:cs="宋体" w:eastAsia="宋体" w:hint="default"/>
          <w:sz w:val="18"/>
          <w:szCs w:val="18"/>
        </w:rPr>
      </w:pPr>
    </w:p>
    <w:p>
      <w:pPr>
        <w:pStyle w:val="Heading2"/>
        <w:spacing w:line="240" w:lineRule="auto"/>
        <w:ind w:left="695" w:right="1021"/>
        <w:jc w:val="left"/>
        <w:rPr>
          <w:b w:val="0"/>
          <w:bCs w:val="0"/>
        </w:rPr>
      </w:pPr>
      <w:r>
        <w:rPr/>
        <w:t>八、核心竞争力分析</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212" w:right="1021" w:firstLine="420"/>
        <w:jc w:val="left"/>
      </w:pPr>
      <w:r>
        <w:rPr>
          <w:spacing w:val="-2"/>
        </w:rPr>
        <w:t>一直以来，公司经营始终围绕零售本质，立足长远，加大后台平台投入，发展公司的核心竞争能力，</w:t>
      </w:r>
      <w:r>
        <w:rPr>
          <w:w w:val="100"/>
        </w:rPr>
        <w:t> </w:t>
      </w:r>
      <w:r>
        <w:rPr/>
        <w:t>实现企业的长远发展。</w:t>
      </w:r>
    </w:p>
    <w:p>
      <w:pPr>
        <w:spacing w:after="0" w:line="408" w:lineRule="auto"/>
        <w:jc w:val="left"/>
        <w:sectPr>
          <w:pgSz w:w="11910" w:h="16840"/>
          <w:pgMar w:header="745" w:footer="1265" w:top="1060" w:bottom="1540" w:left="920" w:right="0"/>
        </w:sectPr>
      </w:pPr>
    </w:p>
    <w:p>
      <w:pPr>
        <w:spacing w:line="240" w:lineRule="auto" w:before="0"/>
        <w:rPr>
          <w:rFonts w:ascii="宋体" w:hAnsi="宋体" w:cs="宋体" w:eastAsia="宋体" w:hint="default"/>
          <w:sz w:val="20"/>
          <w:szCs w:val="20"/>
        </w:rPr>
      </w:pPr>
    </w:p>
    <w:p>
      <w:pPr>
        <w:pStyle w:val="BodyText"/>
        <w:tabs>
          <w:tab w:pos="993" w:val="left" w:leader="none"/>
        </w:tabs>
        <w:spacing w:line="388" w:lineRule="auto" w:before="175"/>
        <w:ind w:left="573" w:right="1132"/>
        <w:jc w:val="left"/>
      </w:pPr>
      <w:r>
        <w:rPr>
          <w:rFonts w:ascii="Wingdings" w:hAnsi="Wingdings" w:cs="Wingdings" w:eastAsia="Wingdings" w:hint="default"/>
        </w:rPr>
        <w:t></w:t>
      </w:r>
      <w:r>
        <w:rPr>
          <w:rFonts w:ascii="Times New Roman" w:hAnsi="Times New Roman" w:cs="Times New Roman" w:eastAsia="Times New Roman" w:hint="default"/>
        </w:rPr>
        <w:tab/>
      </w:r>
      <w:r>
        <w:rPr/>
        <w:t>物流能力建设方面</w:t>
      </w:r>
      <w:r>
        <w:rPr>
          <w:w w:val="100"/>
        </w:rPr>
        <w:t> </w:t>
      </w:r>
      <w:r>
        <w:rPr>
          <w:spacing w:val="-2"/>
        </w:rPr>
        <w:t>苏宁已经形成了遍布全国的仓储网络与完善的配送体系，随着电子商务的发展、产品类别的延伸、物</w:t>
      </w:r>
    </w:p>
    <w:p>
      <w:pPr>
        <w:pStyle w:val="BodyText"/>
        <w:spacing w:line="240" w:lineRule="auto" w:before="63"/>
        <w:ind w:right="0"/>
        <w:jc w:val="both"/>
      </w:pPr>
      <w:r>
        <w:rPr/>
        <w:t>流服务方式的丰富，苏宁充分结合自身管控、资金等能力，加快推进物流体系的升级，力争在 </w:t>
      </w:r>
      <w:r>
        <w:rPr>
          <w:rFonts w:ascii="Times New Roman" w:hAnsi="Times New Roman" w:cs="Times New Roman" w:eastAsia="Times New Roman" w:hint="default"/>
        </w:rPr>
        <w:t>2015</w:t>
      </w:r>
      <w:r>
        <w:rPr>
          <w:rFonts w:ascii="Times New Roman" w:hAnsi="Times New Roman" w:cs="Times New Roman" w:eastAsia="Times New Roman" w:hint="default"/>
          <w:spacing w:val="24"/>
        </w:rPr>
        <w:t> </w:t>
      </w:r>
      <w:r>
        <w:rPr/>
        <w:t>年前</w:t>
      </w:r>
    </w:p>
    <w:p>
      <w:pPr>
        <w:pStyle w:val="BodyText"/>
        <w:spacing w:line="398" w:lineRule="auto" w:before="177"/>
        <w:ind w:right="1126"/>
        <w:jc w:val="both"/>
      </w:pPr>
      <w:r>
        <w:rPr/>
        <w:t>完成</w:t>
      </w:r>
      <w:r>
        <w:rPr>
          <w:spacing w:val="-32"/>
        </w:rPr>
        <w:t> </w:t>
      </w:r>
      <w:r>
        <w:rPr>
          <w:rFonts w:ascii="Times New Roman" w:hAnsi="Times New Roman" w:cs="Times New Roman" w:eastAsia="Times New Roman" w:hint="default"/>
        </w:rPr>
        <w:t>60</w:t>
      </w:r>
      <w:r>
        <w:rPr>
          <w:rFonts w:ascii="Times New Roman" w:hAnsi="Times New Roman" w:cs="Times New Roman" w:eastAsia="Times New Roman" w:hint="default"/>
          <w:spacing w:val="19"/>
        </w:rPr>
        <w:t> </w:t>
      </w:r>
      <w:r>
        <w:rPr>
          <w:spacing w:val="-3"/>
        </w:rPr>
        <w:t>个物流基地的建设，并在全国枢纽地区建设</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spacing w:val="-3"/>
        </w:rPr>
        <w:t>个全自动化存储和分拣仓库，全面提升小件商品的</w:t>
      </w:r>
      <w:r>
        <w:rPr>
          <w:spacing w:val="-95"/>
        </w:rPr>
        <w:t> </w:t>
      </w:r>
      <w:r>
        <w:rPr>
          <w:spacing w:val="-95"/>
        </w:rPr>
      </w:r>
      <w:r>
        <w:rPr>
          <w:spacing w:val="-2"/>
        </w:rPr>
        <w:t>配送覆盖范围和效率，并充分利用现有的网络资源加快城市快递体系的完善，形成全国协同、立体覆盖的</w:t>
      </w:r>
      <w:r>
        <w:rPr>
          <w:spacing w:val="-44"/>
        </w:rPr>
        <w:t> </w:t>
      </w:r>
      <w:r>
        <w:rPr>
          <w:spacing w:val="-44"/>
        </w:rPr>
      </w:r>
      <w:r>
        <w:rPr/>
        <w:t>物流网络。</w:t>
      </w:r>
    </w:p>
    <w:p>
      <w:pPr>
        <w:pStyle w:val="BodyText"/>
        <w:tabs>
          <w:tab w:pos="993" w:val="left" w:leader="none"/>
        </w:tabs>
        <w:spacing w:line="388" w:lineRule="auto" w:before="54"/>
        <w:ind w:left="573" w:right="1132"/>
        <w:jc w:val="left"/>
      </w:pPr>
      <w:r>
        <w:rPr>
          <w:rFonts w:ascii="Wingdings" w:hAnsi="Wingdings" w:cs="Wingdings" w:eastAsia="Wingdings" w:hint="default"/>
        </w:rPr>
        <w:t></w:t>
      </w:r>
      <w:r>
        <w:rPr>
          <w:rFonts w:ascii="Times New Roman" w:hAnsi="Times New Roman" w:cs="Times New Roman" w:eastAsia="Times New Roman" w:hint="default"/>
        </w:rPr>
        <w:tab/>
      </w:r>
      <w:r>
        <w:rPr/>
        <w:t>信息化建设方面</w:t>
      </w:r>
      <w:r>
        <w:rPr>
          <w:spacing w:val="-103"/>
        </w:rPr>
        <w:t> </w:t>
      </w:r>
      <w:r>
        <w:rPr>
          <w:spacing w:val="-103"/>
        </w:rPr>
      </w:r>
      <w:r>
        <w:rPr>
          <w:spacing w:val="-2"/>
        </w:rPr>
        <w:t>搭建了适应互联网时代开放、分布、扁平等特征的信息系统架构及人才组织形式。加大云计算、物联</w:t>
      </w:r>
    </w:p>
    <w:p>
      <w:pPr>
        <w:pStyle w:val="BodyText"/>
        <w:spacing w:line="403" w:lineRule="auto" w:before="63"/>
        <w:ind w:right="1105"/>
        <w:jc w:val="both"/>
      </w:pPr>
      <w:r>
        <w:rPr>
          <w:spacing w:val="-2"/>
        </w:rPr>
        <w:t>网技术的研究，充分与客户需求、业务运营相结合，给消费者提供最优的用户体验与增值服务能力，给供</w:t>
      </w:r>
      <w:r>
        <w:rPr>
          <w:spacing w:val="-50"/>
        </w:rPr>
        <w:t> </w:t>
      </w:r>
      <w:r>
        <w:rPr>
          <w:spacing w:val="-50"/>
        </w:rPr>
      </w:r>
      <w:r>
        <w:rPr>
          <w:spacing w:val="-2"/>
        </w:rPr>
        <w:t>应商提供更加完善的供应链管理服务。计划通过苏宁易购研发总部的建设，美国硅谷与北京、深圳等地研</w:t>
      </w:r>
      <w:r>
        <w:rPr>
          <w:spacing w:val="-43"/>
        </w:rPr>
        <w:t> </w:t>
      </w:r>
      <w:r>
        <w:rPr>
          <w:spacing w:val="-43"/>
        </w:rPr>
      </w:r>
      <w:r>
        <w:rPr/>
        <w:t>发中心的建设，全面提升技术研发能力；通过在全国建设</w:t>
      </w:r>
      <w:r>
        <w:rPr>
          <w:spacing w:val="-48"/>
        </w:rPr>
        <w:t> </w:t>
      </w:r>
      <w:r>
        <w:rPr>
          <w:rFonts w:ascii="Times New Roman" w:hAnsi="Times New Roman" w:cs="Times New Roman" w:eastAsia="Times New Roman" w:hint="default"/>
        </w:rPr>
        <w:t>10-12</w:t>
      </w:r>
      <w:r>
        <w:rPr>
          <w:rFonts w:ascii="Times New Roman" w:hAnsi="Times New Roman" w:cs="Times New Roman" w:eastAsia="Times New Roman" w:hint="default"/>
          <w:spacing w:val="2"/>
        </w:rPr>
        <w:t> </w:t>
      </w:r>
      <w:r>
        <w:rPr/>
        <w:t>个云计算数据中心，形成向合作伙伴、中</w:t>
      </w:r>
      <w:r>
        <w:rPr>
          <w:w w:val="100"/>
        </w:rPr>
        <w:t> </w:t>
      </w:r>
      <w:r>
        <w:rPr>
          <w:spacing w:val="-2"/>
        </w:rPr>
        <w:t>小企业与消费者提供云服务与系统解决方案的能力；通过对用户体验、开放平台、金融服务、物流运营、</w:t>
      </w:r>
      <w:r>
        <w:rPr>
          <w:spacing w:val="-21"/>
        </w:rPr>
        <w:t> </w:t>
      </w:r>
      <w:r>
        <w:rPr>
          <w:spacing w:val="-21"/>
        </w:rPr>
      </w:r>
      <w:r>
        <w:rPr/>
        <w:t>管理创新等方面应用开发的能力提升，形成电子商务整体解决方案的能力。</w:t>
      </w:r>
    </w:p>
    <w:p>
      <w:pPr>
        <w:pStyle w:val="BodyText"/>
        <w:tabs>
          <w:tab w:pos="993" w:val="left" w:leader="none"/>
        </w:tabs>
        <w:spacing w:line="388" w:lineRule="auto" w:before="50"/>
        <w:ind w:left="573" w:right="1132"/>
        <w:jc w:val="left"/>
      </w:pPr>
      <w:r>
        <w:rPr>
          <w:rFonts w:ascii="Wingdings" w:hAnsi="Wingdings" w:cs="Wingdings" w:eastAsia="Wingdings" w:hint="default"/>
        </w:rPr>
        <w:t></w:t>
      </w:r>
      <w:r>
        <w:rPr>
          <w:rFonts w:ascii="Times New Roman" w:hAnsi="Times New Roman" w:cs="Times New Roman" w:eastAsia="Times New Roman" w:hint="default"/>
        </w:rPr>
        <w:tab/>
      </w:r>
      <w:r>
        <w:rPr/>
        <w:t>供应链管理方面</w:t>
      </w:r>
      <w:r>
        <w:rPr>
          <w:spacing w:val="-103"/>
        </w:rPr>
        <w:t> </w:t>
      </w:r>
      <w:r>
        <w:rPr>
          <w:spacing w:val="-103"/>
        </w:rPr>
      </w:r>
      <w:r>
        <w:rPr>
          <w:spacing w:val="-2"/>
        </w:rPr>
        <w:t>二十多年的零售经营，苏宁已经形成了以信息化为支撑的商品管理能力、供应链合作能力。公司将利</w:t>
      </w:r>
    </w:p>
    <w:p>
      <w:pPr>
        <w:pStyle w:val="BodyText"/>
        <w:spacing w:line="405" w:lineRule="auto" w:before="63"/>
        <w:ind w:right="982"/>
        <w:jc w:val="left"/>
      </w:pPr>
      <w:r>
        <w:rPr>
          <w:spacing w:val="-5"/>
        </w:rPr>
        <w:t>用互联网的优势，加快开放平台的建设，全面开放苏宁的核心竞争力，提升全行业的供应链整合应用水平。</w:t>
      </w:r>
      <w:r>
        <w:rPr>
          <w:spacing w:val="-4"/>
        </w:rPr>
        <w:t> </w:t>
      </w:r>
      <w:r>
        <w:rPr>
          <w:spacing w:val="-4"/>
        </w:rPr>
      </w:r>
      <w:r>
        <w:rPr/>
        <w:t>一方面随着开放平台的完善，苏宁的品类拓展将快速推进，通过供应商与苏宁之间的有效分工协同，显著</w:t>
      </w:r>
      <w:r>
        <w:rPr>
          <w:w w:val="100"/>
        </w:rPr>
        <w:t> </w:t>
      </w:r>
      <w:r>
        <w:rPr/>
        <w:t>降低供应链运行成本、提升消费者响应速度；另一方面，苏宁将延续产品专业化经营的理念，细分品类、</w:t>
      </w:r>
      <w:r>
        <w:rPr>
          <w:w w:val="100"/>
        </w:rPr>
        <w:t> </w:t>
      </w:r>
      <w:r>
        <w:rPr>
          <w:spacing w:val="-2"/>
        </w:rPr>
        <w:t>循序渐进、加大专业人才的引进，形成对每个品类商品的管理能力、客户研究能力、市场推广能力与服务</w:t>
      </w:r>
      <w:r>
        <w:rPr>
          <w:spacing w:val="-50"/>
        </w:rPr>
        <w:t> </w:t>
      </w:r>
      <w:r>
        <w:rPr>
          <w:spacing w:val="-50"/>
        </w:rPr>
      </w:r>
      <w:r>
        <w:rPr>
          <w:spacing w:val="-2"/>
        </w:rPr>
        <w:t>保障能力，在开放的基础上，形成苏宁自身的能力，建立开放的标准、规范与体系，强化商业的本质。随</w:t>
      </w:r>
      <w:r>
        <w:rPr>
          <w:spacing w:val="-45"/>
        </w:rPr>
        <w:t> </w:t>
      </w:r>
      <w:r>
        <w:rPr>
          <w:spacing w:val="-45"/>
        </w:rPr>
      </w:r>
      <w:r>
        <w:rPr/>
        <w:t>着产品拓展能力的加强，苏宁将形成从电器 </w:t>
      </w:r>
      <w:r>
        <w:rPr>
          <w:rFonts w:ascii="Times New Roman" w:hAnsi="Times New Roman" w:cs="Times New Roman" w:eastAsia="Times New Roman" w:hint="default"/>
        </w:rPr>
        <w:t>3C</w:t>
      </w:r>
      <w:r>
        <w:rPr>
          <w:rFonts w:ascii="Times New Roman" w:hAnsi="Times New Roman" w:cs="Times New Roman" w:eastAsia="Times New Roman" w:hint="default"/>
          <w:spacing w:val="-10"/>
        </w:rPr>
        <w:t> </w:t>
      </w:r>
      <w:r>
        <w:rPr/>
        <w:t>到日用百货、虚拟产品、生活服务等综合品类一站式服务</w:t>
      </w:r>
      <w:r>
        <w:rPr>
          <w:w w:val="100"/>
        </w:rPr>
        <w:t> </w:t>
      </w:r>
      <w:r>
        <w:rPr/>
        <w:t>能力，充分挖掘客户潜力，提升客户粘性。在海量产品经营过程中，通过对客户行为的精准分析、商品特</w:t>
      </w:r>
      <w:r>
        <w:rPr>
          <w:w w:val="100"/>
        </w:rPr>
        <w:t> </w:t>
      </w:r>
      <w:r>
        <w:rPr>
          <w:spacing w:val="-5"/>
        </w:rPr>
        <w:t>性的全面把握，结合供应链管理能力的提升，苏宁将进一步加大差异化的采购能力，扩大自有品牌、定制、</w:t>
      </w:r>
      <w:r>
        <w:rPr>
          <w:spacing w:val="-9"/>
        </w:rPr>
        <w:t> </w:t>
      </w:r>
      <w:r>
        <w:rPr>
          <w:spacing w:val="-9"/>
        </w:rPr>
      </w:r>
      <w:r>
        <w:rPr/>
        <w:t>包销的范围和比重，在缩短供应链层级、极大降低供应链成本的基础上，有效保证产品经营的附加值。</w:t>
      </w:r>
    </w:p>
    <w:p>
      <w:pPr>
        <w:pStyle w:val="BodyText"/>
        <w:tabs>
          <w:tab w:pos="993" w:val="left" w:leader="none"/>
        </w:tabs>
        <w:spacing w:line="388" w:lineRule="auto" w:before="48"/>
        <w:ind w:left="573" w:right="1124"/>
        <w:jc w:val="left"/>
      </w:pPr>
      <w:r>
        <w:rPr>
          <w:rFonts w:ascii="Wingdings" w:hAnsi="Wingdings" w:cs="Wingdings" w:eastAsia="Wingdings" w:hint="default"/>
        </w:rPr>
        <w:t></w:t>
      </w:r>
      <w:r>
        <w:rPr>
          <w:rFonts w:ascii="Times New Roman" w:hAnsi="Times New Roman" w:cs="Times New Roman" w:eastAsia="Times New Roman" w:hint="default"/>
        </w:rPr>
        <w:tab/>
      </w:r>
      <w:r>
        <w:rPr/>
        <w:t>人力资源建设方面</w:t>
      </w:r>
      <w:r>
        <w:rPr>
          <w:w w:val="100"/>
        </w:rPr>
        <w:t> </w:t>
      </w:r>
      <w:r>
        <w:rPr>
          <w:spacing w:val="-2"/>
        </w:rPr>
        <w:t>公司建立了系统化的招聘选拔、培训培养、考核激励与发展规划体系，坚持“自主培养，内部提拔”</w:t>
      </w:r>
    </w:p>
    <w:p>
      <w:pPr>
        <w:pStyle w:val="BodyText"/>
        <w:spacing w:line="398" w:lineRule="auto" w:before="63"/>
        <w:ind w:right="1104"/>
        <w:jc w:val="both"/>
      </w:pPr>
      <w:r>
        <w:rPr/>
        <w:t>的人才培养方针，全力打造事业经理人团队，陆续实施了 </w:t>
      </w:r>
      <w:r>
        <w:rPr>
          <w:rFonts w:ascii="Times New Roman" w:hAnsi="Times New Roman" w:cs="Times New Roman" w:eastAsia="Times New Roman" w:hint="default"/>
        </w:rPr>
        <w:t>1200</w:t>
      </w:r>
      <w:r>
        <w:rPr>
          <w:rFonts w:ascii="Times New Roman" w:hAnsi="Times New Roman" w:cs="Times New Roman" w:eastAsia="Times New Roman" w:hint="default"/>
          <w:spacing w:val="24"/>
        </w:rPr>
        <w:t> </w:t>
      </w:r>
      <w:r>
        <w:rPr/>
        <w:t>梯队、总经理梯队、采购经理梯队、店长</w:t>
      </w:r>
      <w:r>
        <w:rPr>
          <w:w w:val="100"/>
        </w:rPr>
        <w:t> </w:t>
      </w:r>
      <w:r>
        <w:rPr>
          <w:spacing w:val="-2"/>
        </w:rPr>
        <w:t>梯队、督导梯队、销售突击队、蓝领工程等数十项人才梯队，为企业的转型发展提供了有力的人才支撑。</w:t>
      </w:r>
      <w:r>
        <w:rPr>
          <w:spacing w:val="-20"/>
        </w:rPr>
        <w:t> </w:t>
      </w:r>
      <w:r>
        <w:rPr>
          <w:spacing w:val="-20"/>
        </w:rPr>
      </w:r>
      <w:r>
        <w:rPr>
          <w:spacing w:val="-2"/>
        </w:rPr>
        <w:t>作为培养苏宁事业经理人的高等学府机构，苏宁大学建立了面向全体员工的培训计划，提升了员工专业技</w:t>
      </w:r>
    </w:p>
    <w:p>
      <w:pPr>
        <w:pStyle w:val="BodyText"/>
        <w:spacing w:line="240" w:lineRule="auto" w:before="54"/>
        <w:ind w:right="0"/>
        <w:jc w:val="both"/>
      </w:pPr>
      <w:r>
        <w:rPr/>
        <w:t>能和知识管理理论基础。此外，苏宁还建立起了有效的激励制度，围绕工作结果，丰富激励手段，大胆激</w:t>
      </w:r>
    </w:p>
    <w:p>
      <w:pPr>
        <w:spacing w:after="0" w:line="240" w:lineRule="auto"/>
        <w:jc w:val="both"/>
        <w:sectPr>
          <w:pgSz w:w="11910" w:h="16840"/>
          <w:pgMar w:header="745" w:footer="1265" w:top="1060" w:bottom="14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252" w:right="0"/>
        <w:jc w:val="left"/>
      </w:pPr>
      <w:r>
        <w:rPr/>
        <w:t>励，大胆考核，充分调动起员工的积极性。</w:t>
      </w:r>
    </w:p>
    <w:p>
      <w:pPr>
        <w:spacing w:line="240" w:lineRule="auto" w:before="12"/>
        <w:rPr>
          <w:rFonts w:ascii="宋体" w:hAnsi="宋体" w:cs="宋体" w:eastAsia="宋体" w:hint="default"/>
          <w:sz w:val="29"/>
          <w:szCs w:val="29"/>
        </w:rPr>
      </w:pPr>
    </w:p>
    <w:p>
      <w:pPr>
        <w:pStyle w:val="Heading2"/>
        <w:spacing w:line="240" w:lineRule="auto"/>
        <w:ind w:left="735" w:right="0"/>
        <w:jc w:val="left"/>
        <w:rPr>
          <w:b w:val="0"/>
          <w:bCs w:val="0"/>
        </w:rPr>
      </w:pPr>
      <w:r>
        <w:rPr/>
        <w:t>九、投资状况分析</w:t>
      </w:r>
      <w:r>
        <w:rPr>
          <w:b w:val="0"/>
          <w:bCs w:val="0"/>
        </w:rPr>
      </w:r>
    </w:p>
    <w:p>
      <w:pPr>
        <w:spacing w:line="240" w:lineRule="auto" w:before="10"/>
        <w:rPr>
          <w:rFonts w:ascii="宋体" w:hAnsi="宋体" w:cs="宋体" w:eastAsia="宋体" w:hint="default"/>
          <w:b/>
          <w:bCs/>
          <w:sz w:val="30"/>
          <w:szCs w:val="30"/>
        </w:rPr>
      </w:pPr>
    </w:p>
    <w:p>
      <w:pPr>
        <w:pStyle w:val="Heading4"/>
        <w:spacing w:line="240" w:lineRule="auto"/>
        <w:ind w:left="675" w:right="0"/>
        <w:jc w:val="left"/>
        <w:rPr>
          <w:b w:val="0"/>
          <w:bCs w:val="0"/>
        </w:rPr>
      </w:pPr>
      <w:r>
        <w:rPr/>
        <w:t>（一）非募集资金投资情况</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before="0"/>
        <w:ind w:left="252" w:right="0" w:firstLine="420"/>
        <w:jc w:val="left"/>
      </w:pPr>
      <w:r>
        <w:rPr>
          <w:spacing w:val="-3"/>
        </w:rPr>
        <w:t>报告期内，公司不存在投资金额超过公司最近一期经审计净资产</w:t>
      </w:r>
      <w:r>
        <w:rPr>
          <w:spacing w:val="-26"/>
        </w:rPr>
        <w:t> </w:t>
      </w:r>
      <w:r>
        <w:rPr>
          <w:rFonts w:ascii="Times New Roman" w:hAnsi="Times New Roman" w:cs="Times New Roman" w:eastAsia="Times New Roman" w:hint="default"/>
        </w:rPr>
        <w:t>10%</w:t>
      </w:r>
      <w:r>
        <w:rPr/>
        <w:t>及以上的重大非募集资金投资的</w:t>
      </w:r>
      <w:r>
        <w:rPr>
          <w:w w:val="100"/>
        </w:rPr>
        <w:t> </w:t>
      </w:r>
      <w:r>
        <w:rPr/>
        <w:t>情况。投资情况如下：</w:t>
      </w:r>
    </w:p>
    <w:p>
      <w:pPr>
        <w:spacing w:line="240" w:lineRule="auto" w:before="0"/>
        <w:rPr>
          <w:rFonts w:ascii="宋体" w:hAnsi="宋体" w:cs="宋体" w:eastAsia="宋体" w:hint="default"/>
          <w:sz w:val="22"/>
          <w:szCs w:val="22"/>
        </w:rPr>
      </w:pPr>
    </w:p>
    <w:p>
      <w:pPr>
        <w:pStyle w:val="Heading4"/>
        <w:spacing w:line="240" w:lineRule="auto"/>
        <w:ind w:left="675" w:right="0"/>
        <w:jc w:val="left"/>
        <w:rPr>
          <w:b w:val="0"/>
          <w:bCs w:val="0"/>
        </w:rPr>
      </w:pPr>
      <w:r>
        <w:rPr>
          <w:rFonts w:ascii="Times New Roman" w:hAnsi="Times New Roman" w:cs="Times New Roman" w:eastAsia="Times New Roman" w:hint="default"/>
        </w:rPr>
        <w:t>1</w:t>
      </w:r>
      <w:r>
        <w:rPr/>
        <w:t>、</w:t>
      </w:r>
      <w:r>
        <w:rPr>
          <w:spacing w:val="-59"/>
        </w:rPr>
        <w:t> </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675" w:right="0"/>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3342"/>
        <w:gridCol w:w="3233"/>
        <w:gridCol w:w="3349"/>
      </w:tblGrid>
      <w:tr>
        <w:trPr>
          <w:trHeight w:val="322" w:hRule="exact"/>
        </w:trPr>
        <w:tc>
          <w:tcPr>
            <w:tcW w:w="99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对外投资情况</w:t>
            </w:r>
          </w:p>
        </w:tc>
      </w:tr>
      <w:tr>
        <w:trPr>
          <w:trHeight w:val="32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5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年投资额（亿元）</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5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年投资额（亿元）</w:t>
            </w:r>
          </w:p>
        </w:tc>
        <w:tc>
          <w:tcPr>
            <w:tcW w:w="3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322"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16.78</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18.28</w:t>
            </w:r>
          </w:p>
        </w:tc>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-8.21%</w:t>
            </w:r>
          </w:p>
        </w:tc>
      </w:tr>
    </w:tbl>
    <w:p>
      <w:pPr>
        <w:pStyle w:val="BodyText"/>
        <w:spacing w:line="240" w:lineRule="auto" w:before="64"/>
        <w:ind w:left="673" w:right="0"/>
        <w:jc w:val="left"/>
      </w:pPr>
      <w:r>
        <w:rPr/>
        <w:t>报告期内，公司新增投资额</w:t>
      </w:r>
      <w:r>
        <w:rPr>
          <w:spacing w:val="-54"/>
        </w:rPr>
        <w:t> </w:t>
      </w:r>
      <w:r>
        <w:rPr>
          <w:rFonts w:ascii="Times New Roman" w:hAnsi="Times New Roman" w:cs="Times New Roman" w:eastAsia="Times New Roman" w:hint="default"/>
        </w:rPr>
        <w:t>16.78</w:t>
      </w:r>
      <w:r>
        <w:rPr>
          <w:rFonts w:ascii="Times New Roman" w:hAnsi="Times New Roman" w:cs="Times New Roman" w:eastAsia="Times New Roman" w:hint="default"/>
          <w:spacing w:val="-1"/>
        </w:rPr>
        <w:t> </w:t>
      </w:r>
      <w:r>
        <w:rPr/>
        <w:t>亿元，主要为：</w:t>
      </w:r>
    </w:p>
    <w:p>
      <w:pPr>
        <w:pStyle w:val="BodyText"/>
        <w:spacing w:line="240" w:lineRule="auto" w:before="177"/>
        <w:ind w:left="673" w:right="0"/>
        <w:jc w:val="left"/>
      </w:pPr>
      <w:r>
        <w:rPr>
          <w:rFonts w:ascii="Times New Roman" w:hAnsi="Times New Roman" w:cs="Times New Roman" w:eastAsia="Times New Roman" w:hint="default"/>
          <w:spacing w:val="-4"/>
        </w:rPr>
        <w:t>A</w:t>
      </w:r>
      <w:r>
        <w:rPr>
          <w:spacing w:val="-4"/>
        </w:rPr>
        <w:t>、报告期内，公司及子公司发起设立的注册资本在人民币</w:t>
      </w:r>
      <w:r>
        <w:rPr>
          <w:spacing w:val="-3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5"/>
        </w:rPr>
        <w:t> </w:t>
      </w:r>
      <w:r>
        <w:rPr/>
        <w:t>万元以上的子公司</w:t>
      </w:r>
      <w:r>
        <w:rPr>
          <w:spacing w:val="-37"/>
        </w:rPr>
        <w:t> </w:t>
      </w:r>
      <w:r>
        <w:rPr>
          <w:rFonts w:ascii="Times New Roman" w:hAnsi="Times New Roman" w:cs="Times New Roman" w:eastAsia="Times New Roman" w:hint="default"/>
        </w:rPr>
        <w:t>16</w:t>
      </w:r>
      <w:r>
        <w:rPr>
          <w:rFonts w:ascii="Times New Roman" w:hAnsi="Times New Roman" w:cs="Times New Roman" w:eastAsia="Times New Roman" w:hint="default"/>
          <w:spacing w:val="15"/>
        </w:rPr>
        <w:t> </w:t>
      </w:r>
      <w:r>
        <w:rPr>
          <w:spacing w:val="-5"/>
        </w:rPr>
        <w:t>家，具体如下：</w:t>
      </w:r>
    </w:p>
    <w:p>
      <w:pPr>
        <w:pStyle w:val="BodyText"/>
        <w:spacing w:line="240" w:lineRule="auto" w:before="177"/>
        <w:ind w:left="252" w:right="0"/>
        <w:jc w:val="left"/>
      </w:pPr>
      <w:r>
        <w:rPr/>
        <w:t>（单位：人民币万元）</w:t>
      </w:r>
    </w:p>
    <w:p>
      <w:pPr>
        <w:spacing w:line="240" w:lineRule="auto" w:before="11"/>
        <w:rPr>
          <w:rFonts w:ascii="宋体" w:hAnsi="宋体" w:cs="宋体" w:eastAsia="宋体" w:hint="default"/>
          <w:sz w:val="9"/>
          <w:szCs w:val="9"/>
        </w:rPr>
      </w:pPr>
    </w:p>
    <w:tbl>
      <w:tblPr>
        <w:tblW w:w="0" w:type="auto"/>
        <w:jc w:val="left"/>
        <w:tblInd w:w="140" w:type="dxa"/>
        <w:tblLayout w:type="fixed"/>
        <w:tblCellMar>
          <w:top w:w="0" w:type="dxa"/>
          <w:left w:w="0" w:type="dxa"/>
          <w:bottom w:w="0" w:type="dxa"/>
          <w:right w:w="0" w:type="dxa"/>
        </w:tblCellMar>
        <w:tblLook w:val="01E0"/>
      </w:tblPr>
      <w:tblGrid>
        <w:gridCol w:w="768"/>
        <w:gridCol w:w="3217"/>
        <w:gridCol w:w="1474"/>
        <w:gridCol w:w="1471"/>
        <w:gridCol w:w="1275"/>
        <w:gridCol w:w="1651"/>
      </w:tblGrid>
      <w:tr>
        <w:trPr>
          <w:trHeight w:val="634" w:hRule="exact"/>
        </w:trPr>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311"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53" w:right="149" w:firstLine="50"/>
              <w:jc w:val="left"/>
              <w:rPr>
                <w:rFonts w:ascii="宋体" w:hAnsi="宋体" w:cs="宋体" w:eastAsia="宋体" w:hint="default"/>
                <w:sz w:val="21"/>
                <w:szCs w:val="21"/>
              </w:rPr>
            </w:pPr>
            <w:r>
              <w:rPr>
                <w:rFonts w:ascii="宋体" w:hAnsi="宋体" w:cs="宋体" w:eastAsia="宋体" w:hint="default"/>
                <w:sz w:val="21"/>
                <w:szCs w:val="21"/>
              </w:rPr>
              <w:t>占被投资公</w:t>
            </w:r>
            <w:r>
              <w:rPr>
                <w:rFonts w:ascii="宋体" w:hAnsi="宋体" w:cs="宋体" w:eastAsia="宋体" w:hint="default"/>
                <w:w w:val="100"/>
                <w:sz w:val="21"/>
                <w:szCs w:val="21"/>
              </w:rPr>
              <w:t> </w:t>
            </w:r>
            <w:r>
              <w:rPr>
                <w:rFonts w:ascii="宋体" w:hAnsi="宋体" w:cs="宋体" w:eastAsia="宋体" w:hint="default"/>
                <w:sz w:val="21"/>
                <w:szCs w:val="21"/>
              </w:rPr>
              <w:t>司权益比例</w:t>
            </w:r>
            <w:r>
              <w:rPr>
                <w:rFonts w:ascii="宋体" w:hAnsi="宋体" w:cs="宋体" w:eastAsia="宋体" w:hint="default"/>
                <w:sz w:val="21"/>
                <w:szCs w:val="21"/>
              </w:rPr>
              <w:t>%</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1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3" w:right="379"/>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实际出资额</w:t>
            </w:r>
          </w:p>
        </w:tc>
      </w:tr>
      <w:tr>
        <w:trPr>
          <w:trHeight w:val="324"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1"/>
                <w:szCs w:val="21"/>
              </w:rPr>
            </w:pPr>
            <w:r>
              <w:rPr>
                <w:rFonts w:ascii="Times New Roman"/>
                <w:w w:val="100"/>
                <w:sz w:val="21"/>
              </w:rPr>
              <w:t>1</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苏州苏宁电器采购有限公司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区域采购</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1"/>
                <w:szCs w:val="21"/>
              </w:rPr>
            </w:pPr>
            <w:r>
              <w:rPr>
                <w:rFonts w:ascii="Times New Roman"/>
                <w:sz w:val="21"/>
              </w:rPr>
              <w:t>38,000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z w:val="21"/>
              </w:rPr>
              <w:t>7,600</w:t>
            </w:r>
          </w:p>
        </w:tc>
      </w:tr>
      <w:tr>
        <w:trPr>
          <w:trHeight w:val="322"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2</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重庆苏宁小额贷款有限公司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30,000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22,500</w:t>
            </w:r>
          </w:p>
        </w:tc>
      </w:tr>
      <w:tr>
        <w:trPr>
          <w:trHeight w:val="322"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3</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内江百大商贸有限公司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连锁零售</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2"/>
                <w:sz w:val="21"/>
              </w:rPr>
              <w:t>11,143</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2"/>
                <w:sz w:val="21"/>
              </w:rPr>
              <w:t>11,143</w:t>
            </w:r>
          </w:p>
        </w:tc>
      </w:tr>
      <w:tr>
        <w:trPr>
          <w:trHeight w:val="322"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4</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江苏苏宁物流有限公司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5,000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5,000</w:t>
            </w:r>
          </w:p>
        </w:tc>
      </w:tr>
      <w:tr>
        <w:trPr>
          <w:trHeight w:val="322"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5</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石家庄石宁苏宁贸易有限公司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3,500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3,500</w:t>
            </w:r>
          </w:p>
        </w:tc>
      </w:tr>
      <w:tr>
        <w:trPr>
          <w:trHeight w:val="322"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6</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云南苏宁物流有限公司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区域采购</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2,000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2,000</w:t>
            </w:r>
          </w:p>
        </w:tc>
      </w:tr>
      <w:tr>
        <w:trPr>
          <w:trHeight w:val="324"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7</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温州苏宁采购有限公司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区域采购</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2,000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2,000</w:t>
            </w:r>
          </w:p>
        </w:tc>
      </w:tr>
      <w:tr>
        <w:trPr>
          <w:trHeight w:val="322"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8</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上海奉贤苏宁电器有限公司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连锁零售</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1,000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1,000</w:t>
            </w:r>
          </w:p>
        </w:tc>
      </w:tr>
      <w:tr>
        <w:trPr>
          <w:trHeight w:val="322"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9</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杭州米市苏宁电器有限公司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连锁零售</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1,000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1,000</w:t>
            </w:r>
          </w:p>
        </w:tc>
      </w:tr>
      <w:tr>
        <w:trPr>
          <w:trHeight w:val="322"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西安新城苏宁电器有限公司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连锁零售</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1,000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1,000</w:t>
            </w:r>
          </w:p>
        </w:tc>
      </w:tr>
      <w:tr>
        <w:trPr>
          <w:trHeight w:val="322"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兰州苏宁采购有限公司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区域采购</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1,000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1,000</w:t>
            </w:r>
          </w:p>
        </w:tc>
      </w:tr>
      <w:tr>
        <w:trPr>
          <w:trHeight w:val="322"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12</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乐购仕（上海）商贸有限公司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连锁零售</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51%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5,000</w:t>
            </w:r>
          </w:p>
        </w:tc>
      </w:tr>
      <w:tr>
        <w:trPr>
          <w:trHeight w:val="636"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乐购仕（厦门）商贸有限公司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left"/>
              <w:rPr>
                <w:rFonts w:ascii="宋体" w:hAnsi="宋体" w:cs="宋体" w:eastAsia="宋体" w:hint="default"/>
                <w:sz w:val="21"/>
                <w:szCs w:val="21"/>
              </w:rPr>
            </w:pPr>
            <w:r>
              <w:rPr>
                <w:rFonts w:ascii="宋体" w:hAnsi="宋体" w:cs="宋体" w:eastAsia="宋体" w:hint="default"/>
                <w:sz w:val="21"/>
                <w:szCs w:val="21"/>
              </w:rPr>
              <w:t>连锁零售</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350</w:t>
            </w:r>
          </w:p>
          <w:p>
            <w:pPr>
              <w:pStyle w:val="TableParagraph"/>
              <w:spacing w:line="240" w:lineRule="auto" w:before="23"/>
              <w:ind w:right="99"/>
              <w:jc w:val="right"/>
              <w:rPr>
                <w:rFonts w:ascii="宋体" w:hAnsi="宋体" w:cs="宋体" w:eastAsia="宋体" w:hint="default"/>
                <w:sz w:val="21"/>
                <w:szCs w:val="21"/>
              </w:rPr>
            </w:pPr>
            <w:r>
              <w:rPr>
                <w:rFonts w:ascii="宋体" w:hAnsi="宋体" w:cs="宋体" w:eastAsia="宋体" w:hint="default"/>
                <w:sz w:val="21"/>
                <w:szCs w:val="21"/>
              </w:rPr>
              <w:t>万美元</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2,180</w:t>
            </w:r>
          </w:p>
        </w:tc>
      </w:tr>
      <w:tr>
        <w:trPr>
          <w:trHeight w:val="634"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乐购仕（天津）商贸有限公司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连锁零售</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300</w:t>
            </w:r>
          </w:p>
          <w:p>
            <w:pPr>
              <w:pStyle w:val="TableParagraph"/>
              <w:spacing w:line="240" w:lineRule="auto" w:before="23"/>
              <w:ind w:right="99"/>
              <w:jc w:val="right"/>
              <w:rPr>
                <w:rFonts w:ascii="宋体" w:hAnsi="宋体" w:cs="宋体" w:eastAsia="宋体" w:hint="default"/>
                <w:sz w:val="21"/>
                <w:szCs w:val="21"/>
              </w:rPr>
            </w:pPr>
            <w:r>
              <w:rPr>
                <w:rFonts w:ascii="宋体" w:hAnsi="宋体" w:cs="宋体" w:eastAsia="宋体" w:hint="default"/>
                <w:sz w:val="21"/>
                <w:szCs w:val="21"/>
              </w:rPr>
              <w:t>万美元</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1,890</w:t>
            </w:r>
          </w:p>
        </w:tc>
      </w:tr>
      <w:tr>
        <w:trPr>
          <w:trHeight w:val="634"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乐购仕（北京）商贸有限公司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连锁零售</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500</w:t>
            </w:r>
          </w:p>
          <w:p>
            <w:pPr>
              <w:pStyle w:val="TableParagraph"/>
              <w:spacing w:line="240" w:lineRule="auto" w:before="23"/>
              <w:ind w:right="99"/>
              <w:jc w:val="right"/>
              <w:rPr>
                <w:rFonts w:ascii="宋体" w:hAnsi="宋体" w:cs="宋体" w:eastAsia="宋体" w:hint="default"/>
                <w:sz w:val="21"/>
                <w:szCs w:val="21"/>
              </w:rPr>
            </w:pPr>
            <w:r>
              <w:rPr>
                <w:rFonts w:ascii="宋体" w:hAnsi="宋体" w:cs="宋体" w:eastAsia="宋体" w:hint="default"/>
                <w:sz w:val="21"/>
                <w:szCs w:val="21"/>
              </w:rPr>
              <w:t>万美元</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3,160</w:t>
            </w:r>
          </w:p>
        </w:tc>
      </w:tr>
      <w:tr>
        <w:trPr>
          <w:trHeight w:val="634"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丸悦（香港）有限公司（注）</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食品连锁</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83" w:right="0"/>
              <w:jc w:val="left"/>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before="23"/>
              <w:ind w:left="530" w:right="0"/>
              <w:jc w:val="left"/>
              <w:rPr>
                <w:rFonts w:ascii="宋体" w:hAnsi="宋体" w:cs="宋体" w:eastAsia="宋体" w:hint="default"/>
                <w:sz w:val="21"/>
                <w:szCs w:val="21"/>
              </w:rPr>
            </w:pPr>
            <w:r>
              <w:rPr>
                <w:rFonts w:ascii="宋体" w:hAnsi="宋体" w:cs="宋体" w:eastAsia="宋体" w:hint="default"/>
                <w:sz w:val="21"/>
                <w:szCs w:val="21"/>
              </w:rPr>
              <w:t>万港币</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1,949</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265" w:top="1060" w:bottom="1460" w:left="880" w:right="0"/>
        </w:sectPr>
      </w:pPr>
    </w:p>
    <w:p>
      <w:pPr>
        <w:spacing w:line="240" w:lineRule="auto" w:before="0"/>
        <w:rPr>
          <w:rFonts w:ascii="宋体" w:hAnsi="宋体" w:cs="宋体" w:eastAsia="宋体" w:hint="default"/>
          <w:sz w:val="20"/>
          <w:szCs w:val="20"/>
        </w:rPr>
      </w:pPr>
    </w:p>
    <w:p>
      <w:pPr>
        <w:pStyle w:val="BodyText"/>
        <w:spacing w:line="240" w:lineRule="auto" w:before="175"/>
        <w:ind w:left="573" w:right="982"/>
        <w:jc w:val="left"/>
      </w:pPr>
      <w:r>
        <w:rPr>
          <w:w w:val="100"/>
        </w:rPr>
        <w:t>注</w:t>
      </w:r>
      <w:r>
        <w:rPr>
          <w:spacing w:val="-12"/>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012</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21</w:t>
      </w:r>
      <w:r>
        <w:rPr>
          <w:rFonts w:ascii="Times New Roman" w:hAnsi="Times New Roman" w:cs="Times New Roman" w:eastAsia="Times New Roman" w:hint="default"/>
          <w:spacing w:val="-3"/>
        </w:rPr>
        <w:t> </w:t>
      </w:r>
      <w:r>
        <w:rPr>
          <w:spacing w:val="-3"/>
          <w:w w:val="100"/>
        </w:rPr>
        <w:t>日</w:t>
      </w:r>
      <w:r>
        <w:rPr>
          <w:spacing w:val="-13"/>
          <w:w w:val="100"/>
        </w:rPr>
        <w:t>，</w:t>
      </w:r>
      <w:r>
        <w:rPr>
          <w:spacing w:val="-3"/>
          <w:w w:val="100"/>
        </w:rPr>
        <w:t>公</w:t>
      </w:r>
      <w:r>
        <w:rPr>
          <w:w w:val="100"/>
        </w:rPr>
        <w:t>司与</w:t>
      </w:r>
      <w:r>
        <w:rPr>
          <w:spacing w:val="-3"/>
          <w:w w:val="100"/>
        </w:rPr>
        <w:t>日</w:t>
      </w:r>
      <w:r>
        <w:rPr>
          <w:w w:val="100"/>
        </w:rPr>
        <w:t>本</w:t>
      </w:r>
      <w:r>
        <w:rPr>
          <w:spacing w:val="-3"/>
          <w:w w:val="100"/>
        </w:rPr>
        <w:t>株</w:t>
      </w:r>
      <w:r>
        <w:rPr>
          <w:w w:val="100"/>
        </w:rPr>
        <w:t>式</w:t>
      </w:r>
      <w:r>
        <w:rPr>
          <w:spacing w:val="-3"/>
          <w:w w:val="100"/>
        </w:rPr>
        <w:t>会</w:t>
      </w:r>
      <w:r>
        <w:rPr>
          <w:w w:val="100"/>
        </w:rPr>
        <w:t>社</w:t>
      </w:r>
      <w:r>
        <w:rPr>
          <w:spacing w:val="-3"/>
          <w:w w:val="100"/>
        </w:rPr>
        <w:t>丸</w:t>
      </w:r>
      <w:r>
        <w:rPr>
          <w:w w:val="100"/>
        </w:rPr>
        <w:t>悦</w:t>
      </w:r>
      <w:r>
        <w:rPr>
          <w:spacing w:val="-3"/>
          <w:w w:val="100"/>
        </w:rPr>
        <w:t>公</w:t>
      </w:r>
      <w:r>
        <w:rPr>
          <w:w w:val="100"/>
        </w:rPr>
        <w:t>司签</w:t>
      </w:r>
      <w:r>
        <w:rPr>
          <w:spacing w:val="-15"/>
          <w:w w:val="100"/>
        </w:rPr>
        <w:t>署</w:t>
      </w:r>
      <w:r>
        <w:rPr>
          <w:spacing w:val="-3"/>
          <w:w w:val="100"/>
        </w:rPr>
        <w:t>《</w:t>
      </w:r>
      <w:r>
        <w:rPr>
          <w:w w:val="100"/>
        </w:rPr>
        <w:t>合</w:t>
      </w:r>
      <w:r>
        <w:rPr>
          <w:spacing w:val="-3"/>
          <w:w w:val="100"/>
        </w:rPr>
        <w:t>资</w:t>
      </w:r>
      <w:r>
        <w:rPr>
          <w:w w:val="100"/>
        </w:rPr>
        <w:t>合同</w:t>
      </w:r>
      <w:r>
        <w:rPr>
          <w:spacing w:val="-108"/>
          <w:w w:val="100"/>
        </w:rPr>
        <w:t>》</w:t>
      </w:r>
      <w:r>
        <w:rPr>
          <w:spacing w:val="-15"/>
          <w:w w:val="100"/>
        </w:rPr>
        <w:t>，</w:t>
      </w:r>
      <w:r>
        <w:rPr>
          <w:w w:val="100"/>
        </w:rPr>
        <w:t>共</w:t>
      </w:r>
      <w:r>
        <w:rPr>
          <w:spacing w:val="-3"/>
          <w:w w:val="100"/>
        </w:rPr>
        <w:t>同</w:t>
      </w:r>
      <w:r>
        <w:rPr>
          <w:w w:val="100"/>
        </w:rPr>
        <w:t>成立</w:t>
      </w:r>
      <w:r>
        <w:rPr>
          <w:spacing w:val="-3"/>
          <w:w w:val="100"/>
        </w:rPr>
        <w:t>丸</w:t>
      </w:r>
      <w:r>
        <w:rPr>
          <w:spacing w:val="-15"/>
          <w:w w:val="100"/>
        </w:rPr>
        <w:t>悦</w:t>
      </w:r>
      <w:r>
        <w:rPr>
          <w:w w:val="100"/>
        </w:rPr>
        <w:t>（</w:t>
      </w:r>
      <w:r>
        <w:rPr>
          <w:spacing w:val="-3"/>
          <w:w w:val="100"/>
        </w:rPr>
        <w:t>香</w:t>
      </w:r>
      <w:r>
        <w:rPr>
          <w:w w:val="100"/>
        </w:rPr>
        <w:t>港</w:t>
      </w:r>
      <w:r>
        <w:rPr>
          <w:spacing w:val="-15"/>
          <w:w w:val="100"/>
        </w:rPr>
        <w:t>）</w:t>
      </w:r>
      <w:r>
        <w:rPr>
          <w:w w:val="100"/>
        </w:rPr>
        <w:t>有限</w:t>
      </w:r>
    </w:p>
    <w:p>
      <w:pPr>
        <w:pStyle w:val="BodyText"/>
        <w:spacing w:line="240" w:lineRule="auto" w:before="177"/>
        <w:ind w:right="982"/>
        <w:jc w:val="left"/>
      </w:pPr>
      <w:r>
        <w:rPr/>
        <w:t>公司，注册资本</w:t>
      </w:r>
      <w:r>
        <w:rPr>
          <w:spacing w:val="-52"/>
        </w:rPr>
        <w:t> </w:t>
      </w:r>
      <w:r>
        <w:rPr>
          <w:rFonts w:ascii="Times New Roman" w:hAnsi="Times New Roman" w:cs="Times New Roman" w:eastAsia="Times New Roman" w:hint="default"/>
        </w:rPr>
        <w:t>20,000 </w:t>
      </w:r>
      <w:r>
        <w:rPr/>
        <w:t>万港币，其中公司计划出资</w:t>
      </w:r>
      <w:r>
        <w:rPr>
          <w:spacing w:val="-55"/>
        </w:rPr>
        <w:t> </w:t>
      </w:r>
      <w:r>
        <w:rPr>
          <w:rFonts w:ascii="Times New Roman" w:hAnsi="Times New Roman" w:cs="Times New Roman" w:eastAsia="Times New Roman" w:hint="default"/>
        </w:rPr>
        <w:t>6,000 </w:t>
      </w:r>
      <w:r>
        <w:rPr/>
        <w:t>万港币，持股</w:t>
      </w:r>
      <w:r>
        <w:rPr>
          <w:spacing w:val="-53"/>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2012 </w:t>
      </w:r>
      <w:r>
        <w:rPr/>
        <w:t>年</w:t>
      </w:r>
      <w:r>
        <w:rPr>
          <w:spacing w:val="-52"/>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9 </w:t>
      </w:r>
      <w:r>
        <w:rPr/>
        <w:t>日公司已出</w:t>
      </w:r>
    </w:p>
    <w:p>
      <w:pPr>
        <w:pStyle w:val="BodyText"/>
        <w:spacing w:line="240" w:lineRule="auto" w:before="177"/>
        <w:ind w:right="982"/>
        <w:jc w:val="left"/>
      </w:pPr>
      <w:r>
        <w:rPr/>
        <w:t>资</w:t>
      </w:r>
      <w:r>
        <w:rPr>
          <w:spacing w:val="-54"/>
        </w:rPr>
        <w:t> </w:t>
      </w:r>
      <w:r>
        <w:rPr>
          <w:rFonts w:ascii="Times New Roman" w:hAnsi="Times New Roman" w:cs="Times New Roman" w:eastAsia="Times New Roman" w:hint="default"/>
        </w:rPr>
        <w:t>2,400</w:t>
      </w:r>
      <w:r>
        <w:rPr>
          <w:rFonts w:ascii="Times New Roman" w:hAnsi="Times New Roman" w:cs="Times New Roman" w:eastAsia="Times New Roman" w:hint="default"/>
          <w:spacing w:val="-2"/>
        </w:rPr>
        <w:t> </w:t>
      </w:r>
      <w:r>
        <w:rPr/>
        <w:t>万港币（约人民币</w:t>
      </w:r>
      <w:r>
        <w:rPr>
          <w:spacing w:val="-55"/>
        </w:rPr>
        <w:t> </w:t>
      </w:r>
      <w:r>
        <w:rPr>
          <w:rFonts w:ascii="Times New Roman" w:hAnsi="Times New Roman" w:cs="Times New Roman" w:eastAsia="Times New Roman" w:hint="default"/>
        </w:rPr>
        <w:t>1,949</w:t>
      </w:r>
      <w:r>
        <w:rPr>
          <w:rFonts w:ascii="Times New Roman" w:hAnsi="Times New Roman" w:cs="Times New Roman" w:eastAsia="Times New Roman" w:hint="default"/>
          <w:spacing w:val="-2"/>
        </w:rPr>
        <w:t> </w:t>
      </w:r>
      <w:r>
        <w:rPr/>
        <w:t>万元）。截止报告期末，丸悦（香港）公司尚未开展实际业务运营。</w:t>
      </w:r>
    </w:p>
    <w:p>
      <w:pPr>
        <w:pStyle w:val="BodyText"/>
        <w:tabs>
          <w:tab w:pos="993" w:val="left" w:leader="none"/>
        </w:tabs>
        <w:spacing w:line="240" w:lineRule="auto" w:before="177"/>
        <w:ind w:left="573" w:right="982"/>
        <w:jc w:val="left"/>
      </w:pPr>
      <w:r>
        <w:rPr>
          <w:rFonts w:ascii="Wingdings" w:hAnsi="Wingdings" w:cs="Wingdings" w:eastAsia="Wingdings" w:hint="default"/>
        </w:rPr>
        <w:t></w:t>
      </w:r>
      <w:r>
        <w:rPr>
          <w:rFonts w:ascii="Times New Roman" w:hAnsi="Times New Roman" w:cs="Times New Roman" w:eastAsia="Times New Roman" w:hint="default"/>
        </w:rPr>
        <w:tab/>
      </w:r>
      <w:r>
        <w:rPr/>
        <w:t>除上表列示之外，公司及子公司还发起、设立其他</w:t>
      </w:r>
      <w:r>
        <w:rPr>
          <w:spacing w:val="-57"/>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家新公司，投资金额人民币</w:t>
      </w:r>
      <w:r>
        <w:rPr>
          <w:spacing w:val="-55"/>
        </w:rPr>
        <w:t> </w:t>
      </w:r>
      <w:r>
        <w:rPr>
          <w:rFonts w:ascii="Times New Roman" w:hAnsi="Times New Roman" w:cs="Times New Roman" w:eastAsia="Times New Roman" w:hint="default"/>
        </w:rPr>
        <w:t>2.86</w:t>
      </w:r>
      <w:r>
        <w:rPr>
          <w:rFonts w:ascii="Times New Roman" w:hAnsi="Times New Roman" w:cs="Times New Roman" w:eastAsia="Times New Roman" w:hint="default"/>
          <w:spacing w:val="-5"/>
        </w:rPr>
        <w:t> </w:t>
      </w:r>
      <w:r>
        <w:rPr/>
        <w:t>亿元。</w:t>
      </w:r>
    </w:p>
    <w:p>
      <w:pPr>
        <w:pStyle w:val="BodyText"/>
        <w:spacing w:line="240" w:lineRule="auto" w:before="177"/>
        <w:ind w:left="573" w:right="982"/>
        <w:jc w:val="left"/>
      </w:pPr>
      <w:r>
        <w:rPr>
          <w:rFonts w:ascii="Times New Roman" w:hAnsi="Times New Roman" w:cs="Times New Roman" w:eastAsia="Times New Roman" w:hint="default"/>
        </w:rPr>
        <w:t>B</w:t>
      </w:r>
      <w:r>
        <w:rPr/>
        <w:t>、报告期内，公司主要收购公司情况：</w:t>
      </w:r>
    </w:p>
    <w:p>
      <w:pPr>
        <w:pStyle w:val="BodyText"/>
        <w:tabs>
          <w:tab w:pos="993" w:val="left" w:leader="none"/>
        </w:tabs>
        <w:spacing w:line="398" w:lineRule="auto" w:before="177"/>
        <w:ind w:right="1023" w:firstLine="420"/>
        <w:jc w:val="left"/>
      </w:pPr>
      <w:r>
        <w:rPr>
          <w:rFonts w:ascii="Wingdings" w:hAnsi="Wingdings" w:cs="Wingdings" w:eastAsia="Wingdings" w:hint="default"/>
          <w:w w:val="100"/>
        </w:rPr>
        <w:t></w:t>
      </w:r>
      <w:r>
        <w:rPr>
          <w:rFonts w:ascii="Times New Roman" w:hAnsi="Times New Roman" w:cs="Times New Roman" w:eastAsia="Times New Roman" w:hint="default"/>
          <w:w w:val="100"/>
        </w:rPr>
        <w:tab/>
      </w:r>
      <w:r>
        <w:rPr>
          <w:rFonts w:ascii="宋体" w:hAnsi="宋体" w:cs="宋体" w:eastAsia="宋体" w:hint="default"/>
          <w:w w:val="100"/>
        </w:rPr>
        <w:t>2012</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1</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21</w:t>
      </w:r>
      <w:r>
        <w:rPr>
          <w:rFonts w:ascii="宋体" w:hAnsi="宋体" w:cs="宋体" w:eastAsia="宋体" w:hint="default"/>
          <w:spacing w:val="-55"/>
          <w:w w:val="100"/>
        </w:rPr>
        <w:t> </w:t>
      </w:r>
      <w:r>
        <w:rPr>
          <w:spacing w:val="-11"/>
          <w:w w:val="100"/>
        </w:rPr>
        <w:t>日，公司与无锡产业发展集团有限公司签订《产权交易合同》，出资</w:t>
      </w:r>
      <w:r>
        <w:rPr>
          <w:spacing w:val="-52"/>
          <w:w w:val="100"/>
        </w:rPr>
        <w:t> </w:t>
      </w:r>
      <w:r>
        <w:rPr>
          <w:rFonts w:ascii="Times New Roman" w:hAnsi="Times New Roman" w:cs="Times New Roman" w:eastAsia="Times New Roman" w:hint="default"/>
          <w:spacing w:val="-1"/>
          <w:w w:val="100"/>
        </w:rPr>
        <w:t>5,037.38</w:t>
      </w:r>
      <w:r>
        <w:rPr>
          <w:rFonts w:ascii="Times New Roman" w:hAnsi="Times New Roman" w:cs="Times New Roman" w:eastAsia="Times New Roman" w:hint="default"/>
          <w:w w:val="100"/>
        </w:rPr>
        <w:t> </w:t>
      </w:r>
      <w:r>
        <w:rPr>
          <w:spacing w:val="-1"/>
          <w:w w:val="100"/>
        </w:rPr>
        <w:t>万元，</w:t>
      </w:r>
      <w:r>
        <w:rPr>
          <w:w w:val="100"/>
        </w:rPr>
        <w:t> </w:t>
      </w:r>
      <w:r>
        <w:rPr/>
        <w:t>受让其持有的无锡市聚丰园大酒店有限责任公司</w:t>
      </w:r>
      <w:r>
        <w:rPr>
          <w:spacing w:val="-38"/>
        </w:rPr>
        <w:t> </w:t>
      </w:r>
      <w:r>
        <w:rPr>
          <w:rFonts w:ascii="宋体" w:hAnsi="宋体" w:cs="宋体" w:eastAsia="宋体" w:hint="default"/>
          <w:spacing w:val="-5"/>
        </w:rPr>
        <w:t>100%</w:t>
      </w:r>
      <w:r>
        <w:rPr>
          <w:spacing w:val="-5"/>
        </w:rPr>
        <w:t>的股份，收购后更名为“无锡胜利门苏宁电器有限公</w:t>
      </w:r>
      <w:r>
        <w:rPr>
          <w:spacing w:val="-71"/>
        </w:rPr>
        <w:t> </w:t>
      </w:r>
      <w:r>
        <w:rPr>
          <w:spacing w:val="-71"/>
        </w:rPr>
      </w:r>
      <w:r>
        <w:rPr>
          <w:spacing w:val="-7"/>
          <w:w w:val="100"/>
        </w:rPr>
        <w:t>司”，该公司持有的物业将开设公司旗舰店。</w:t>
      </w:r>
    </w:p>
    <w:p>
      <w:pPr>
        <w:pStyle w:val="BodyText"/>
        <w:spacing w:line="398" w:lineRule="auto" w:before="55"/>
        <w:ind w:right="1126" w:firstLine="420"/>
        <w:jc w:val="both"/>
      </w:pPr>
      <w:r>
        <w:rPr>
          <w:rFonts w:ascii="Wingdings" w:hAnsi="Wingdings" w:cs="Wingdings" w:eastAsia="Wingdings" w:hint="default"/>
          <w:w w:val="100"/>
        </w:rPr>
        <w:t></w:t>
      </w:r>
      <w:r>
        <w:rPr>
          <w:rFonts w:ascii="Wingdings" w:hAnsi="Wingdings" w:cs="Wingdings" w:eastAsia="Wingdings" w:hint="default"/>
          <w:spacing w:val="50"/>
          <w:w w:val="100"/>
        </w:rPr>
        <w:t></w:t>
      </w:r>
      <w:r>
        <w:rPr>
          <w:rFonts w:ascii="Times New Roman" w:hAnsi="Times New Roman" w:cs="Times New Roman" w:eastAsia="Times New Roman" w:hint="default"/>
          <w:spacing w:val="50"/>
          <w:w w:val="100"/>
        </w:rPr>
      </w:r>
      <w:r>
        <w:rPr>
          <w:rFonts w:ascii="宋体" w:hAnsi="宋体" w:cs="宋体" w:eastAsia="宋体" w:hint="default"/>
          <w:w w:val="100"/>
        </w:rPr>
        <w:t>2012</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7</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15</w:t>
      </w:r>
      <w:r>
        <w:rPr>
          <w:rFonts w:ascii="宋体" w:hAnsi="宋体" w:cs="宋体" w:eastAsia="宋体" w:hint="default"/>
          <w:spacing w:val="-54"/>
          <w:w w:val="100"/>
        </w:rPr>
        <w:t> </w:t>
      </w:r>
      <w:r>
        <w:rPr>
          <w:spacing w:val="-7"/>
          <w:w w:val="100"/>
        </w:rPr>
        <w:t>日，公司与苏宁置业集团有限公司签署《股权转让协议书》，公司受让苏宁置业集</w:t>
      </w:r>
      <w:r>
        <w:rPr>
          <w:w w:val="100"/>
        </w:rPr>
        <w:t> </w:t>
      </w:r>
      <w:r>
        <w:rPr>
          <w:spacing w:val="-5"/>
          <w:w w:val="100"/>
        </w:rPr>
        <w:t>团公司之全资子公司江苏昌祺贸易有限公司（以下简称“昌祺贸易”）之</w:t>
      </w:r>
      <w:r>
        <w:rPr>
          <w:spacing w:val="-7"/>
          <w:w w:val="100"/>
        </w:rPr>
        <w:t> </w:t>
      </w:r>
      <w:r>
        <w:rPr>
          <w:rFonts w:ascii="宋体" w:hAnsi="宋体" w:cs="宋体" w:eastAsia="宋体" w:hint="default"/>
          <w:spacing w:val="-2"/>
          <w:w w:val="100"/>
        </w:rPr>
        <w:t>100%</w:t>
      </w:r>
      <w:r>
        <w:rPr>
          <w:spacing w:val="-2"/>
          <w:w w:val="100"/>
        </w:rPr>
        <w:t>股权，支付股权转让款共计</w:t>
      </w:r>
      <w:r>
        <w:rPr>
          <w:spacing w:val="-102"/>
          <w:w w:val="100"/>
        </w:rPr>
        <w:t> </w:t>
      </w:r>
      <w:r>
        <w:rPr>
          <w:spacing w:val="-102"/>
          <w:w w:val="100"/>
        </w:rPr>
      </w:r>
      <w:r>
        <w:rPr>
          <w:rFonts w:ascii="Times New Roman" w:hAnsi="Times New Roman" w:cs="Times New Roman" w:eastAsia="Times New Roman" w:hint="default"/>
          <w:spacing w:val="-1"/>
        </w:rPr>
        <w:t>5,039.33</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spacing w:val="-2"/>
        </w:rPr>
        <w:t>万元。本次交易后，昌祺公司持有的土地用于公司子公司办公物业的建设。</w:t>
      </w:r>
    </w:p>
    <w:p>
      <w:pPr>
        <w:pStyle w:val="BodyText"/>
        <w:tabs>
          <w:tab w:pos="993" w:val="left" w:leader="none"/>
        </w:tabs>
        <w:spacing w:line="400" w:lineRule="auto" w:before="24"/>
        <w:ind w:right="1025" w:firstLine="420"/>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rPr>
        <w:t>2012</w:t>
      </w:r>
      <w:r>
        <w:rPr>
          <w:rFonts w:ascii="宋体" w:hAnsi="宋体" w:cs="宋体" w:eastAsia="宋体" w:hint="default"/>
          <w:spacing w:val="-48"/>
        </w:rPr>
        <w:t> </w:t>
      </w:r>
      <w:r>
        <w:rPr/>
        <w:t>年</w:t>
      </w:r>
      <w:r>
        <w:rPr>
          <w:spacing w:val="-48"/>
        </w:rPr>
        <w:t> </w:t>
      </w:r>
      <w:r>
        <w:rPr>
          <w:rFonts w:ascii="宋体" w:hAnsi="宋体" w:cs="宋体" w:eastAsia="宋体" w:hint="default"/>
        </w:rPr>
        <w:t>9</w:t>
      </w:r>
      <w:r>
        <w:rPr>
          <w:rFonts w:ascii="宋体" w:hAnsi="宋体" w:cs="宋体" w:eastAsia="宋体" w:hint="default"/>
          <w:spacing w:val="-48"/>
        </w:rPr>
        <w:t> </w:t>
      </w:r>
      <w:r>
        <w:rPr/>
        <w:t>月</w:t>
      </w:r>
      <w:r>
        <w:rPr>
          <w:spacing w:val="-48"/>
        </w:rPr>
        <w:t> </w:t>
      </w:r>
      <w:r>
        <w:rPr>
          <w:rFonts w:ascii="宋体" w:hAnsi="宋体" w:cs="宋体" w:eastAsia="宋体" w:hint="default"/>
        </w:rPr>
        <w:t>24</w:t>
      </w:r>
      <w:r>
        <w:rPr>
          <w:rFonts w:ascii="宋体" w:hAnsi="宋体" w:cs="宋体" w:eastAsia="宋体" w:hint="default"/>
          <w:spacing w:val="-48"/>
        </w:rPr>
        <w:t> </w:t>
      </w:r>
      <w:r>
        <w:rPr/>
        <w:t>日，公司与天津红孩子商贸有限公司、北京红孩子视线广告有限公司、天津宏品</w:t>
      </w:r>
      <w:r>
        <w:rPr>
          <w:w w:val="100"/>
        </w:rPr>
        <w:t> </w:t>
      </w:r>
      <w:r>
        <w:rPr>
          <w:spacing w:val="-5"/>
          <w:w w:val="100"/>
        </w:rPr>
        <w:t>物流有限公司、北京红孩子信息技术有限公司、北京红孩子互联科技有限公司（以上合称“红孩子公司”）</w:t>
      </w:r>
      <w:r>
        <w:rPr>
          <w:spacing w:val="-66"/>
          <w:w w:val="100"/>
        </w:rPr>
        <w:t> </w:t>
      </w:r>
      <w:r>
        <w:rPr>
          <w:spacing w:val="-66"/>
          <w:w w:val="100"/>
        </w:rPr>
      </w:r>
      <w:r>
        <w:rPr/>
        <w:t>及 </w:t>
      </w:r>
      <w:r>
        <w:rPr>
          <w:rFonts w:ascii="宋体" w:hAnsi="宋体" w:cs="宋体" w:eastAsia="宋体" w:hint="default"/>
        </w:rPr>
        <w:t>CHINA COMMERCE SERVICES</w:t>
      </w:r>
      <w:r>
        <w:rPr>
          <w:rFonts w:ascii="宋体" w:hAnsi="宋体" w:cs="宋体" w:eastAsia="宋体" w:hint="default"/>
          <w:spacing w:val="-31"/>
        </w:rPr>
        <w:t> </w:t>
      </w:r>
      <w:r>
        <w:rPr>
          <w:rFonts w:ascii="宋体" w:hAnsi="宋体" w:cs="宋体" w:eastAsia="宋体" w:hint="default"/>
        </w:rPr>
        <w:t>LIMITED</w:t>
      </w:r>
      <w:r>
        <w:rPr/>
        <w:t>（一家在英属开曼群岛成立和存续的股份有限公司，以下简称“开</w:t>
      </w:r>
      <w:r>
        <w:rPr>
          <w:w w:val="100"/>
        </w:rPr>
        <w:t> </w:t>
      </w:r>
      <w:r>
        <w:rPr>
          <w:spacing w:val="-13"/>
          <w:w w:val="100"/>
        </w:rPr>
        <w:t>曼公司”）签署《收购协议》，以基准对价</w:t>
      </w:r>
      <w:r>
        <w:rPr>
          <w:w w:val="100"/>
        </w:rPr>
        <w:t> </w:t>
      </w:r>
      <w:r>
        <w:rPr>
          <w:rFonts w:ascii="宋体" w:hAnsi="宋体" w:cs="宋体" w:eastAsia="宋体" w:hint="default"/>
          <w:spacing w:val="-1"/>
          <w:w w:val="100"/>
        </w:rPr>
        <w:t>6,600</w:t>
      </w:r>
      <w:r>
        <w:rPr>
          <w:rFonts w:ascii="宋体" w:hAnsi="宋体" w:cs="宋体" w:eastAsia="宋体" w:hint="default"/>
          <w:spacing w:val="-84"/>
          <w:w w:val="100"/>
        </w:rPr>
        <w:t> </w:t>
      </w:r>
      <w:r>
        <w:rPr>
          <w:spacing w:val="-10"/>
          <w:w w:val="100"/>
        </w:rPr>
        <w:t>万美元收购红孩子公司在中国国内以“红孩子”、“缤购”</w:t>
      </w:r>
    </w:p>
    <w:p>
      <w:pPr>
        <w:pStyle w:val="BodyText"/>
        <w:spacing w:line="240" w:lineRule="auto" w:before="52"/>
        <w:ind w:right="982"/>
        <w:jc w:val="left"/>
      </w:pPr>
      <w:r>
        <w:rPr/>
        <w:t>等品牌开展的母婴、化妆用品等产品的销售业务、品牌与相关资产。截止</w:t>
      </w:r>
      <w:r>
        <w:rPr>
          <w:spacing w:val="-42"/>
        </w:rPr>
        <w:t> </w:t>
      </w:r>
      <w:r>
        <w:rPr>
          <w:rFonts w:ascii="宋体" w:hAnsi="宋体" w:cs="宋体" w:eastAsia="宋体" w:hint="default"/>
        </w:rPr>
        <w:t>2012</w:t>
      </w:r>
      <w:r>
        <w:rPr>
          <w:rFonts w:ascii="宋体" w:hAnsi="宋体" w:cs="宋体" w:eastAsia="宋体" w:hint="default"/>
          <w:spacing w:val="-43"/>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与</w:t>
      </w:r>
      <w:r>
        <w:rPr>
          <w:spacing w:val="-43"/>
        </w:rPr>
        <w:t> </w:t>
      </w:r>
      <w:r>
        <w:rPr>
          <w:rFonts w:ascii="宋体" w:hAnsi="宋体" w:cs="宋体" w:eastAsia="宋体" w:hint="default"/>
        </w:rPr>
        <w:t>31</w:t>
      </w:r>
      <w:r>
        <w:rPr>
          <w:rFonts w:ascii="宋体" w:hAnsi="宋体" w:cs="宋体" w:eastAsia="宋体" w:hint="default"/>
          <w:spacing w:val="-43"/>
        </w:rPr>
        <w:t> </w:t>
      </w:r>
      <w:r>
        <w:rPr/>
        <w:t>日公司已支付</w:t>
      </w:r>
    </w:p>
    <w:p>
      <w:pPr>
        <w:spacing w:line="240" w:lineRule="auto" w:before="10"/>
        <w:rPr>
          <w:rFonts w:ascii="宋体" w:hAnsi="宋体" w:cs="宋体" w:eastAsia="宋体" w:hint="default"/>
          <w:sz w:val="14"/>
          <w:szCs w:val="14"/>
        </w:rPr>
      </w:pPr>
    </w:p>
    <w:p>
      <w:pPr>
        <w:pStyle w:val="BodyText"/>
        <w:spacing w:line="240" w:lineRule="auto" w:before="0"/>
        <w:ind w:right="982"/>
        <w:jc w:val="left"/>
      </w:pPr>
      <w:r>
        <w:rPr>
          <w:w w:val="100"/>
        </w:rPr>
        <w:t>本次</w:t>
      </w:r>
      <w:r>
        <w:rPr>
          <w:spacing w:val="-3"/>
          <w:w w:val="100"/>
        </w:rPr>
        <w:t>收</w:t>
      </w:r>
      <w:r>
        <w:rPr>
          <w:w w:val="100"/>
        </w:rPr>
        <w:t>购</w:t>
      </w:r>
      <w:r>
        <w:rPr>
          <w:spacing w:val="-3"/>
          <w:w w:val="100"/>
        </w:rPr>
        <w:t>款</w:t>
      </w:r>
      <w:r>
        <w:rPr>
          <w:w w:val="100"/>
        </w:rPr>
        <w:t>项</w:t>
      </w:r>
      <w:r>
        <w:rPr>
          <w:spacing w:val="-3"/>
          <w:w w:val="100"/>
        </w:rPr>
        <w:t>人民</w:t>
      </w:r>
      <w:r>
        <w:rPr>
          <w:w w:val="100"/>
        </w:rPr>
        <w:t>币</w:t>
      </w:r>
      <w:r>
        <w:rPr>
          <w:spacing w:val="-53"/>
        </w:rPr>
        <w:t> </w:t>
      </w:r>
      <w:r>
        <w:rPr>
          <w:rFonts w:ascii="Times New Roman" w:hAnsi="Times New Roman" w:cs="Times New Roman" w:eastAsia="Times New Roman" w:hint="default"/>
          <w:w w:val="100"/>
        </w:rPr>
        <w:t>6,2</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万</w:t>
      </w:r>
      <w:r>
        <w:rPr>
          <w:spacing w:val="-3"/>
          <w:w w:val="100"/>
        </w:rPr>
        <w:t>元</w:t>
      </w:r>
      <w:r>
        <w:rPr>
          <w:w w:val="100"/>
        </w:rPr>
        <w:t>（</w:t>
      </w:r>
      <w:r>
        <w:rPr>
          <w:spacing w:val="-3"/>
          <w:w w:val="100"/>
        </w:rPr>
        <w:t>等</w:t>
      </w:r>
      <w:r>
        <w:rPr>
          <w:w w:val="100"/>
        </w:rPr>
        <w:t>值</w:t>
      </w:r>
      <w:r>
        <w:rPr>
          <w:spacing w:val="-53"/>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万</w:t>
      </w:r>
      <w:r>
        <w:rPr>
          <w:w w:val="100"/>
        </w:rPr>
        <w:t>美</w:t>
      </w:r>
      <w:r>
        <w:rPr>
          <w:spacing w:val="-3"/>
          <w:w w:val="100"/>
        </w:rPr>
        <w:t>元</w:t>
      </w:r>
      <w:r>
        <w:rPr>
          <w:spacing w:val="-108"/>
          <w:w w:val="100"/>
        </w:rPr>
        <w:t>）</w:t>
      </w:r>
      <w:r>
        <w:rPr>
          <w:w w:val="100"/>
        </w:rPr>
        <w:t>。</w:t>
      </w:r>
    </w:p>
    <w:p>
      <w:pPr>
        <w:pStyle w:val="BodyText"/>
        <w:tabs>
          <w:tab w:pos="993" w:val="left" w:leader="none"/>
        </w:tabs>
        <w:spacing w:line="240" w:lineRule="auto" w:before="177"/>
        <w:ind w:left="573" w:right="982"/>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rPr>
        <w:t>2012</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48"/>
        </w:rPr>
        <w:t> </w:t>
      </w:r>
      <w:r>
        <w:rPr>
          <w:rFonts w:ascii="宋体" w:hAnsi="宋体" w:cs="宋体" w:eastAsia="宋体" w:hint="default"/>
        </w:rPr>
        <w:t>4</w:t>
      </w:r>
      <w:r>
        <w:rPr>
          <w:rFonts w:ascii="宋体" w:hAnsi="宋体" w:cs="宋体" w:eastAsia="宋体" w:hint="default"/>
          <w:spacing w:val="-48"/>
        </w:rPr>
        <w:t> </w:t>
      </w:r>
      <w:r>
        <w:rPr/>
        <w:t>日，公司子公司江苏苏宁物流有限公司与无关联关系自然人签署《股权转让协议</w:t>
      </w:r>
    </w:p>
    <w:p>
      <w:pPr>
        <w:pStyle w:val="BodyText"/>
        <w:spacing w:line="240" w:lineRule="auto" w:before="178"/>
        <w:ind w:right="982"/>
        <w:jc w:val="left"/>
      </w:pPr>
      <w:r>
        <w:rPr>
          <w:w w:val="100"/>
        </w:rPr>
        <w:t>书</w:t>
      </w:r>
      <w:r>
        <w:rPr>
          <w:spacing w:val="-106"/>
          <w:w w:val="100"/>
        </w:rPr>
        <w:t>》</w:t>
      </w:r>
      <w:r>
        <w:rPr>
          <w:spacing w:val="-8"/>
          <w:w w:val="100"/>
        </w:rPr>
        <w:t>，</w:t>
      </w:r>
      <w:r>
        <w:rPr>
          <w:w w:val="100"/>
        </w:rPr>
        <w:t>出资</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3.57</w:t>
      </w:r>
      <w:r>
        <w:rPr>
          <w:rFonts w:ascii="Times New Roman" w:hAnsi="Times New Roman" w:cs="Times New Roman" w:eastAsia="Times New Roman" w:hint="default"/>
          <w:spacing w:val="-3"/>
        </w:rPr>
        <w:t> </w:t>
      </w:r>
      <w:r>
        <w:rPr>
          <w:w w:val="100"/>
        </w:rPr>
        <w:t>万</w:t>
      </w:r>
      <w:r>
        <w:rPr>
          <w:spacing w:val="-3"/>
          <w:w w:val="100"/>
        </w:rPr>
        <w:t>元</w:t>
      </w:r>
      <w:r>
        <w:rPr>
          <w:spacing w:val="-5"/>
          <w:w w:val="100"/>
        </w:rPr>
        <w:t>，</w:t>
      </w:r>
      <w:r>
        <w:rPr>
          <w:w w:val="100"/>
        </w:rPr>
        <w:t>受</w:t>
      </w:r>
      <w:r>
        <w:rPr>
          <w:spacing w:val="-3"/>
          <w:w w:val="100"/>
        </w:rPr>
        <w:t>让</w:t>
      </w:r>
      <w:r>
        <w:rPr>
          <w:w w:val="100"/>
        </w:rPr>
        <w:t>其</w:t>
      </w:r>
      <w:r>
        <w:rPr>
          <w:spacing w:val="-3"/>
          <w:w w:val="100"/>
        </w:rPr>
        <w:t>持</w:t>
      </w:r>
      <w:r>
        <w:rPr>
          <w:w w:val="100"/>
        </w:rPr>
        <w:t>有</w:t>
      </w:r>
      <w:r>
        <w:rPr>
          <w:spacing w:val="-3"/>
          <w:w w:val="100"/>
        </w:rPr>
        <w:t>的</w:t>
      </w:r>
      <w:r>
        <w:rPr>
          <w:w w:val="100"/>
        </w:rPr>
        <w:t>南</w:t>
      </w:r>
      <w:r>
        <w:rPr>
          <w:spacing w:val="-3"/>
          <w:w w:val="100"/>
        </w:rPr>
        <w:t>京</w:t>
      </w:r>
      <w:r>
        <w:rPr>
          <w:w w:val="100"/>
        </w:rPr>
        <w:t>鼎</w:t>
      </w:r>
      <w:r>
        <w:rPr>
          <w:spacing w:val="-3"/>
          <w:w w:val="100"/>
        </w:rPr>
        <w:t>邦</w:t>
      </w:r>
      <w:r>
        <w:rPr>
          <w:w w:val="100"/>
        </w:rPr>
        <w:t>网络</w:t>
      </w:r>
      <w:r>
        <w:rPr>
          <w:spacing w:val="-3"/>
          <w:w w:val="100"/>
        </w:rPr>
        <w:t>科</w:t>
      </w:r>
      <w:r>
        <w:rPr>
          <w:w w:val="100"/>
        </w:rPr>
        <w:t>技</w:t>
      </w:r>
      <w:r>
        <w:rPr>
          <w:spacing w:val="-3"/>
          <w:w w:val="100"/>
        </w:rPr>
        <w:t>有</w:t>
      </w:r>
      <w:r>
        <w:rPr>
          <w:w w:val="100"/>
        </w:rPr>
        <w:t>限</w:t>
      </w:r>
      <w:r>
        <w:rPr>
          <w:spacing w:val="-3"/>
          <w:w w:val="100"/>
        </w:rPr>
        <w:t>公</w:t>
      </w:r>
      <w:r>
        <w:rPr>
          <w:spacing w:val="-5"/>
          <w:w w:val="100"/>
        </w:rPr>
        <w:t>司</w:t>
      </w:r>
      <w:r>
        <w:rPr>
          <w:spacing w:val="-3"/>
          <w:w w:val="100"/>
        </w:rPr>
        <w:t>（</w:t>
      </w:r>
      <w:r>
        <w:rPr>
          <w:w w:val="100"/>
        </w:rPr>
        <w:t>以</w:t>
      </w:r>
      <w:r>
        <w:rPr>
          <w:spacing w:val="-3"/>
          <w:w w:val="100"/>
        </w:rPr>
        <w:t>下</w:t>
      </w:r>
      <w:r>
        <w:rPr>
          <w:w w:val="100"/>
        </w:rPr>
        <w:t>简</w:t>
      </w:r>
      <w:r>
        <w:rPr>
          <w:spacing w:val="-5"/>
          <w:w w:val="100"/>
        </w:rPr>
        <w:t>称</w:t>
      </w:r>
      <w:r>
        <w:rPr>
          <w:spacing w:val="-3"/>
          <w:w w:val="100"/>
        </w:rPr>
        <w:t>“</w:t>
      </w:r>
      <w:r>
        <w:rPr>
          <w:w w:val="100"/>
        </w:rPr>
        <w:t>鼎</w:t>
      </w:r>
      <w:r>
        <w:rPr>
          <w:spacing w:val="-3"/>
          <w:w w:val="100"/>
        </w:rPr>
        <w:t>邦</w:t>
      </w:r>
      <w:r>
        <w:rPr>
          <w:w w:val="100"/>
        </w:rPr>
        <w:t>公</w:t>
      </w:r>
      <w:r>
        <w:rPr>
          <w:spacing w:val="-3"/>
          <w:w w:val="100"/>
        </w:rPr>
        <w:t>司</w:t>
      </w:r>
      <w:r>
        <w:rPr>
          <w:spacing w:val="-106"/>
          <w:w w:val="100"/>
        </w:rPr>
        <w:t>”</w:t>
      </w:r>
      <w:r>
        <w:rPr>
          <w:spacing w:val="-5"/>
          <w:w w:val="100"/>
        </w:rPr>
        <w:t>）</w:t>
      </w:r>
      <w:r>
        <w:rPr>
          <w:rFonts w:ascii="宋体" w:hAnsi="宋体" w:cs="宋体" w:eastAsia="宋体" w:hint="default"/>
          <w:w w:val="100"/>
        </w:rPr>
        <w:t>1</w:t>
      </w:r>
      <w:r>
        <w:rPr>
          <w:rFonts w:ascii="宋体" w:hAnsi="宋体" w:cs="宋体" w:eastAsia="宋体" w:hint="default"/>
          <w:spacing w:val="-3"/>
          <w:w w:val="100"/>
        </w:rPr>
        <w:t>0</w:t>
      </w:r>
      <w:r>
        <w:rPr>
          <w:rFonts w:ascii="宋体" w:hAnsi="宋体" w:cs="宋体" w:eastAsia="宋体" w:hint="default"/>
          <w:w w:val="100"/>
        </w:rPr>
        <w:t>0%</w:t>
      </w:r>
      <w:r>
        <w:rPr>
          <w:spacing w:val="-3"/>
          <w:w w:val="100"/>
        </w:rPr>
        <w:t>股</w:t>
      </w:r>
      <w:r>
        <w:rPr>
          <w:w w:val="100"/>
        </w:rPr>
        <w:t>权。</w:t>
      </w:r>
    </w:p>
    <w:p>
      <w:pPr>
        <w:pStyle w:val="BodyText"/>
        <w:spacing w:line="240" w:lineRule="auto" w:before="177"/>
        <w:ind w:right="982"/>
        <w:jc w:val="left"/>
      </w:pPr>
      <w:r>
        <w:rPr/>
        <w:t>本次交易后，鼎邦公司持有的约</w:t>
      </w:r>
      <w:r>
        <w:rPr>
          <w:spacing w:val="-53"/>
        </w:rPr>
        <w:t> </w:t>
      </w:r>
      <w:r>
        <w:rPr>
          <w:rFonts w:ascii="Times New Roman" w:hAnsi="Times New Roman" w:cs="Times New Roman" w:eastAsia="Times New Roman" w:hint="default"/>
        </w:rPr>
        <w:t>700</w:t>
      </w:r>
      <w:r>
        <w:rPr>
          <w:rFonts w:ascii="Times New Roman" w:hAnsi="Times New Roman" w:cs="Times New Roman" w:eastAsia="Times New Roman" w:hint="default"/>
          <w:spacing w:val="-3"/>
        </w:rPr>
        <w:t> </w:t>
      </w:r>
      <w:r>
        <w:rPr/>
        <w:t>亩土地将用于公司南京雨花物流二期项目的建设。</w:t>
      </w:r>
    </w:p>
    <w:p>
      <w:pPr>
        <w:pStyle w:val="BodyText"/>
        <w:spacing w:line="386" w:lineRule="auto" w:before="177"/>
        <w:ind w:right="982" w:firstLine="420"/>
        <w:jc w:val="left"/>
      </w:pPr>
      <w:r>
        <w:rPr>
          <w:rFonts w:ascii="Times New Roman" w:hAnsi="Times New Roman" w:cs="Times New Roman" w:eastAsia="Times New Roman" w:hint="default"/>
        </w:rPr>
        <w:t>C</w:t>
      </w:r>
      <w:r>
        <w:rPr/>
        <w:t>、报告期内，公司还对公司子公司日照鲁宁苏宁电器有限公司、香港苏宁电器有限公司、江苏苏宁</w:t>
      </w:r>
      <w:r>
        <w:rPr>
          <w:w w:val="100"/>
        </w:rPr>
        <w:t> </w:t>
      </w:r>
      <w:r>
        <w:rPr/>
        <w:t>易购电子商务有限公司合计增资人民币</w:t>
      </w:r>
      <w:r>
        <w:rPr>
          <w:spacing w:val="-53"/>
        </w:rPr>
        <w:t> </w:t>
      </w:r>
      <w:r>
        <w:rPr>
          <w:rFonts w:ascii="Times New Roman" w:hAnsi="Times New Roman" w:cs="Times New Roman" w:eastAsia="Times New Roman" w:hint="default"/>
        </w:rPr>
        <w:t>2.98</w:t>
      </w:r>
      <w:r>
        <w:rPr>
          <w:rFonts w:ascii="Times New Roman" w:hAnsi="Times New Roman" w:cs="Times New Roman" w:eastAsia="Times New Roman" w:hint="default"/>
          <w:spacing w:val="-4"/>
        </w:rPr>
        <w:t> </w:t>
      </w:r>
      <w:r>
        <w:rPr/>
        <w:t>亿元。</w:t>
      </w:r>
    </w:p>
    <w:p>
      <w:pPr>
        <w:spacing w:line="240" w:lineRule="auto" w:before="10"/>
        <w:rPr>
          <w:rFonts w:ascii="宋体" w:hAnsi="宋体" w:cs="宋体" w:eastAsia="宋体" w:hint="default"/>
          <w:sz w:val="19"/>
          <w:szCs w:val="19"/>
        </w:rPr>
      </w:pPr>
    </w:p>
    <w:p>
      <w:pPr>
        <w:pStyle w:val="Heading4"/>
        <w:spacing w:line="240" w:lineRule="auto"/>
        <w:ind w:left="575" w:right="982"/>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596"/>
        <w:gridCol w:w="569"/>
        <w:gridCol w:w="1135"/>
        <w:gridCol w:w="1136"/>
        <w:gridCol w:w="708"/>
        <w:gridCol w:w="1136"/>
        <w:gridCol w:w="710"/>
        <w:gridCol w:w="1130"/>
        <w:gridCol w:w="1133"/>
        <w:gridCol w:w="850"/>
        <w:gridCol w:w="595"/>
      </w:tblGrid>
      <w:tr>
        <w:trPr>
          <w:trHeight w:val="947" w:hRule="exact"/>
        </w:trPr>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81" w:right="8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69" w:right="65"/>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类别</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143" w:right="31" w:hanging="106"/>
              <w:jc w:val="left"/>
              <w:rPr>
                <w:rFonts w:ascii="宋体" w:hAnsi="宋体" w:cs="宋体" w:eastAsia="宋体" w:hint="default"/>
                <w:sz w:val="21"/>
                <w:szCs w:val="21"/>
              </w:rPr>
            </w:pPr>
            <w:r>
              <w:rPr>
                <w:rFonts w:ascii="宋体" w:hAnsi="宋体" w:cs="宋体" w:eastAsia="宋体" w:hint="default"/>
                <w:sz w:val="21"/>
                <w:szCs w:val="21"/>
              </w:rPr>
              <w:t>最初投资成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本（元）</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143" w:right="32" w:hanging="106"/>
              <w:jc w:val="left"/>
              <w:rPr>
                <w:rFonts w:ascii="宋体" w:hAnsi="宋体" w:cs="宋体" w:eastAsia="宋体" w:hint="default"/>
                <w:sz w:val="21"/>
                <w:szCs w:val="21"/>
              </w:rPr>
            </w:pPr>
            <w:r>
              <w:rPr>
                <w:rFonts w:ascii="宋体" w:hAnsi="宋体" w:cs="宋体" w:eastAsia="宋体" w:hint="default"/>
                <w:sz w:val="21"/>
                <w:szCs w:val="21"/>
              </w:rPr>
              <w:t>期初持股数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3" w:right="29"/>
              <w:jc w:val="left"/>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spacing w:val="-102"/>
                <w:sz w:val="21"/>
                <w:szCs w:val="21"/>
              </w:rPr>
              <w:t> </w:t>
            </w:r>
            <w:r>
              <w:rPr>
                <w:rFonts w:ascii="宋体" w:hAnsi="宋体" w:cs="宋体" w:eastAsia="宋体" w:hint="default"/>
                <w:sz w:val="21"/>
                <w:szCs w:val="21"/>
              </w:rPr>
              <w:t>股比例</w:t>
            </w:r>
          </w:p>
          <w:p>
            <w:pPr>
              <w:pStyle w:val="TableParagraph"/>
              <w:spacing w:line="240" w:lineRule="auto" w:before="7"/>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141" w:right="34" w:hanging="106"/>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3" w:right="31"/>
              <w:jc w:val="left"/>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spacing w:val="-102"/>
                <w:sz w:val="21"/>
                <w:szCs w:val="21"/>
              </w:rPr>
              <w:t> </w:t>
            </w:r>
            <w:r>
              <w:rPr>
                <w:rFonts w:ascii="宋体" w:hAnsi="宋体" w:cs="宋体" w:eastAsia="宋体" w:hint="default"/>
                <w:sz w:val="21"/>
                <w:szCs w:val="21"/>
              </w:rPr>
              <w:t>股比例</w:t>
            </w:r>
          </w:p>
          <w:p>
            <w:pPr>
              <w:pStyle w:val="TableParagraph"/>
              <w:spacing w:line="240" w:lineRule="auto" w:before="7"/>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4" w:right="0"/>
              <w:jc w:val="center"/>
              <w:rPr>
                <w:rFonts w:ascii="宋体" w:hAnsi="宋体" w:cs="宋体" w:eastAsia="宋体" w:hint="default"/>
                <w:sz w:val="21"/>
                <w:szCs w:val="21"/>
              </w:rPr>
            </w:pPr>
            <w:r>
              <w:rPr>
                <w:rFonts w:ascii="宋体" w:hAnsi="宋体" w:cs="宋体" w:eastAsia="宋体" w:hint="default"/>
                <w:sz w:val="21"/>
                <w:szCs w:val="21"/>
              </w:rPr>
              <w:t>期末账面值</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1"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105" w:right="98"/>
              <w:jc w:val="left"/>
              <w:rPr>
                <w:rFonts w:ascii="宋体" w:hAnsi="宋体" w:cs="宋体" w:eastAsia="宋体" w:hint="default"/>
                <w:sz w:val="21"/>
                <w:szCs w:val="21"/>
              </w:rPr>
            </w:pPr>
            <w:r>
              <w:rPr>
                <w:rFonts w:ascii="宋体" w:hAnsi="宋体" w:cs="宋体" w:eastAsia="宋体" w:hint="default"/>
                <w:sz w:val="21"/>
                <w:szCs w:val="21"/>
              </w:rPr>
              <w:t>会计核</w:t>
            </w:r>
            <w:r>
              <w:rPr>
                <w:rFonts w:ascii="宋体" w:hAnsi="宋体" w:cs="宋体" w:eastAsia="宋体" w:hint="default"/>
                <w:spacing w:val="-102"/>
                <w:sz w:val="21"/>
                <w:szCs w:val="21"/>
              </w:rPr>
              <w:t> </w:t>
            </w:r>
            <w:r>
              <w:rPr>
                <w:rFonts w:ascii="宋体" w:hAnsi="宋体" w:cs="宋体" w:eastAsia="宋体" w:hint="default"/>
                <w:sz w:val="21"/>
                <w:szCs w:val="21"/>
              </w:rPr>
              <w:t>算科目</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83" w:right="77"/>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来源</w:t>
            </w:r>
          </w:p>
        </w:tc>
      </w:tr>
      <w:tr>
        <w:trPr>
          <w:trHeight w:val="1570"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37"/>
              <w:jc w:val="both"/>
              <w:rPr>
                <w:rFonts w:ascii="宋体" w:hAnsi="宋体" w:cs="宋体" w:eastAsia="宋体" w:hint="default"/>
                <w:sz w:val="21"/>
                <w:szCs w:val="21"/>
              </w:rPr>
            </w:pPr>
            <w:r>
              <w:rPr>
                <w:rFonts w:ascii="宋体" w:hAnsi="宋体" w:cs="宋体" w:eastAsia="宋体" w:hint="default"/>
                <w:sz w:val="21"/>
                <w:szCs w:val="21"/>
              </w:rPr>
              <w:t>江苏</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73" w:lineRule="auto"/>
              <w:ind w:left="23" w:right="110"/>
              <w:jc w:val="left"/>
              <w:rPr>
                <w:rFonts w:ascii="宋体" w:hAnsi="宋体" w:cs="宋体" w:eastAsia="宋体" w:hint="default"/>
                <w:sz w:val="21"/>
                <w:szCs w:val="21"/>
              </w:rPr>
            </w:pPr>
            <w:r>
              <w:rPr>
                <w:rFonts w:ascii="宋体" w:hAnsi="宋体" w:cs="宋体" w:eastAsia="宋体" w:hint="default"/>
                <w:sz w:val="21"/>
                <w:szCs w:val="21"/>
              </w:rPr>
              <w:t>商业</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5"/>
              <w:ind w:left="52" w:right="0"/>
              <w:jc w:val="left"/>
              <w:rPr>
                <w:rFonts w:ascii="Times New Roman" w:hAnsi="Times New Roman" w:cs="Times New Roman" w:eastAsia="Times New Roman" w:hint="default"/>
                <w:sz w:val="21"/>
                <w:szCs w:val="21"/>
              </w:rPr>
            </w:pPr>
            <w:r>
              <w:rPr>
                <w:rFonts w:ascii="Times New Roman"/>
                <w:sz w:val="21"/>
              </w:rPr>
              <w:t>540,000,000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5"/>
              <w:ind w:left="52" w:right="0"/>
              <w:jc w:val="left"/>
              <w:rPr>
                <w:rFonts w:ascii="Times New Roman" w:hAnsi="Times New Roman" w:cs="Times New Roman" w:eastAsia="Times New Roman" w:hint="default"/>
                <w:sz w:val="21"/>
                <w:szCs w:val="21"/>
              </w:rPr>
            </w:pPr>
            <w:r>
              <w:rPr>
                <w:rFonts w:ascii="Times New Roman"/>
                <w:sz w:val="21"/>
              </w:rPr>
              <w:t>150,000,000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5"/>
              <w:ind w:left="134" w:right="0"/>
              <w:jc w:val="left"/>
              <w:rPr>
                <w:rFonts w:ascii="Times New Roman" w:hAnsi="Times New Roman" w:cs="Times New Roman" w:eastAsia="Times New Roman" w:hint="default"/>
                <w:sz w:val="21"/>
                <w:szCs w:val="21"/>
              </w:rPr>
            </w:pPr>
            <w:r>
              <w:rPr>
                <w:rFonts w:ascii="Times New Roman"/>
                <w:sz w:val="21"/>
              </w:rPr>
              <w:t>1.65%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5"/>
              <w:ind w:left="50" w:right="0"/>
              <w:jc w:val="left"/>
              <w:rPr>
                <w:rFonts w:ascii="Times New Roman" w:hAnsi="Times New Roman" w:cs="Times New Roman" w:eastAsia="Times New Roman" w:hint="default"/>
                <w:sz w:val="21"/>
                <w:szCs w:val="21"/>
              </w:rPr>
            </w:pPr>
            <w:r>
              <w:rPr>
                <w:rFonts w:ascii="Times New Roman"/>
                <w:sz w:val="21"/>
              </w:rPr>
              <w:t>150,000,000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5"/>
              <w:ind w:left="134" w:right="0"/>
              <w:jc w:val="left"/>
              <w:rPr>
                <w:rFonts w:ascii="Times New Roman" w:hAnsi="Times New Roman" w:cs="Times New Roman" w:eastAsia="Times New Roman" w:hint="default"/>
                <w:sz w:val="21"/>
                <w:szCs w:val="21"/>
              </w:rPr>
            </w:pPr>
            <w:r>
              <w:rPr>
                <w:rFonts w:ascii="Times New Roman"/>
                <w:sz w:val="21"/>
              </w:rPr>
              <w:t>1.65%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5"/>
              <w:ind w:left="47" w:right="0"/>
              <w:jc w:val="left"/>
              <w:rPr>
                <w:rFonts w:ascii="Times New Roman" w:hAnsi="Times New Roman" w:cs="Times New Roman" w:eastAsia="Times New Roman" w:hint="default"/>
                <w:sz w:val="21"/>
                <w:szCs w:val="21"/>
              </w:rPr>
            </w:pPr>
            <w:r>
              <w:rPr>
                <w:rFonts w:ascii="Times New Roman"/>
                <w:sz w:val="21"/>
              </w:rPr>
              <w:t>540,000,000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5"/>
              <w:ind w:left="153" w:right="0"/>
              <w:jc w:val="left"/>
              <w:rPr>
                <w:rFonts w:ascii="Times New Roman" w:hAnsi="Times New Roman" w:cs="Times New Roman" w:eastAsia="Times New Roman" w:hint="default"/>
                <w:sz w:val="21"/>
                <w:szCs w:val="21"/>
              </w:rPr>
            </w:pPr>
            <w:r>
              <w:rPr>
                <w:rFonts w:ascii="Times New Roman"/>
                <w:sz w:val="21"/>
              </w:rPr>
              <w:t>12,000,000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73" w:lineRule="auto"/>
              <w:ind w:left="23" w:right="180"/>
              <w:jc w:val="left"/>
              <w:rPr>
                <w:rFonts w:ascii="宋体" w:hAnsi="宋体" w:cs="宋体" w:eastAsia="宋体" w:hint="default"/>
                <w:sz w:val="21"/>
                <w:szCs w:val="21"/>
              </w:rPr>
            </w:pPr>
            <w:r>
              <w:rPr>
                <w:rFonts w:ascii="宋体" w:hAnsi="宋体" w:cs="宋体" w:eastAsia="宋体" w:hint="default"/>
                <w:sz w:val="21"/>
                <w:szCs w:val="21"/>
              </w:rPr>
              <w:t>长期股</w:t>
            </w:r>
            <w:r>
              <w:rPr>
                <w:rFonts w:ascii="宋体" w:hAnsi="宋体" w:cs="宋体" w:eastAsia="宋体" w:hint="default"/>
                <w:spacing w:val="-102"/>
                <w:sz w:val="21"/>
                <w:szCs w:val="21"/>
              </w:rPr>
              <w:t> </w:t>
            </w:r>
            <w:r>
              <w:rPr>
                <w:rFonts w:ascii="宋体" w:hAnsi="宋体" w:cs="宋体" w:eastAsia="宋体" w:hint="default"/>
                <w:sz w:val="21"/>
                <w:szCs w:val="21"/>
              </w:rPr>
              <w:t>权投资</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认购</w:t>
            </w:r>
          </w:p>
        </w:tc>
      </w:tr>
    </w:tbl>
    <w:p>
      <w:pPr>
        <w:spacing w:after="0" w:line="240" w:lineRule="auto"/>
        <w:jc w:val="left"/>
        <w:rPr>
          <w:rFonts w:ascii="宋体" w:hAnsi="宋体" w:cs="宋体" w:eastAsia="宋体" w:hint="default"/>
          <w:sz w:val="21"/>
          <w:szCs w:val="21"/>
        </w:rPr>
        <w:sectPr>
          <w:pgSz w:w="11910" w:h="16840"/>
          <w:pgMar w:header="745" w:footer="1265" w:top="1060" w:bottom="1460" w:left="980" w:right="0"/>
        </w:sectPr>
      </w:pPr>
    </w:p>
    <w:p>
      <w:pPr>
        <w:spacing w:line="240" w:lineRule="auto" w:before="6"/>
        <w:rPr>
          <w:rFonts w:ascii="宋体" w:hAnsi="宋体" w:cs="宋体" w:eastAsia="宋体" w:hint="default"/>
          <w:b/>
          <w:bCs/>
          <w:sz w:val="28"/>
          <w:szCs w:val="28"/>
        </w:rPr>
      </w:pPr>
    </w:p>
    <w:tbl>
      <w:tblPr>
        <w:tblW w:w="0" w:type="auto"/>
        <w:jc w:val="left"/>
        <w:tblInd w:w="119" w:type="dxa"/>
        <w:tblLayout w:type="fixed"/>
        <w:tblCellMar>
          <w:top w:w="0" w:type="dxa"/>
          <w:left w:w="0" w:type="dxa"/>
          <w:bottom w:w="0" w:type="dxa"/>
          <w:right w:w="0" w:type="dxa"/>
        </w:tblCellMar>
        <w:tblLook w:val="01E0"/>
      </w:tblPr>
      <w:tblGrid>
        <w:gridCol w:w="596"/>
        <w:gridCol w:w="569"/>
        <w:gridCol w:w="1135"/>
        <w:gridCol w:w="1136"/>
        <w:gridCol w:w="708"/>
        <w:gridCol w:w="1136"/>
        <w:gridCol w:w="710"/>
        <w:gridCol w:w="1130"/>
        <w:gridCol w:w="1133"/>
        <w:gridCol w:w="850"/>
        <w:gridCol w:w="595"/>
      </w:tblGrid>
      <w:tr>
        <w:trPr>
          <w:trHeight w:val="2506"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37"/>
              <w:jc w:val="both"/>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通州</w:t>
            </w:r>
            <w:r>
              <w:rPr>
                <w:rFonts w:ascii="宋体" w:hAnsi="宋体" w:cs="宋体" w:eastAsia="宋体" w:hint="default"/>
                <w:spacing w:val="-103"/>
                <w:sz w:val="21"/>
                <w:szCs w:val="21"/>
              </w:rPr>
              <w:t> </w:t>
            </w:r>
            <w:r>
              <w:rPr>
                <w:rFonts w:ascii="宋体" w:hAnsi="宋体" w:cs="宋体" w:eastAsia="宋体" w:hint="default"/>
                <w:sz w:val="21"/>
                <w:szCs w:val="21"/>
              </w:rPr>
              <w:t>国开</w:t>
            </w:r>
            <w:r>
              <w:rPr>
                <w:rFonts w:ascii="宋体" w:hAnsi="宋体" w:cs="宋体" w:eastAsia="宋体" w:hint="default"/>
                <w:spacing w:val="-103"/>
                <w:sz w:val="21"/>
                <w:szCs w:val="21"/>
              </w:rPr>
              <w:t> </w:t>
            </w:r>
            <w:r>
              <w:rPr>
                <w:rFonts w:ascii="宋体" w:hAnsi="宋体" w:cs="宋体" w:eastAsia="宋体" w:hint="default"/>
                <w:sz w:val="21"/>
                <w:szCs w:val="21"/>
              </w:rPr>
              <w:t>村镇</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38"/>
              <w:ind w:left="23" w:right="110"/>
              <w:jc w:val="left"/>
              <w:rPr>
                <w:rFonts w:ascii="宋体" w:hAnsi="宋体" w:cs="宋体" w:eastAsia="宋体" w:hint="default"/>
                <w:sz w:val="21"/>
                <w:szCs w:val="21"/>
              </w:rPr>
            </w:pPr>
            <w:r>
              <w:rPr>
                <w:rFonts w:ascii="宋体" w:hAnsi="宋体" w:cs="宋体" w:eastAsia="宋体" w:hint="default"/>
                <w:sz w:val="21"/>
                <w:szCs w:val="21"/>
              </w:rPr>
              <w:t>商业</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63" w:right="0"/>
              <w:jc w:val="left"/>
              <w:rPr>
                <w:rFonts w:ascii="Times New Roman" w:hAnsi="Times New Roman" w:cs="Times New Roman" w:eastAsia="Times New Roman" w:hint="default"/>
                <w:sz w:val="21"/>
                <w:szCs w:val="21"/>
              </w:rPr>
            </w:pPr>
            <w:r>
              <w:rPr>
                <w:rFonts w:ascii="Times New Roman"/>
                <w:sz w:val="21"/>
              </w:rPr>
              <w:t>9,000,000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63" w:right="0"/>
              <w:jc w:val="left"/>
              <w:rPr>
                <w:rFonts w:ascii="Times New Roman" w:hAnsi="Times New Roman" w:cs="Times New Roman" w:eastAsia="Times New Roman" w:hint="default"/>
                <w:sz w:val="21"/>
                <w:szCs w:val="21"/>
              </w:rPr>
            </w:pPr>
            <w:r>
              <w:rPr>
                <w:rFonts w:ascii="Times New Roman"/>
                <w:sz w:val="21"/>
              </w:rPr>
              <w:t>9,000,000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396" w:right="0"/>
              <w:jc w:val="left"/>
              <w:rPr>
                <w:rFonts w:ascii="Times New Roman" w:hAnsi="Times New Roman" w:cs="Times New Roman" w:eastAsia="Times New Roman" w:hint="default"/>
                <w:sz w:val="21"/>
                <w:szCs w:val="21"/>
              </w:rPr>
            </w:pPr>
            <w:r>
              <w:rPr>
                <w:rFonts w:ascii="Times New Roman"/>
                <w:sz w:val="21"/>
              </w:rPr>
              <w:t>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9,000,000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395" w:right="0"/>
              <w:jc w:val="left"/>
              <w:rPr>
                <w:rFonts w:ascii="Times New Roman" w:hAnsi="Times New Roman" w:cs="Times New Roman" w:eastAsia="Times New Roman" w:hint="default"/>
                <w:sz w:val="21"/>
                <w:szCs w:val="21"/>
              </w:rPr>
            </w:pPr>
            <w:r>
              <w:rPr>
                <w:rFonts w:ascii="Times New Roman"/>
                <w:sz w:val="21"/>
              </w:rPr>
              <w:t>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9,000,000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38"/>
              <w:ind w:left="23" w:right="180"/>
              <w:jc w:val="left"/>
              <w:rPr>
                <w:rFonts w:ascii="宋体" w:hAnsi="宋体" w:cs="宋体" w:eastAsia="宋体" w:hint="default"/>
                <w:sz w:val="21"/>
                <w:szCs w:val="21"/>
              </w:rPr>
            </w:pPr>
            <w:r>
              <w:rPr>
                <w:rFonts w:ascii="宋体" w:hAnsi="宋体" w:cs="宋体" w:eastAsia="宋体" w:hint="default"/>
                <w:sz w:val="21"/>
                <w:szCs w:val="21"/>
              </w:rPr>
              <w:t>长期股</w:t>
            </w:r>
            <w:r>
              <w:rPr>
                <w:rFonts w:ascii="宋体" w:hAnsi="宋体" w:cs="宋体" w:eastAsia="宋体" w:hint="default"/>
                <w:spacing w:val="-102"/>
                <w:sz w:val="21"/>
                <w:szCs w:val="21"/>
              </w:rPr>
              <w:t> </w:t>
            </w:r>
            <w:r>
              <w:rPr>
                <w:rFonts w:ascii="宋体" w:hAnsi="宋体" w:cs="宋体" w:eastAsia="宋体" w:hint="default"/>
                <w:sz w:val="21"/>
                <w:szCs w:val="21"/>
              </w:rPr>
              <w:t>权投资</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38"/>
              <w:ind w:left="26" w:right="134"/>
              <w:jc w:val="left"/>
              <w:rPr>
                <w:rFonts w:ascii="宋体" w:hAnsi="宋体" w:cs="宋体" w:eastAsia="宋体" w:hint="default"/>
                <w:sz w:val="21"/>
                <w:szCs w:val="21"/>
              </w:rPr>
            </w:pPr>
            <w:r>
              <w:rPr>
                <w:rFonts w:ascii="宋体" w:hAnsi="宋体" w:cs="宋体" w:eastAsia="宋体" w:hint="default"/>
                <w:sz w:val="21"/>
                <w:szCs w:val="21"/>
              </w:rPr>
              <w:t>发起</w:t>
            </w:r>
            <w:r>
              <w:rPr>
                <w:rFonts w:ascii="宋体" w:hAnsi="宋体" w:cs="宋体" w:eastAsia="宋体" w:hint="default"/>
                <w:spacing w:val="-103"/>
                <w:sz w:val="21"/>
                <w:szCs w:val="21"/>
              </w:rPr>
              <w:t> </w:t>
            </w:r>
            <w:r>
              <w:rPr>
                <w:rFonts w:ascii="宋体" w:hAnsi="宋体" w:cs="宋体" w:eastAsia="宋体" w:hint="default"/>
                <w:sz w:val="21"/>
                <w:szCs w:val="21"/>
              </w:rPr>
              <w:t>设立</w:t>
            </w:r>
          </w:p>
        </w:tc>
      </w:tr>
    </w:tbl>
    <w:p>
      <w:pPr>
        <w:spacing w:line="240" w:lineRule="auto" w:before="3"/>
        <w:rPr>
          <w:rFonts w:ascii="宋体" w:hAnsi="宋体" w:cs="宋体" w:eastAsia="宋体" w:hint="default"/>
          <w:b/>
          <w:bCs/>
          <w:sz w:val="8"/>
          <w:szCs w:val="8"/>
        </w:rPr>
      </w:pPr>
    </w:p>
    <w:p>
      <w:pPr>
        <w:spacing w:line="321" w:lineRule="auto" w:before="36"/>
        <w:ind w:left="573" w:right="8539"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）证券投资情况</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5"/>
        <w:rPr>
          <w:rFonts w:ascii="宋体" w:hAnsi="宋体" w:cs="宋体" w:eastAsia="宋体" w:hint="default"/>
          <w:sz w:val="15"/>
          <w:szCs w:val="15"/>
        </w:rPr>
      </w:pPr>
    </w:p>
    <w:p>
      <w:pPr>
        <w:pStyle w:val="Heading4"/>
        <w:spacing w:line="240" w:lineRule="auto"/>
        <w:ind w:left="575" w:right="982"/>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448" w:lineRule="auto" w:before="180"/>
        <w:ind w:left="573" w:right="8539"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451" w:lineRule="auto" w:before="89"/>
        <w:ind w:left="573" w:right="8329"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448" w:lineRule="auto" w:before="87"/>
        <w:ind w:left="573" w:right="8539"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）委托贷款情况</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after="0" w:line="448" w:lineRule="auto"/>
        <w:jc w:val="left"/>
        <w:rPr>
          <w:rFonts w:ascii="宋体" w:hAnsi="宋体" w:cs="宋体" w:eastAsia="宋体" w:hint="default"/>
          <w:sz w:val="21"/>
          <w:szCs w:val="21"/>
        </w:rPr>
        <w:sectPr>
          <w:pgSz w:w="11910" w:h="16840"/>
          <w:pgMar w:header="745" w:footer="1265" w:top="1060" w:bottom="14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573" w:right="982" w:firstLine="0"/>
        <w:jc w:val="left"/>
        <w:rPr>
          <w:rFonts w:ascii="宋体" w:hAnsi="宋体" w:cs="宋体" w:eastAsia="宋体" w:hint="default"/>
          <w:sz w:val="18"/>
          <w:szCs w:val="18"/>
        </w:rPr>
      </w:pPr>
      <w:r>
        <w:rPr>
          <w:rFonts w:ascii="宋体" w:hAnsi="宋体" w:cs="宋体" w:eastAsia="宋体" w:hint="default"/>
          <w:sz w:val="18"/>
          <w:szCs w:val="18"/>
        </w:rPr>
        <w:t>（二）募集资金使用情况</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4"/>
        <w:spacing w:line="240" w:lineRule="auto"/>
        <w:ind w:left="575" w:right="982"/>
        <w:jc w:val="left"/>
        <w:rPr>
          <w:b w:val="0"/>
          <w:bCs w:val="0"/>
        </w:rPr>
      </w:pPr>
      <w:r>
        <w:rPr>
          <w:rFonts w:ascii="Times New Roman" w:hAnsi="Times New Roman" w:cs="Times New Roman" w:eastAsia="Times New Roman" w:hint="default"/>
        </w:rPr>
        <w:t>1</w:t>
      </w:r>
      <w:r>
        <w:rPr/>
        <w:t>、募集资金总体使用情况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2"/>
          <w:szCs w:val="22"/>
        </w:rPr>
      </w:pPr>
    </w:p>
    <w:p>
      <w:pPr>
        <w:pStyle w:val="BodyText"/>
        <w:spacing w:line="240" w:lineRule="auto" w:before="36"/>
        <w:ind w:left="0" w:right="1119"/>
        <w:jc w:val="right"/>
      </w:pPr>
      <w:r>
        <w:rPr/>
        <w:pict>
          <v:shape style="position:absolute;margin-left:56.400002pt;margin-top:-141.966324pt;width:479.3pt;height:566.1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1"/>
                  </w:tblGrid>
                  <w:tr>
                    <w:trPr>
                      <w:trHeight w:val="32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募集资金净额（万元）</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1,005,314.82</w:t>
                        </w:r>
                      </w:p>
                    </w:tc>
                  </w:tr>
                  <w:tr>
                    <w:trPr>
                      <w:trHeight w:val="32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报告期投入募集资金总额（万元）</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301,844.04</w:t>
                        </w:r>
                      </w:p>
                    </w:tc>
                  </w:tr>
                  <w:tr>
                    <w:trPr>
                      <w:trHeight w:val="32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已累计投入募集资金总额（万元）</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763,329.55</w:t>
                        </w:r>
                      </w:p>
                    </w:tc>
                  </w:tr>
                  <w:tr>
                    <w:trPr>
                      <w:trHeight w:val="32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报告期内变更用途的募集资金总额（万元）</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32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累计变更用途的募集资金总额（万元）</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328"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31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9059"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）募集资金情况：</w:t>
                        </w:r>
                      </w:p>
                      <w:p>
                        <w:pPr>
                          <w:pStyle w:val="TableParagraph"/>
                          <w:spacing w:line="256" w:lineRule="auto" w:before="22"/>
                          <w:ind w:left="24" w:right="19"/>
                          <w:jc w:val="left"/>
                          <w:rPr>
                            <w:rFonts w:ascii="宋体" w:hAnsi="宋体" w:cs="宋体" w:eastAsia="宋体" w:hint="default"/>
                            <w:sz w:val="21"/>
                            <w:szCs w:val="21"/>
                          </w:rPr>
                        </w:pPr>
                        <w:r>
                          <w:rPr>
                            <w:rFonts w:ascii="宋体" w:hAnsi="宋体" w:cs="宋体" w:eastAsia="宋体" w:hint="default"/>
                            <w:sz w:val="21"/>
                            <w:szCs w:val="21"/>
                          </w:rPr>
                          <w:t>①根据中国证券监督管理委员会签发的证监许可</w:t>
                        </w:r>
                        <w:r>
                          <w:rPr>
                            <w:rFonts w:ascii="Times New Roman" w:hAnsi="Times New Roman" w:cs="Times New Roman" w:eastAsia="Times New Roman" w:hint="default"/>
                            <w:sz w:val="21"/>
                            <w:szCs w:val="21"/>
                          </w:rPr>
                          <w:t>[2008]647 </w:t>
                        </w:r>
                        <w:r>
                          <w:rPr>
                            <w:rFonts w:ascii="宋体" w:hAnsi="宋体" w:cs="宋体" w:eastAsia="宋体" w:hint="default"/>
                            <w:spacing w:val="-3"/>
                            <w:sz w:val="21"/>
                            <w:szCs w:val="21"/>
                          </w:rPr>
                          <w:t>号文《关于核准苏宁电器股份有限公司非公开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8"/>
                            <w:w w:val="100"/>
                            <w:sz w:val="21"/>
                            <w:szCs w:val="21"/>
                          </w:rPr>
                          <w:t>发行股票的批复》，本公司于</w:t>
                        </w:r>
                        <w:r>
                          <w:rPr>
                            <w:rFonts w:ascii="宋体" w:hAnsi="宋体" w:cs="宋体" w:eastAsia="宋体" w:hint="default"/>
                            <w:spacing w:val="-55"/>
                            <w:w w:val="100"/>
                            <w:sz w:val="21"/>
                            <w:szCs w:val="21"/>
                          </w:rPr>
                          <w:t> </w:t>
                        </w:r>
                        <w:r>
                          <w:rPr>
                            <w:rFonts w:ascii="Times New Roman" w:hAnsi="Times New Roman" w:cs="Times New Roman" w:eastAsia="Times New Roman" w:hint="default"/>
                            <w:spacing w:val="-1"/>
                            <w:w w:val="100"/>
                            <w:sz w:val="21"/>
                            <w:szCs w:val="21"/>
                          </w:rPr>
                          <w:t>2008</w:t>
                        </w:r>
                        <w:r>
                          <w:rPr>
                            <w:rFonts w:ascii="Times New Roman" w:hAnsi="Times New Roman" w:cs="Times New Roman" w:eastAsia="Times New Roman" w:hint="default"/>
                            <w:spacing w:val="-5"/>
                            <w:w w:val="100"/>
                            <w:sz w:val="21"/>
                            <w:szCs w:val="21"/>
                          </w:rPr>
                          <w:t> </w:t>
                        </w:r>
                        <w:r>
                          <w:rPr>
                            <w:rFonts w:ascii="宋体" w:hAnsi="宋体" w:cs="宋体" w:eastAsia="宋体" w:hint="default"/>
                            <w:w w:val="100"/>
                            <w:sz w:val="21"/>
                            <w:szCs w:val="21"/>
                          </w:rPr>
                          <w:t>年</w:t>
                        </w:r>
                        <w:r>
                          <w:rPr>
                            <w:rFonts w:ascii="宋体" w:hAnsi="宋体" w:cs="宋体" w:eastAsia="宋体" w:hint="default"/>
                            <w:spacing w:val="-58"/>
                            <w:w w:val="100"/>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5"/>
                            <w:w w:val="100"/>
                            <w:sz w:val="21"/>
                            <w:szCs w:val="21"/>
                          </w:rPr>
                          <w:t> </w:t>
                        </w:r>
                        <w:r>
                          <w:rPr>
                            <w:rFonts w:ascii="宋体" w:hAnsi="宋体" w:cs="宋体" w:eastAsia="宋体" w:hint="default"/>
                            <w:w w:val="100"/>
                            <w:sz w:val="21"/>
                            <w:szCs w:val="21"/>
                          </w:rPr>
                          <w:t>月</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16</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2"/>
                            <w:w w:val="100"/>
                            <w:sz w:val="21"/>
                            <w:szCs w:val="21"/>
                          </w:rPr>
                          <w:t>日获准向特定投资者非公开发行人民币普通股</w:t>
                        </w:r>
                        <w:r>
                          <w:rPr>
                            <w:rFonts w:ascii="宋体" w:hAnsi="宋体" w:cs="宋体" w:eastAsia="宋体" w:hint="default"/>
                            <w:spacing w:val="-58"/>
                            <w:w w:val="100"/>
                            <w:sz w:val="21"/>
                            <w:szCs w:val="21"/>
                          </w:rPr>
                          <w:t> </w:t>
                        </w:r>
                        <w:r>
                          <w:rPr>
                            <w:rFonts w:ascii="Times New Roman" w:hAnsi="Times New Roman" w:cs="Times New Roman" w:eastAsia="Times New Roman" w:hint="default"/>
                            <w:spacing w:val="-1"/>
                            <w:w w:val="100"/>
                            <w:sz w:val="21"/>
                            <w:szCs w:val="21"/>
                          </w:rPr>
                          <w:t>54,000,000</w:t>
                        </w:r>
                        <w:r>
                          <w:rPr>
                            <w:rFonts w:ascii="Times New Roman" w:hAnsi="Times New Roman" w:cs="Times New Roman" w:eastAsia="Times New Roman" w:hint="default"/>
                            <w:spacing w:val="-6"/>
                            <w:w w:val="100"/>
                            <w:sz w:val="21"/>
                            <w:szCs w:val="21"/>
                          </w:rPr>
                          <w:t> </w:t>
                        </w:r>
                        <w:r>
                          <w:rPr>
                            <w:rFonts w:ascii="宋体" w:hAnsi="宋体" w:cs="宋体" w:eastAsia="宋体" w:hint="default"/>
                            <w:w w:val="100"/>
                            <w:sz w:val="21"/>
                            <w:szCs w:val="21"/>
                          </w:rPr>
                          <w:t>股</w:t>
                        </w:r>
                      </w:p>
                      <w:p>
                        <w:pPr>
                          <w:pStyle w:val="TableParagraph"/>
                          <w:spacing w:line="240" w:lineRule="auto" w:before="5"/>
                          <w:ind w:left="24"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每股面值人民币</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7"/>
                            <w:sz w:val="21"/>
                            <w:szCs w:val="21"/>
                          </w:rPr>
                          <w:t> </w:t>
                        </w:r>
                        <w:r>
                          <w:rPr>
                            <w:rFonts w:ascii="宋体" w:hAnsi="宋体" w:cs="宋体" w:eastAsia="宋体" w:hint="default"/>
                            <w:spacing w:val="-7"/>
                            <w:sz w:val="21"/>
                            <w:szCs w:val="21"/>
                          </w:rPr>
                          <w:t>元，每股发行价格为人民币</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45.00</w:t>
                        </w:r>
                        <w:r>
                          <w:rPr>
                            <w:rFonts w:ascii="Times New Roman" w:hAnsi="Times New Roman" w:cs="Times New Roman" w:eastAsia="Times New Roman" w:hint="default"/>
                            <w:spacing w:val="7"/>
                            <w:sz w:val="21"/>
                            <w:szCs w:val="21"/>
                          </w:rPr>
                          <w:t> </w:t>
                        </w:r>
                        <w:r>
                          <w:rPr>
                            <w:rFonts w:ascii="宋体" w:hAnsi="宋体" w:cs="宋体" w:eastAsia="宋体" w:hint="default"/>
                            <w:spacing w:val="-11"/>
                            <w:sz w:val="21"/>
                            <w:szCs w:val="21"/>
                          </w:rPr>
                          <w:t>元，股款以人民币缴足，计人民币</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2,430,000,000.00</w:t>
                        </w:r>
                      </w:p>
                      <w:p>
                        <w:pPr>
                          <w:pStyle w:val="TableParagraph"/>
                          <w:spacing w:line="240" w:lineRule="auto" w:before="21"/>
                          <w:ind w:left="24" w:right="0"/>
                          <w:jc w:val="both"/>
                          <w:rPr>
                            <w:rFonts w:ascii="Times New Roman" w:hAnsi="Times New Roman" w:cs="Times New Roman" w:eastAsia="Times New Roman" w:hint="default"/>
                            <w:sz w:val="21"/>
                            <w:szCs w:val="21"/>
                          </w:rPr>
                        </w:pPr>
                        <w:r>
                          <w:rPr>
                            <w:rFonts w:ascii="宋体" w:hAnsi="宋体" w:cs="宋体" w:eastAsia="宋体" w:hint="default"/>
                            <w:spacing w:val="-3"/>
                            <w:sz w:val="21"/>
                            <w:szCs w:val="21"/>
                          </w:rPr>
                          <w:t>元，扣除发行费用人民币</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9,944,524.50</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元，募集股款净额为人民币</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2,420,055,475.50</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元，上述资金于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2008</w:t>
                        </w:r>
                      </w:p>
                      <w:p>
                        <w:pPr>
                          <w:pStyle w:val="TableParagraph"/>
                          <w:spacing w:line="240" w:lineRule="auto" w:before="21"/>
                          <w:ind w:left="24"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日到位，业经普华永道中天会计师事务所有限公司予以验证并出具普华永道中天验字</w:t>
                        </w:r>
                        <w:r>
                          <w:rPr>
                            <w:rFonts w:ascii="Times New Roman" w:hAnsi="Times New Roman" w:cs="Times New Roman" w:eastAsia="Times New Roman" w:hint="default"/>
                            <w:sz w:val="21"/>
                            <w:szCs w:val="21"/>
                          </w:rPr>
                          <w:t>(2008)</w:t>
                        </w:r>
                        <w:r>
                          <w:rPr>
                            <w:rFonts w:ascii="宋体" w:hAnsi="宋体" w:cs="宋体" w:eastAsia="宋体" w:hint="default"/>
                            <w:sz w:val="21"/>
                            <w:szCs w:val="21"/>
                          </w:rPr>
                          <w:t>第</w:t>
                        </w:r>
                      </w:p>
                      <w:p>
                        <w:pPr>
                          <w:pStyle w:val="TableParagraph"/>
                          <w:spacing w:line="240" w:lineRule="auto" w:before="21"/>
                          <w:ind w:left="24"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054 </w:t>
                        </w:r>
                        <w:r>
                          <w:rPr>
                            <w:rFonts w:ascii="宋体" w:hAnsi="宋体" w:cs="宋体" w:eastAsia="宋体" w:hint="default"/>
                            <w:sz w:val="21"/>
                            <w:szCs w:val="21"/>
                          </w:rPr>
                          <w:t>号验资报告。</w:t>
                        </w:r>
                      </w:p>
                      <w:p>
                        <w:pPr>
                          <w:pStyle w:val="TableParagraph"/>
                          <w:spacing w:line="256" w:lineRule="auto" w:before="21"/>
                          <w:ind w:left="24" w:right="19"/>
                          <w:jc w:val="left"/>
                          <w:rPr>
                            <w:rFonts w:ascii="Times New Roman" w:hAnsi="Times New Roman" w:cs="Times New Roman" w:eastAsia="Times New Roman" w:hint="default"/>
                            <w:sz w:val="21"/>
                            <w:szCs w:val="21"/>
                          </w:rPr>
                        </w:pPr>
                        <w:r>
                          <w:rPr>
                            <w:rFonts w:ascii="宋体" w:hAnsi="宋体" w:cs="宋体" w:eastAsia="宋体" w:hint="default"/>
                            <w:sz w:val="21"/>
                            <w:szCs w:val="21"/>
                          </w:rPr>
                          <w:t>②根据中国证券监督管理委员会签发的证监许可</w:t>
                        </w:r>
                        <w:r>
                          <w:rPr>
                            <w:rFonts w:ascii="Times New Roman" w:hAnsi="Times New Roman" w:cs="Times New Roman" w:eastAsia="Times New Roman" w:hint="default"/>
                            <w:sz w:val="21"/>
                            <w:szCs w:val="21"/>
                          </w:rPr>
                          <w:t>[2009]1351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号文《关于核准苏宁电器股份有限公司非公</w:t>
                        </w:r>
                        <w:r>
                          <w:rPr>
                            <w:rFonts w:ascii="宋体" w:hAnsi="宋体" w:cs="宋体" w:eastAsia="宋体" w:hint="default"/>
                            <w:w w:val="100"/>
                            <w:sz w:val="21"/>
                            <w:szCs w:val="21"/>
                          </w:rPr>
                          <w:t> </w:t>
                        </w:r>
                        <w:r>
                          <w:rPr>
                            <w:rFonts w:ascii="宋体" w:hAnsi="宋体" w:cs="宋体" w:eastAsia="宋体" w:hint="default"/>
                            <w:spacing w:val="-17"/>
                            <w:w w:val="100"/>
                            <w:sz w:val="21"/>
                            <w:szCs w:val="21"/>
                          </w:rPr>
                          <w:t>开发行股票的批复》，本公司于</w:t>
                        </w:r>
                        <w:r>
                          <w:rPr>
                            <w:rFonts w:ascii="宋体" w:hAnsi="宋体" w:cs="宋体" w:eastAsia="宋体" w:hint="default"/>
                            <w:spacing w:val="-63"/>
                            <w:w w:val="100"/>
                            <w:sz w:val="21"/>
                            <w:szCs w:val="21"/>
                          </w:rPr>
                          <w:t> </w:t>
                        </w:r>
                        <w:r>
                          <w:rPr>
                            <w:rFonts w:ascii="Times New Roman" w:hAnsi="Times New Roman" w:cs="Times New Roman" w:eastAsia="Times New Roman" w:hint="default"/>
                            <w:spacing w:val="-1"/>
                            <w:w w:val="100"/>
                            <w:sz w:val="21"/>
                            <w:szCs w:val="21"/>
                          </w:rPr>
                          <w:t>2009</w:t>
                        </w:r>
                        <w:r>
                          <w:rPr>
                            <w:rFonts w:ascii="Times New Roman" w:hAnsi="Times New Roman" w:cs="Times New Roman" w:eastAsia="Times New Roman" w:hint="default"/>
                            <w:spacing w:val="-12"/>
                            <w:w w:val="100"/>
                            <w:sz w:val="21"/>
                            <w:szCs w:val="21"/>
                          </w:rPr>
                          <w:t> </w:t>
                        </w:r>
                        <w:r>
                          <w:rPr>
                            <w:rFonts w:ascii="宋体" w:hAnsi="宋体" w:cs="宋体" w:eastAsia="宋体" w:hint="default"/>
                            <w:w w:val="100"/>
                            <w:sz w:val="21"/>
                            <w:szCs w:val="21"/>
                          </w:rPr>
                          <w:t>年</w:t>
                        </w:r>
                        <w:r>
                          <w:rPr>
                            <w:rFonts w:ascii="宋体" w:hAnsi="宋体" w:cs="宋体" w:eastAsia="宋体" w:hint="default"/>
                            <w:spacing w:val="-64"/>
                            <w:w w:val="100"/>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12"/>
                            <w:w w:val="100"/>
                            <w:sz w:val="21"/>
                            <w:szCs w:val="21"/>
                          </w:rPr>
                          <w:t> </w:t>
                        </w:r>
                        <w:r>
                          <w:rPr>
                            <w:rFonts w:ascii="宋体" w:hAnsi="宋体" w:cs="宋体" w:eastAsia="宋体" w:hint="default"/>
                            <w:w w:val="100"/>
                            <w:sz w:val="21"/>
                            <w:szCs w:val="21"/>
                          </w:rPr>
                          <w:t>月</w:t>
                        </w:r>
                        <w:r>
                          <w:rPr>
                            <w:rFonts w:ascii="宋体" w:hAnsi="宋体" w:cs="宋体" w:eastAsia="宋体" w:hint="default"/>
                            <w:spacing w:val="-66"/>
                            <w:w w:val="100"/>
                            <w:sz w:val="21"/>
                            <w:szCs w:val="21"/>
                          </w:rPr>
                          <w:t> </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12"/>
                            <w:w w:val="100"/>
                            <w:sz w:val="21"/>
                            <w:szCs w:val="21"/>
                          </w:rPr>
                          <w:t> </w:t>
                        </w:r>
                        <w:r>
                          <w:rPr>
                            <w:rFonts w:ascii="宋体" w:hAnsi="宋体" w:cs="宋体" w:eastAsia="宋体" w:hint="default"/>
                            <w:spacing w:val="-2"/>
                            <w:w w:val="100"/>
                            <w:sz w:val="21"/>
                            <w:szCs w:val="21"/>
                          </w:rPr>
                          <w:t>日获准向特定投资者非公开发行人民币普通股</w:t>
                        </w:r>
                        <w:r>
                          <w:rPr>
                            <w:rFonts w:ascii="宋体" w:hAnsi="宋体" w:cs="宋体" w:eastAsia="宋体" w:hint="default"/>
                            <w:spacing w:val="-66"/>
                            <w:w w:val="100"/>
                            <w:sz w:val="21"/>
                            <w:szCs w:val="21"/>
                          </w:rPr>
                          <w:t> </w:t>
                        </w:r>
                        <w:r>
                          <w:rPr>
                            <w:rFonts w:ascii="Times New Roman" w:hAnsi="Times New Roman" w:cs="Times New Roman" w:eastAsia="Times New Roman" w:hint="default"/>
                            <w:spacing w:val="-1"/>
                            <w:w w:val="100"/>
                            <w:sz w:val="21"/>
                            <w:szCs w:val="21"/>
                          </w:rPr>
                          <w:t>177,629,244</w:t>
                        </w:r>
                      </w:p>
                      <w:p>
                        <w:pPr>
                          <w:pStyle w:val="TableParagraph"/>
                          <w:spacing w:line="240" w:lineRule="auto" w:before="5"/>
                          <w:ind w:left="24" w:right="0"/>
                          <w:jc w:val="both"/>
                          <w:rPr>
                            <w:rFonts w:ascii="宋体" w:hAnsi="宋体" w:cs="宋体" w:eastAsia="宋体" w:hint="default"/>
                            <w:sz w:val="21"/>
                            <w:szCs w:val="21"/>
                          </w:rPr>
                        </w:pPr>
                        <w:r>
                          <w:rPr>
                            <w:rFonts w:ascii="宋体" w:hAnsi="宋体" w:cs="宋体" w:eastAsia="宋体" w:hint="default"/>
                            <w:sz w:val="21"/>
                            <w:szCs w:val="21"/>
                          </w:rPr>
                          <w:t>股，每股面值人民币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元，每股发行价格为人民币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元，股款以人民币缴足，计人民币</w:t>
                        </w:r>
                      </w:p>
                      <w:p>
                        <w:pPr>
                          <w:pStyle w:val="TableParagraph"/>
                          <w:spacing w:line="240" w:lineRule="auto" w:before="21"/>
                          <w:ind w:left="24"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3,055,222,996.80</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元，扣除发行费用人民币</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55,223,001.35</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元，募集股款净额为人民币</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2,999,999,995.45</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40" w:lineRule="auto" w:before="21"/>
                          <w:ind w:left="24" w:right="0"/>
                          <w:jc w:val="both"/>
                          <w:rPr>
                            <w:rFonts w:ascii="宋体" w:hAnsi="宋体" w:cs="宋体" w:eastAsia="宋体" w:hint="default"/>
                            <w:sz w:val="21"/>
                            <w:szCs w:val="21"/>
                          </w:rPr>
                        </w:pPr>
                        <w:r>
                          <w:rPr>
                            <w:rFonts w:ascii="宋体" w:hAnsi="宋体" w:cs="宋体" w:eastAsia="宋体" w:hint="default"/>
                            <w:sz w:val="21"/>
                            <w:szCs w:val="21"/>
                          </w:rPr>
                          <w:t>上述资金于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日到位，业经普华永道中天会计师事务所有限公司予以验证并出具普华永道</w:t>
                        </w:r>
                      </w:p>
                      <w:p>
                        <w:pPr>
                          <w:pStyle w:val="TableParagraph"/>
                          <w:spacing w:line="240" w:lineRule="auto" w:before="21"/>
                          <w:ind w:left="24" w:right="0"/>
                          <w:jc w:val="both"/>
                          <w:rPr>
                            <w:rFonts w:ascii="宋体" w:hAnsi="宋体" w:cs="宋体" w:eastAsia="宋体" w:hint="default"/>
                            <w:sz w:val="21"/>
                            <w:szCs w:val="21"/>
                          </w:rPr>
                        </w:pPr>
                        <w:r>
                          <w:rPr>
                            <w:rFonts w:ascii="宋体" w:hAnsi="宋体" w:cs="宋体" w:eastAsia="宋体" w:hint="default"/>
                            <w:sz w:val="21"/>
                            <w:szCs w:val="21"/>
                          </w:rPr>
                          <w:t>中天验字</w:t>
                        </w:r>
                        <w:r>
                          <w:rPr>
                            <w:rFonts w:ascii="Times New Roman" w:hAnsi="Times New Roman" w:cs="Times New Roman" w:eastAsia="Times New Roman" w:hint="default"/>
                            <w:sz w:val="21"/>
                            <w:szCs w:val="21"/>
                          </w:rPr>
                          <w:t>(2009)</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号验资报告。</w:t>
                        </w:r>
                      </w:p>
                      <w:p>
                        <w:pPr>
                          <w:pStyle w:val="TableParagraph"/>
                          <w:spacing w:line="256" w:lineRule="auto" w:before="21"/>
                          <w:ind w:left="24" w:right="19"/>
                          <w:jc w:val="left"/>
                          <w:rPr>
                            <w:rFonts w:ascii="宋体" w:hAnsi="宋体" w:cs="宋体" w:eastAsia="宋体" w:hint="default"/>
                            <w:sz w:val="21"/>
                            <w:szCs w:val="21"/>
                          </w:rPr>
                        </w:pPr>
                        <w:r>
                          <w:rPr>
                            <w:rFonts w:ascii="宋体" w:hAnsi="宋体" w:cs="宋体" w:eastAsia="宋体" w:hint="default"/>
                            <w:sz w:val="21"/>
                            <w:szCs w:val="21"/>
                          </w:rPr>
                          <w:t>③根据中国证券监督管理委员会签发的证监许可</w:t>
                        </w:r>
                        <w:r>
                          <w:rPr>
                            <w:rFonts w:ascii="Times New Roman" w:hAnsi="Times New Roman" w:cs="Times New Roman" w:eastAsia="Times New Roman" w:hint="default"/>
                            <w:sz w:val="21"/>
                            <w:szCs w:val="21"/>
                          </w:rPr>
                          <w:t>[2012]477 </w:t>
                        </w:r>
                        <w:r>
                          <w:rPr>
                            <w:rFonts w:ascii="宋体" w:hAnsi="宋体" w:cs="宋体" w:eastAsia="宋体" w:hint="default"/>
                            <w:spacing w:val="-3"/>
                            <w:sz w:val="21"/>
                            <w:szCs w:val="21"/>
                          </w:rPr>
                          <w:t>号文《关于核准苏宁电器股份有限公司非公开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8"/>
                            <w:w w:val="100"/>
                            <w:sz w:val="21"/>
                            <w:szCs w:val="21"/>
                          </w:rPr>
                          <w:t>发行股票的批复》，本公司于</w:t>
                        </w:r>
                        <w:r>
                          <w:rPr>
                            <w:rFonts w:ascii="宋体" w:hAnsi="宋体" w:cs="宋体" w:eastAsia="宋体" w:hint="default"/>
                            <w:spacing w:val="-55"/>
                            <w:w w:val="100"/>
                            <w:sz w:val="21"/>
                            <w:szCs w:val="21"/>
                          </w:rPr>
                          <w:t> </w:t>
                        </w:r>
                        <w:r>
                          <w:rPr>
                            <w:rFonts w:ascii="Times New Roman" w:hAnsi="Times New Roman" w:cs="Times New Roman" w:eastAsia="Times New Roman" w:hint="default"/>
                            <w:spacing w:val="-1"/>
                            <w:w w:val="100"/>
                            <w:sz w:val="21"/>
                            <w:szCs w:val="21"/>
                          </w:rPr>
                          <w:t>2012</w:t>
                        </w:r>
                        <w:r>
                          <w:rPr>
                            <w:rFonts w:ascii="Times New Roman" w:hAnsi="Times New Roman" w:cs="Times New Roman" w:eastAsia="Times New Roman" w:hint="default"/>
                            <w:spacing w:val="-5"/>
                            <w:w w:val="100"/>
                            <w:sz w:val="21"/>
                            <w:szCs w:val="21"/>
                          </w:rPr>
                          <w:t> </w:t>
                        </w:r>
                        <w:r>
                          <w:rPr>
                            <w:rFonts w:ascii="宋体" w:hAnsi="宋体" w:cs="宋体" w:eastAsia="宋体" w:hint="default"/>
                            <w:w w:val="100"/>
                            <w:sz w:val="21"/>
                            <w:szCs w:val="21"/>
                          </w:rPr>
                          <w:t>年</w:t>
                        </w:r>
                        <w:r>
                          <w:rPr>
                            <w:rFonts w:ascii="宋体" w:hAnsi="宋体" w:cs="宋体" w:eastAsia="宋体" w:hint="default"/>
                            <w:spacing w:val="-58"/>
                            <w:w w:val="100"/>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5"/>
                            <w:w w:val="100"/>
                            <w:sz w:val="21"/>
                            <w:szCs w:val="21"/>
                          </w:rPr>
                          <w:t> </w:t>
                        </w:r>
                        <w:r>
                          <w:rPr>
                            <w:rFonts w:ascii="宋体" w:hAnsi="宋体" w:cs="宋体" w:eastAsia="宋体" w:hint="default"/>
                            <w:w w:val="100"/>
                            <w:sz w:val="21"/>
                            <w:szCs w:val="21"/>
                          </w:rPr>
                          <w:t>月</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2"/>
                            <w:w w:val="100"/>
                            <w:sz w:val="21"/>
                            <w:szCs w:val="21"/>
                          </w:rPr>
                          <w:t>日获准向特定投资者非公开发行人民币普通股</w:t>
                        </w:r>
                        <w:r>
                          <w:rPr>
                            <w:rFonts w:ascii="宋体" w:hAnsi="宋体" w:cs="宋体" w:eastAsia="宋体" w:hint="default"/>
                            <w:spacing w:val="-55"/>
                            <w:w w:val="100"/>
                            <w:sz w:val="21"/>
                            <w:szCs w:val="21"/>
                          </w:rPr>
                          <w:t> </w:t>
                        </w:r>
                        <w:r>
                          <w:rPr>
                            <w:rFonts w:ascii="Times New Roman" w:hAnsi="Times New Roman" w:cs="Times New Roman" w:eastAsia="Times New Roman" w:hint="default"/>
                            <w:spacing w:val="-1"/>
                            <w:w w:val="100"/>
                            <w:sz w:val="21"/>
                            <w:szCs w:val="21"/>
                          </w:rPr>
                          <w:t>386,831,284</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r>
                      </w:p>
                      <w:p>
                        <w:pPr>
                          <w:pStyle w:val="TableParagraph"/>
                          <w:spacing w:line="240" w:lineRule="auto" w:before="5"/>
                          <w:ind w:left="24"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每股面值人民币</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7"/>
                            <w:sz w:val="21"/>
                            <w:szCs w:val="21"/>
                          </w:rPr>
                          <w:t> </w:t>
                        </w:r>
                        <w:r>
                          <w:rPr>
                            <w:rFonts w:ascii="宋体" w:hAnsi="宋体" w:cs="宋体" w:eastAsia="宋体" w:hint="default"/>
                            <w:spacing w:val="-7"/>
                            <w:sz w:val="21"/>
                            <w:szCs w:val="21"/>
                          </w:rPr>
                          <w:t>元，每股发行价格为人民币</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12.15</w:t>
                        </w:r>
                        <w:r>
                          <w:rPr>
                            <w:rFonts w:ascii="Times New Roman" w:hAnsi="Times New Roman" w:cs="Times New Roman" w:eastAsia="Times New Roman" w:hint="default"/>
                            <w:spacing w:val="7"/>
                            <w:sz w:val="21"/>
                            <w:szCs w:val="21"/>
                          </w:rPr>
                          <w:t> </w:t>
                        </w:r>
                        <w:r>
                          <w:rPr>
                            <w:rFonts w:ascii="宋体" w:hAnsi="宋体" w:cs="宋体" w:eastAsia="宋体" w:hint="default"/>
                            <w:spacing w:val="-11"/>
                            <w:sz w:val="21"/>
                            <w:szCs w:val="21"/>
                          </w:rPr>
                          <w:t>元，股款以人民币缴足，计人民币</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4,700,000,100.60</w:t>
                        </w:r>
                      </w:p>
                      <w:p>
                        <w:pPr>
                          <w:pStyle w:val="TableParagraph"/>
                          <w:spacing w:line="240" w:lineRule="auto" w:before="21"/>
                          <w:ind w:left="24" w:right="0"/>
                          <w:jc w:val="both"/>
                          <w:rPr>
                            <w:rFonts w:ascii="Times New Roman" w:hAnsi="Times New Roman" w:cs="Times New Roman" w:eastAsia="Times New Roman" w:hint="default"/>
                            <w:sz w:val="21"/>
                            <w:szCs w:val="21"/>
                          </w:rPr>
                        </w:pPr>
                        <w:r>
                          <w:rPr>
                            <w:rFonts w:ascii="宋体" w:hAnsi="宋体" w:cs="宋体" w:eastAsia="宋体" w:hint="default"/>
                            <w:spacing w:val="-6"/>
                            <w:sz w:val="21"/>
                            <w:szCs w:val="21"/>
                          </w:rPr>
                          <w:t>元，扣除发行费用人民币</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66,907,339.92</w:t>
                        </w:r>
                        <w:r>
                          <w:rPr>
                            <w:rFonts w:ascii="Times New Roman" w:hAnsi="Times New Roman" w:cs="Times New Roman" w:eastAsia="Times New Roman" w:hint="default"/>
                            <w:spacing w:val="8"/>
                            <w:sz w:val="21"/>
                            <w:szCs w:val="21"/>
                          </w:rPr>
                          <w:t> </w:t>
                        </w:r>
                        <w:r>
                          <w:rPr>
                            <w:rFonts w:ascii="宋体" w:hAnsi="宋体" w:cs="宋体" w:eastAsia="宋体" w:hint="default"/>
                            <w:spacing w:val="-6"/>
                            <w:sz w:val="21"/>
                            <w:szCs w:val="21"/>
                          </w:rPr>
                          <w:t>元，募集股款净额为人民币</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4,633,092,760.68</w:t>
                        </w:r>
                        <w:r>
                          <w:rPr>
                            <w:rFonts w:ascii="Times New Roman" w:hAnsi="Times New Roman" w:cs="Times New Roman" w:eastAsia="Times New Roman" w:hint="default"/>
                            <w:spacing w:val="8"/>
                            <w:sz w:val="21"/>
                            <w:szCs w:val="21"/>
                          </w:rPr>
                          <w:t> </w:t>
                        </w:r>
                        <w:r>
                          <w:rPr>
                            <w:rFonts w:ascii="宋体" w:hAnsi="宋体" w:cs="宋体" w:eastAsia="宋体" w:hint="default"/>
                            <w:spacing w:val="-9"/>
                            <w:sz w:val="21"/>
                            <w:szCs w:val="21"/>
                          </w:rPr>
                          <w:t>元，上述资金于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2012</w:t>
                        </w:r>
                      </w:p>
                      <w:p>
                        <w:pPr>
                          <w:pStyle w:val="TableParagraph"/>
                          <w:spacing w:line="240" w:lineRule="auto" w:before="21"/>
                          <w:ind w:left="24"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日到位，业经普华永道中天会计师事务所有限公司予以验证并出具普华永道中天验字</w:t>
                        </w:r>
                        <w:r>
                          <w:rPr>
                            <w:rFonts w:ascii="Times New Roman" w:hAnsi="Times New Roman" w:cs="Times New Roman" w:eastAsia="Times New Roman" w:hint="default"/>
                            <w:sz w:val="21"/>
                            <w:szCs w:val="21"/>
                          </w:rPr>
                          <w:t>(2012)</w:t>
                        </w:r>
                        <w:r>
                          <w:rPr>
                            <w:rFonts w:ascii="宋体" w:hAnsi="宋体" w:cs="宋体" w:eastAsia="宋体" w:hint="default"/>
                            <w:sz w:val="21"/>
                            <w:szCs w:val="21"/>
                          </w:rPr>
                          <w:t>第</w:t>
                        </w:r>
                      </w:p>
                      <w:p>
                        <w:pPr>
                          <w:pStyle w:val="TableParagraph"/>
                          <w:spacing w:line="240" w:lineRule="auto" w:before="21"/>
                          <w:ind w:left="24"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248 </w:t>
                        </w:r>
                        <w:r>
                          <w:rPr>
                            <w:rFonts w:ascii="宋体" w:hAnsi="宋体" w:cs="宋体" w:eastAsia="宋体" w:hint="default"/>
                            <w:sz w:val="21"/>
                            <w:szCs w:val="21"/>
                          </w:rPr>
                          <w:t>号验资报告。</w:t>
                        </w:r>
                      </w:p>
                      <w:p>
                        <w:pPr>
                          <w:pStyle w:val="TableParagraph"/>
                          <w:spacing w:line="240" w:lineRule="auto" w:before="21"/>
                          <w:ind w:left="24"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）募集资金使用及结余情况</w:t>
                        </w:r>
                      </w:p>
                      <w:p>
                        <w:pPr>
                          <w:pStyle w:val="TableParagraph"/>
                          <w:spacing w:line="256" w:lineRule="auto" w:before="21"/>
                          <w:ind w:left="24" w:right="19"/>
                          <w:jc w:val="left"/>
                          <w:rPr>
                            <w:rFonts w:ascii="宋体" w:hAnsi="宋体" w:cs="宋体" w:eastAsia="宋体" w:hint="default"/>
                            <w:sz w:val="21"/>
                            <w:szCs w:val="21"/>
                          </w:rPr>
                        </w:pPr>
                        <w:r>
                          <w:rPr>
                            <w:rFonts w:ascii="宋体" w:hAnsi="宋体" w:cs="宋体" w:eastAsia="宋体" w:hint="default"/>
                            <w:sz w:val="21"/>
                            <w:szCs w:val="21"/>
                          </w:rPr>
                          <w:t>①</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年非公开发行股票募集资金已于</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年度使用完毕，结余募集资金利息收入</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1,049</w:t>
                        </w:r>
                        <w:r>
                          <w:rPr>
                            <w:rFonts w:ascii="Times New Roman" w:hAnsi="Times New Roman" w:cs="Times New Roman" w:eastAsia="Times New Roman" w:hint="default"/>
                            <w:spacing w:val="6"/>
                            <w:sz w:val="21"/>
                            <w:szCs w:val="21"/>
                          </w:rPr>
                          <w:t> </w:t>
                        </w:r>
                        <w:r>
                          <w:rPr>
                            <w:rFonts w:ascii="宋体" w:hAnsi="宋体" w:cs="宋体" w:eastAsia="宋体" w:hint="default"/>
                            <w:spacing w:val="-5"/>
                            <w:sz w:val="21"/>
                            <w:szCs w:val="21"/>
                          </w:rPr>
                          <w:t>万元，报告期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内履行相关审批手续后已投入用于补充公司营运资金。</w:t>
                        </w:r>
                      </w:p>
                      <w:p>
                        <w:pPr>
                          <w:pStyle w:val="TableParagraph"/>
                          <w:spacing w:line="240" w:lineRule="auto" w:before="22"/>
                          <w:ind w:left="24"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②报告期内，公司支付</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年度非公开发行剩余发行费用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30.03</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万元，</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年非公开发行费用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6,690.73</w:t>
                        </w:r>
                      </w:p>
                      <w:p>
                        <w:pPr>
                          <w:pStyle w:val="TableParagraph"/>
                          <w:spacing w:line="240" w:lineRule="auto" w:before="22"/>
                          <w:ind w:left="24" w:right="0"/>
                          <w:jc w:val="both"/>
                          <w:rPr>
                            <w:rFonts w:ascii="宋体" w:hAnsi="宋体" w:cs="宋体" w:eastAsia="宋体" w:hint="default"/>
                            <w:sz w:val="21"/>
                            <w:szCs w:val="21"/>
                          </w:rPr>
                        </w:pPr>
                        <w:r>
                          <w:rPr>
                            <w:rFonts w:ascii="宋体" w:hAnsi="宋体" w:cs="宋体" w:eastAsia="宋体" w:hint="default"/>
                            <w:sz w:val="21"/>
                            <w:szCs w:val="21"/>
                          </w:rPr>
                          <w:t>万元。</w:t>
                        </w:r>
                      </w:p>
                      <w:p>
                        <w:pPr>
                          <w:pStyle w:val="TableParagraph"/>
                          <w:spacing w:line="240" w:lineRule="auto" w:before="37"/>
                          <w:ind w:left="24" w:right="0"/>
                          <w:jc w:val="both"/>
                          <w:rPr>
                            <w:rFonts w:ascii="宋体" w:hAnsi="宋体" w:cs="宋体" w:eastAsia="宋体" w:hint="default"/>
                            <w:sz w:val="21"/>
                            <w:szCs w:val="21"/>
                          </w:rPr>
                        </w:pPr>
                        <w:r>
                          <w:rPr>
                            <w:rFonts w:ascii="宋体" w:hAnsi="宋体" w:cs="宋体" w:eastAsia="宋体" w:hint="default"/>
                            <w:sz w:val="21"/>
                            <w:szCs w:val="21"/>
                          </w:rPr>
                          <w:t>③</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年度实际使用募集资金人民币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301,846.35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包括支付的银行手续费人民币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266" w:lineRule="auto" w:before="21"/>
                          <w:ind w:left="24" w:right="77"/>
                          <w:jc w:val="both"/>
                          <w:rPr>
                            <w:rFonts w:ascii="宋体" w:hAnsi="宋体" w:cs="宋体" w:eastAsia="宋体" w:hint="default"/>
                            <w:sz w:val="21"/>
                            <w:szCs w:val="21"/>
                          </w:rPr>
                        </w:pPr>
                        <w:r>
                          <w:rPr>
                            <w:rFonts w:ascii="宋体" w:hAnsi="宋体" w:cs="宋体" w:eastAsia="宋体" w:hint="default"/>
                            <w:sz w:val="21"/>
                            <w:szCs w:val="21"/>
                          </w:rPr>
                          <w:t>④截至报告期末，扣除募集资金项目投入及支付的银行手续费后，募集资金余额为人民币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241,976.10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2"/>
                            <w:sz w:val="21"/>
                            <w:szCs w:val="21"/>
                          </w:rPr>
                          <w:t>元，存放于公司募集资金专户中，对于由子公司实施的募集资金项目，公司以向子公司增资的方式，将</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募集资金划拨到其对应的子公司后予以支付或置换。报告期末，公司正在办理相关子公司的增资手续，</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故相关募集资金款项及其他股东增资款存放于专门开设的验资户中。</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BodyText"/>
        <w:spacing w:line="240" w:lineRule="auto" w:before="36"/>
        <w:ind w:left="0" w:right="1126"/>
        <w:jc w:val="right"/>
      </w:pPr>
      <w:r>
        <w:rPr>
          <w:spacing w:val="-3"/>
          <w:w w:val="100"/>
        </w:rPr>
        <w:t>，</w:t>
      </w:r>
      <w:r>
        <w:rPr>
          <w:w w:val="10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0"/>
        <w:ind w:left="0" w:right="1124"/>
        <w:jc w:val="right"/>
      </w:pPr>
      <w:r>
        <w:rPr>
          <w:spacing w:val="-3"/>
          <w:w w:val="100"/>
        </w:rPr>
        <w:t>，</w:t>
      </w:r>
      <w:r>
        <w:rPr>
          <w:w w:val="100"/>
        </w:rPr>
      </w:r>
    </w:p>
    <w:p>
      <w:pPr>
        <w:spacing w:after="0" w:line="240" w:lineRule="auto"/>
        <w:jc w:val="right"/>
        <w:sectPr>
          <w:pgSz w:w="11910" w:h="16840"/>
          <w:pgMar w:header="745" w:footer="1265" w:top="1060" w:bottom="1460" w:left="980" w:right="0"/>
        </w:sectPr>
      </w:pPr>
    </w:p>
    <w:p>
      <w:pPr>
        <w:spacing w:line="240" w:lineRule="auto" w:before="11"/>
        <w:rPr>
          <w:rFonts w:ascii="宋体" w:hAnsi="宋体" w:cs="宋体" w:eastAsia="宋体" w:hint="default"/>
          <w:sz w:val="2"/>
          <w:szCs w:val="2"/>
        </w:rPr>
      </w:pPr>
      <w:r>
        <w:rPr/>
        <w:pict>
          <v:shape style="position:absolute;margin-left:706.919983pt;margin-top:518.320007pt;width:135pt;height:77pt;mso-position-horizontal-relative:page;mso-position-vertical-relative:page;z-index:-1597864" type="#_x0000_t75" stroked="false">
            <v:imagedata r:id="rId10" o:title=""/>
          </v:shape>
        </w:pic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9"/>
          <w:szCs w:val="19"/>
        </w:rPr>
      </w:pPr>
    </w:p>
    <w:p>
      <w:pPr>
        <w:pStyle w:val="Heading4"/>
        <w:spacing w:line="240" w:lineRule="auto" w:before="36"/>
        <w:ind w:left="140" w:right="1183"/>
        <w:jc w:val="left"/>
        <w:rPr>
          <w:b w:val="0"/>
          <w:bCs w:val="0"/>
        </w:rPr>
      </w:pP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宋体" w:hAnsi="宋体" w:cs="宋体" w:eastAsia="宋体" w:hint="default"/>
          <w:b/>
          <w:bCs/>
          <w:sz w:val="21"/>
          <w:szCs w:val="21"/>
        </w:rPr>
      </w:pPr>
    </w:p>
    <w:p>
      <w:pPr>
        <w:pStyle w:val="Heading4"/>
        <w:tabs>
          <w:tab w:pos="560" w:val="left" w:leader="none"/>
        </w:tabs>
        <w:spacing w:line="240" w:lineRule="auto" w:before="36"/>
        <w:ind w:left="140" w:right="1183"/>
        <w:jc w:val="left"/>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tab/>
      </w:r>
      <w:r>
        <w:rPr>
          <w:rFonts w:ascii="宋体" w:hAnsi="宋体" w:cs="宋体" w:eastAsia="宋体" w:hint="default"/>
        </w:rPr>
        <w:t>2007</w:t>
      </w:r>
      <w:r>
        <w:rPr>
          <w:rFonts w:ascii="宋体" w:hAnsi="宋体" w:cs="宋体" w:eastAsia="宋体" w:hint="default"/>
          <w:spacing w:val="-52"/>
        </w:rPr>
        <w:t> </w:t>
      </w:r>
      <w:r>
        <w:rPr/>
        <w:t>年非公开发行项目</w:t>
      </w:r>
      <w:r>
        <w:rPr>
          <w:b w:val="0"/>
          <w:bCs w:val="0"/>
        </w:rPr>
      </w:r>
    </w:p>
    <w:p>
      <w:pPr>
        <w:pStyle w:val="BodyText"/>
        <w:spacing w:line="240" w:lineRule="auto" w:before="63"/>
        <w:ind w:left="0" w:right="1433"/>
        <w:jc w:val="right"/>
      </w:pPr>
      <w:r>
        <w:rPr>
          <w:spacing w:val="-1"/>
        </w:rPr>
        <w:t>单位：万元</w:t>
      </w:r>
    </w:p>
    <w:p>
      <w:pPr>
        <w:spacing w:line="240" w:lineRule="auto" w:before="11"/>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830"/>
        <w:gridCol w:w="1059"/>
        <w:gridCol w:w="1277"/>
        <w:gridCol w:w="1272"/>
        <w:gridCol w:w="1063"/>
        <w:gridCol w:w="1195"/>
        <w:gridCol w:w="1070"/>
        <w:gridCol w:w="1058"/>
        <w:gridCol w:w="1074"/>
        <w:gridCol w:w="1060"/>
        <w:gridCol w:w="1060"/>
      </w:tblGrid>
      <w:tr>
        <w:trPr>
          <w:trHeight w:val="1259"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承诺投资项目和超募资金投向</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144"/>
              <w:ind w:left="71" w:right="62" w:firstLine="36"/>
              <w:jc w:val="both"/>
              <w:rPr>
                <w:rFonts w:ascii="Times New Roman" w:hAnsi="Times New Roman" w:cs="Times New Roman" w:eastAsia="Times New Roman" w:hint="default"/>
                <w:sz w:val="21"/>
                <w:szCs w:val="21"/>
              </w:rPr>
            </w:pPr>
            <w:r>
              <w:rPr>
                <w:rFonts w:ascii="宋体" w:hAnsi="宋体" w:cs="宋体" w:eastAsia="宋体" w:hint="default"/>
                <w:sz w:val="21"/>
                <w:szCs w:val="21"/>
              </w:rPr>
              <w:t>是否已变</w:t>
            </w:r>
            <w:r>
              <w:rPr>
                <w:rFonts w:ascii="宋体" w:hAnsi="宋体" w:cs="宋体" w:eastAsia="宋体" w:hint="default"/>
                <w:w w:val="100"/>
                <w:sz w:val="21"/>
                <w:szCs w:val="21"/>
              </w:rPr>
              <w:t> </w:t>
            </w:r>
            <w:r>
              <w:rPr>
                <w:rFonts w:ascii="宋体" w:hAnsi="宋体" w:cs="宋体" w:eastAsia="宋体" w:hint="default"/>
                <w:sz w:val="21"/>
                <w:szCs w:val="21"/>
              </w:rPr>
              <w:t>更项目</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部分变更</w:t>
            </w:r>
            <w:r>
              <w:rPr>
                <w:rFonts w:ascii="Times New Roman" w:hAnsi="Times New Roman" w:cs="Times New Roman" w:eastAsia="Times New Roman"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110" w:right="101"/>
              <w:jc w:val="left"/>
              <w:rPr>
                <w:rFonts w:ascii="宋体" w:hAnsi="宋体" w:cs="宋体" w:eastAsia="宋体" w:hint="default"/>
                <w:sz w:val="21"/>
                <w:szCs w:val="21"/>
              </w:rPr>
            </w:pPr>
            <w:r>
              <w:rPr>
                <w:rFonts w:ascii="宋体" w:hAnsi="宋体" w:cs="宋体" w:eastAsia="宋体" w:hint="default"/>
                <w:sz w:val="21"/>
                <w:szCs w:val="21"/>
              </w:rPr>
              <w:t>募集资金承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诺投资总额</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299" w:right="101" w:hanging="195"/>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调整后投资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总额</w:t>
            </w:r>
            <w:r>
              <w:rPr>
                <w:rFonts w:ascii="Times New Roman" w:hAnsi="Times New Roman" w:cs="Times New Roman" w:eastAsia="Times New Roman" w:hint="default"/>
                <w:sz w:val="21"/>
                <w:szCs w:val="21"/>
              </w:rPr>
              <w:t>(1)</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105" w:right="103"/>
              <w:jc w:val="left"/>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投入金额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auto" w:before="144"/>
              <w:ind w:left="64" w:right="65"/>
              <w:jc w:val="center"/>
              <w:rPr>
                <w:rFonts w:ascii="Times New Roman" w:hAnsi="Times New Roman" w:cs="Times New Roman" w:eastAsia="Times New Roman" w:hint="default"/>
                <w:sz w:val="21"/>
                <w:szCs w:val="21"/>
              </w:rPr>
            </w:pPr>
            <w:r>
              <w:rPr>
                <w:rFonts w:ascii="宋体" w:hAnsi="宋体" w:cs="宋体" w:eastAsia="宋体" w:hint="default"/>
                <w:sz w:val="21"/>
                <w:szCs w:val="21"/>
              </w:rPr>
              <w:t>截至期末累</w:t>
            </w:r>
            <w:r>
              <w:rPr>
                <w:rFonts w:ascii="宋体" w:hAnsi="宋体" w:cs="宋体" w:eastAsia="宋体" w:hint="default"/>
                <w:w w:val="100"/>
                <w:sz w:val="21"/>
                <w:szCs w:val="21"/>
              </w:rPr>
              <w:t> </w:t>
            </w:r>
            <w:r>
              <w:rPr>
                <w:rFonts w:ascii="宋体" w:hAnsi="宋体" w:cs="宋体" w:eastAsia="宋体" w:hint="default"/>
                <w:sz w:val="21"/>
                <w:szCs w:val="21"/>
              </w:rPr>
              <w:t>计投入金额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7" w:right="107"/>
              <w:jc w:val="both"/>
              <w:rPr>
                <w:rFonts w:ascii="宋体" w:hAnsi="宋体" w:cs="宋体" w:eastAsia="宋体" w:hint="default"/>
                <w:sz w:val="21"/>
                <w:szCs w:val="21"/>
              </w:rPr>
            </w:pPr>
            <w:r>
              <w:rPr>
                <w:rFonts w:ascii="宋体" w:hAnsi="宋体" w:cs="宋体" w:eastAsia="宋体" w:hint="default"/>
                <w:sz w:val="21"/>
                <w:szCs w:val="21"/>
              </w:rPr>
              <w:t>截至期末</w:t>
            </w:r>
            <w:r>
              <w:rPr>
                <w:rFonts w:ascii="宋体" w:hAnsi="宋体" w:cs="宋体" w:eastAsia="宋体" w:hint="default"/>
                <w:w w:val="100"/>
                <w:sz w:val="21"/>
                <w:szCs w:val="21"/>
              </w:rPr>
              <w:t> </w:t>
            </w:r>
            <w:r>
              <w:rPr>
                <w:rFonts w:ascii="宋体" w:hAnsi="宋体" w:cs="宋体" w:eastAsia="宋体" w:hint="default"/>
                <w:sz w:val="21"/>
                <w:szCs w:val="21"/>
              </w:rPr>
              <w:t>投资进度</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p>
            <w:pPr>
              <w:pStyle w:val="TableParagraph"/>
              <w:spacing w:line="240" w:lineRule="auto" w:before="36"/>
              <w:ind w:left="254" w:right="0"/>
              <w:jc w:val="left"/>
              <w:rPr>
                <w:rFonts w:ascii="Times New Roman" w:hAnsi="Times New Roman" w:cs="Times New Roman" w:eastAsia="Times New Roman" w:hint="default"/>
                <w:sz w:val="21"/>
                <w:szCs w:val="21"/>
              </w:rPr>
            </w:pPr>
            <w:r>
              <w:rPr>
                <w:rFonts w:ascii="Times New Roman"/>
                <w:sz w:val="21"/>
              </w:rPr>
              <w:t>(2)/(1)</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3" w:right="99"/>
              <w:jc w:val="center"/>
              <w:rPr>
                <w:rFonts w:ascii="宋体" w:hAnsi="宋体" w:cs="宋体" w:eastAsia="宋体" w:hint="default"/>
                <w:sz w:val="21"/>
                <w:szCs w:val="21"/>
              </w:rPr>
            </w:pPr>
            <w:r>
              <w:rPr>
                <w:rFonts w:ascii="宋体" w:hAnsi="宋体" w:cs="宋体" w:eastAsia="宋体" w:hint="default"/>
                <w:sz w:val="21"/>
                <w:szCs w:val="21"/>
              </w:rPr>
              <w:t>项目达到</w:t>
            </w:r>
            <w:r>
              <w:rPr>
                <w:rFonts w:ascii="宋体" w:hAnsi="宋体" w:cs="宋体" w:eastAsia="宋体" w:hint="default"/>
                <w:w w:val="100"/>
                <w:sz w:val="21"/>
                <w:szCs w:val="21"/>
              </w:rPr>
              <w:t> </w:t>
            </w:r>
            <w:r>
              <w:rPr>
                <w:rFonts w:ascii="宋体" w:hAnsi="宋体" w:cs="宋体" w:eastAsia="宋体" w:hint="default"/>
                <w:sz w:val="21"/>
                <w:szCs w:val="21"/>
              </w:rPr>
              <w:t>预定可使</w:t>
            </w:r>
            <w:r>
              <w:rPr>
                <w:rFonts w:ascii="宋体" w:hAnsi="宋体" w:cs="宋体" w:eastAsia="宋体" w:hint="default"/>
                <w:w w:val="100"/>
                <w:sz w:val="21"/>
                <w:szCs w:val="21"/>
              </w:rPr>
              <w:t> </w:t>
            </w:r>
            <w:r>
              <w:rPr>
                <w:rFonts w:ascii="宋体" w:hAnsi="宋体" w:cs="宋体" w:eastAsia="宋体" w:hint="default"/>
                <w:sz w:val="21"/>
                <w:szCs w:val="21"/>
              </w:rPr>
              <w:t>用状态日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109" w:right="110"/>
              <w:jc w:val="center"/>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实现的效</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102" w:right="103"/>
              <w:jc w:val="left"/>
              <w:rPr>
                <w:rFonts w:ascii="宋体" w:hAnsi="宋体" w:cs="宋体" w:eastAsia="宋体" w:hint="default"/>
                <w:sz w:val="21"/>
                <w:szCs w:val="21"/>
              </w:rPr>
            </w:pPr>
            <w:r>
              <w:rPr>
                <w:rFonts w:ascii="宋体" w:hAnsi="宋体" w:cs="宋体" w:eastAsia="宋体" w:hint="default"/>
                <w:sz w:val="21"/>
                <w:szCs w:val="21"/>
              </w:rPr>
              <w:t>是否达到</w:t>
            </w:r>
            <w:r>
              <w:rPr>
                <w:rFonts w:ascii="宋体" w:hAnsi="宋体" w:cs="宋体" w:eastAsia="宋体" w:hint="default"/>
                <w:w w:val="100"/>
                <w:sz w:val="21"/>
                <w:szCs w:val="21"/>
              </w:rPr>
              <w:t> </w:t>
            </w:r>
            <w:r>
              <w:rPr>
                <w:rFonts w:ascii="宋体" w:hAnsi="宋体" w:cs="宋体" w:eastAsia="宋体" w:hint="default"/>
                <w:sz w:val="21"/>
                <w:szCs w:val="21"/>
              </w:rPr>
              <w:t>预计效益</w:t>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5" w:right="101"/>
              <w:jc w:val="center"/>
              <w:rPr>
                <w:rFonts w:ascii="宋体" w:hAnsi="宋体" w:cs="宋体" w:eastAsia="宋体" w:hint="default"/>
                <w:sz w:val="21"/>
                <w:szCs w:val="21"/>
              </w:rPr>
            </w:pPr>
            <w:r>
              <w:rPr>
                <w:rFonts w:ascii="宋体" w:hAnsi="宋体" w:cs="宋体" w:eastAsia="宋体" w:hint="default"/>
                <w:sz w:val="21"/>
                <w:szCs w:val="21"/>
              </w:rPr>
              <w:t>项目可行</w:t>
            </w:r>
            <w:r>
              <w:rPr>
                <w:rFonts w:ascii="宋体" w:hAnsi="宋体" w:cs="宋体" w:eastAsia="宋体" w:hint="default"/>
                <w:w w:val="100"/>
                <w:sz w:val="21"/>
                <w:szCs w:val="21"/>
              </w:rPr>
              <w:t> </w:t>
            </w:r>
            <w:r>
              <w:rPr>
                <w:rFonts w:ascii="宋体" w:hAnsi="宋体" w:cs="宋体" w:eastAsia="宋体" w:hint="default"/>
                <w:sz w:val="21"/>
                <w:szCs w:val="21"/>
              </w:rPr>
              <w:t>性是否发</w:t>
            </w:r>
            <w:r>
              <w:rPr>
                <w:rFonts w:ascii="宋体" w:hAnsi="宋体" w:cs="宋体" w:eastAsia="宋体" w:hint="default"/>
                <w:w w:val="100"/>
                <w:sz w:val="21"/>
                <w:szCs w:val="21"/>
              </w:rPr>
              <w:t> </w:t>
            </w:r>
            <w:r>
              <w:rPr>
                <w:rFonts w:ascii="宋体" w:hAnsi="宋体" w:cs="宋体" w:eastAsia="宋体" w:hint="default"/>
                <w:sz w:val="21"/>
                <w:szCs w:val="21"/>
              </w:rPr>
              <w:t>生重大变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322" w:hRule="exact"/>
        </w:trPr>
        <w:tc>
          <w:tcPr>
            <w:tcW w:w="140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63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家连锁店发展项目</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132,026.18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88%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-3,351.48</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2" w:right="0"/>
              <w:jc w:val="center"/>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37"/>
              <w:ind w:left="216"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10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沈阳物流中心项目</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14,348.37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14,348.37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271.23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12,028.25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84%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
              <w:jc w:val="righ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w w:val="100"/>
                <w:sz w:val="21"/>
              </w:rPr>
              <w:t>-</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2" w:right="0"/>
              <w:jc w:val="center"/>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37"/>
              <w:ind w:left="216"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1060" w:type="dxa"/>
            <w:vMerge/>
            <w:tcBorders>
              <w:left w:val="single" w:sz="4" w:space="0" w:color="000000"/>
              <w:right w:val="single" w:sz="4" w:space="0" w:color="000000"/>
            </w:tcBorders>
          </w:tcPr>
          <w:p>
            <w:pPr/>
          </w:p>
        </w:tc>
      </w:tr>
      <w:tr>
        <w:trPr>
          <w:trHeight w:val="63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武汉中南旗舰店购置项目</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23,386.77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23,386.77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23,386.77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
              <w:jc w:val="righ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689.85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42" w:right="0"/>
              <w:jc w:val="left"/>
              <w:rPr>
                <w:rFonts w:ascii="Times New Roman" w:hAnsi="Times New Roman" w:cs="Times New Roman" w:eastAsia="Times New Roman" w:hint="default"/>
                <w:sz w:val="21"/>
                <w:szCs w:val="21"/>
              </w:rPr>
            </w:pPr>
            <w:r>
              <w:rPr>
                <w:rFonts w:ascii="Times New Roman"/>
                <w:sz w:val="21"/>
              </w:rPr>
              <w:t>51%</w:t>
            </w:r>
          </w:p>
          <w:p>
            <w:pPr>
              <w:pStyle w:val="TableParagraph"/>
              <w:spacing w:line="240" w:lineRule="auto" w:before="23"/>
              <w:ind w:left="238"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1060" w:type="dxa"/>
            <w:vMerge/>
            <w:tcBorders>
              <w:left w:val="single" w:sz="4" w:space="0" w:color="000000"/>
              <w:right w:val="single" w:sz="4" w:space="0" w:color="000000"/>
            </w:tcBorders>
          </w:tcPr>
          <w:p>
            <w:pPr/>
          </w:p>
        </w:tc>
      </w:tr>
      <w:tr>
        <w:trPr>
          <w:trHeight w:val="63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上海浦东旗舰店购置项目</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57,620.87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54,270.41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54,270.41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5"/>
              <w:jc w:val="righ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469.76</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42" w:right="0"/>
              <w:jc w:val="left"/>
              <w:rPr>
                <w:rFonts w:ascii="Times New Roman" w:hAnsi="Times New Roman" w:cs="Times New Roman" w:eastAsia="Times New Roman" w:hint="default"/>
                <w:sz w:val="21"/>
                <w:szCs w:val="21"/>
              </w:rPr>
            </w:pPr>
            <w:r>
              <w:rPr>
                <w:rFonts w:ascii="Times New Roman"/>
                <w:sz w:val="21"/>
              </w:rPr>
              <w:t>45%</w:t>
            </w:r>
          </w:p>
          <w:p>
            <w:pPr>
              <w:pStyle w:val="TableParagraph"/>
              <w:spacing w:line="240" w:lineRule="auto" w:before="23"/>
              <w:ind w:left="238"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1060" w:type="dxa"/>
            <w:vMerge/>
            <w:tcBorders>
              <w:left w:val="single" w:sz="4" w:space="0" w:color="000000"/>
              <w:bottom w:val="single" w:sz="4" w:space="0" w:color="000000"/>
              <w:right w:val="single" w:sz="4" w:space="0" w:color="000000"/>
            </w:tcBorders>
          </w:tcPr>
          <w:p>
            <w:pPr/>
          </w:p>
        </w:tc>
      </w:tr>
      <w:tr>
        <w:trPr>
          <w:trHeight w:val="329"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6" w:right="0"/>
              <w:jc w:val="center"/>
              <w:rPr>
                <w:rFonts w:ascii="Times New Roman" w:hAnsi="Times New Roman" w:cs="Times New Roman" w:eastAsia="Times New Roman" w:hint="default"/>
                <w:sz w:val="21"/>
                <w:szCs w:val="21"/>
              </w:rPr>
            </w:pPr>
            <w:r>
              <w:rPr>
                <w:rFonts w:ascii="Times New Roman"/>
                <w:sz w:val="21"/>
              </w:rPr>
              <w:t>--</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245,356.01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242,005.55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271.23</w:t>
            </w:r>
          </w:p>
        </w:tc>
        <w:tc>
          <w:tcPr>
            <w:tcW w:w="11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spacing w:val="-2"/>
                <w:sz w:val="21"/>
              </w:rPr>
              <w:t>221,711.61</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right="26"/>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74"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36"/>
              <w:ind w:right="14"/>
              <w:jc w:val="right"/>
              <w:rPr>
                <w:rFonts w:ascii="Times New Roman" w:hAnsi="Times New Roman" w:cs="Times New Roman" w:eastAsia="Times New Roman" w:hint="default"/>
                <w:sz w:val="21"/>
                <w:szCs w:val="21"/>
              </w:rPr>
            </w:pPr>
            <w:r>
              <w:rPr>
                <w:rFonts w:ascii="Times New Roman"/>
                <w:spacing w:val="-1"/>
                <w:sz w:val="21"/>
              </w:rPr>
              <w:t>-2,191.87</w:t>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12" w:hRule="exact"/>
        </w:trPr>
        <w:tc>
          <w:tcPr>
            <w:tcW w:w="140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326"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23" w:right="0"/>
              <w:jc w:val="left"/>
              <w:rPr>
                <w:rFonts w:ascii="宋体" w:hAnsi="宋体" w:cs="宋体" w:eastAsia="宋体" w:hint="default"/>
                <w:sz w:val="21"/>
                <w:szCs w:val="21"/>
              </w:rPr>
            </w:pPr>
            <w:r>
              <w:rPr>
                <w:rFonts w:ascii="宋体" w:hAnsi="宋体" w:cs="宋体" w:eastAsia="宋体" w:hint="default"/>
                <w:sz w:val="21"/>
                <w:szCs w:val="21"/>
              </w:rPr>
              <w:t>归还银行贷款（如有）</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6" w:right="0"/>
              <w:jc w:val="center"/>
              <w:rPr>
                <w:rFonts w:ascii="Times New Roman" w:hAnsi="Times New Roman" w:cs="Times New Roman" w:eastAsia="Times New Roman" w:hint="default"/>
                <w:sz w:val="21"/>
                <w:szCs w:val="21"/>
              </w:rPr>
            </w:pPr>
            <w:r>
              <w:rPr>
                <w:rFonts w:ascii="Times New Roman"/>
                <w:sz w:val="21"/>
              </w:rPr>
              <w:t>--</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9"/>
              <w:ind w:right="18"/>
              <w:jc w:val="right"/>
              <w:rPr>
                <w:rFonts w:ascii="Times New Roman" w:hAnsi="Times New Roman" w:cs="Times New Roman" w:eastAsia="Times New Roman" w:hint="default"/>
                <w:sz w:val="21"/>
                <w:szCs w:val="21"/>
              </w:rPr>
            </w:pPr>
            <w:r>
              <w:rPr>
                <w:rFonts w:ascii="Times New Roman"/>
                <w:w w:val="100"/>
                <w:sz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8"/>
              <w:jc w:val="right"/>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21"/>
                <w:szCs w:val="21"/>
              </w:rPr>
            </w:pPr>
            <w:r>
              <w:rPr>
                <w:rFonts w:ascii="Times New Roman"/>
                <w:w w:val="100"/>
                <w:sz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21"/>
                <w:szCs w:val="21"/>
              </w:rPr>
            </w:pPr>
            <w:r>
              <w:rPr>
                <w:rFonts w:ascii="Times New Roman"/>
                <w:w w:val="100"/>
                <w:sz w:val="21"/>
              </w:rPr>
              <w:t>-</w:t>
            </w:r>
          </w:p>
        </w:tc>
        <w:tc>
          <w:tcPr>
            <w:tcW w:w="10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9"/>
              <w:ind w:right="13"/>
              <w:jc w:val="right"/>
              <w:rPr>
                <w:rFonts w:ascii="Times New Roman" w:hAnsi="Times New Roman" w:cs="Times New Roman" w:eastAsia="Times New Roman" w:hint="default"/>
                <w:sz w:val="21"/>
                <w:szCs w:val="21"/>
              </w:rPr>
            </w:pPr>
            <w:r>
              <w:rPr>
                <w:rFonts w:ascii="Times New Roman"/>
                <w:w w:val="100"/>
                <w:sz w:val="21"/>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18"/>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28"/>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22"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补充流动资金（如有）</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6" w:right="0"/>
              <w:jc w:val="center"/>
              <w:rPr>
                <w:rFonts w:ascii="Times New Roman" w:hAnsi="Times New Roman" w:cs="Times New Roman" w:eastAsia="Times New Roman" w:hint="default"/>
                <w:sz w:val="21"/>
                <w:szCs w:val="21"/>
              </w:rPr>
            </w:pPr>
            <w:r>
              <w:rPr>
                <w:rFonts w:ascii="Times New Roman"/>
                <w:sz w:val="21"/>
              </w:rPr>
              <w:t>--</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0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4"/>
              <w:ind w:right="13"/>
              <w:jc w:val="right"/>
              <w:rPr>
                <w:rFonts w:ascii="Times New Roman" w:hAnsi="Times New Roman" w:cs="Times New Roman" w:eastAsia="Times New Roman" w:hint="default"/>
                <w:sz w:val="21"/>
                <w:szCs w:val="21"/>
              </w:rPr>
            </w:pPr>
            <w:r>
              <w:rPr>
                <w:rFonts w:ascii="Times New Roman"/>
                <w:w w:val="100"/>
                <w:sz w:val="21"/>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8"/>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22"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6" w:right="0"/>
              <w:jc w:val="center"/>
              <w:rPr>
                <w:rFonts w:ascii="Times New Roman" w:hAnsi="Times New Roman" w:cs="Times New Roman" w:eastAsia="Times New Roman" w:hint="default"/>
                <w:sz w:val="21"/>
                <w:szCs w:val="21"/>
              </w:rPr>
            </w:pPr>
            <w:r>
              <w:rPr>
                <w:rFonts w:ascii="Times New Roman"/>
                <w:sz w:val="21"/>
              </w:rPr>
              <w:t>--</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1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w w:val="100"/>
                <w:sz w:val="21"/>
              </w:rPr>
              <w:t>-</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6"/>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74"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w w:val="100"/>
                <w:sz w:val="21"/>
              </w:rPr>
              <w:t>-</w:t>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22"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6" w:right="0"/>
              <w:jc w:val="center"/>
              <w:rPr>
                <w:rFonts w:ascii="Times New Roman" w:hAnsi="Times New Roman" w:cs="Times New Roman" w:eastAsia="Times New Roman" w:hint="default"/>
                <w:sz w:val="21"/>
                <w:szCs w:val="21"/>
              </w:rPr>
            </w:pPr>
            <w:r>
              <w:rPr>
                <w:rFonts w:ascii="Times New Roman"/>
                <w:sz w:val="21"/>
              </w:rPr>
              <w:t>--</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245,356.01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242,005.55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271.23</w:t>
            </w:r>
          </w:p>
        </w:tc>
        <w:tc>
          <w:tcPr>
            <w:tcW w:w="11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2"/>
                <w:sz w:val="21"/>
              </w:rPr>
              <w:t>221,711.61</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6"/>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74"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-2,191.87</w:t>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164" w:hRule="exact"/>
        </w:trPr>
        <w:tc>
          <w:tcPr>
            <w:tcW w:w="2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88" w:type="dxa"/>
            <w:gridSpan w:val="10"/>
            <w:vMerge w:val="restart"/>
            <w:tcBorders>
              <w:top w:val="single" w:sz="4" w:space="0" w:color="000000"/>
              <w:left w:val="single" w:sz="10" w:space="0" w:color="D2D2D2"/>
              <w:right w:val="single" w:sz="4" w:space="0" w:color="000000"/>
            </w:tcBorders>
          </w:tcPr>
          <w:p>
            <w:pPr>
              <w:pStyle w:val="TableParagraph"/>
              <w:spacing w:line="281" w:lineRule="exact"/>
              <w:ind w:left="16" w:right="0"/>
              <w:jc w:val="left"/>
              <w:rPr>
                <w:rFonts w:ascii="宋体" w:hAnsi="宋体" w:cs="宋体" w:eastAsia="宋体" w:hint="default"/>
                <w:sz w:val="21"/>
                <w:szCs w:val="21"/>
              </w:rPr>
            </w:pPr>
            <w:r>
              <w:rPr>
                <w:rFonts w:ascii="宋体" w:hAnsi="宋体" w:cs="宋体" w:eastAsia="宋体" w:hint="default"/>
                <w:sz w:val="21"/>
                <w:szCs w:val="21"/>
              </w:rPr>
              <w:t>截至本报告披露日，公司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连锁店发展项目已投入开设</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家连锁店，剩余</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家将在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月份开业，该项目募集</w:t>
            </w:r>
          </w:p>
          <w:p>
            <w:pPr>
              <w:pStyle w:val="TableParagraph"/>
              <w:spacing w:line="240" w:lineRule="auto" w:before="21"/>
              <w:ind w:left="16" w:right="0"/>
              <w:jc w:val="left"/>
              <w:rPr>
                <w:rFonts w:ascii="宋体" w:hAnsi="宋体" w:cs="宋体" w:eastAsia="宋体" w:hint="default"/>
                <w:sz w:val="21"/>
                <w:szCs w:val="21"/>
              </w:rPr>
            </w:pPr>
            <w:r>
              <w:rPr>
                <w:rFonts w:ascii="宋体" w:hAnsi="宋体" w:cs="宋体" w:eastAsia="宋体" w:hint="default"/>
                <w:spacing w:val="-2"/>
                <w:sz w:val="21"/>
                <w:szCs w:val="21"/>
              </w:rPr>
              <w:t>资金预计有一定的结余。另外沈阳物流中心于</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42"/>
                <w:sz w:val="21"/>
                <w:szCs w:val="21"/>
              </w:rPr>
              <w:t> </w:t>
            </w:r>
            <w:r>
              <w:rPr>
                <w:rFonts w:ascii="宋体" w:hAnsi="宋体" w:cs="宋体" w:eastAsia="宋体" w:hint="default"/>
                <w:spacing w:val="-2"/>
                <w:sz w:val="21"/>
                <w:szCs w:val="21"/>
              </w:rPr>
              <w:t>年投入使用后，工程质保金相继支付，该项目募集资金也出现结余。</w:t>
            </w:r>
          </w:p>
          <w:p>
            <w:pPr>
              <w:pStyle w:val="TableParagraph"/>
              <w:spacing w:line="240" w:lineRule="auto" w:before="21"/>
              <w:ind w:left="16" w:right="0"/>
              <w:jc w:val="left"/>
              <w:rPr>
                <w:rFonts w:ascii="宋体" w:hAnsi="宋体" w:cs="宋体" w:eastAsia="宋体" w:hint="default"/>
                <w:sz w:val="21"/>
                <w:szCs w:val="21"/>
              </w:rPr>
            </w:pPr>
            <w:r>
              <w:rPr>
                <w:rFonts w:ascii="宋体" w:hAnsi="宋体" w:cs="宋体" w:eastAsia="宋体" w:hint="default"/>
                <w:sz w:val="21"/>
                <w:szCs w:val="21"/>
              </w:rPr>
              <w:t>公司将在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年履行相关程序，计划将结余资金用于补充日常运营。</w:t>
            </w:r>
          </w:p>
        </w:tc>
      </w:tr>
      <w:tr>
        <w:trPr>
          <w:trHeight w:val="624" w:hRule="exact"/>
        </w:trPr>
        <w:tc>
          <w:tcPr>
            <w:tcW w:w="28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23" w:right="60"/>
              <w:jc w:val="left"/>
              <w:rPr>
                <w:rFonts w:ascii="宋体" w:hAnsi="宋体" w:cs="宋体" w:eastAsia="宋体" w:hint="default"/>
                <w:sz w:val="21"/>
                <w:szCs w:val="21"/>
              </w:rPr>
            </w:pPr>
            <w:r>
              <w:rPr>
                <w:rFonts w:ascii="宋体" w:hAnsi="宋体" w:cs="宋体" w:eastAsia="宋体" w:hint="default"/>
                <w:spacing w:val="-2"/>
                <w:sz w:val="21"/>
                <w:szCs w:val="21"/>
              </w:rPr>
              <w:t>未达到计划进度或预计收益的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情况和原因（分具体项目）</w:t>
            </w:r>
          </w:p>
        </w:tc>
        <w:tc>
          <w:tcPr>
            <w:tcW w:w="11188" w:type="dxa"/>
            <w:gridSpan w:val="10"/>
            <w:vMerge/>
            <w:tcBorders>
              <w:left w:val="single" w:sz="10" w:space="0" w:color="D2D2D2"/>
              <w:right w:val="single" w:sz="4" w:space="0" w:color="000000"/>
            </w:tcBorders>
          </w:tcPr>
          <w:p>
            <w:pPr/>
          </w:p>
        </w:tc>
      </w:tr>
      <w:tr>
        <w:trPr>
          <w:trHeight w:val="161" w:hRule="exact"/>
        </w:trPr>
        <w:tc>
          <w:tcPr>
            <w:tcW w:w="2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88" w:type="dxa"/>
            <w:gridSpan w:val="10"/>
            <w:vMerge/>
            <w:tcBorders>
              <w:left w:val="single" w:sz="10" w:space="0" w:color="D2D2D2"/>
              <w:bottom w:val="single" w:sz="4" w:space="0" w:color="000000"/>
              <w:right w:val="single" w:sz="4" w:space="0" w:color="000000"/>
            </w:tcBorders>
          </w:tcPr>
          <w:p>
            <w:pPr/>
          </w:p>
        </w:tc>
      </w:tr>
      <w:tr>
        <w:trPr>
          <w:trHeight w:val="634"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60"/>
              <w:jc w:val="left"/>
              <w:rPr>
                <w:rFonts w:ascii="宋体" w:hAnsi="宋体" w:cs="宋体" w:eastAsia="宋体" w:hint="default"/>
                <w:sz w:val="21"/>
                <w:szCs w:val="21"/>
              </w:rPr>
            </w:pPr>
            <w:r>
              <w:rPr>
                <w:rFonts w:ascii="宋体" w:hAnsi="宋体" w:cs="宋体" w:eastAsia="宋体" w:hint="default"/>
                <w:spacing w:val="-2"/>
                <w:sz w:val="21"/>
                <w:szCs w:val="21"/>
              </w:rPr>
              <w:t>项目可行性发生重大变化的情</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况说明</w:t>
            </w:r>
          </w:p>
        </w:tc>
        <w:tc>
          <w:tcPr>
            <w:tcW w:w="1118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3"/>
              <w:ind w:left="1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headerReference w:type="default" r:id="rId23"/>
          <w:footerReference w:type="default" r:id="rId24"/>
          <w:pgSz w:w="16840" w:h="11910" w:orient="landscape"/>
          <w:pgMar w:header="867" w:footer="980" w:top="1060" w:bottom="1160" w:left="1300" w:right="0"/>
          <w:pgNumType w:start="31"/>
        </w:sectPr>
      </w:pPr>
    </w:p>
    <w:p>
      <w:pPr>
        <w:spacing w:line="240" w:lineRule="auto" w:before="11"/>
        <w:rPr>
          <w:rFonts w:ascii="宋体" w:hAnsi="宋体" w:cs="宋体" w:eastAsia="宋体" w:hint="default"/>
          <w:sz w:val="2"/>
          <w:szCs w:val="2"/>
        </w:rPr>
      </w:pPr>
      <w:r>
        <w:rPr/>
        <w:pict>
          <v:shape style="position:absolute;margin-left:706.919983pt;margin-top:518.320007pt;width:135pt;height:77pt;mso-position-horizontal-relative:page;mso-position-vertical-relative:page;z-index:-1597840" type="#_x0000_t75" stroked="false">
            <v:imagedata r:id="rId10" o:title=""/>
          </v:shape>
        </w:pict>
      </w:r>
    </w:p>
    <w:tbl>
      <w:tblPr>
        <w:tblW w:w="0" w:type="auto"/>
        <w:jc w:val="left"/>
        <w:tblInd w:w="106" w:type="dxa"/>
        <w:tblLayout w:type="fixed"/>
        <w:tblCellMar>
          <w:top w:w="0" w:type="dxa"/>
          <w:left w:w="0" w:type="dxa"/>
          <w:bottom w:w="0" w:type="dxa"/>
          <w:right w:w="0" w:type="dxa"/>
        </w:tblCellMar>
        <w:tblLook w:val="01E0"/>
      </w:tblPr>
      <w:tblGrid>
        <w:gridCol w:w="2830"/>
        <w:gridCol w:w="11188"/>
      </w:tblGrid>
      <w:tr>
        <w:trPr>
          <w:trHeight w:val="651" w:hRule="exact"/>
        </w:trPr>
        <w:tc>
          <w:tcPr>
            <w:tcW w:w="283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60"/>
              <w:jc w:val="left"/>
              <w:rPr>
                <w:rFonts w:ascii="宋体" w:hAnsi="宋体" w:cs="宋体" w:eastAsia="宋体" w:hint="default"/>
                <w:sz w:val="21"/>
                <w:szCs w:val="21"/>
              </w:rPr>
            </w:pPr>
            <w:r>
              <w:rPr>
                <w:rFonts w:ascii="宋体" w:hAnsi="宋体" w:cs="宋体" w:eastAsia="宋体" w:hint="default"/>
                <w:spacing w:val="-2"/>
                <w:sz w:val="21"/>
                <w:szCs w:val="21"/>
              </w:rPr>
              <w:t>超募资金的金额、用途及使用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进展情况</w:t>
            </w:r>
          </w:p>
        </w:tc>
        <w:tc>
          <w:tcPr>
            <w:tcW w:w="1118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60"/>
              <w:jc w:val="left"/>
              <w:rPr>
                <w:rFonts w:ascii="宋体" w:hAnsi="宋体" w:cs="宋体" w:eastAsia="宋体" w:hint="default"/>
                <w:sz w:val="21"/>
                <w:szCs w:val="21"/>
              </w:rPr>
            </w:pPr>
            <w:r>
              <w:rPr>
                <w:rFonts w:ascii="宋体" w:hAnsi="宋体" w:cs="宋体" w:eastAsia="宋体" w:hint="default"/>
                <w:spacing w:val="-2"/>
                <w:sz w:val="21"/>
                <w:szCs w:val="21"/>
              </w:rPr>
              <w:t>募集资金投资项目实施地点变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更情况</w:t>
            </w:r>
          </w:p>
        </w:tc>
        <w:tc>
          <w:tcPr>
            <w:tcW w:w="1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60"/>
              <w:jc w:val="left"/>
              <w:rPr>
                <w:rFonts w:ascii="宋体" w:hAnsi="宋体" w:cs="宋体" w:eastAsia="宋体" w:hint="default"/>
                <w:sz w:val="21"/>
                <w:szCs w:val="21"/>
              </w:rPr>
            </w:pPr>
            <w:r>
              <w:rPr>
                <w:rFonts w:ascii="宋体" w:hAnsi="宋体" w:cs="宋体" w:eastAsia="宋体" w:hint="default"/>
                <w:spacing w:val="-2"/>
                <w:sz w:val="21"/>
                <w:szCs w:val="21"/>
              </w:rPr>
              <w:t>募集资金投资项目实施方式调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整情况</w:t>
            </w:r>
          </w:p>
        </w:tc>
        <w:tc>
          <w:tcPr>
            <w:tcW w:w="1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60"/>
              <w:jc w:val="left"/>
              <w:rPr>
                <w:rFonts w:ascii="宋体" w:hAnsi="宋体" w:cs="宋体" w:eastAsia="宋体" w:hint="default"/>
                <w:sz w:val="21"/>
                <w:szCs w:val="21"/>
              </w:rPr>
            </w:pPr>
            <w:r>
              <w:rPr>
                <w:rFonts w:ascii="宋体" w:hAnsi="宋体" w:cs="宋体" w:eastAsia="宋体" w:hint="default"/>
                <w:spacing w:val="-2"/>
                <w:sz w:val="21"/>
                <w:szCs w:val="21"/>
              </w:rPr>
              <w:t>募集资金投入项目先期投入及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置换情况</w:t>
            </w:r>
          </w:p>
        </w:tc>
        <w:tc>
          <w:tcPr>
            <w:tcW w:w="1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60"/>
              <w:jc w:val="left"/>
              <w:rPr>
                <w:rFonts w:ascii="宋体" w:hAnsi="宋体" w:cs="宋体" w:eastAsia="宋体" w:hint="default"/>
                <w:sz w:val="21"/>
                <w:szCs w:val="21"/>
              </w:rPr>
            </w:pPr>
            <w:r>
              <w:rPr>
                <w:rFonts w:ascii="宋体" w:hAnsi="宋体" w:cs="宋体" w:eastAsia="宋体" w:hint="default"/>
                <w:spacing w:val="-2"/>
                <w:sz w:val="21"/>
                <w:szCs w:val="21"/>
              </w:rPr>
              <w:t>用闲置募集资金暂时补充流动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资金情况</w:t>
            </w:r>
          </w:p>
        </w:tc>
        <w:tc>
          <w:tcPr>
            <w:tcW w:w="1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46"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3" w:right="60"/>
              <w:jc w:val="left"/>
              <w:rPr>
                <w:rFonts w:ascii="宋体" w:hAnsi="宋体" w:cs="宋体" w:eastAsia="宋体" w:hint="default"/>
                <w:sz w:val="21"/>
                <w:szCs w:val="21"/>
              </w:rPr>
            </w:pPr>
            <w:r>
              <w:rPr>
                <w:rFonts w:ascii="宋体" w:hAnsi="宋体" w:cs="宋体" w:eastAsia="宋体" w:hint="default"/>
                <w:spacing w:val="-2"/>
                <w:sz w:val="21"/>
                <w:szCs w:val="21"/>
              </w:rPr>
              <w:t>项目实施出现募集资金结余的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金额及原因</w:t>
            </w:r>
          </w:p>
        </w:tc>
        <w:tc>
          <w:tcPr>
            <w:tcW w:w="1118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3" w:right="69"/>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年连锁店项目中大部分店面在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年及以后年度开设，受金融危机影响，公司内部推行厉行节约政策，充分发挥规</w:t>
            </w:r>
            <w:r>
              <w:rPr>
                <w:rFonts w:ascii="宋体" w:hAnsi="宋体" w:cs="宋体" w:eastAsia="宋体" w:hint="default"/>
                <w:w w:val="100"/>
                <w:sz w:val="21"/>
                <w:szCs w:val="21"/>
              </w:rPr>
              <w:t> </w:t>
            </w:r>
            <w:r>
              <w:rPr>
                <w:rFonts w:ascii="宋体" w:hAnsi="宋体" w:cs="宋体" w:eastAsia="宋体" w:hint="default"/>
                <w:sz w:val="21"/>
                <w:szCs w:val="21"/>
              </w:rPr>
              <w:t>模采购的优势，店面相关的资产投入开支有所节约，募集资金出现结余。</w:t>
            </w:r>
            <w:r>
              <w:rPr>
                <w:rFonts w:ascii="宋体" w:hAnsi="宋体" w:cs="宋体" w:eastAsia="宋体" w:hint="default"/>
                <w:w w:val="100"/>
                <w:sz w:val="21"/>
                <w:szCs w:val="21"/>
              </w:rPr>
              <w:t> </w:t>
            </w:r>
            <w:r>
              <w:rPr>
                <w:rFonts w:ascii="宋体" w:hAnsi="宋体" w:cs="宋体" w:eastAsia="宋体" w:hint="default"/>
                <w:sz w:val="21"/>
                <w:szCs w:val="21"/>
              </w:rPr>
              <w:t>沈阳物流基地项目，公司加强了相关建设成本等控制，项目资金出现了一定的结余。</w:t>
            </w:r>
          </w:p>
        </w:tc>
      </w:tr>
      <w:tr>
        <w:trPr>
          <w:trHeight w:val="948"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6"/>
              <w:ind w:left="23" w:right="60"/>
              <w:jc w:val="left"/>
              <w:rPr>
                <w:rFonts w:ascii="宋体" w:hAnsi="宋体" w:cs="宋体" w:eastAsia="宋体" w:hint="default"/>
                <w:sz w:val="21"/>
                <w:szCs w:val="21"/>
              </w:rPr>
            </w:pPr>
            <w:r>
              <w:rPr>
                <w:rFonts w:ascii="宋体" w:hAnsi="宋体" w:cs="宋体" w:eastAsia="宋体" w:hint="default"/>
                <w:spacing w:val="-2"/>
                <w:sz w:val="21"/>
                <w:szCs w:val="21"/>
              </w:rPr>
              <w:t>尚未使用的募集资金用途及去</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向</w:t>
            </w:r>
          </w:p>
        </w:tc>
        <w:tc>
          <w:tcPr>
            <w:tcW w:w="1118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3" w:right="16"/>
              <w:jc w:val="both"/>
              <w:rPr>
                <w:rFonts w:ascii="宋体" w:hAnsi="宋体" w:cs="宋体" w:eastAsia="宋体" w:hint="default"/>
                <w:sz w:val="21"/>
                <w:szCs w:val="21"/>
              </w:rPr>
            </w:pPr>
            <w:r>
              <w:rPr>
                <w:rFonts w:ascii="宋体" w:hAnsi="宋体" w:cs="宋体" w:eastAsia="宋体" w:hint="default"/>
                <w:sz w:val="21"/>
                <w:szCs w:val="21"/>
              </w:rPr>
              <w:t>公司尚未使用的募集资金将继续用于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250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家连锁店发展项目及沈阳物流中心项目的建设，对于结余资金，公司将按规定履</w:t>
            </w:r>
            <w:r>
              <w:rPr>
                <w:rFonts w:ascii="宋体" w:hAnsi="宋体" w:cs="宋体" w:eastAsia="宋体" w:hint="default"/>
                <w:w w:val="100"/>
                <w:sz w:val="21"/>
                <w:szCs w:val="21"/>
              </w:rPr>
              <w:t> </w:t>
            </w:r>
            <w:r>
              <w:rPr>
                <w:rFonts w:ascii="宋体" w:hAnsi="宋体" w:cs="宋体" w:eastAsia="宋体" w:hint="default"/>
                <w:spacing w:val="-2"/>
                <w:sz w:val="21"/>
                <w:szCs w:val="21"/>
              </w:rPr>
              <w:t>行相关程序后用于支持公司运营发展。公司将尚未使用的募集资金存放于公司专户中，其中为提高资金使用效率，将闲置</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的募集资金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亿元以定期存款的方式存放，不存在存单抵押、质押及其他所有权、使用权受到限制的情况。</w:t>
            </w:r>
          </w:p>
        </w:tc>
      </w:tr>
      <w:tr>
        <w:trPr>
          <w:trHeight w:val="634"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60"/>
              <w:jc w:val="left"/>
              <w:rPr>
                <w:rFonts w:ascii="宋体" w:hAnsi="宋体" w:cs="宋体" w:eastAsia="宋体" w:hint="default"/>
                <w:sz w:val="21"/>
                <w:szCs w:val="21"/>
              </w:rPr>
            </w:pPr>
            <w:r>
              <w:rPr>
                <w:rFonts w:ascii="宋体" w:hAnsi="宋体" w:cs="宋体" w:eastAsia="宋体" w:hint="default"/>
                <w:spacing w:val="-2"/>
                <w:sz w:val="21"/>
                <w:szCs w:val="21"/>
              </w:rPr>
              <w:t>募集资金使用及披露中存在的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问题或其他情况</w:t>
            </w:r>
          </w:p>
        </w:tc>
        <w:tc>
          <w:tcPr>
            <w:tcW w:w="1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78" w:lineRule="exact" w:before="0"/>
        <w:ind w:left="140" w:right="0"/>
        <w:jc w:val="both"/>
      </w:pPr>
      <w:r>
        <w:rPr/>
        <w:t>注</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年度非公开发行股票募集的现金低于项目部分的人民币</w:t>
      </w:r>
      <w:r>
        <w:rPr>
          <w:spacing w:val="-54"/>
        </w:rPr>
        <w:t> </w:t>
      </w:r>
      <w:r>
        <w:rPr>
          <w:rFonts w:ascii="Times New Roman" w:hAnsi="Times New Roman" w:cs="Times New Roman" w:eastAsia="Times New Roman" w:hint="default"/>
        </w:rPr>
        <w:t>3,350.46</w:t>
      </w:r>
      <w:r>
        <w:rPr>
          <w:rFonts w:ascii="Times New Roman" w:hAnsi="Times New Roman" w:cs="Times New Roman" w:eastAsia="Times New Roman" w:hint="default"/>
          <w:spacing w:val="-4"/>
        </w:rPr>
        <w:t> </w:t>
      </w:r>
      <w:r>
        <w:rPr/>
        <w:t>万元已经调整上海浦东旗舰店购置项目的投资总额。</w:t>
      </w:r>
    </w:p>
    <w:p>
      <w:pPr>
        <w:pStyle w:val="BodyText"/>
        <w:spacing w:line="256" w:lineRule="auto" w:before="62"/>
        <w:ind w:left="140" w:right="1431"/>
        <w:jc w:val="both"/>
      </w:pPr>
      <w:r>
        <w:rPr/>
        <w:t>注</w:t>
      </w:r>
      <w:r>
        <w:rPr>
          <w:spacing w:val="-61"/>
        </w:rPr>
        <w:t> </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250</w:t>
      </w:r>
      <w:r>
        <w:rPr>
          <w:rFonts w:ascii="Times New Roman" w:hAnsi="Times New Roman" w:cs="Times New Roman" w:eastAsia="Times New Roman" w:hint="default"/>
          <w:spacing w:val="-11"/>
        </w:rPr>
        <w:t> </w:t>
      </w:r>
      <w:r>
        <w:rPr/>
        <w:t>家连锁店项目尚未全部实施完毕，且连锁店均在</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年及以后开设，部分店面经营没有达到非公开发行上市公告书判定年限</w:t>
      </w:r>
      <w:r>
        <w:rPr>
          <w:rFonts w:ascii="Times New Roman" w:hAnsi="Times New Roman" w:cs="Times New Roman" w:eastAsia="Times New Roman" w:hint="default"/>
        </w:rPr>
        <w:t>-</w:t>
      </w:r>
      <w:r>
        <w:rPr/>
        <w:t>正常年</w:t>
      </w:r>
      <w:r>
        <w:rPr>
          <w:rFonts w:ascii="Times New Roman" w:hAnsi="Times New Roman" w:cs="Times New Roman" w:eastAsia="Times New Roman" w:hint="default"/>
        </w:rPr>
        <w:t>(</w:t>
      </w:r>
      <w:r>
        <w:rPr/>
        <w:t>开业后第</w:t>
      </w:r>
      <w:r>
        <w:rPr>
          <w:w w:val="100"/>
        </w:rPr>
        <w:t> </w:t>
      </w:r>
      <w:r>
        <w:rPr/>
        <w:t>三年</w:t>
      </w:r>
      <w:r>
        <w:rPr>
          <w:rFonts w:ascii="Times New Roman" w:hAnsi="Times New Roman" w:cs="Times New Roman" w:eastAsia="Times New Roman" w:hint="default"/>
        </w:rPr>
        <w:t>)</w:t>
      </w:r>
      <w:r>
        <w:rPr/>
        <w:t>。随着项目实施的推进，已开设连锁店进入成熟稳定期，经营效益逐步提高，该项目效益情况将会进一步体现。</w:t>
      </w:r>
    </w:p>
    <w:p>
      <w:pPr>
        <w:pStyle w:val="BodyText"/>
        <w:spacing w:line="240" w:lineRule="auto" w:before="43"/>
        <w:ind w:left="140" w:right="0"/>
        <w:jc w:val="both"/>
      </w:pPr>
      <w:r>
        <w:rPr/>
        <w:t>根据</w:t>
      </w:r>
      <w:r>
        <w:rPr>
          <w:spacing w:val="-46"/>
        </w:rPr>
        <w:t> </w:t>
      </w:r>
      <w:r>
        <w:rPr>
          <w:rFonts w:ascii="Times New Roman" w:hAnsi="Times New Roman" w:cs="Times New Roman" w:eastAsia="Times New Roman" w:hint="default"/>
        </w:rPr>
        <w:t>250</w:t>
      </w:r>
      <w:r>
        <w:rPr>
          <w:rFonts w:ascii="Times New Roman" w:hAnsi="Times New Roman" w:cs="Times New Roman" w:eastAsia="Times New Roman" w:hint="default"/>
          <w:spacing w:val="3"/>
        </w:rPr>
        <w:t> </w:t>
      </w:r>
      <w:r>
        <w:rPr/>
        <w:t>家连锁店发展项目开业计算，共有</w:t>
      </w:r>
      <w:r>
        <w:rPr>
          <w:spacing w:val="-46"/>
        </w:rPr>
        <w:t> </w:t>
      </w:r>
      <w:r>
        <w:rPr>
          <w:rFonts w:ascii="Times New Roman" w:hAnsi="Times New Roman" w:cs="Times New Roman" w:eastAsia="Times New Roman" w:hint="default"/>
        </w:rPr>
        <w:t>139</w:t>
      </w:r>
      <w:r>
        <w:rPr>
          <w:rFonts w:ascii="Times New Roman" w:hAnsi="Times New Roman" w:cs="Times New Roman" w:eastAsia="Times New Roman" w:hint="default"/>
          <w:spacing w:val="4"/>
        </w:rPr>
        <w:t> </w:t>
      </w:r>
      <w:r>
        <w:rPr/>
        <w:t>家连锁店在</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年达到开业后第三年，其中公司调整关闭</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家，因此截至</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日止，实际</w:t>
      </w:r>
    </w:p>
    <w:p>
      <w:pPr>
        <w:pStyle w:val="BodyText"/>
        <w:spacing w:line="261" w:lineRule="auto" w:before="21"/>
        <w:ind w:left="140" w:right="1431"/>
        <w:jc w:val="both"/>
      </w:pPr>
      <w:r>
        <w:rPr>
          <w:w w:val="100"/>
        </w:rPr>
        <w:t>有</w:t>
      </w:r>
      <w:r>
        <w:rPr>
          <w:spacing w:val="-49"/>
          <w:w w:val="100"/>
        </w:rPr>
        <w:t> </w:t>
      </w:r>
      <w:r>
        <w:rPr>
          <w:rFonts w:ascii="Times New Roman" w:hAnsi="Times New Roman" w:cs="Times New Roman" w:eastAsia="Times New Roman" w:hint="default"/>
          <w:w w:val="100"/>
        </w:rPr>
        <w:t>131</w:t>
      </w:r>
      <w:r>
        <w:rPr>
          <w:rFonts w:ascii="Times New Roman" w:hAnsi="Times New Roman" w:cs="Times New Roman" w:eastAsia="Times New Roman" w:hint="default"/>
          <w:spacing w:val="2"/>
          <w:w w:val="100"/>
        </w:rPr>
        <w:t> </w:t>
      </w:r>
      <w:r>
        <w:rPr>
          <w:spacing w:val="-2"/>
          <w:w w:val="100"/>
        </w:rPr>
        <w:t>家连锁店达到上市公告书判定年限</w:t>
      </w:r>
      <w:r>
        <w:rPr>
          <w:rFonts w:ascii="Times New Roman" w:hAnsi="Times New Roman" w:cs="Times New Roman" w:eastAsia="Times New Roman" w:hint="default"/>
          <w:spacing w:val="-2"/>
          <w:w w:val="100"/>
        </w:rPr>
        <w:t>-</w:t>
      </w:r>
      <w:r>
        <w:rPr>
          <w:spacing w:val="-2"/>
          <w:w w:val="100"/>
        </w:rPr>
        <w:t>正常年</w:t>
      </w:r>
      <w:r>
        <w:rPr>
          <w:rFonts w:ascii="Times New Roman" w:hAnsi="Times New Roman" w:cs="Times New Roman" w:eastAsia="Times New Roman" w:hint="default"/>
          <w:spacing w:val="-2"/>
          <w:w w:val="100"/>
        </w:rPr>
        <w:t>(</w:t>
      </w:r>
      <w:r>
        <w:rPr>
          <w:spacing w:val="-2"/>
          <w:w w:val="100"/>
        </w:rPr>
        <w:t>开业后第三年</w:t>
      </w:r>
      <w:r>
        <w:rPr>
          <w:rFonts w:ascii="Times New Roman" w:hAnsi="Times New Roman" w:cs="Times New Roman" w:eastAsia="Times New Roman" w:hint="default"/>
          <w:spacing w:val="-2"/>
          <w:w w:val="100"/>
        </w:rPr>
        <w:t>)</w:t>
      </w:r>
      <w:r>
        <w:rPr>
          <w:spacing w:val="-2"/>
          <w:w w:val="100"/>
        </w:rPr>
        <w:t>。该</w:t>
      </w:r>
      <w:r>
        <w:rPr>
          <w:spacing w:val="-51"/>
          <w:w w:val="100"/>
        </w:rPr>
        <w:t> </w:t>
      </w:r>
      <w:r>
        <w:rPr>
          <w:rFonts w:ascii="Times New Roman" w:hAnsi="Times New Roman" w:cs="Times New Roman" w:eastAsia="Times New Roman" w:hint="default"/>
          <w:w w:val="100"/>
        </w:rPr>
        <w:t>131</w:t>
      </w:r>
      <w:r>
        <w:rPr>
          <w:rFonts w:ascii="Times New Roman" w:hAnsi="Times New Roman" w:cs="Times New Roman" w:eastAsia="Times New Roman" w:hint="default"/>
          <w:spacing w:val="1"/>
          <w:w w:val="100"/>
        </w:rPr>
        <w:t> </w:t>
      </w:r>
      <w:r>
        <w:rPr>
          <w:spacing w:val="-2"/>
          <w:w w:val="100"/>
        </w:rPr>
        <w:t>家连锁店预计正常年实现销售收入人民币</w:t>
      </w:r>
      <w:r>
        <w:rPr>
          <w:spacing w:val="-49"/>
          <w:w w:val="100"/>
        </w:rPr>
        <w:t> </w:t>
      </w:r>
      <w:r>
        <w:rPr>
          <w:rFonts w:ascii="Times New Roman" w:hAnsi="Times New Roman" w:cs="Times New Roman" w:eastAsia="Times New Roman" w:hint="default"/>
          <w:spacing w:val="-1"/>
          <w:w w:val="100"/>
        </w:rPr>
        <w:t>991,000</w:t>
      </w:r>
      <w:r>
        <w:rPr>
          <w:rFonts w:ascii="Times New Roman" w:hAnsi="Times New Roman" w:cs="Times New Roman" w:eastAsia="Times New Roman" w:hint="default"/>
          <w:spacing w:val="2"/>
          <w:w w:val="100"/>
        </w:rPr>
        <w:t> </w:t>
      </w:r>
      <w:r>
        <w:rPr>
          <w:spacing w:val="-11"/>
          <w:w w:val="100"/>
        </w:rPr>
        <w:t>万元（含税），</w:t>
      </w:r>
      <w:r>
        <w:rPr>
          <w:rFonts w:ascii="Times New Roman" w:hAnsi="Times New Roman" w:cs="Times New Roman" w:eastAsia="Times New Roman" w:hint="default"/>
          <w:spacing w:val="-11"/>
          <w:w w:val="100"/>
        </w:rPr>
        <w:t>2012</w:t>
      </w:r>
      <w:r>
        <w:rPr>
          <w:rFonts w:ascii="Times New Roman" w:hAnsi="Times New Roman" w:cs="Times New Roman" w:eastAsia="Times New Roman" w:hint="default"/>
          <w:spacing w:val="1"/>
          <w:w w:val="100"/>
        </w:rPr>
        <w:t> </w:t>
      </w:r>
      <w:r>
        <w:rPr>
          <w:spacing w:val="-2"/>
          <w:w w:val="100"/>
        </w:rPr>
        <w:t>年度实际</w:t>
      </w:r>
      <w:r>
        <w:rPr>
          <w:spacing w:val="-103"/>
          <w:w w:val="100"/>
        </w:rPr>
        <w:t> </w:t>
      </w:r>
      <w:r>
        <w:rPr>
          <w:spacing w:val="-103"/>
          <w:w w:val="100"/>
        </w:rPr>
      </w:r>
      <w:r>
        <w:rPr/>
        <w:t>实现销售收入人民币</w:t>
      </w:r>
      <w:r>
        <w:rPr>
          <w:spacing w:val="-60"/>
        </w:rPr>
        <w:t> </w:t>
      </w:r>
      <w:r>
        <w:rPr>
          <w:rFonts w:ascii="Times New Roman" w:hAnsi="Times New Roman" w:cs="Times New Roman" w:eastAsia="Times New Roman" w:hint="default"/>
        </w:rPr>
        <w:t>695,899</w:t>
      </w:r>
      <w:r>
        <w:rPr>
          <w:rFonts w:ascii="Times New Roman" w:hAnsi="Times New Roman" w:cs="Times New Roman" w:eastAsia="Times New Roman" w:hint="default"/>
          <w:spacing w:val="-7"/>
        </w:rPr>
        <w:t> </w:t>
      </w:r>
      <w:r>
        <w:rPr/>
        <w:t>万元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，完成了预计销售的</w:t>
      </w:r>
      <w:r>
        <w:rPr>
          <w:spacing w:val="-59"/>
        </w:rPr>
        <w:t> </w:t>
      </w:r>
      <w:r>
        <w:rPr>
          <w:rFonts w:ascii="Times New Roman" w:hAnsi="Times New Roman" w:cs="Times New Roman" w:eastAsia="Times New Roman" w:hint="default"/>
        </w:rPr>
        <w:t>70%</w:t>
      </w:r>
      <w:r>
        <w:rPr/>
        <w:t>，较预期有一定的差距，主要原因为：报告期内受宏观环境发展的影响，公司连锁店面</w:t>
      </w:r>
      <w:r>
        <w:rPr>
          <w:w w:val="100"/>
        </w:rPr>
        <w:t> </w:t>
      </w:r>
      <w:r>
        <w:rPr/>
        <w:t>销售受到一定影响，公司已经着手推进一系列改善举措，如升级店面类型、优化商品布局、强化终端服务、加大闲置物业的转租力度等，相信随着宏观</w:t>
      </w:r>
      <w:r>
        <w:rPr>
          <w:spacing w:val="-10"/>
        </w:rPr>
        <w:t> </w:t>
      </w:r>
      <w:r>
        <w:rPr>
          <w:spacing w:val="-10"/>
        </w:rPr>
      </w:r>
      <w:r>
        <w:rPr/>
        <w:t>环境逐步向好发展，以及公司店面经营的成熟，效益水平将会进一步提升。</w:t>
      </w:r>
    </w:p>
    <w:p>
      <w:pPr>
        <w:pStyle w:val="BodyText"/>
        <w:spacing w:line="256" w:lineRule="auto" w:before="59"/>
        <w:ind w:left="139" w:right="1433"/>
        <w:jc w:val="both"/>
      </w:pPr>
      <w:r>
        <w:rPr/>
        <w:t>注 </w:t>
      </w:r>
      <w:r>
        <w:rPr>
          <w:rFonts w:ascii="Times New Roman" w:hAnsi="Times New Roman" w:cs="Times New Roman" w:eastAsia="Times New Roman" w:hint="default"/>
          <w:spacing w:val="-3"/>
        </w:rPr>
        <w:t>3</w:t>
      </w:r>
      <w:r>
        <w:rPr>
          <w:spacing w:val="-3"/>
        </w:rPr>
        <w:t>：沈阳物流中心项目不直接产生经济效益，但沈阳物流中心建成后有助于本公司的东北区域物流整合，在有效保障货源的前提下加快库存周转率，有</w:t>
      </w:r>
      <w:r>
        <w:rPr>
          <w:spacing w:val="-36"/>
        </w:rPr>
        <w:t> </w:t>
      </w:r>
      <w:r>
        <w:rPr>
          <w:spacing w:val="-36"/>
        </w:rPr>
      </w:r>
      <w:r>
        <w:rPr/>
        <w:t>效节约人力成本和租赁费用，提高作业效率，进一步提升本公司的配送服务质量和品牌形象。</w:t>
      </w:r>
    </w:p>
    <w:p>
      <w:pPr>
        <w:pStyle w:val="BodyText"/>
        <w:spacing w:line="240" w:lineRule="auto" w:before="63"/>
        <w:ind w:left="140" w:right="0"/>
        <w:jc w:val="both"/>
      </w:pPr>
      <w:r>
        <w:rPr/>
        <w:t>注</w:t>
      </w:r>
      <w:r>
        <w:rPr>
          <w:spacing w:val="-61"/>
        </w:rPr>
        <w:t> </w:t>
      </w:r>
      <w:r>
        <w:rPr>
          <w:rFonts w:ascii="Times New Roman" w:hAnsi="Times New Roman" w:cs="Times New Roman" w:eastAsia="Times New Roman" w:hint="default"/>
        </w:rPr>
        <w:t>4</w:t>
      </w:r>
      <w:r>
        <w:rPr/>
        <w:t>：武汉中南旗舰店购置项目、上海浦东旗舰店购置项目预计正常年分别实现人民币</w:t>
      </w:r>
      <w:r>
        <w:rPr>
          <w:spacing w:val="-61"/>
        </w:rPr>
        <w:t> </w:t>
      </w:r>
      <w:r>
        <w:rPr>
          <w:rFonts w:ascii="Times New Roman" w:hAnsi="Times New Roman" w:cs="Times New Roman" w:eastAsia="Times New Roman" w:hint="default"/>
        </w:rPr>
        <w:t>3.5</w:t>
      </w:r>
      <w:r>
        <w:rPr>
          <w:rFonts w:ascii="Times New Roman" w:hAnsi="Times New Roman" w:cs="Times New Roman" w:eastAsia="Times New Roman" w:hint="default"/>
          <w:spacing w:val="-11"/>
        </w:rPr>
        <w:t> </w:t>
      </w:r>
      <w:r>
        <w:rPr/>
        <w:t>亿元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、人民币</w:t>
      </w:r>
      <w:r>
        <w:rPr>
          <w:spacing w:val="-61"/>
        </w:rPr>
        <w:t> </w:t>
      </w:r>
      <w:r>
        <w:rPr>
          <w:rFonts w:ascii="Times New Roman" w:hAnsi="Times New Roman" w:cs="Times New Roman" w:eastAsia="Times New Roman" w:hint="default"/>
        </w:rPr>
        <w:t>7.5</w:t>
      </w:r>
      <w:r>
        <w:rPr>
          <w:rFonts w:ascii="Times New Roman" w:hAnsi="Times New Roman" w:cs="Times New Roman" w:eastAsia="Times New Roman" w:hint="default"/>
          <w:spacing w:val="-11"/>
        </w:rPr>
        <w:t> </w:t>
      </w:r>
      <w:r>
        <w:rPr/>
        <w:t>亿元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的销售规模，武汉中南旗舰</w:t>
      </w:r>
    </w:p>
    <w:p>
      <w:pPr>
        <w:spacing w:after="0" w:line="240" w:lineRule="auto"/>
        <w:jc w:val="both"/>
        <w:sectPr>
          <w:pgSz w:w="16840" w:h="11910" w:orient="landscape"/>
          <w:pgMar w:header="867" w:footer="980" w:top="1060" w:bottom="1160" w:left="1300" w:right="0"/>
        </w:sectPr>
      </w:pPr>
    </w:p>
    <w:p>
      <w:pPr>
        <w:spacing w:line="240" w:lineRule="auto" w:before="11"/>
        <w:rPr>
          <w:rFonts w:ascii="宋体" w:hAnsi="宋体" w:cs="宋体" w:eastAsia="宋体" w:hint="default"/>
          <w:sz w:val="2"/>
          <w:szCs w:val="2"/>
        </w:rPr>
      </w:pPr>
      <w:r>
        <w:rPr/>
        <w:pict>
          <v:group style="position:absolute;margin-left:706.919983pt;margin-top:517.296021pt;width:135pt;height:78.05pt;mso-position-horizontal-relative:page;mso-position-vertical-relative:page;z-index:-1597792" coordorigin="14138,10346" coordsize="2700,1561">
            <v:group style="position:absolute;left:14402;top:10346;width:999;height:312" coordorigin="14402,10346" coordsize="999,312">
              <v:shape style="position:absolute;left:14402;top:10346;width:999;height:312" coordorigin="14402,10346" coordsize="999,312" path="m14402,10658l15400,10658,15400,10346,14402,10346,14402,10658xe" filled="true" fillcolor="#d2d2d2" stroked="false">
                <v:path arrowok="t"/>
                <v:fill type="solid"/>
              </v:shape>
              <v:shape style="position:absolute;left:14138;top:10366;width:2700;height:1540" type="#_x0000_t75" stroked="false">
                <v:imagedata r:id="rId10" o:title=""/>
              </v:shape>
            </v:group>
            <w10:wrap type="none"/>
          </v:group>
        </w:pic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261" w:lineRule="auto" w:before="0"/>
        <w:ind w:left="140" w:right="1430"/>
        <w:jc w:val="both"/>
      </w:pPr>
      <w:r>
        <w:rPr/>
        <w:t>店</w:t>
      </w:r>
      <w:r>
        <w:rPr>
          <w:spacing w:val="-3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6"/>
        </w:rPr>
        <w:t> </w:t>
      </w:r>
      <w:r>
        <w:rPr/>
        <w:t>年度实际实现销售收入人民币</w:t>
      </w:r>
      <w:r>
        <w:rPr>
          <w:spacing w:val="-37"/>
        </w:rPr>
        <w:t> </w:t>
      </w:r>
      <w:r>
        <w:rPr>
          <w:rFonts w:ascii="Times New Roman" w:hAnsi="Times New Roman" w:cs="Times New Roman" w:eastAsia="Times New Roman" w:hint="default"/>
        </w:rPr>
        <w:t>1.8</w:t>
      </w:r>
      <w:r>
        <w:rPr>
          <w:rFonts w:ascii="Times New Roman" w:hAnsi="Times New Roman" w:cs="Times New Roman" w:eastAsia="Times New Roman" w:hint="default"/>
          <w:spacing w:val="13"/>
        </w:rPr>
        <w:t> </w:t>
      </w:r>
      <w:r>
        <w:rPr/>
        <w:t>亿元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，上海浦东旗舰店</w:t>
      </w:r>
      <w:r>
        <w:rPr>
          <w:spacing w:val="-3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年度实际实现销售收入人民币</w:t>
      </w:r>
      <w:r>
        <w:rPr>
          <w:spacing w:val="-37"/>
        </w:rPr>
        <w:t> </w:t>
      </w:r>
      <w:r>
        <w:rPr>
          <w:rFonts w:ascii="Times New Roman" w:hAnsi="Times New Roman" w:cs="Times New Roman" w:eastAsia="Times New Roman" w:hint="default"/>
        </w:rPr>
        <w:t>3.4</w:t>
      </w:r>
      <w:r>
        <w:rPr>
          <w:rFonts w:ascii="Times New Roman" w:hAnsi="Times New Roman" w:cs="Times New Roman" w:eastAsia="Times New Roman" w:hint="default"/>
          <w:spacing w:val="13"/>
        </w:rPr>
        <w:t> </w:t>
      </w:r>
      <w:r>
        <w:rPr/>
        <w:t>亿元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，分别完成了预期销售收入的</w:t>
      </w:r>
      <w:r>
        <w:rPr>
          <w:w w:val="100"/>
        </w:rPr>
        <w:t> </w:t>
      </w:r>
      <w:r>
        <w:rPr>
          <w:rFonts w:ascii="Times New Roman" w:hAnsi="Times New Roman" w:cs="Times New Roman" w:eastAsia="Times New Roman" w:hint="default"/>
          <w:spacing w:val="-2"/>
        </w:rPr>
        <w:t>51%</w:t>
      </w:r>
      <w:r>
        <w:rPr>
          <w:spacing w:val="-2"/>
        </w:rPr>
        <w:t>、</w:t>
      </w:r>
      <w:r>
        <w:rPr>
          <w:rFonts w:ascii="Times New Roman" w:hAnsi="Times New Roman" w:cs="Times New Roman" w:eastAsia="Times New Roman" w:hint="default"/>
          <w:spacing w:val="-2"/>
        </w:rPr>
        <w:t>45%</w:t>
      </w:r>
      <w:r>
        <w:rPr>
          <w:spacing w:val="-2"/>
        </w:rPr>
        <w:t>。报告期内受宏观经济的影响，实体店的家电销售有一定的抑制，相较于原先较为积极的销售收入预计金额，两家店的销售收入完成率尚有一</w:t>
      </w:r>
      <w:r>
        <w:rPr>
          <w:spacing w:val="-24"/>
        </w:rPr>
        <w:t> </w:t>
      </w:r>
      <w:r>
        <w:rPr>
          <w:spacing w:val="-24"/>
        </w:rPr>
      </w:r>
      <w:r>
        <w:rPr/>
        <w:t>定的差距。公司通过升级店面类型、丰富商品经营种类、优化店面商品布局，不断提升店面经营质量，相信随着外部环境的好转，上述两家连锁店面销</w:t>
      </w:r>
      <w:r>
        <w:rPr>
          <w:spacing w:val="-10"/>
        </w:rPr>
        <w:t> </w:t>
      </w:r>
      <w:r>
        <w:rPr>
          <w:spacing w:val="-10"/>
        </w:rPr>
      </w:r>
      <w:r>
        <w:rPr/>
        <w:t>售业绩将会取得明显提升。</w:t>
      </w:r>
    </w:p>
    <w:p>
      <w:pPr>
        <w:pStyle w:val="BodyText"/>
        <w:spacing w:line="273" w:lineRule="auto" w:before="59"/>
        <w:ind w:left="140" w:right="1431"/>
        <w:jc w:val="both"/>
      </w:pPr>
      <w:r>
        <w:rPr/>
        <w:t>公司通过上述两家连锁店的购置，能够有效地保障本公司店面经营的持续性和稳定性，并且在商业物业租金水平不断上涨的市场环境下，以购置方式提</w:t>
      </w:r>
      <w:r>
        <w:rPr>
          <w:spacing w:val="-10"/>
        </w:rPr>
        <w:t> </w:t>
      </w:r>
      <w:r>
        <w:rPr>
          <w:spacing w:val="-10"/>
        </w:rPr>
      </w:r>
      <w:r>
        <w:rPr/>
        <w:t>前锁定物业成本，有助于本公司降低店面运营成本。武汉中南店和上海浦东旗舰店的开设，对公司在当地的连锁发展起到了一锤定音的效果，有力的提</w:t>
      </w:r>
      <w:r>
        <w:rPr>
          <w:spacing w:val="-3"/>
        </w:rPr>
        <w:t> </w:t>
      </w:r>
      <w:r>
        <w:rPr>
          <w:spacing w:val="-3"/>
        </w:rPr>
      </w:r>
      <w:r>
        <w:rPr/>
        <w:t>升了消费者对公司的认知度与公司的品牌美誉度，增强了公司的市场竞争力，扩大了公司的市场份额。</w:t>
      </w:r>
    </w:p>
    <w:p>
      <w:pPr>
        <w:pStyle w:val="Heading4"/>
        <w:spacing w:line="240" w:lineRule="auto" w:before="127"/>
        <w:ind w:left="140" w:right="0"/>
        <w:jc w:val="both"/>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r>
      <w:r>
        <w:rPr>
          <w:rFonts w:ascii="Times New Roman" w:hAnsi="Times New Roman" w:cs="Times New Roman" w:eastAsia="Times New Roman" w:hint="default"/>
        </w:rPr>
        <w:t>2009</w:t>
      </w:r>
      <w:r>
        <w:rPr>
          <w:rFonts w:ascii="Times New Roman" w:hAnsi="Times New Roman" w:cs="Times New Roman" w:eastAsia="Times New Roman" w:hint="default"/>
          <w:spacing w:val="45"/>
        </w:rPr>
        <w:t> </w:t>
      </w:r>
      <w:r>
        <w:rPr/>
        <w:t>年非公开发行项目</w:t>
      </w:r>
      <w:r>
        <w:rPr>
          <w:b w:val="0"/>
          <w:bCs w:val="0"/>
        </w:rPr>
      </w:r>
    </w:p>
    <w:p>
      <w:pPr>
        <w:pStyle w:val="BodyText"/>
        <w:spacing w:line="240" w:lineRule="auto" w:before="62"/>
        <w:ind w:left="0" w:right="1433"/>
        <w:jc w:val="right"/>
      </w:pPr>
      <w:r>
        <w:rPr>
          <w:spacing w:val="-1"/>
        </w:rPr>
        <w:t>单位：万元</w:t>
      </w:r>
    </w:p>
    <w:p>
      <w:pPr>
        <w:spacing w:line="240" w:lineRule="auto" w:before="11"/>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710"/>
        <w:gridCol w:w="1235"/>
        <w:gridCol w:w="1269"/>
        <w:gridCol w:w="1265"/>
        <w:gridCol w:w="1056"/>
        <w:gridCol w:w="1190"/>
        <w:gridCol w:w="1064"/>
        <w:gridCol w:w="1054"/>
        <w:gridCol w:w="1059"/>
        <w:gridCol w:w="1059"/>
        <w:gridCol w:w="1056"/>
      </w:tblGrid>
      <w:tr>
        <w:trPr>
          <w:trHeight w:val="1259" w:hRule="exact"/>
        </w:trPr>
        <w:tc>
          <w:tcPr>
            <w:tcW w:w="2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1243" w:right="86" w:hanging="1155"/>
              <w:jc w:val="left"/>
              <w:rPr>
                <w:rFonts w:ascii="宋体" w:hAnsi="宋体" w:cs="宋体" w:eastAsia="宋体" w:hint="default"/>
                <w:sz w:val="21"/>
                <w:szCs w:val="21"/>
              </w:rPr>
            </w:pPr>
            <w:r>
              <w:rPr>
                <w:rFonts w:ascii="宋体" w:hAnsi="宋体" w:cs="宋体" w:eastAsia="宋体" w:hint="default"/>
                <w:spacing w:val="-2"/>
                <w:sz w:val="21"/>
                <w:szCs w:val="21"/>
              </w:rPr>
              <w:t>承诺投资项目和超募资金投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向</w:t>
            </w:r>
          </w:p>
        </w:tc>
        <w:tc>
          <w:tcPr>
            <w:tcW w:w="1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144"/>
              <w:ind w:left="55" w:right="45" w:hanging="3"/>
              <w:jc w:val="center"/>
              <w:rPr>
                <w:rFonts w:ascii="Times New Roman" w:hAnsi="Times New Roman" w:cs="Times New Roman" w:eastAsia="Times New Roman" w:hint="default"/>
                <w:sz w:val="21"/>
                <w:szCs w:val="21"/>
              </w:rPr>
            </w:pPr>
            <w:r>
              <w:rPr>
                <w:rFonts w:ascii="宋体" w:hAnsi="宋体" w:cs="宋体" w:eastAsia="宋体" w:hint="default"/>
                <w:sz w:val="21"/>
                <w:szCs w:val="21"/>
              </w:rPr>
              <w:t>是否已变更</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含部分</w:t>
            </w:r>
            <w:r>
              <w:rPr>
                <w:rFonts w:ascii="宋体" w:hAnsi="宋体" w:cs="宋体" w:eastAsia="宋体" w:hint="default"/>
                <w:w w:val="100"/>
                <w:sz w:val="21"/>
                <w:szCs w:val="21"/>
              </w:rPr>
              <w:t> </w:t>
            </w:r>
            <w:r>
              <w:rPr>
                <w:rFonts w:ascii="宋体" w:hAnsi="宋体" w:cs="宋体" w:eastAsia="宋体" w:hint="default"/>
                <w:sz w:val="21"/>
                <w:szCs w:val="21"/>
              </w:rPr>
              <w:t>变更</w:t>
            </w:r>
            <w:r>
              <w:rPr>
                <w:rFonts w:ascii="Times New Roman" w:hAnsi="Times New Roman" w:cs="Times New Roman" w:eastAsia="Times New Roman" w:hint="default"/>
                <w:sz w:val="21"/>
                <w:szCs w:val="21"/>
              </w:rPr>
              <w:t>)</w:t>
            </w:r>
          </w:p>
        </w:tc>
        <w:tc>
          <w:tcPr>
            <w:tcW w:w="1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104" w:right="98"/>
              <w:jc w:val="left"/>
              <w:rPr>
                <w:rFonts w:ascii="宋体" w:hAnsi="宋体" w:cs="宋体" w:eastAsia="宋体" w:hint="default"/>
                <w:sz w:val="21"/>
                <w:szCs w:val="21"/>
              </w:rPr>
            </w:pPr>
            <w:r>
              <w:rPr>
                <w:rFonts w:ascii="宋体" w:hAnsi="宋体" w:cs="宋体" w:eastAsia="宋体" w:hint="default"/>
                <w:sz w:val="21"/>
                <w:szCs w:val="21"/>
              </w:rPr>
              <w:t>募集资金承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诺投资总额</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295" w:right="98" w:hanging="195"/>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调整后投资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总额</w:t>
            </w:r>
            <w:r>
              <w:rPr>
                <w:rFonts w:ascii="Times New Roman" w:hAnsi="Times New Roman" w:cs="Times New Roman" w:eastAsia="Times New Roman" w:hint="default"/>
                <w:sz w:val="21"/>
                <w:szCs w:val="21"/>
              </w:rPr>
              <w:t>(1)</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投入金额</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auto" w:before="144"/>
              <w:ind w:left="64" w:right="60"/>
              <w:jc w:val="center"/>
              <w:rPr>
                <w:rFonts w:ascii="Times New Roman" w:hAnsi="Times New Roman" w:cs="Times New Roman" w:eastAsia="Times New Roman" w:hint="default"/>
                <w:sz w:val="21"/>
                <w:szCs w:val="21"/>
              </w:rPr>
            </w:pPr>
            <w:r>
              <w:rPr>
                <w:rFonts w:ascii="宋体" w:hAnsi="宋体" w:cs="宋体" w:eastAsia="宋体" w:hint="default"/>
                <w:sz w:val="21"/>
                <w:szCs w:val="21"/>
              </w:rPr>
              <w:t>截至期末累</w:t>
            </w:r>
            <w:r>
              <w:rPr>
                <w:rFonts w:ascii="宋体" w:hAnsi="宋体" w:cs="宋体" w:eastAsia="宋体" w:hint="default"/>
                <w:w w:val="100"/>
                <w:sz w:val="21"/>
                <w:szCs w:val="21"/>
              </w:rPr>
              <w:t> </w:t>
            </w:r>
            <w:r>
              <w:rPr>
                <w:rFonts w:ascii="宋体" w:hAnsi="宋体" w:cs="宋体" w:eastAsia="宋体" w:hint="default"/>
                <w:sz w:val="21"/>
                <w:szCs w:val="21"/>
              </w:rPr>
              <w:t>计投入金额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5" w:right="104"/>
              <w:jc w:val="both"/>
              <w:rPr>
                <w:rFonts w:ascii="宋体" w:hAnsi="宋体" w:cs="宋体" w:eastAsia="宋体" w:hint="default"/>
                <w:sz w:val="21"/>
                <w:szCs w:val="21"/>
              </w:rPr>
            </w:pPr>
            <w:r>
              <w:rPr>
                <w:rFonts w:ascii="宋体" w:hAnsi="宋体" w:cs="宋体" w:eastAsia="宋体" w:hint="default"/>
                <w:sz w:val="21"/>
                <w:szCs w:val="21"/>
              </w:rPr>
              <w:t>截至期末</w:t>
            </w:r>
            <w:r>
              <w:rPr>
                <w:rFonts w:ascii="宋体" w:hAnsi="宋体" w:cs="宋体" w:eastAsia="宋体" w:hint="default"/>
                <w:w w:val="100"/>
                <w:sz w:val="21"/>
                <w:szCs w:val="21"/>
              </w:rPr>
              <w:t> </w:t>
            </w:r>
            <w:r>
              <w:rPr>
                <w:rFonts w:ascii="宋体" w:hAnsi="宋体" w:cs="宋体" w:eastAsia="宋体" w:hint="default"/>
                <w:sz w:val="21"/>
                <w:szCs w:val="21"/>
              </w:rPr>
              <w:t>投资进度</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p>
            <w:pPr>
              <w:pStyle w:val="TableParagraph"/>
              <w:spacing w:line="240" w:lineRule="auto" w:before="35"/>
              <w:ind w:left="251" w:right="0"/>
              <w:jc w:val="left"/>
              <w:rPr>
                <w:rFonts w:ascii="Times New Roman" w:hAnsi="Times New Roman" w:cs="Times New Roman" w:eastAsia="Times New Roman" w:hint="default"/>
                <w:sz w:val="21"/>
                <w:szCs w:val="21"/>
              </w:rPr>
            </w:pPr>
            <w:r>
              <w:rPr>
                <w:rFonts w:ascii="Times New Roman"/>
                <w:sz w:val="21"/>
              </w:rPr>
              <w:t>(2)/(1)</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99" w:right="100"/>
              <w:jc w:val="center"/>
              <w:rPr>
                <w:rFonts w:ascii="宋体" w:hAnsi="宋体" w:cs="宋体" w:eastAsia="宋体" w:hint="default"/>
                <w:sz w:val="21"/>
                <w:szCs w:val="21"/>
              </w:rPr>
            </w:pPr>
            <w:r>
              <w:rPr>
                <w:rFonts w:ascii="宋体" w:hAnsi="宋体" w:cs="宋体" w:eastAsia="宋体" w:hint="default"/>
                <w:sz w:val="21"/>
                <w:szCs w:val="21"/>
              </w:rPr>
              <w:t>项目达到</w:t>
            </w:r>
            <w:r>
              <w:rPr>
                <w:rFonts w:ascii="宋体" w:hAnsi="宋体" w:cs="宋体" w:eastAsia="宋体" w:hint="default"/>
                <w:w w:val="100"/>
                <w:sz w:val="21"/>
                <w:szCs w:val="21"/>
              </w:rPr>
              <w:t> </w:t>
            </w:r>
            <w:r>
              <w:rPr>
                <w:rFonts w:ascii="宋体" w:hAnsi="宋体" w:cs="宋体" w:eastAsia="宋体" w:hint="default"/>
                <w:sz w:val="21"/>
                <w:szCs w:val="21"/>
              </w:rPr>
              <w:t>预定可使</w:t>
            </w:r>
            <w:r>
              <w:rPr>
                <w:rFonts w:ascii="宋体" w:hAnsi="宋体" w:cs="宋体" w:eastAsia="宋体" w:hint="default"/>
                <w:w w:val="100"/>
                <w:sz w:val="21"/>
                <w:szCs w:val="21"/>
              </w:rPr>
              <w:t> </w:t>
            </w:r>
            <w:r>
              <w:rPr>
                <w:rFonts w:ascii="宋体" w:hAnsi="宋体" w:cs="宋体" w:eastAsia="宋体" w:hint="default"/>
                <w:sz w:val="21"/>
                <w:szCs w:val="21"/>
              </w:rPr>
              <w:t>用状态日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103" w:right="101"/>
              <w:jc w:val="center"/>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实现的效</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105" w:right="99"/>
              <w:jc w:val="left"/>
              <w:rPr>
                <w:rFonts w:ascii="宋体" w:hAnsi="宋体" w:cs="宋体" w:eastAsia="宋体" w:hint="default"/>
                <w:sz w:val="21"/>
                <w:szCs w:val="21"/>
              </w:rPr>
            </w:pPr>
            <w:r>
              <w:rPr>
                <w:rFonts w:ascii="宋体" w:hAnsi="宋体" w:cs="宋体" w:eastAsia="宋体" w:hint="default"/>
                <w:sz w:val="21"/>
                <w:szCs w:val="21"/>
              </w:rPr>
              <w:t>是否达到</w:t>
            </w:r>
            <w:r>
              <w:rPr>
                <w:rFonts w:ascii="宋体" w:hAnsi="宋体" w:cs="宋体" w:eastAsia="宋体" w:hint="default"/>
                <w:w w:val="100"/>
                <w:sz w:val="21"/>
                <w:szCs w:val="21"/>
              </w:rPr>
              <w:t> </w:t>
            </w:r>
            <w:r>
              <w:rPr>
                <w:rFonts w:ascii="宋体" w:hAnsi="宋体" w:cs="宋体" w:eastAsia="宋体" w:hint="default"/>
                <w:sz w:val="21"/>
                <w:szCs w:val="21"/>
              </w:rPr>
              <w:t>预计效益</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2" w:right="98"/>
              <w:jc w:val="center"/>
              <w:rPr>
                <w:rFonts w:ascii="宋体" w:hAnsi="宋体" w:cs="宋体" w:eastAsia="宋体" w:hint="default"/>
                <w:sz w:val="21"/>
                <w:szCs w:val="21"/>
              </w:rPr>
            </w:pPr>
            <w:r>
              <w:rPr>
                <w:rFonts w:ascii="宋体" w:hAnsi="宋体" w:cs="宋体" w:eastAsia="宋体" w:hint="default"/>
                <w:sz w:val="21"/>
                <w:szCs w:val="21"/>
              </w:rPr>
              <w:t>项目可行</w:t>
            </w:r>
            <w:r>
              <w:rPr>
                <w:rFonts w:ascii="宋体" w:hAnsi="宋体" w:cs="宋体" w:eastAsia="宋体" w:hint="default"/>
                <w:w w:val="100"/>
                <w:sz w:val="21"/>
                <w:szCs w:val="21"/>
              </w:rPr>
              <w:t> </w:t>
            </w:r>
            <w:r>
              <w:rPr>
                <w:rFonts w:ascii="宋体" w:hAnsi="宋体" w:cs="宋体" w:eastAsia="宋体" w:hint="default"/>
                <w:sz w:val="21"/>
                <w:szCs w:val="21"/>
              </w:rPr>
              <w:t>性是否发</w:t>
            </w:r>
            <w:r>
              <w:rPr>
                <w:rFonts w:ascii="宋体" w:hAnsi="宋体" w:cs="宋体" w:eastAsia="宋体" w:hint="default"/>
                <w:w w:val="100"/>
                <w:sz w:val="21"/>
                <w:szCs w:val="21"/>
              </w:rPr>
              <w:t> </w:t>
            </w:r>
            <w:r>
              <w:rPr>
                <w:rFonts w:ascii="宋体" w:hAnsi="宋体" w:cs="宋体" w:eastAsia="宋体" w:hint="default"/>
                <w:sz w:val="21"/>
                <w:szCs w:val="21"/>
              </w:rPr>
              <w:t>生重大变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322" w:hRule="exact"/>
        </w:trPr>
        <w:tc>
          <w:tcPr>
            <w:tcW w:w="140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634"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家连锁店发展项目</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0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140,000.00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14,044.53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116,491.29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83%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2"/>
                <w:sz w:val="21"/>
              </w:rPr>
              <w:t>-11,039.90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6" w:right="0"/>
              <w:jc w:val="center"/>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37"/>
              <w:ind w:left="220"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0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成都物流中心建设项目</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15,198.08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15,198.08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281.55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15,198.08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0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76" w:right="0"/>
              <w:jc w:val="center"/>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37"/>
              <w:ind w:left="220"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1056" w:type="dxa"/>
            <w:vMerge/>
            <w:tcBorders>
              <w:left w:val="single" w:sz="4" w:space="0" w:color="000000"/>
              <w:right w:val="single" w:sz="4" w:space="0" w:color="000000"/>
            </w:tcBorders>
          </w:tcPr>
          <w:p>
            <w:pPr/>
          </w:p>
        </w:tc>
      </w:tr>
      <w:tr>
        <w:trPr>
          <w:trHeight w:val="322"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无锡物流中心建设项目</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15,246.99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15,246.99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1,013.67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2"/>
                <w:sz w:val="21"/>
              </w:rPr>
              <w:t>13,711.39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90%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059" w:type="dxa"/>
            <w:vMerge/>
            <w:tcBorders>
              <w:left w:val="single" w:sz="4" w:space="0" w:color="000000"/>
              <w:right w:val="single" w:sz="4" w:space="0" w:color="000000"/>
            </w:tcBorders>
          </w:tcPr>
          <w:p>
            <w:pPr/>
          </w:p>
        </w:tc>
        <w:tc>
          <w:tcPr>
            <w:tcW w:w="1056" w:type="dxa"/>
            <w:vMerge/>
            <w:tcBorders>
              <w:left w:val="single" w:sz="4" w:space="0" w:color="000000"/>
              <w:right w:val="single" w:sz="4" w:space="0" w:color="000000"/>
            </w:tcBorders>
          </w:tcPr>
          <w:p>
            <w:pPr/>
          </w:p>
        </w:tc>
      </w:tr>
      <w:tr>
        <w:trPr>
          <w:trHeight w:val="322"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重庆物流中心建设项目</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16,669.70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16,669.70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820.99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16,669.70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059" w:type="dxa"/>
            <w:vMerge/>
            <w:tcBorders>
              <w:left w:val="single" w:sz="4" w:space="0" w:color="000000"/>
              <w:right w:val="single" w:sz="4" w:space="0" w:color="000000"/>
            </w:tcBorders>
          </w:tcPr>
          <w:p>
            <w:pPr/>
          </w:p>
        </w:tc>
        <w:tc>
          <w:tcPr>
            <w:tcW w:w="1056" w:type="dxa"/>
            <w:vMerge/>
            <w:tcBorders>
              <w:left w:val="single" w:sz="4" w:space="0" w:color="000000"/>
              <w:right w:val="single" w:sz="4" w:space="0" w:color="000000"/>
            </w:tcBorders>
          </w:tcPr>
          <w:p>
            <w:pPr/>
          </w:p>
        </w:tc>
      </w:tr>
      <w:tr>
        <w:trPr>
          <w:trHeight w:val="324"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天津物流中心建设项目</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0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15,800.80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15,800.80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sz w:val="21"/>
              </w:rPr>
              <w:t>510.07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14,252.99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21"/>
                <w:szCs w:val="21"/>
              </w:rPr>
            </w:pPr>
            <w:r>
              <w:rPr>
                <w:rFonts w:ascii="Times New Roman"/>
                <w:sz w:val="21"/>
              </w:rPr>
              <w:t>90%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w w:val="100"/>
                <w:sz w:val="21"/>
              </w:rPr>
              <w:t>-</w:t>
            </w:r>
          </w:p>
        </w:tc>
        <w:tc>
          <w:tcPr>
            <w:tcW w:w="1059" w:type="dxa"/>
            <w:vMerge/>
            <w:tcBorders>
              <w:left w:val="single" w:sz="4" w:space="0" w:color="000000"/>
              <w:right w:val="single" w:sz="4" w:space="0" w:color="000000"/>
            </w:tcBorders>
          </w:tcPr>
          <w:p>
            <w:pPr/>
          </w:p>
        </w:tc>
        <w:tc>
          <w:tcPr>
            <w:tcW w:w="1056" w:type="dxa"/>
            <w:vMerge/>
            <w:tcBorders>
              <w:left w:val="single" w:sz="4" w:space="0" w:color="000000"/>
              <w:right w:val="single" w:sz="4" w:space="0" w:color="000000"/>
            </w:tcBorders>
          </w:tcPr>
          <w:p>
            <w:pPr/>
          </w:p>
        </w:tc>
      </w:tr>
      <w:tr>
        <w:trPr>
          <w:trHeight w:val="322"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徐州物流中心建设项目</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2"/>
                <w:sz w:val="21"/>
              </w:rPr>
              <w:t>11,399.40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2"/>
                <w:sz w:val="21"/>
              </w:rPr>
              <w:t>11,399.40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6,158.29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2"/>
                <w:sz w:val="21"/>
              </w:rPr>
              <w:t>11,399.40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059" w:type="dxa"/>
            <w:vMerge/>
            <w:tcBorders>
              <w:left w:val="single" w:sz="4" w:space="0" w:color="000000"/>
              <w:right w:val="single" w:sz="4" w:space="0" w:color="000000"/>
            </w:tcBorders>
          </w:tcPr>
          <w:p>
            <w:pPr/>
          </w:p>
        </w:tc>
        <w:tc>
          <w:tcPr>
            <w:tcW w:w="1056" w:type="dxa"/>
            <w:vMerge/>
            <w:tcBorders>
              <w:left w:val="single" w:sz="4" w:space="0" w:color="000000"/>
              <w:right w:val="single" w:sz="4" w:space="0" w:color="000000"/>
            </w:tcBorders>
          </w:tcPr>
          <w:p>
            <w:pPr/>
          </w:p>
        </w:tc>
      </w:tr>
      <w:tr>
        <w:trPr>
          <w:trHeight w:val="322"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北京物流中心建设二期项目</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26,720.80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26,720.80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9,095.42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25,282.56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95%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059"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right w:val="single" w:sz="4" w:space="0" w:color="000000"/>
            </w:tcBorders>
          </w:tcPr>
          <w:p>
            <w:pPr/>
          </w:p>
        </w:tc>
      </w:tr>
      <w:tr>
        <w:trPr>
          <w:trHeight w:val="634"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补充流动资金项目</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0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39,000.00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39,000.00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39,000.00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6" w:right="0"/>
              <w:jc w:val="center"/>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37"/>
              <w:ind w:left="220"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1056" w:type="dxa"/>
            <w:vMerge/>
            <w:tcBorders>
              <w:left w:val="single" w:sz="4" w:space="0" w:color="000000"/>
              <w:bottom w:val="single" w:sz="4" w:space="0" w:color="000000"/>
              <w:right w:val="single" w:sz="4" w:space="0" w:color="000000"/>
            </w:tcBorders>
          </w:tcPr>
          <w:p>
            <w:pPr/>
          </w:p>
        </w:tc>
      </w:tr>
      <w:tr>
        <w:trPr>
          <w:trHeight w:val="348" w:hRule="exact"/>
        </w:trPr>
        <w:tc>
          <w:tcPr>
            <w:tcW w:w="2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1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544" w:right="0"/>
              <w:jc w:val="left"/>
              <w:rPr>
                <w:rFonts w:ascii="Times New Roman" w:hAnsi="Times New Roman" w:cs="Times New Roman" w:eastAsia="Times New Roman" w:hint="default"/>
                <w:sz w:val="21"/>
                <w:szCs w:val="21"/>
              </w:rPr>
            </w:pPr>
            <w:r>
              <w:rPr>
                <w:rFonts w:ascii="Times New Roman"/>
                <w:sz w:val="21"/>
              </w:rPr>
              <w:t>--</w:t>
            </w:r>
          </w:p>
        </w:tc>
        <w:tc>
          <w:tcPr>
            <w:tcW w:w="1269" w:type="dxa"/>
            <w:tcBorders>
              <w:top w:val="single" w:sz="4" w:space="0" w:color="000000"/>
              <w:left w:val="single" w:sz="13" w:space="0" w:color="D2D2D2"/>
              <w:bottom w:val="single" w:sz="21" w:space="0" w:color="D2D2D2"/>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280,035.77</w:t>
            </w:r>
          </w:p>
        </w:tc>
        <w:tc>
          <w:tcPr>
            <w:tcW w:w="1265" w:type="dxa"/>
            <w:tcBorders>
              <w:top w:val="single" w:sz="4" w:space="0" w:color="000000"/>
              <w:left w:val="single" w:sz="4" w:space="0" w:color="000000"/>
              <w:bottom w:val="single" w:sz="21" w:space="0" w:color="D2D2D2"/>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280,035.77</w:t>
            </w:r>
          </w:p>
        </w:tc>
        <w:tc>
          <w:tcPr>
            <w:tcW w:w="1056" w:type="dxa"/>
            <w:tcBorders>
              <w:top w:val="single" w:sz="4" w:space="0" w:color="000000"/>
              <w:left w:val="single" w:sz="4" w:space="0" w:color="000000"/>
              <w:bottom w:val="single" w:sz="21" w:space="0" w:color="D2D2D2"/>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31,924.52</w:t>
            </w:r>
          </w:p>
        </w:tc>
        <w:tc>
          <w:tcPr>
            <w:tcW w:w="1190" w:type="dxa"/>
            <w:tcBorders>
              <w:top w:val="single" w:sz="4" w:space="0" w:color="000000"/>
              <w:left w:val="single" w:sz="4" w:space="0" w:color="000000"/>
              <w:bottom w:val="single" w:sz="21" w:space="0" w:color="D2D2D2"/>
              <w:right w:val="single" w:sz="10" w:space="0" w:color="D2D2D2"/>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252,005.41</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59" w:type="dxa"/>
            <w:tcBorders>
              <w:top w:val="single" w:sz="4" w:space="0" w:color="000000"/>
              <w:left w:val="single" w:sz="10" w:space="0" w:color="D2D2D2"/>
              <w:bottom w:val="single" w:sz="21" w:space="0" w:color="D2D2D2"/>
              <w:right w:val="single" w:sz="13" w:space="0" w:color="D2D2D2"/>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2"/>
                <w:sz w:val="21"/>
              </w:rPr>
              <w:t>-11,039.90</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55" w:hRule="exact"/>
        </w:trPr>
        <w:tc>
          <w:tcPr>
            <w:tcW w:w="140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348" w:hRule="exact"/>
        </w:trPr>
        <w:tc>
          <w:tcPr>
            <w:tcW w:w="2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归还银行贷款（如有）</w:t>
            </w:r>
          </w:p>
        </w:tc>
        <w:tc>
          <w:tcPr>
            <w:tcW w:w="1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44" w:right="0"/>
              <w:jc w:val="left"/>
              <w:rPr>
                <w:rFonts w:ascii="Times New Roman" w:hAnsi="Times New Roman" w:cs="Times New Roman" w:eastAsia="Times New Roman" w:hint="default"/>
                <w:sz w:val="21"/>
                <w:szCs w:val="21"/>
              </w:rPr>
            </w:pPr>
            <w:r>
              <w:rPr>
                <w:rFonts w:ascii="Times New Roman"/>
                <w:sz w:val="21"/>
              </w:rPr>
              <w:t>--</w:t>
            </w:r>
          </w:p>
        </w:tc>
        <w:tc>
          <w:tcPr>
            <w:tcW w:w="1269" w:type="dxa"/>
            <w:tcBorders>
              <w:top w:val="single" w:sz="17" w:space="0" w:color="D2D2D2"/>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w w:val="100"/>
                <w:sz w:val="21"/>
              </w:rPr>
              <w:t>-</w:t>
            </w:r>
          </w:p>
        </w:tc>
        <w:tc>
          <w:tcPr>
            <w:tcW w:w="1265"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w w:val="100"/>
                <w:sz w:val="21"/>
              </w:rPr>
              <w:t>-</w:t>
            </w:r>
          </w:p>
        </w:tc>
        <w:tc>
          <w:tcPr>
            <w:tcW w:w="1056"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w w:val="100"/>
                <w:sz w:val="21"/>
              </w:rPr>
              <w:t>-</w:t>
            </w:r>
          </w:p>
        </w:tc>
        <w:tc>
          <w:tcPr>
            <w:tcW w:w="1190"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44"/>
              <w:ind w:right="18"/>
              <w:jc w:val="right"/>
              <w:rPr>
                <w:rFonts w:ascii="Times New Roman" w:hAnsi="Times New Roman" w:cs="Times New Roman" w:eastAsia="Times New Roman" w:hint="default"/>
                <w:sz w:val="21"/>
                <w:szCs w:val="21"/>
              </w:rPr>
            </w:pPr>
            <w:r>
              <w:rPr>
                <w:rFonts w:ascii="Times New Roman"/>
                <w:w w:val="100"/>
                <w:sz w:val="21"/>
              </w:rPr>
              <w:t>-</w:t>
            </w:r>
          </w:p>
        </w:tc>
        <w:tc>
          <w:tcPr>
            <w:tcW w:w="1064" w:type="dxa"/>
            <w:tcBorders>
              <w:top w:val="single" w:sz="17" w:space="0" w:color="D2D2D2"/>
              <w:left w:val="single" w:sz="4" w:space="0" w:color="000000"/>
              <w:bottom w:val="single" w:sz="4" w:space="0" w:color="000000"/>
              <w:right w:val="single" w:sz="12" w:space="0" w:color="D2D2D2"/>
            </w:tcBorders>
          </w:tcPr>
          <w:p>
            <w:pPr>
              <w:pStyle w:val="TableParagraph"/>
              <w:spacing w:line="240" w:lineRule="auto" w:before="44"/>
              <w:ind w:right="14"/>
              <w:jc w:val="right"/>
              <w:rPr>
                <w:rFonts w:ascii="Times New Roman" w:hAnsi="Times New Roman" w:cs="Times New Roman" w:eastAsia="Times New Roman" w:hint="default"/>
                <w:sz w:val="21"/>
                <w:szCs w:val="21"/>
              </w:rPr>
            </w:pPr>
            <w:r>
              <w:rPr>
                <w:rFonts w:ascii="Times New Roman"/>
                <w:w w:val="100"/>
                <w:sz w:val="21"/>
              </w:rPr>
              <w:t>-</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2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22" w:hRule="exact"/>
        </w:trPr>
        <w:tc>
          <w:tcPr>
            <w:tcW w:w="2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补充流动资金（如有）</w:t>
            </w:r>
          </w:p>
        </w:tc>
        <w:tc>
          <w:tcPr>
            <w:tcW w:w="1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544" w:right="0"/>
              <w:jc w:val="left"/>
              <w:rPr>
                <w:rFonts w:ascii="Times New Roman" w:hAnsi="Times New Roman" w:cs="Times New Roman" w:eastAsia="Times New Roman" w:hint="default"/>
                <w:sz w:val="21"/>
                <w:szCs w:val="21"/>
              </w:rPr>
            </w:pPr>
            <w:r>
              <w:rPr>
                <w:rFonts w:ascii="Times New Roman"/>
                <w:sz w:val="21"/>
              </w:rPr>
              <w:t>--</w:t>
            </w:r>
          </w:p>
        </w:tc>
        <w:tc>
          <w:tcPr>
            <w:tcW w:w="12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19,964.23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19,964.23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19,964.23</w:t>
            </w:r>
          </w:p>
        </w:tc>
        <w:tc>
          <w:tcPr>
            <w:tcW w:w="1064"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34"/>
              <w:ind w:right="11"/>
              <w:jc w:val="right"/>
              <w:rPr>
                <w:rFonts w:ascii="Times New Roman" w:hAnsi="Times New Roman" w:cs="Times New Roman" w:eastAsia="Times New Roman" w:hint="default"/>
                <w:sz w:val="21"/>
                <w:szCs w:val="21"/>
              </w:rPr>
            </w:pPr>
            <w:r>
              <w:rPr>
                <w:rFonts w:ascii="Times New Roman"/>
                <w:sz w:val="21"/>
              </w:rPr>
              <w:t>100%</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24" w:hRule="exact"/>
        </w:trPr>
        <w:tc>
          <w:tcPr>
            <w:tcW w:w="2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1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544" w:right="0"/>
              <w:jc w:val="left"/>
              <w:rPr>
                <w:rFonts w:ascii="Times New Roman" w:hAnsi="Times New Roman" w:cs="Times New Roman" w:eastAsia="Times New Roman" w:hint="default"/>
                <w:sz w:val="21"/>
                <w:szCs w:val="21"/>
              </w:rPr>
            </w:pPr>
            <w:r>
              <w:rPr>
                <w:rFonts w:ascii="Times New Roman"/>
                <w:sz w:val="21"/>
              </w:rPr>
              <w:t>--</w:t>
            </w:r>
          </w:p>
        </w:tc>
        <w:tc>
          <w:tcPr>
            <w:tcW w:w="12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19,964.23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19,964.23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19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19,964.23</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5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w w:val="100"/>
                <w:sz w:val="21"/>
              </w:rPr>
              <w:t>-</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67" w:footer="980" w:top="1060" w:bottom="1160" w:left="1300" w:right="0"/>
        </w:sectPr>
      </w:pPr>
    </w:p>
    <w:p>
      <w:pPr>
        <w:spacing w:line="240" w:lineRule="auto" w:before="2"/>
        <w:rPr>
          <w:rFonts w:ascii="Times New Roman" w:hAnsi="Times New Roman" w:cs="Times New Roman" w:eastAsia="Times New Roman" w:hint="default"/>
          <w:sz w:val="3"/>
          <w:szCs w:val="3"/>
        </w:rPr>
      </w:pPr>
      <w:r>
        <w:rPr/>
        <w:pict>
          <v:shape style="position:absolute;margin-left:198.023041pt;margin-top:114.905006pt;width:572pt;height:20.85pt;mso-position-horizontal-relative:page;mso-position-vertical-relative:page;z-index:-1597768" type="#_x0000_t202" filled="false" stroked="false">
            <v:textbox inset="0,0,0,0">
              <w:txbxContent>
                <w:p>
                  <w:pPr>
                    <w:pStyle w:val="BodyText"/>
                    <w:spacing w:line="211" w:lineRule="exact" w:before="0"/>
                    <w:ind w:left="0" w:right="0"/>
                    <w:jc w:val="left"/>
                  </w:pPr>
                  <w:r>
                    <w:rPr>
                      <w:w w:val="100"/>
                    </w:rPr>
                    <w:t>）</w:t>
                  </w:r>
                </w:p>
              </w:txbxContent>
            </v:textbox>
            <w10:wrap type="none"/>
          </v:shape>
        </w:pict>
      </w:r>
      <w:r>
        <w:rPr/>
        <w:pict>
          <v:group style="position:absolute;margin-left:207.5pt;margin-top:104.540009pt;width:562.550pt;height:31.2pt;mso-position-horizontal-relative:page;mso-position-vertical-relative:page;z-index:-1597744" coordorigin="4150,2091" coordsize="11251,624">
            <v:group style="position:absolute;left:4150;top:2091;width:11251;height:312" coordorigin="4150,2091" coordsize="11251,312">
              <v:shape style="position:absolute;left:4150;top:2091;width:11251;height:312" coordorigin="4150,2091" coordsize="11251,312" path="m4150,2403l15400,2403,15400,2091,4150,2091,4150,2403xe" filled="true" fillcolor="#ffffff" stroked="false">
                <v:path arrowok="t"/>
                <v:fill type="solid"/>
              </v:shape>
            </v:group>
            <v:group style="position:absolute;left:4150;top:2403;width:11251;height:312" coordorigin="4150,2403" coordsize="11251,312">
              <v:shape style="position:absolute;left:4150;top:2403;width:11251;height:312" coordorigin="4150,2403" coordsize="11251,312" path="m4150,2715l15400,2715,15400,2403,4150,2403,4150,2715xe" filled="true" fillcolor="#ffffff" stroked="false">
                <v:path arrowok="t"/>
                <v:fill type="solid"/>
              </v:shape>
            </v:group>
            <w10:wrap type="none"/>
          </v:group>
        </w:pict>
      </w:r>
      <w:r>
        <w:rPr/>
        <w:pict>
          <v:shape style="position:absolute;margin-left:706.919983pt;margin-top:518.320007pt;width:135pt;height:77pt;mso-position-horizontal-relative:page;mso-position-vertical-relative:page;z-index:-1597720" type="#_x0000_t75" stroked="false">
            <v:imagedata r:id="rId10" o:title=""/>
          </v:shape>
        </w:pict>
      </w:r>
    </w:p>
    <w:tbl>
      <w:tblPr>
        <w:tblW w:w="0" w:type="auto"/>
        <w:jc w:val="left"/>
        <w:tblInd w:w="118" w:type="dxa"/>
        <w:tblLayout w:type="fixed"/>
        <w:tblCellMar>
          <w:top w:w="0" w:type="dxa"/>
          <w:left w:w="0" w:type="dxa"/>
          <w:bottom w:w="0" w:type="dxa"/>
          <w:right w:w="0" w:type="dxa"/>
        </w:tblCellMar>
        <w:tblLook w:val="01E0"/>
      </w:tblPr>
      <w:tblGrid>
        <w:gridCol w:w="2698"/>
        <w:gridCol w:w="1228"/>
        <w:gridCol w:w="1276"/>
        <w:gridCol w:w="1265"/>
        <w:gridCol w:w="1056"/>
        <w:gridCol w:w="1190"/>
        <w:gridCol w:w="1061"/>
        <w:gridCol w:w="1058"/>
        <w:gridCol w:w="1059"/>
        <w:gridCol w:w="1058"/>
        <w:gridCol w:w="1056"/>
      </w:tblGrid>
      <w:tr>
        <w:trPr>
          <w:trHeight w:val="339" w:hRule="exact"/>
        </w:trPr>
        <w:tc>
          <w:tcPr>
            <w:tcW w:w="269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2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0" w:right="0"/>
              <w:jc w:val="center"/>
              <w:rPr>
                <w:rFonts w:ascii="Times New Roman" w:hAnsi="Times New Roman" w:cs="Times New Roman" w:eastAsia="Times New Roman" w:hint="default"/>
                <w:sz w:val="21"/>
                <w:szCs w:val="21"/>
              </w:rPr>
            </w:pPr>
            <w:r>
              <w:rPr>
                <w:rFonts w:ascii="Times New Roman"/>
                <w:sz w:val="21"/>
              </w:rPr>
              <w:t>--</w:t>
            </w:r>
          </w:p>
        </w:tc>
        <w:tc>
          <w:tcPr>
            <w:tcW w:w="1276" w:type="dxa"/>
            <w:tcBorders>
              <w:top w:val="single" w:sz="15" w:space="0" w:color="000000"/>
              <w:left w:val="single" w:sz="13" w:space="0" w:color="D2D2D2"/>
              <w:bottom w:val="single" w:sz="4" w:space="0" w:color="000000"/>
              <w:right w:val="single" w:sz="4" w:space="0" w:color="000000"/>
            </w:tcBorders>
          </w:tcPr>
          <w:p>
            <w:pPr>
              <w:pStyle w:val="TableParagraph"/>
              <w:spacing w:line="240" w:lineRule="auto" w:before="37"/>
              <w:ind w:left="285" w:right="0"/>
              <w:jc w:val="left"/>
              <w:rPr>
                <w:rFonts w:ascii="Times New Roman" w:hAnsi="Times New Roman" w:cs="Times New Roman" w:eastAsia="Times New Roman" w:hint="default"/>
                <w:sz w:val="21"/>
                <w:szCs w:val="21"/>
              </w:rPr>
            </w:pPr>
            <w:r>
              <w:rPr>
                <w:rFonts w:ascii="Times New Roman"/>
                <w:sz w:val="21"/>
              </w:rPr>
              <w:t>300,000.00</w:t>
            </w:r>
          </w:p>
        </w:tc>
        <w:tc>
          <w:tcPr>
            <w:tcW w:w="12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7"/>
              <w:ind w:left="285" w:right="0"/>
              <w:jc w:val="left"/>
              <w:rPr>
                <w:rFonts w:ascii="Times New Roman" w:hAnsi="Times New Roman" w:cs="Times New Roman" w:eastAsia="Times New Roman" w:hint="default"/>
                <w:sz w:val="21"/>
                <w:szCs w:val="21"/>
              </w:rPr>
            </w:pPr>
            <w:r>
              <w:rPr>
                <w:rFonts w:ascii="Times New Roman"/>
                <w:sz w:val="21"/>
              </w:rPr>
              <w:t>300,000.00</w:t>
            </w:r>
          </w:p>
        </w:tc>
        <w:tc>
          <w:tcPr>
            <w:tcW w:w="10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7"/>
              <w:ind w:left="182" w:right="0"/>
              <w:jc w:val="left"/>
              <w:rPr>
                <w:rFonts w:ascii="Times New Roman" w:hAnsi="Times New Roman" w:cs="Times New Roman" w:eastAsia="Times New Roman" w:hint="default"/>
                <w:sz w:val="21"/>
                <w:szCs w:val="21"/>
              </w:rPr>
            </w:pPr>
            <w:r>
              <w:rPr>
                <w:rFonts w:ascii="Times New Roman"/>
                <w:sz w:val="21"/>
              </w:rPr>
              <w:t>31,924.52</w:t>
            </w:r>
          </w:p>
        </w:tc>
        <w:tc>
          <w:tcPr>
            <w:tcW w:w="11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7"/>
              <w:ind w:left="213" w:right="0"/>
              <w:jc w:val="left"/>
              <w:rPr>
                <w:rFonts w:ascii="Times New Roman" w:hAnsi="Times New Roman" w:cs="Times New Roman" w:eastAsia="Times New Roman" w:hint="default"/>
                <w:sz w:val="21"/>
                <w:szCs w:val="21"/>
              </w:rPr>
            </w:pPr>
            <w:r>
              <w:rPr>
                <w:rFonts w:ascii="Times New Roman"/>
                <w:sz w:val="21"/>
              </w:rPr>
              <w:t>271,969.64</w:t>
            </w:r>
          </w:p>
        </w:tc>
        <w:tc>
          <w:tcPr>
            <w:tcW w:w="106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5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7"/>
              <w:ind w:left="122" w:right="0"/>
              <w:jc w:val="left"/>
              <w:rPr>
                <w:rFonts w:ascii="Times New Roman" w:hAnsi="Times New Roman" w:cs="Times New Roman" w:eastAsia="Times New Roman" w:hint="default"/>
                <w:sz w:val="21"/>
                <w:szCs w:val="21"/>
              </w:rPr>
            </w:pPr>
            <w:r>
              <w:rPr>
                <w:rFonts w:ascii="Times New Roman"/>
                <w:sz w:val="21"/>
              </w:rPr>
              <w:t>-11,039.90</w:t>
            </w:r>
          </w:p>
        </w:tc>
        <w:tc>
          <w:tcPr>
            <w:tcW w:w="105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right="19"/>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5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473" w:hRule="exact"/>
        </w:trPr>
        <w:tc>
          <w:tcPr>
            <w:tcW w:w="2698" w:type="dxa"/>
            <w:tcBorders>
              <w:top w:val="single" w:sz="4" w:space="0" w:color="000000"/>
              <w:left w:val="single" w:sz="4" w:space="0" w:color="000000"/>
              <w:bottom w:val="nil" w:sz="6" w:space="0" w:color="auto"/>
              <w:right w:val="single" w:sz="13" w:space="0" w:color="FFFFFF"/>
            </w:tcBorders>
            <w:shd w:val="clear" w:color="auto" w:fill="D2D2D2"/>
          </w:tcPr>
          <w:p>
            <w:pPr/>
          </w:p>
        </w:tc>
        <w:tc>
          <w:tcPr>
            <w:tcW w:w="11308" w:type="dxa"/>
            <w:gridSpan w:val="10"/>
            <w:vMerge w:val="restart"/>
            <w:tcBorders>
              <w:top w:val="single" w:sz="4" w:space="0" w:color="000000"/>
              <w:left w:val="single" w:sz="13" w:space="0" w:color="FFFFFF"/>
              <w:right w:val="single" w:sz="4" w:space="0" w:color="000000"/>
            </w:tcBorders>
          </w:tcPr>
          <w:p>
            <w:pPr>
              <w:pStyle w:val="TableParagraph"/>
              <w:spacing w:line="262" w:lineRule="exact"/>
              <w:ind w:left="11" w:right="0"/>
              <w:jc w:val="both"/>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日止，本公司</w:t>
            </w:r>
            <w:r>
              <w:rPr>
                <w:rFonts w:ascii="宋体" w:hAnsi="宋体" w:cs="宋体" w:eastAsia="宋体" w:hint="default"/>
                <w:spacing w:val="-53"/>
                <w:sz w:val="21"/>
                <w:szCs w:val="21"/>
              </w:rPr>
              <w:t> </w:t>
            </w:r>
            <w:r>
              <w:rPr>
                <w:rFonts w:ascii="宋体" w:hAnsi="宋体" w:cs="宋体" w:eastAsia="宋体" w:hint="default"/>
                <w:sz w:val="21"/>
                <w:szCs w:val="21"/>
              </w:rPr>
              <w:t>250</w:t>
            </w:r>
            <w:r>
              <w:rPr>
                <w:rFonts w:ascii="宋体" w:hAnsi="宋体" w:cs="宋体" w:eastAsia="宋体" w:hint="default"/>
                <w:spacing w:val="-53"/>
                <w:sz w:val="21"/>
                <w:szCs w:val="21"/>
              </w:rPr>
              <w:t> </w:t>
            </w:r>
            <w:r>
              <w:rPr>
                <w:rFonts w:ascii="宋体" w:hAnsi="宋体" w:cs="宋体" w:eastAsia="宋体" w:hint="default"/>
                <w:sz w:val="21"/>
                <w:szCs w:val="21"/>
              </w:rPr>
              <w:t>连锁店发展项目已开设</w:t>
            </w:r>
            <w:r>
              <w:rPr>
                <w:rFonts w:ascii="宋体" w:hAnsi="宋体" w:cs="宋体" w:eastAsia="宋体" w:hint="default"/>
                <w:spacing w:val="-53"/>
                <w:sz w:val="21"/>
                <w:szCs w:val="21"/>
              </w:rPr>
              <w:t> </w:t>
            </w:r>
            <w:r>
              <w:rPr>
                <w:rFonts w:ascii="宋体" w:hAnsi="宋体" w:cs="宋体" w:eastAsia="宋体" w:hint="default"/>
                <w:sz w:val="21"/>
                <w:szCs w:val="21"/>
              </w:rPr>
              <w:t>244</w:t>
            </w:r>
            <w:r>
              <w:rPr>
                <w:rFonts w:ascii="宋体" w:hAnsi="宋体" w:cs="宋体" w:eastAsia="宋体" w:hint="default"/>
                <w:spacing w:val="-55"/>
                <w:sz w:val="21"/>
                <w:szCs w:val="21"/>
              </w:rPr>
              <w:t> </w:t>
            </w:r>
            <w:r>
              <w:rPr>
                <w:rFonts w:ascii="宋体" w:hAnsi="宋体" w:cs="宋体" w:eastAsia="宋体" w:hint="default"/>
                <w:sz w:val="21"/>
                <w:szCs w:val="21"/>
              </w:rPr>
              <w:t>家连锁店，其中</w:t>
            </w:r>
            <w:r>
              <w:rPr>
                <w:rFonts w:ascii="宋体" w:hAnsi="宋体" w:cs="宋体" w:eastAsia="宋体" w:hint="default"/>
                <w:spacing w:val="-53"/>
                <w:sz w:val="21"/>
                <w:szCs w:val="21"/>
              </w:rPr>
              <w:t> </w:t>
            </w:r>
            <w:r>
              <w:rPr>
                <w:rFonts w:ascii="宋体" w:hAnsi="宋体" w:cs="宋体" w:eastAsia="宋体" w:hint="default"/>
                <w:sz w:val="21"/>
                <w:szCs w:val="21"/>
              </w:rPr>
              <w:t>242</w:t>
            </w:r>
            <w:r>
              <w:rPr>
                <w:rFonts w:ascii="宋体" w:hAnsi="宋体" w:cs="宋体" w:eastAsia="宋体" w:hint="default"/>
                <w:spacing w:val="-55"/>
                <w:sz w:val="21"/>
                <w:szCs w:val="21"/>
              </w:rPr>
              <w:t> </w:t>
            </w:r>
            <w:r>
              <w:rPr>
                <w:rFonts w:ascii="宋体" w:hAnsi="宋体" w:cs="宋体" w:eastAsia="宋体" w:hint="default"/>
                <w:sz w:val="21"/>
                <w:szCs w:val="21"/>
              </w:rPr>
              <w:t>家店面已使用募集资金投入，剩余</w:t>
            </w:r>
          </w:p>
          <w:p>
            <w:pPr>
              <w:pStyle w:val="TableParagraph"/>
              <w:spacing w:line="273" w:lineRule="auto" w:before="37"/>
              <w:ind w:left="11" w:right="16"/>
              <w:jc w:val="both"/>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pacing w:val="-3"/>
                <w:sz w:val="21"/>
                <w:szCs w:val="21"/>
              </w:rPr>
              <w:t>家店面正在办理投入手续。由于符合公司连锁发展标准的优质店面的稀缺性，且商业租金价格呈上涨趋势，给公司连锁发</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展的店面选址工作带来了一定压力，此外报告期内公司加强新开店的投入产出考核，适当控制新开店数量。公司将进一步加</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大开发力度，剩余</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家店面将在</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年开设投入完毕。</w:t>
            </w:r>
          </w:p>
          <w:p>
            <w:pPr>
              <w:pStyle w:val="TableParagraph"/>
              <w:spacing w:line="240" w:lineRule="auto" w:before="7"/>
              <w:ind w:left="11" w:right="0"/>
              <w:jc w:val="both"/>
              <w:rPr>
                <w:rFonts w:ascii="宋体" w:hAnsi="宋体" w:cs="宋体" w:eastAsia="宋体" w:hint="default"/>
                <w:sz w:val="21"/>
                <w:szCs w:val="21"/>
              </w:rPr>
            </w:pPr>
            <w:r>
              <w:rPr>
                <w:rFonts w:ascii="宋体" w:hAnsi="宋体" w:cs="宋体" w:eastAsia="宋体" w:hint="default"/>
                <w:spacing w:val="-2"/>
                <w:sz w:val="21"/>
                <w:szCs w:val="21"/>
              </w:rPr>
              <w:t>另无锡物流、北京物流二期、天津物流项目已于</w:t>
            </w:r>
            <w:r>
              <w:rPr>
                <w:rFonts w:ascii="宋体" w:hAnsi="宋体" w:cs="宋体" w:eastAsia="宋体" w:hint="default"/>
                <w:sz w:val="21"/>
                <w:szCs w:val="21"/>
              </w:rPr>
              <w:t> </w:t>
            </w:r>
            <w:r>
              <w:rPr>
                <w:rFonts w:ascii="宋体" w:hAnsi="宋体" w:cs="宋体" w:eastAsia="宋体" w:hint="default"/>
                <w:spacing w:val="-2"/>
                <w:sz w:val="21"/>
                <w:szCs w:val="21"/>
              </w:rPr>
              <w:t>2012</w:t>
            </w:r>
            <w:r>
              <w:rPr>
                <w:rFonts w:ascii="宋体" w:hAnsi="宋体" w:cs="宋体" w:eastAsia="宋体" w:hint="default"/>
                <w:spacing w:val="-10"/>
                <w:sz w:val="21"/>
                <w:szCs w:val="21"/>
              </w:rPr>
              <w:t> </w:t>
            </w:r>
            <w:r>
              <w:rPr>
                <w:rFonts w:ascii="宋体" w:hAnsi="宋体" w:cs="宋体" w:eastAsia="宋体" w:hint="default"/>
                <w:spacing w:val="-2"/>
                <w:sz w:val="21"/>
                <w:szCs w:val="21"/>
              </w:rPr>
              <w:t>年陆续投入使用，剩余募集资金款项为待支付的工程尾款及质保款。</w:t>
            </w:r>
          </w:p>
        </w:tc>
      </w:tr>
      <w:tr>
        <w:trPr>
          <w:trHeight w:val="624" w:hRule="exact"/>
        </w:trPr>
        <w:tc>
          <w:tcPr>
            <w:tcW w:w="2698"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73" w:lineRule="auto"/>
              <w:ind w:left="11" w:right="139"/>
              <w:jc w:val="left"/>
              <w:rPr>
                <w:rFonts w:ascii="宋体" w:hAnsi="宋体" w:cs="宋体" w:eastAsia="宋体" w:hint="default"/>
                <w:sz w:val="21"/>
                <w:szCs w:val="21"/>
              </w:rPr>
            </w:pPr>
            <w:r>
              <w:rPr>
                <w:rFonts w:ascii="宋体" w:hAnsi="宋体" w:cs="宋体" w:eastAsia="宋体" w:hint="default"/>
                <w:sz w:val="21"/>
                <w:szCs w:val="21"/>
              </w:rPr>
              <w:t>未达到计划进度或预计收益</w:t>
            </w:r>
            <w:r>
              <w:rPr>
                <w:rFonts w:ascii="宋体" w:hAnsi="宋体" w:cs="宋体" w:eastAsia="宋体" w:hint="default"/>
                <w:w w:val="100"/>
                <w:sz w:val="21"/>
                <w:szCs w:val="21"/>
              </w:rPr>
              <w:t> </w:t>
            </w:r>
            <w:r>
              <w:rPr>
                <w:rFonts w:ascii="宋体" w:hAnsi="宋体" w:cs="宋体" w:eastAsia="宋体" w:hint="default"/>
                <w:sz w:val="21"/>
                <w:szCs w:val="21"/>
              </w:rPr>
              <w:t>的情况和原因（分具体项目</w:t>
            </w:r>
          </w:p>
        </w:tc>
        <w:tc>
          <w:tcPr>
            <w:tcW w:w="11308" w:type="dxa"/>
            <w:gridSpan w:val="10"/>
            <w:vMerge/>
            <w:tcBorders>
              <w:left w:val="single" w:sz="13" w:space="0" w:color="FFFFFF"/>
              <w:right w:val="single" w:sz="4" w:space="0" w:color="000000"/>
            </w:tcBorders>
          </w:tcPr>
          <w:p>
            <w:pPr/>
          </w:p>
        </w:tc>
      </w:tr>
      <w:tr>
        <w:trPr>
          <w:trHeight w:val="473" w:hRule="exact"/>
        </w:trPr>
        <w:tc>
          <w:tcPr>
            <w:tcW w:w="2698" w:type="dxa"/>
            <w:tcBorders>
              <w:top w:val="nil" w:sz="6" w:space="0" w:color="auto"/>
              <w:left w:val="single" w:sz="4" w:space="0" w:color="000000"/>
              <w:bottom w:val="single" w:sz="4" w:space="0" w:color="000000"/>
              <w:right w:val="single" w:sz="13" w:space="0" w:color="FFFFFF"/>
            </w:tcBorders>
            <w:shd w:val="clear" w:color="auto" w:fill="D2D2D2"/>
          </w:tcPr>
          <w:p>
            <w:pPr/>
          </w:p>
        </w:tc>
        <w:tc>
          <w:tcPr>
            <w:tcW w:w="11308" w:type="dxa"/>
            <w:gridSpan w:val="10"/>
            <w:vMerge/>
            <w:tcBorders>
              <w:left w:val="single" w:sz="13" w:space="0" w:color="FFFFFF"/>
              <w:bottom w:val="single" w:sz="4" w:space="0" w:color="000000"/>
              <w:right w:val="single" w:sz="4" w:space="0" w:color="000000"/>
            </w:tcBorders>
          </w:tcPr>
          <w:p>
            <w:pPr/>
          </w:p>
        </w:tc>
      </w:tr>
      <w:tr>
        <w:trPr>
          <w:trHeight w:val="747"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5"/>
              <w:ind w:left="11" w:right="151"/>
              <w:jc w:val="left"/>
              <w:rPr>
                <w:rFonts w:ascii="宋体" w:hAnsi="宋体" w:cs="宋体" w:eastAsia="宋体" w:hint="default"/>
                <w:sz w:val="21"/>
                <w:szCs w:val="21"/>
              </w:rPr>
            </w:pPr>
            <w:r>
              <w:rPr>
                <w:rFonts w:ascii="宋体" w:hAnsi="宋体" w:cs="宋体" w:eastAsia="宋体" w:hint="default"/>
                <w:spacing w:val="-2"/>
                <w:sz w:val="21"/>
                <w:szCs w:val="21"/>
              </w:rPr>
              <w:t>项目可行性发生重大变化的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情况说明</w:t>
            </w:r>
          </w:p>
        </w:tc>
        <w:tc>
          <w:tcPr>
            <w:tcW w:w="1130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61" w:hRule="exact"/>
        </w:trPr>
        <w:tc>
          <w:tcPr>
            <w:tcW w:w="26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08" w:type="dxa"/>
            <w:gridSpan w:val="10"/>
            <w:vMerge w:val="restart"/>
            <w:tcBorders>
              <w:top w:val="single" w:sz="4" w:space="0" w:color="000000"/>
              <w:left w:val="single" w:sz="10" w:space="0" w:color="D2D2D2"/>
              <w:right w:val="single" w:sz="4" w:space="0" w:color="000000"/>
            </w:tcBorders>
          </w:tcPr>
          <w:p>
            <w:pPr>
              <w:pStyle w:val="TableParagraph"/>
              <w:spacing w:line="273" w:lineRule="auto"/>
              <w:ind w:left="16" w:right="33"/>
              <w:jc w:val="left"/>
              <w:rPr>
                <w:rFonts w:ascii="宋体" w:hAnsi="宋体" w:cs="宋体" w:eastAsia="宋体" w:hint="default"/>
                <w:sz w:val="21"/>
                <w:szCs w:val="21"/>
              </w:rPr>
            </w:pPr>
            <w:r>
              <w:rPr>
                <w:rFonts w:ascii="宋体" w:hAnsi="宋体" w:cs="宋体" w:eastAsia="宋体" w:hint="default"/>
                <w:spacing w:val="-1"/>
                <w:w w:val="100"/>
                <w:sz w:val="21"/>
                <w:szCs w:val="21"/>
              </w:rPr>
              <w:t>经公司</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2009</w:t>
            </w:r>
            <w:r>
              <w:rPr>
                <w:rFonts w:ascii="宋体" w:hAnsi="宋体" w:cs="宋体" w:eastAsia="宋体" w:hint="default"/>
                <w:spacing w:val="-49"/>
                <w:w w:val="100"/>
                <w:sz w:val="21"/>
                <w:szCs w:val="21"/>
              </w:rPr>
              <w:t> </w:t>
            </w:r>
            <w:r>
              <w:rPr>
                <w:rFonts w:ascii="宋体" w:hAnsi="宋体" w:cs="宋体" w:eastAsia="宋体" w:hint="default"/>
                <w:spacing w:val="-2"/>
                <w:w w:val="100"/>
                <w:sz w:val="21"/>
                <w:szCs w:val="21"/>
              </w:rPr>
              <w:t>年第二次临时股东大会审议通过的《关于公司</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2009</w:t>
            </w:r>
            <w:r>
              <w:rPr>
                <w:rFonts w:ascii="宋体" w:hAnsi="宋体" w:cs="宋体" w:eastAsia="宋体" w:hint="default"/>
                <w:spacing w:val="-49"/>
                <w:w w:val="100"/>
                <w:sz w:val="21"/>
                <w:szCs w:val="21"/>
              </w:rPr>
              <w:t> </w:t>
            </w:r>
            <w:r>
              <w:rPr>
                <w:rFonts w:ascii="宋体" w:hAnsi="宋体" w:cs="宋体" w:eastAsia="宋体" w:hint="default"/>
                <w:spacing w:val="-6"/>
                <w:w w:val="100"/>
                <w:sz w:val="21"/>
                <w:szCs w:val="21"/>
              </w:rPr>
              <w:t>年非公开发行股票方案的议案》，本次非公开发行股票实际</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募集资金超过募集资金项目计划使用募集资金投入的部分，将用于补充公司营运资金，不足部分将由公司自筹解决。公司</w:t>
            </w:r>
            <w:r>
              <w:rPr>
                <w:rFonts w:ascii="宋体" w:hAnsi="宋体" w:cs="宋体" w:eastAsia="宋体" w:hint="default"/>
                <w:w w:val="100"/>
                <w:sz w:val="21"/>
                <w:szCs w:val="21"/>
              </w:rPr>
              <w:t> </w:t>
            </w: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年非公开发行募集资金超过项目计划使用募集资金</w:t>
            </w:r>
            <w:r>
              <w:rPr>
                <w:rFonts w:ascii="宋体" w:hAnsi="宋体" w:cs="宋体" w:eastAsia="宋体" w:hint="default"/>
                <w:spacing w:val="-54"/>
                <w:sz w:val="21"/>
                <w:szCs w:val="21"/>
              </w:rPr>
              <w:t> </w:t>
            </w:r>
            <w:r>
              <w:rPr>
                <w:rFonts w:ascii="宋体" w:hAnsi="宋体" w:cs="宋体" w:eastAsia="宋体" w:hint="default"/>
                <w:sz w:val="21"/>
                <w:szCs w:val="21"/>
              </w:rPr>
              <w:t>199,642,295.45</w:t>
            </w:r>
            <w:r>
              <w:rPr>
                <w:rFonts w:ascii="宋体" w:hAnsi="宋体" w:cs="宋体" w:eastAsia="宋体" w:hint="default"/>
                <w:spacing w:val="-55"/>
                <w:sz w:val="21"/>
                <w:szCs w:val="21"/>
              </w:rPr>
              <w:t> </w:t>
            </w:r>
            <w:r>
              <w:rPr>
                <w:rFonts w:ascii="宋体" w:hAnsi="宋体" w:cs="宋体" w:eastAsia="宋体" w:hint="default"/>
                <w:sz w:val="21"/>
                <w:szCs w:val="21"/>
              </w:rPr>
              <w:t>元，已于</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年补充公司的营运资金。</w:t>
            </w:r>
          </w:p>
        </w:tc>
      </w:tr>
      <w:tr>
        <w:trPr>
          <w:trHeight w:val="624" w:hRule="exact"/>
        </w:trPr>
        <w:tc>
          <w:tcPr>
            <w:tcW w:w="26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11" w:right="19"/>
              <w:jc w:val="left"/>
              <w:rPr>
                <w:rFonts w:ascii="宋体" w:hAnsi="宋体" w:cs="宋体" w:eastAsia="宋体" w:hint="default"/>
                <w:sz w:val="21"/>
                <w:szCs w:val="21"/>
              </w:rPr>
            </w:pPr>
            <w:r>
              <w:rPr>
                <w:rFonts w:ascii="宋体" w:hAnsi="宋体" w:cs="宋体" w:eastAsia="宋体" w:hint="default"/>
                <w:spacing w:val="-8"/>
                <w:sz w:val="21"/>
                <w:szCs w:val="21"/>
              </w:rPr>
              <w:t>超募资金的金额、用途及使用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进展情况</w:t>
            </w:r>
          </w:p>
        </w:tc>
        <w:tc>
          <w:tcPr>
            <w:tcW w:w="11308" w:type="dxa"/>
            <w:gridSpan w:val="10"/>
            <w:vMerge/>
            <w:tcBorders>
              <w:left w:val="single" w:sz="10" w:space="0" w:color="D2D2D2"/>
              <w:right w:val="single" w:sz="4" w:space="0" w:color="000000"/>
            </w:tcBorders>
          </w:tcPr>
          <w:p>
            <w:pPr/>
          </w:p>
        </w:tc>
      </w:tr>
      <w:tr>
        <w:trPr>
          <w:trHeight w:val="161" w:hRule="exact"/>
        </w:trPr>
        <w:tc>
          <w:tcPr>
            <w:tcW w:w="26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08" w:type="dxa"/>
            <w:gridSpan w:val="10"/>
            <w:vMerge/>
            <w:tcBorders>
              <w:left w:val="single" w:sz="10" w:space="0" w:color="D2D2D2"/>
              <w:bottom w:val="single" w:sz="4" w:space="0" w:color="000000"/>
              <w:right w:val="single" w:sz="4" w:space="0" w:color="000000"/>
            </w:tcBorders>
          </w:tcPr>
          <w:p>
            <w:pPr/>
          </w:p>
        </w:tc>
      </w:tr>
      <w:tr>
        <w:trPr>
          <w:trHeight w:val="473" w:hRule="exact"/>
        </w:trPr>
        <w:tc>
          <w:tcPr>
            <w:tcW w:w="26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08" w:type="dxa"/>
            <w:gridSpan w:val="10"/>
            <w:vMerge w:val="restart"/>
            <w:tcBorders>
              <w:top w:val="single" w:sz="4" w:space="0" w:color="000000"/>
              <w:left w:val="single" w:sz="10" w:space="0" w:color="D2D2D2"/>
              <w:right w:val="single" w:sz="4" w:space="0" w:color="000000"/>
            </w:tcBorders>
          </w:tcPr>
          <w:p>
            <w:pPr>
              <w:pStyle w:val="TableParagraph"/>
              <w:spacing w:line="262" w:lineRule="exact"/>
              <w:ind w:left="16" w:right="0"/>
              <w:jc w:val="both"/>
              <w:rPr>
                <w:rFonts w:ascii="宋体" w:hAnsi="宋体" w:cs="宋体" w:eastAsia="宋体" w:hint="default"/>
                <w:sz w:val="21"/>
                <w:szCs w:val="21"/>
              </w:rPr>
            </w:pPr>
            <w:r>
              <w:rPr>
                <w:rFonts w:ascii="宋体" w:hAnsi="宋体" w:cs="宋体" w:eastAsia="宋体" w:hint="default"/>
                <w:spacing w:val="-4"/>
                <w:sz w:val="21"/>
                <w:szCs w:val="21"/>
              </w:rPr>
              <w:t>为提高募集资金的使用效率，加快连锁店发展项目的实施进度，结合公司连锁发展规划，公司于</w:t>
            </w:r>
            <w:r>
              <w:rPr>
                <w:rFonts w:ascii="宋体" w:hAnsi="宋体" w:cs="宋体" w:eastAsia="宋体" w:hint="default"/>
                <w:spacing w:val="-40"/>
                <w:sz w:val="21"/>
                <w:szCs w:val="21"/>
              </w:rPr>
              <w:t> </w:t>
            </w:r>
            <w:r>
              <w:rPr>
                <w:rFonts w:ascii="宋体" w:hAnsi="宋体" w:cs="宋体" w:eastAsia="宋体" w:hint="default"/>
                <w:sz w:val="21"/>
                <w:szCs w:val="21"/>
              </w:rPr>
              <w:t>2012</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29</w:t>
            </w:r>
            <w:r>
              <w:rPr>
                <w:rFonts w:ascii="宋体" w:hAnsi="宋体" w:cs="宋体" w:eastAsia="宋体" w:hint="default"/>
                <w:spacing w:val="-44"/>
                <w:sz w:val="21"/>
                <w:szCs w:val="21"/>
              </w:rPr>
              <w:t> </w:t>
            </w:r>
            <w:r>
              <w:rPr>
                <w:rFonts w:ascii="宋体" w:hAnsi="宋体" w:cs="宋体" w:eastAsia="宋体" w:hint="default"/>
                <w:sz w:val="21"/>
                <w:szCs w:val="21"/>
              </w:rPr>
              <w:t>日召开第四</w:t>
            </w:r>
          </w:p>
          <w:p>
            <w:pPr>
              <w:pStyle w:val="TableParagraph"/>
              <w:spacing w:line="240" w:lineRule="auto" w:before="37"/>
              <w:ind w:left="16" w:right="0"/>
              <w:jc w:val="both"/>
              <w:rPr>
                <w:rFonts w:ascii="宋体" w:hAnsi="宋体" w:cs="宋体" w:eastAsia="宋体" w:hint="default"/>
                <w:sz w:val="21"/>
                <w:szCs w:val="21"/>
              </w:rPr>
            </w:pPr>
            <w:r>
              <w:rPr>
                <w:rFonts w:ascii="宋体" w:hAnsi="宋体" w:cs="宋体" w:eastAsia="宋体" w:hint="default"/>
                <w:w w:val="100"/>
                <w:sz w:val="21"/>
                <w:szCs w:val="21"/>
              </w:rPr>
              <w:t>届董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第</w:t>
            </w:r>
            <w:r>
              <w:rPr>
                <w:rFonts w:ascii="宋体" w:hAnsi="宋体" w:cs="宋体" w:eastAsia="宋体" w:hint="default"/>
                <w:w w:val="100"/>
                <w:sz w:val="21"/>
                <w:szCs w:val="21"/>
              </w:rPr>
              <w:t>二</w:t>
            </w:r>
            <w:r>
              <w:rPr>
                <w:rFonts w:ascii="宋体" w:hAnsi="宋体" w:cs="宋体" w:eastAsia="宋体" w:hint="default"/>
                <w:spacing w:val="-3"/>
                <w:w w:val="100"/>
                <w:sz w:val="21"/>
                <w:szCs w:val="21"/>
              </w:rPr>
              <w:t>十</w:t>
            </w:r>
            <w:r>
              <w:rPr>
                <w:rFonts w:ascii="宋体" w:hAnsi="宋体" w:cs="宋体" w:eastAsia="宋体" w:hint="default"/>
                <w:w w:val="100"/>
                <w:sz w:val="21"/>
                <w:szCs w:val="21"/>
              </w:rPr>
              <w:t>三</w:t>
            </w:r>
            <w:r>
              <w:rPr>
                <w:rFonts w:ascii="宋体" w:hAnsi="宋体" w:cs="宋体" w:eastAsia="宋体" w:hint="default"/>
                <w:spacing w:val="-3"/>
                <w:w w:val="100"/>
                <w:sz w:val="21"/>
                <w:szCs w:val="21"/>
              </w:rPr>
              <w:t>次</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spacing w:val="-10"/>
                <w:w w:val="100"/>
                <w:sz w:val="21"/>
                <w:szCs w:val="21"/>
              </w:rPr>
              <w:t>，</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w:t>
            </w:r>
            <w:r>
              <w:rPr>
                <w:rFonts w:ascii="宋体" w:hAnsi="宋体" w:cs="宋体" w:eastAsia="宋体" w:hint="default"/>
                <w:spacing w:val="-13"/>
                <w:w w:val="100"/>
                <w:sz w:val="21"/>
                <w:szCs w:val="21"/>
              </w:rPr>
              <w:t>过</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连</w:t>
            </w:r>
            <w:r>
              <w:rPr>
                <w:rFonts w:ascii="宋体" w:hAnsi="宋体" w:cs="宋体" w:eastAsia="宋体" w:hint="default"/>
                <w:w w:val="100"/>
                <w:sz w:val="21"/>
                <w:szCs w:val="21"/>
              </w:rPr>
              <w:t>锁</w:t>
            </w:r>
            <w:r>
              <w:rPr>
                <w:rFonts w:ascii="宋体" w:hAnsi="宋体" w:cs="宋体" w:eastAsia="宋体" w:hint="default"/>
                <w:spacing w:val="-3"/>
                <w:w w:val="100"/>
                <w:sz w:val="21"/>
                <w:szCs w:val="21"/>
              </w:rPr>
              <w:t>店</w:t>
            </w:r>
            <w:r>
              <w:rPr>
                <w:rFonts w:ascii="宋体" w:hAnsi="宋体" w:cs="宋体" w:eastAsia="宋体" w:hint="default"/>
                <w:w w:val="100"/>
                <w:sz w:val="21"/>
                <w:szCs w:val="21"/>
              </w:rPr>
              <w:t>发展</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中</w:t>
            </w:r>
            <w:r>
              <w:rPr>
                <w:rFonts w:ascii="宋体" w:hAnsi="宋体" w:cs="宋体" w:eastAsia="宋体" w:hint="default"/>
                <w:w w:val="100"/>
                <w:sz w:val="21"/>
                <w:szCs w:val="21"/>
              </w:rPr>
              <w:t>部</w:t>
            </w:r>
            <w:r>
              <w:rPr>
                <w:rFonts w:ascii="宋体" w:hAnsi="宋体" w:cs="宋体" w:eastAsia="宋体" w:hint="default"/>
                <w:spacing w:val="-3"/>
                <w:w w:val="100"/>
                <w:sz w:val="21"/>
                <w:szCs w:val="21"/>
              </w:rPr>
              <w:t>分</w:t>
            </w:r>
            <w:r>
              <w:rPr>
                <w:rFonts w:ascii="宋体" w:hAnsi="宋体" w:cs="宋体" w:eastAsia="宋体" w:hint="default"/>
                <w:w w:val="100"/>
                <w:sz w:val="21"/>
                <w:szCs w:val="21"/>
              </w:rPr>
              <w:t>连</w:t>
            </w:r>
            <w:r>
              <w:rPr>
                <w:rFonts w:ascii="宋体" w:hAnsi="宋体" w:cs="宋体" w:eastAsia="宋体" w:hint="default"/>
                <w:spacing w:val="-3"/>
                <w:w w:val="100"/>
                <w:sz w:val="21"/>
                <w:szCs w:val="21"/>
              </w:rPr>
              <w:t>锁</w:t>
            </w:r>
            <w:r>
              <w:rPr>
                <w:rFonts w:ascii="宋体" w:hAnsi="宋体" w:cs="宋体" w:eastAsia="宋体" w:hint="default"/>
                <w:w w:val="100"/>
                <w:sz w:val="21"/>
                <w:szCs w:val="21"/>
              </w:rPr>
              <w:t>店</w:t>
            </w:r>
            <w:r>
              <w:rPr>
                <w:rFonts w:ascii="宋体" w:hAnsi="宋体" w:cs="宋体" w:eastAsia="宋体" w:hint="default"/>
                <w:spacing w:val="-3"/>
                <w:w w:val="100"/>
                <w:sz w:val="21"/>
                <w:szCs w:val="21"/>
              </w:rPr>
              <w:t>实</w:t>
            </w:r>
            <w:r>
              <w:rPr>
                <w:rFonts w:ascii="宋体" w:hAnsi="宋体" w:cs="宋体" w:eastAsia="宋体" w:hint="default"/>
                <w:w w:val="100"/>
                <w:sz w:val="21"/>
                <w:szCs w:val="21"/>
              </w:rPr>
              <w:t>施地</w:t>
            </w:r>
            <w:r>
              <w:rPr>
                <w:rFonts w:ascii="宋体" w:hAnsi="宋体" w:cs="宋体" w:eastAsia="宋体" w:hint="default"/>
                <w:spacing w:val="-3"/>
                <w:w w:val="100"/>
                <w:sz w:val="21"/>
                <w:szCs w:val="21"/>
              </w:rPr>
              <w:t>点</w:t>
            </w:r>
            <w:r>
              <w:rPr>
                <w:rFonts w:ascii="宋体" w:hAnsi="宋体" w:cs="宋体" w:eastAsia="宋体" w:hint="default"/>
                <w:w w:val="100"/>
                <w:sz w:val="21"/>
                <w:szCs w:val="21"/>
              </w:rPr>
              <w:t>变</w:t>
            </w:r>
            <w:r>
              <w:rPr>
                <w:rFonts w:ascii="宋体" w:hAnsi="宋体" w:cs="宋体" w:eastAsia="宋体" w:hint="default"/>
                <w:spacing w:val="-3"/>
                <w:w w:val="100"/>
                <w:sz w:val="21"/>
                <w:szCs w:val="21"/>
              </w:rPr>
              <w:t>更</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spacing w:val="-10"/>
                <w:w w:val="100"/>
                <w:sz w:val="21"/>
                <w:szCs w:val="21"/>
              </w:rPr>
              <w:t>。</w:t>
            </w:r>
            <w:r>
              <w:rPr>
                <w:rFonts w:ascii="宋体" w:hAnsi="宋体" w:cs="宋体" w:eastAsia="宋体" w:hint="default"/>
                <w:spacing w:val="-3"/>
                <w:w w:val="100"/>
                <w:sz w:val="21"/>
                <w:szCs w:val="21"/>
              </w:rPr>
              <w:t>根据</w:t>
            </w:r>
            <w:r>
              <w:rPr>
                <w:rFonts w:ascii="宋体" w:hAnsi="宋体" w:cs="宋体" w:eastAsia="宋体" w:hint="default"/>
                <w:w w:val="100"/>
                <w:sz w:val="21"/>
                <w:szCs w:val="21"/>
              </w:rPr>
              <w:t>董事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决</w:t>
            </w:r>
            <w:r>
              <w:rPr>
                <w:rFonts w:ascii="宋体" w:hAnsi="宋体" w:cs="宋体" w:eastAsia="宋体" w:hint="default"/>
                <w:spacing w:val="-3"/>
                <w:w w:val="100"/>
                <w:sz w:val="21"/>
                <w:szCs w:val="21"/>
              </w:rPr>
              <w:t>议</w:t>
            </w:r>
            <w:r>
              <w:rPr>
                <w:rFonts w:ascii="宋体" w:hAnsi="宋体" w:cs="宋体" w:eastAsia="宋体" w:hint="default"/>
                <w:spacing w:val="-13"/>
                <w:w w:val="100"/>
                <w:sz w:val="21"/>
                <w:szCs w:val="21"/>
              </w:rPr>
              <w:t>，</w:t>
            </w:r>
            <w:r>
              <w:rPr>
                <w:rFonts w:ascii="宋体" w:hAnsi="宋体" w:cs="宋体" w:eastAsia="宋体" w:hint="default"/>
                <w:w w:val="100"/>
                <w:sz w:val="21"/>
                <w:szCs w:val="21"/>
              </w:rPr>
              <w:t>对</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0</w:t>
            </w:r>
            <w:r>
              <w:rPr>
                <w:rFonts w:ascii="宋体" w:hAnsi="宋体" w:cs="宋体" w:eastAsia="宋体" w:hint="default"/>
                <w:w w:val="100"/>
                <w:sz w:val="21"/>
                <w:szCs w:val="21"/>
              </w:rPr>
              <w:t>9</w:t>
            </w:r>
          </w:p>
          <w:p>
            <w:pPr>
              <w:pStyle w:val="TableParagraph"/>
              <w:spacing w:line="273" w:lineRule="auto" w:before="37"/>
              <w:ind w:left="16" w:right="16"/>
              <w:jc w:val="both"/>
              <w:rPr>
                <w:rFonts w:ascii="宋体" w:hAnsi="宋体" w:cs="宋体" w:eastAsia="宋体" w:hint="default"/>
                <w:sz w:val="21"/>
                <w:szCs w:val="21"/>
              </w:rPr>
            </w:pPr>
            <w:r>
              <w:rPr>
                <w:rFonts w:ascii="宋体" w:hAnsi="宋体" w:cs="宋体" w:eastAsia="宋体" w:hint="default"/>
                <w:sz w:val="21"/>
                <w:szCs w:val="21"/>
              </w:rPr>
              <w:t>年非公开发行募集资金项目之一的</w:t>
            </w:r>
            <w:r>
              <w:rPr>
                <w:rFonts w:ascii="宋体" w:hAnsi="宋体" w:cs="宋体" w:eastAsia="宋体" w:hint="default"/>
                <w:spacing w:val="-55"/>
                <w:sz w:val="21"/>
                <w:szCs w:val="21"/>
              </w:rPr>
              <w:t> </w:t>
            </w:r>
            <w:r>
              <w:rPr>
                <w:rFonts w:ascii="宋体" w:hAnsi="宋体" w:cs="宋体" w:eastAsia="宋体" w:hint="default"/>
                <w:sz w:val="21"/>
                <w:szCs w:val="21"/>
              </w:rPr>
              <w:t>250</w:t>
            </w:r>
            <w:r>
              <w:rPr>
                <w:rFonts w:ascii="宋体" w:hAnsi="宋体" w:cs="宋体" w:eastAsia="宋体" w:hint="default"/>
                <w:spacing w:val="-55"/>
                <w:sz w:val="21"/>
                <w:szCs w:val="21"/>
              </w:rPr>
              <w:t> </w:t>
            </w:r>
            <w:r>
              <w:rPr>
                <w:rFonts w:ascii="宋体" w:hAnsi="宋体" w:cs="宋体" w:eastAsia="宋体" w:hint="default"/>
                <w:sz w:val="21"/>
                <w:szCs w:val="21"/>
              </w:rPr>
              <w:t>家连锁店发展项目中合计</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5"/>
                <w:sz w:val="21"/>
                <w:szCs w:val="21"/>
              </w:rPr>
              <w:t> </w:t>
            </w:r>
            <w:r>
              <w:rPr>
                <w:rFonts w:ascii="宋体" w:hAnsi="宋体" w:cs="宋体" w:eastAsia="宋体" w:hint="default"/>
                <w:sz w:val="21"/>
                <w:szCs w:val="21"/>
              </w:rPr>
              <w:t>家连锁店的实施地点进行变更，前述连锁店实施地点变</w:t>
            </w:r>
            <w:r>
              <w:rPr>
                <w:rFonts w:ascii="宋体" w:hAnsi="宋体" w:cs="宋体" w:eastAsia="宋体" w:hint="default"/>
                <w:w w:val="100"/>
                <w:sz w:val="21"/>
                <w:szCs w:val="21"/>
              </w:rPr>
              <w:t> </w:t>
            </w:r>
            <w:r>
              <w:rPr>
                <w:rFonts w:ascii="宋体" w:hAnsi="宋体" w:cs="宋体" w:eastAsia="宋体" w:hint="default"/>
                <w:spacing w:val="-4"/>
                <w:sz w:val="21"/>
                <w:szCs w:val="21"/>
              </w:rPr>
              <w:t>更后，原连锁店发展项目的投资方案不变，不会对项目的实施进度和盈利水平产生不利的影响，而通过本次调整，募集资金</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使用效率得到有效保证。</w:t>
            </w:r>
          </w:p>
        </w:tc>
      </w:tr>
      <w:tr>
        <w:trPr>
          <w:trHeight w:val="624" w:hRule="exact"/>
        </w:trPr>
        <w:tc>
          <w:tcPr>
            <w:tcW w:w="26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11" w:right="151"/>
              <w:jc w:val="left"/>
              <w:rPr>
                <w:rFonts w:ascii="宋体" w:hAnsi="宋体" w:cs="宋体" w:eastAsia="宋体" w:hint="default"/>
                <w:sz w:val="21"/>
                <w:szCs w:val="21"/>
              </w:rPr>
            </w:pPr>
            <w:r>
              <w:rPr>
                <w:rFonts w:ascii="宋体" w:hAnsi="宋体" w:cs="宋体" w:eastAsia="宋体" w:hint="default"/>
                <w:spacing w:val="-2"/>
                <w:sz w:val="21"/>
                <w:szCs w:val="21"/>
              </w:rPr>
              <w:t>募集资金投资项目实施地点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变更情况</w:t>
            </w:r>
          </w:p>
        </w:tc>
        <w:tc>
          <w:tcPr>
            <w:tcW w:w="11308" w:type="dxa"/>
            <w:gridSpan w:val="10"/>
            <w:vMerge/>
            <w:tcBorders>
              <w:left w:val="single" w:sz="10" w:space="0" w:color="D2D2D2"/>
              <w:right w:val="single" w:sz="4" w:space="0" w:color="000000"/>
            </w:tcBorders>
          </w:tcPr>
          <w:p>
            <w:pPr/>
          </w:p>
        </w:tc>
      </w:tr>
      <w:tr>
        <w:trPr>
          <w:trHeight w:val="473" w:hRule="exact"/>
        </w:trPr>
        <w:tc>
          <w:tcPr>
            <w:tcW w:w="26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08" w:type="dxa"/>
            <w:gridSpan w:val="10"/>
            <w:vMerge/>
            <w:tcBorders>
              <w:left w:val="single" w:sz="10" w:space="0" w:color="D2D2D2"/>
              <w:bottom w:val="single" w:sz="4" w:space="0" w:color="000000"/>
              <w:right w:val="single" w:sz="4" w:space="0" w:color="000000"/>
            </w:tcBorders>
          </w:tcPr>
          <w:p>
            <w:pPr/>
          </w:p>
        </w:tc>
      </w:tr>
      <w:tr>
        <w:trPr>
          <w:trHeight w:val="636"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151"/>
              <w:jc w:val="left"/>
              <w:rPr>
                <w:rFonts w:ascii="宋体" w:hAnsi="宋体" w:cs="宋体" w:eastAsia="宋体" w:hint="default"/>
                <w:sz w:val="21"/>
                <w:szCs w:val="21"/>
              </w:rPr>
            </w:pPr>
            <w:r>
              <w:rPr>
                <w:rFonts w:ascii="宋体" w:hAnsi="宋体" w:cs="宋体" w:eastAsia="宋体" w:hint="default"/>
                <w:spacing w:val="-2"/>
                <w:sz w:val="21"/>
                <w:szCs w:val="21"/>
              </w:rPr>
              <w:t>募集资金投资项目实施方式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调整情况</w:t>
            </w:r>
          </w:p>
        </w:tc>
        <w:tc>
          <w:tcPr>
            <w:tcW w:w="1130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6"/>
              <w:ind w:left="1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151"/>
              <w:jc w:val="left"/>
              <w:rPr>
                <w:rFonts w:ascii="宋体" w:hAnsi="宋体" w:cs="宋体" w:eastAsia="宋体" w:hint="default"/>
                <w:sz w:val="21"/>
                <w:szCs w:val="21"/>
              </w:rPr>
            </w:pPr>
            <w:r>
              <w:rPr>
                <w:rFonts w:ascii="宋体" w:hAnsi="宋体" w:cs="宋体" w:eastAsia="宋体" w:hint="default"/>
                <w:spacing w:val="-2"/>
                <w:sz w:val="21"/>
                <w:szCs w:val="21"/>
              </w:rPr>
              <w:t>募集资金投入项目先期投入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及置换情况</w:t>
            </w:r>
          </w:p>
        </w:tc>
        <w:tc>
          <w:tcPr>
            <w:tcW w:w="1130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3"/>
              <w:ind w:left="1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151"/>
              <w:jc w:val="left"/>
              <w:rPr>
                <w:rFonts w:ascii="宋体" w:hAnsi="宋体" w:cs="宋体" w:eastAsia="宋体" w:hint="default"/>
                <w:sz w:val="21"/>
                <w:szCs w:val="21"/>
              </w:rPr>
            </w:pPr>
            <w:r>
              <w:rPr>
                <w:rFonts w:ascii="宋体" w:hAnsi="宋体" w:cs="宋体" w:eastAsia="宋体" w:hint="default"/>
                <w:spacing w:val="-2"/>
                <w:sz w:val="21"/>
                <w:szCs w:val="21"/>
              </w:rPr>
              <w:t>用闲置募集资金暂时补充流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动资金情况</w:t>
            </w:r>
          </w:p>
        </w:tc>
        <w:tc>
          <w:tcPr>
            <w:tcW w:w="1130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3"/>
              <w:ind w:left="1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151"/>
              <w:jc w:val="left"/>
              <w:rPr>
                <w:rFonts w:ascii="宋体" w:hAnsi="宋体" w:cs="宋体" w:eastAsia="宋体" w:hint="default"/>
                <w:sz w:val="21"/>
                <w:szCs w:val="21"/>
              </w:rPr>
            </w:pPr>
            <w:r>
              <w:rPr>
                <w:rFonts w:ascii="宋体" w:hAnsi="宋体" w:cs="宋体" w:eastAsia="宋体" w:hint="default"/>
                <w:spacing w:val="-2"/>
                <w:sz w:val="21"/>
                <w:szCs w:val="21"/>
              </w:rPr>
              <w:t>项目实施出现募集资金结余</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的金额及原因</w:t>
            </w:r>
          </w:p>
        </w:tc>
        <w:tc>
          <w:tcPr>
            <w:tcW w:w="1130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3"/>
              <w:ind w:left="1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61" w:hRule="exact"/>
        </w:trPr>
        <w:tc>
          <w:tcPr>
            <w:tcW w:w="26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08" w:type="dxa"/>
            <w:gridSpan w:val="10"/>
            <w:vMerge w:val="restart"/>
            <w:tcBorders>
              <w:top w:val="single" w:sz="4" w:space="0" w:color="000000"/>
              <w:left w:val="single" w:sz="10" w:space="0" w:color="D2D2D2"/>
              <w:right w:val="single" w:sz="4" w:space="0" w:color="000000"/>
            </w:tcBorders>
          </w:tcPr>
          <w:p>
            <w:pPr>
              <w:pStyle w:val="TableParagraph"/>
              <w:spacing w:line="264" w:lineRule="auto"/>
              <w:ind w:left="16" w:right="16"/>
              <w:jc w:val="both"/>
              <w:rPr>
                <w:rFonts w:ascii="宋体" w:hAnsi="宋体" w:cs="宋体" w:eastAsia="宋体" w:hint="default"/>
                <w:sz w:val="21"/>
                <w:szCs w:val="21"/>
              </w:rPr>
            </w:pPr>
            <w:r>
              <w:rPr>
                <w:rFonts w:ascii="宋体" w:hAnsi="宋体" w:cs="宋体" w:eastAsia="宋体" w:hint="default"/>
                <w:spacing w:val="-4"/>
                <w:w w:val="100"/>
                <w:sz w:val="21"/>
                <w:szCs w:val="21"/>
              </w:rPr>
              <w:t>公司尚未使用的募集资金将主要用于连锁店发展项目及各物流中心项目的建设。公司将尚未使用的募集资金存放于公司专户</w:t>
            </w:r>
            <w:r>
              <w:rPr>
                <w:rFonts w:ascii="宋体" w:hAnsi="宋体" w:cs="宋体" w:eastAsia="宋体" w:hint="default"/>
                <w:spacing w:val="-57"/>
                <w:w w:val="100"/>
                <w:sz w:val="21"/>
                <w:szCs w:val="21"/>
              </w:rPr>
              <w:t> </w:t>
            </w:r>
            <w:r>
              <w:rPr>
                <w:rFonts w:ascii="宋体" w:hAnsi="宋体" w:cs="宋体" w:eastAsia="宋体" w:hint="default"/>
                <w:spacing w:val="-57"/>
                <w:w w:val="100"/>
                <w:sz w:val="21"/>
                <w:szCs w:val="21"/>
              </w:rPr>
            </w:r>
            <w:r>
              <w:rPr>
                <w:rFonts w:ascii="宋体" w:hAnsi="宋体" w:cs="宋体" w:eastAsia="宋体" w:hint="default"/>
                <w:sz w:val="21"/>
                <w:szCs w:val="21"/>
              </w:rPr>
              <w:t>中，其中为提高资金使用效率，将闲置的募集资金</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亿元以定期存单的方式存放，</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万元以通知存款方式存放，不存</w:t>
            </w:r>
            <w:r>
              <w:rPr>
                <w:rFonts w:ascii="宋体" w:hAnsi="宋体" w:cs="宋体" w:eastAsia="宋体" w:hint="default"/>
                <w:w w:val="100"/>
                <w:sz w:val="21"/>
                <w:szCs w:val="21"/>
              </w:rPr>
              <w:t> </w:t>
            </w:r>
            <w:r>
              <w:rPr>
                <w:rFonts w:ascii="宋体" w:hAnsi="宋体" w:cs="宋体" w:eastAsia="宋体" w:hint="default"/>
                <w:sz w:val="21"/>
                <w:szCs w:val="21"/>
              </w:rPr>
              <w:t>在存单抵押、质押及其他所有权、使用权受到限制的情况。</w:t>
            </w:r>
          </w:p>
        </w:tc>
      </w:tr>
      <w:tr>
        <w:trPr>
          <w:trHeight w:val="624" w:hRule="exact"/>
        </w:trPr>
        <w:tc>
          <w:tcPr>
            <w:tcW w:w="26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11" w:right="151"/>
              <w:jc w:val="left"/>
              <w:rPr>
                <w:rFonts w:ascii="宋体" w:hAnsi="宋体" w:cs="宋体" w:eastAsia="宋体" w:hint="default"/>
                <w:sz w:val="21"/>
                <w:szCs w:val="21"/>
              </w:rPr>
            </w:pPr>
            <w:r>
              <w:rPr>
                <w:rFonts w:ascii="宋体" w:hAnsi="宋体" w:cs="宋体" w:eastAsia="宋体" w:hint="default"/>
                <w:spacing w:val="-2"/>
                <w:sz w:val="21"/>
                <w:szCs w:val="21"/>
              </w:rPr>
              <w:t>尚未使用的募集资金用途及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去向</w:t>
            </w:r>
          </w:p>
        </w:tc>
        <w:tc>
          <w:tcPr>
            <w:tcW w:w="11308" w:type="dxa"/>
            <w:gridSpan w:val="10"/>
            <w:vMerge/>
            <w:tcBorders>
              <w:left w:val="single" w:sz="10" w:space="0" w:color="D2D2D2"/>
              <w:right w:val="single" w:sz="4" w:space="0" w:color="000000"/>
            </w:tcBorders>
          </w:tcPr>
          <w:p>
            <w:pPr/>
          </w:p>
        </w:tc>
      </w:tr>
      <w:tr>
        <w:trPr>
          <w:trHeight w:val="161" w:hRule="exact"/>
        </w:trPr>
        <w:tc>
          <w:tcPr>
            <w:tcW w:w="26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08" w:type="dxa"/>
            <w:gridSpan w:val="10"/>
            <w:vMerge/>
            <w:tcBorders>
              <w:left w:val="single" w:sz="10" w:space="0" w:color="D2D2D2"/>
              <w:bottom w:val="single" w:sz="4" w:space="0" w:color="000000"/>
              <w:right w:val="single" w:sz="4" w:space="0" w:color="000000"/>
            </w:tcBorders>
          </w:tcPr>
          <w:p>
            <w:pPr/>
          </w:p>
        </w:tc>
      </w:tr>
      <w:tr>
        <w:trPr>
          <w:trHeight w:val="636"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151"/>
              <w:jc w:val="left"/>
              <w:rPr>
                <w:rFonts w:ascii="宋体" w:hAnsi="宋体" w:cs="宋体" w:eastAsia="宋体" w:hint="default"/>
                <w:sz w:val="21"/>
                <w:szCs w:val="21"/>
              </w:rPr>
            </w:pPr>
            <w:r>
              <w:rPr>
                <w:rFonts w:ascii="宋体" w:hAnsi="宋体" w:cs="宋体" w:eastAsia="宋体" w:hint="default"/>
                <w:spacing w:val="-2"/>
                <w:sz w:val="21"/>
                <w:szCs w:val="21"/>
              </w:rPr>
              <w:t>募集资金使用及披露中存在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的问题或其他情况</w:t>
            </w:r>
          </w:p>
        </w:tc>
        <w:tc>
          <w:tcPr>
            <w:tcW w:w="1130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3"/>
              <w:ind w:left="1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pgSz w:w="16840" w:h="11910" w:orient="landscape"/>
          <w:pgMar w:header="867" w:footer="980" w:top="1060" w:bottom="1160" w:left="1300" w:right="0"/>
        </w:sectPr>
      </w:pPr>
    </w:p>
    <w:p>
      <w:pPr>
        <w:spacing w:line="240" w:lineRule="auto" w:before="2"/>
        <w:rPr>
          <w:rFonts w:ascii="Times New Roman" w:hAnsi="Times New Roman" w:cs="Times New Roman" w:eastAsia="Times New Roman" w:hint="default"/>
          <w:sz w:val="3"/>
          <w:szCs w:val="3"/>
        </w:rPr>
      </w:pPr>
      <w:r>
        <w:rPr/>
        <w:pict>
          <v:shape style="position:absolute;margin-left:706.919983pt;margin-top:518.320007pt;width:135pt;height:77pt;mso-position-horizontal-relative:page;mso-position-vertical-relative:page;z-index:-1597672" type="#_x0000_t75" stroked="false">
            <v:imagedata r:id="rId10" o:title=""/>
          </v:shape>
        </w:pict>
      </w: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73" w:lineRule="auto" w:before="0"/>
        <w:ind w:left="140" w:right="1431"/>
        <w:jc w:val="both"/>
      </w:pPr>
      <w:r>
        <w:rPr/>
        <w:t>注</w:t>
      </w:r>
      <w:r>
        <w:rPr>
          <w:spacing w:val="-38"/>
        </w:rPr>
        <w:t> </w:t>
      </w:r>
      <w:r>
        <w:rPr>
          <w:rFonts w:ascii="宋体" w:hAnsi="宋体" w:cs="宋体" w:eastAsia="宋体" w:hint="default"/>
        </w:rPr>
        <w:t>1</w:t>
      </w:r>
      <w:r>
        <w:rPr/>
        <w:t>：</w:t>
      </w:r>
      <w:r>
        <w:rPr>
          <w:rFonts w:ascii="宋体" w:hAnsi="宋体" w:cs="宋体" w:eastAsia="宋体" w:hint="default"/>
        </w:rPr>
        <w:t>2009</w:t>
      </w:r>
      <w:r>
        <w:rPr>
          <w:rFonts w:ascii="宋体" w:hAnsi="宋体" w:cs="宋体" w:eastAsia="宋体" w:hint="default"/>
          <w:spacing w:val="-40"/>
        </w:rPr>
        <w:t> </w:t>
      </w:r>
      <w:r>
        <w:rPr/>
        <w:t>年</w:t>
      </w:r>
      <w:r>
        <w:rPr>
          <w:spacing w:val="-38"/>
        </w:rPr>
        <w:t> </w:t>
      </w:r>
      <w:r>
        <w:rPr>
          <w:rFonts w:ascii="宋体" w:hAnsi="宋体" w:cs="宋体" w:eastAsia="宋体" w:hint="default"/>
        </w:rPr>
        <w:t>250</w:t>
      </w:r>
      <w:r>
        <w:rPr>
          <w:rFonts w:ascii="宋体" w:hAnsi="宋体" w:cs="宋体" w:eastAsia="宋体" w:hint="default"/>
          <w:spacing w:val="-38"/>
        </w:rPr>
        <w:t> </w:t>
      </w:r>
      <w:r>
        <w:rPr/>
        <w:t>家连锁店项目尚未全部实施完毕，且连锁店均在</w:t>
      </w:r>
      <w:r>
        <w:rPr>
          <w:spacing w:val="-38"/>
        </w:rPr>
        <w:t> </w:t>
      </w:r>
      <w:r>
        <w:rPr>
          <w:rFonts w:ascii="宋体" w:hAnsi="宋体" w:cs="宋体" w:eastAsia="宋体" w:hint="default"/>
        </w:rPr>
        <w:t>2009</w:t>
      </w:r>
      <w:r>
        <w:rPr>
          <w:rFonts w:ascii="宋体" w:hAnsi="宋体" w:cs="宋体" w:eastAsia="宋体" w:hint="default"/>
          <w:spacing w:val="-40"/>
        </w:rPr>
        <w:t> </w:t>
      </w:r>
      <w:r>
        <w:rPr/>
        <w:t>年及以后开设，部分已开设店面经营没有达到非公开发行上市公告书判定年限</w:t>
      </w:r>
      <w:r>
        <w:rPr>
          <w:rFonts w:ascii="宋体" w:hAnsi="宋体" w:cs="宋体" w:eastAsia="宋体" w:hint="default"/>
        </w:rPr>
        <w:t>-</w:t>
      </w:r>
      <w:r>
        <w:rPr>
          <w:rFonts w:ascii="宋体" w:hAnsi="宋体" w:cs="宋体" w:eastAsia="宋体" w:hint="default"/>
          <w:w w:val="100"/>
        </w:rPr>
        <w:t> </w:t>
      </w:r>
      <w:r>
        <w:rPr/>
        <w:t>正常年</w:t>
      </w:r>
      <w:r>
        <w:rPr>
          <w:rFonts w:ascii="宋体" w:hAnsi="宋体" w:cs="宋体" w:eastAsia="宋体" w:hint="default"/>
        </w:rPr>
        <w:t>(</w:t>
      </w:r>
      <w:r>
        <w:rPr/>
        <w:t>开业后第三年</w:t>
      </w:r>
      <w:r>
        <w:rPr>
          <w:rFonts w:ascii="宋体" w:hAnsi="宋体" w:cs="宋体" w:eastAsia="宋体" w:hint="default"/>
        </w:rPr>
        <w:t>)</w:t>
      </w:r>
      <w:r>
        <w:rPr/>
        <w:t>。随着项目实施的推进，已开设连锁店进入成熟稳定期，经营效益逐步提高，该项目效益情况将会进一步体现。</w:t>
      </w:r>
    </w:p>
    <w:p>
      <w:pPr>
        <w:pStyle w:val="BodyText"/>
        <w:spacing w:line="273" w:lineRule="auto" w:before="48"/>
        <w:ind w:left="140" w:right="1430"/>
        <w:jc w:val="both"/>
      </w:pPr>
      <w:r>
        <w:rPr/>
        <w:t>根据</w:t>
      </w:r>
      <w:r>
        <w:rPr>
          <w:spacing w:val="-50"/>
        </w:rPr>
        <w:t> </w:t>
      </w:r>
      <w:r>
        <w:rPr>
          <w:rFonts w:ascii="宋体" w:hAnsi="宋体" w:cs="宋体" w:eastAsia="宋体" w:hint="default"/>
        </w:rPr>
        <w:t>250</w:t>
      </w:r>
      <w:r>
        <w:rPr>
          <w:rFonts w:ascii="宋体" w:hAnsi="宋体" w:cs="宋体" w:eastAsia="宋体" w:hint="default"/>
          <w:spacing w:val="-53"/>
        </w:rPr>
        <w:t> </w:t>
      </w:r>
      <w:r>
        <w:rPr/>
        <w:t>家连锁店发展项目开业计算，共有</w:t>
      </w:r>
      <w:r>
        <w:rPr>
          <w:spacing w:val="-50"/>
        </w:rPr>
        <w:t> </w:t>
      </w:r>
      <w:r>
        <w:rPr>
          <w:rFonts w:ascii="宋体" w:hAnsi="宋体" w:cs="宋体" w:eastAsia="宋体" w:hint="default"/>
        </w:rPr>
        <w:t>36</w:t>
      </w:r>
      <w:r>
        <w:rPr>
          <w:rFonts w:ascii="宋体" w:hAnsi="宋体" w:cs="宋体" w:eastAsia="宋体" w:hint="default"/>
          <w:spacing w:val="-50"/>
        </w:rPr>
        <w:t> </w:t>
      </w:r>
      <w:r>
        <w:rPr/>
        <w:t>家连锁店在</w:t>
      </w:r>
      <w:r>
        <w:rPr>
          <w:spacing w:val="-50"/>
        </w:rPr>
        <w:t> </w:t>
      </w:r>
      <w:r>
        <w:rPr>
          <w:rFonts w:ascii="宋体" w:hAnsi="宋体" w:cs="宋体" w:eastAsia="宋体" w:hint="default"/>
        </w:rPr>
        <w:t>2012</w:t>
      </w:r>
      <w:r>
        <w:rPr>
          <w:rFonts w:ascii="宋体" w:hAnsi="宋体" w:cs="宋体" w:eastAsia="宋体" w:hint="default"/>
          <w:spacing w:val="-50"/>
        </w:rPr>
        <w:t> </w:t>
      </w:r>
      <w:r>
        <w:rPr/>
        <w:t>年达到上市公告书判定年限</w:t>
      </w:r>
      <w:r>
        <w:rPr>
          <w:rFonts w:ascii="宋体" w:hAnsi="宋体" w:cs="宋体" w:eastAsia="宋体" w:hint="default"/>
        </w:rPr>
        <w:t>-</w:t>
      </w:r>
      <w:r>
        <w:rPr/>
        <w:t>正常年</w:t>
      </w:r>
      <w:r>
        <w:rPr>
          <w:rFonts w:ascii="宋体" w:hAnsi="宋体" w:cs="宋体" w:eastAsia="宋体" w:hint="default"/>
        </w:rPr>
        <w:t>(</w:t>
      </w:r>
      <w:r>
        <w:rPr/>
        <w:t>开业后第三年</w:t>
      </w:r>
      <w:r>
        <w:rPr>
          <w:rFonts w:ascii="宋体" w:hAnsi="宋体" w:cs="宋体" w:eastAsia="宋体" w:hint="default"/>
        </w:rPr>
        <w:t>)</w:t>
      </w:r>
      <w:r>
        <w:rPr/>
        <w:t>，截至</w:t>
      </w:r>
      <w:r>
        <w:rPr>
          <w:spacing w:val="-50"/>
        </w:rPr>
        <w:t> </w:t>
      </w:r>
      <w:r>
        <w:rPr>
          <w:rFonts w:ascii="宋体" w:hAnsi="宋体" w:cs="宋体" w:eastAsia="宋体" w:hint="default"/>
        </w:rPr>
        <w:t>2012</w:t>
      </w:r>
      <w:r>
        <w:rPr>
          <w:rFonts w:ascii="宋体" w:hAnsi="宋体" w:cs="宋体" w:eastAsia="宋体" w:hint="default"/>
          <w:spacing w:val="-53"/>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日止，该</w:t>
      </w:r>
      <w:r>
        <w:rPr>
          <w:spacing w:val="-53"/>
        </w:rPr>
        <w:t> </w:t>
      </w:r>
      <w:r>
        <w:rPr>
          <w:rFonts w:ascii="宋体" w:hAnsi="宋体" w:cs="宋体" w:eastAsia="宋体" w:hint="default"/>
        </w:rPr>
        <w:t>36</w:t>
      </w:r>
      <w:r>
        <w:rPr>
          <w:rFonts w:ascii="宋体" w:hAnsi="宋体" w:cs="宋体" w:eastAsia="宋体" w:hint="default"/>
          <w:w w:val="100"/>
        </w:rPr>
        <w:t> </w:t>
      </w:r>
      <w:r>
        <w:rPr/>
        <w:t>家连锁店预计正常年实现销售收入</w:t>
      </w:r>
      <w:r>
        <w:rPr>
          <w:spacing w:val="-39"/>
        </w:rPr>
        <w:t> </w:t>
      </w:r>
      <w:r>
        <w:rPr>
          <w:rFonts w:ascii="宋体" w:hAnsi="宋体" w:cs="宋体" w:eastAsia="宋体" w:hint="default"/>
        </w:rPr>
        <w:t>197,000</w:t>
      </w:r>
      <w:r>
        <w:rPr>
          <w:rFonts w:ascii="宋体" w:hAnsi="宋体" w:cs="宋体" w:eastAsia="宋体" w:hint="default"/>
          <w:spacing w:val="-39"/>
        </w:rPr>
        <w:t> </w:t>
      </w:r>
      <w:r>
        <w:rPr/>
        <w:t>万元，</w:t>
      </w:r>
      <w:r>
        <w:rPr>
          <w:rFonts w:ascii="宋体" w:hAnsi="宋体" w:cs="宋体" w:eastAsia="宋体" w:hint="default"/>
        </w:rPr>
        <w:t>2012</w:t>
      </w:r>
      <w:r>
        <w:rPr>
          <w:rFonts w:ascii="宋体" w:hAnsi="宋体" w:cs="宋体" w:eastAsia="宋体" w:hint="default"/>
          <w:spacing w:val="-39"/>
        </w:rPr>
        <w:t> </w:t>
      </w:r>
      <w:r>
        <w:rPr/>
        <w:t>年度实际实现销售收入人民币</w:t>
      </w:r>
      <w:r>
        <w:rPr>
          <w:spacing w:val="-39"/>
        </w:rPr>
        <w:t> </w:t>
      </w:r>
      <w:r>
        <w:rPr>
          <w:rFonts w:ascii="宋体" w:hAnsi="宋体" w:cs="宋体" w:eastAsia="宋体" w:hint="default"/>
        </w:rPr>
        <w:t>135,098</w:t>
      </w:r>
      <w:r>
        <w:rPr>
          <w:rFonts w:ascii="宋体" w:hAnsi="宋体" w:cs="宋体" w:eastAsia="宋体" w:hint="default"/>
          <w:spacing w:val="-39"/>
        </w:rPr>
        <w:t> </w:t>
      </w:r>
      <w:r>
        <w:rPr/>
        <w:t>万元</w:t>
      </w:r>
      <w:r>
        <w:rPr>
          <w:rFonts w:ascii="宋体" w:hAnsi="宋体" w:cs="宋体" w:eastAsia="宋体" w:hint="default"/>
        </w:rPr>
        <w:t>(</w:t>
      </w:r>
      <w:r>
        <w:rPr/>
        <w:t>含税</w:t>
      </w:r>
      <w:r>
        <w:rPr>
          <w:rFonts w:ascii="宋体" w:hAnsi="宋体" w:cs="宋体" w:eastAsia="宋体" w:hint="default"/>
        </w:rPr>
        <w:t>)</w:t>
      </w:r>
      <w:r>
        <w:rPr/>
        <w:t>，完成了预计销售的</w:t>
      </w:r>
      <w:r>
        <w:rPr>
          <w:spacing w:val="-39"/>
        </w:rPr>
        <w:t> </w:t>
      </w:r>
      <w:r>
        <w:rPr>
          <w:rFonts w:ascii="宋体" w:hAnsi="宋体" w:cs="宋体" w:eastAsia="宋体" w:hint="default"/>
        </w:rPr>
        <w:t>69%</w:t>
      </w:r>
      <w:r>
        <w:rPr/>
        <w:t>，相信随着宏观环境</w:t>
      </w:r>
      <w:r>
        <w:rPr>
          <w:w w:val="100"/>
        </w:rPr>
        <w:t> </w:t>
      </w:r>
      <w:r>
        <w:rPr/>
        <w:t>逐步向好发展，以及公司店面经营管理能力的提升，效益水平将会进一步提升。</w:t>
      </w:r>
    </w:p>
    <w:p>
      <w:pPr>
        <w:pStyle w:val="BodyText"/>
        <w:spacing w:line="273" w:lineRule="auto" w:before="48"/>
        <w:ind w:left="140" w:right="1372"/>
        <w:jc w:val="both"/>
      </w:pPr>
      <w:r>
        <w:rPr/>
        <w:t>注 </w:t>
      </w:r>
      <w:r>
        <w:rPr>
          <w:rFonts w:ascii="宋体" w:hAnsi="宋体" w:cs="宋体" w:eastAsia="宋体" w:hint="default"/>
          <w:spacing w:val="-2"/>
        </w:rPr>
        <w:t>2</w:t>
      </w:r>
      <w:r>
        <w:rPr>
          <w:spacing w:val="-2"/>
        </w:rPr>
        <w:t>：物流中心的建成有助于本公司全国各地区的物流整合，在有效保障货源的前提下加快库存周转率，有效节约人力成本和租赁费用，提高作业效率，</w:t>
      </w:r>
      <w:r>
        <w:rPr>
          <w:spacing w:val="-42"/>
        </w:rPr>
        <w:t> </w:t>
      </w:r>
      <w:r>
        <w:rPr>
          <w:spacing w:val="-42"/>
        </w:rPr>
      </w:r>
      <w:r>
        <w:rPr/>
        <w:t>进一步提升本公司的配送服务质量和品牌形象。</w:t>
      </w:r>
    </w:p>
    <w:p>
      <w:pPr>
        <w:pStyle w:val="BodyText"/>
        <w:spacing w:line="273" w:lineRule="auto"/>
        <w:ind w:left="140" w:right="1430"/>
        <w:jc w:val="both"/>
      </w:pPr>
      <w:r>
        <w:rPr/>
        <w:t>注</w:t>
      </w:r>
      <w:r>
        <w:rPr>
          <w:spacing w:val="87"/>
        </w:rPr>
        <w:t> </w:t>
      </w:r>
      <w:r>
        <w:rPr>
          <w:rFonts w:ascii="宋体" w:hAnsi="宋体" w:cs="宋体" w:eastAsia="宋体" w:hint="default"/>
          <w:spacing w:val="-2"/>
        </w:rPr>
        <w:t>3</w:t>
      </w:r>
      <w:r>
        <w:rPr>
          <w:spacing w:val="-2"/>
        </w:rPr>
        <w:t>：补充流动资金项目募集资金将主要用于扩大本公司定制包销、</w:t>
      </w:r>
      <w:r>
        <w:rPr>
          <w:rFonts w:ascii="宋体" w:hAnsi="宋体" w:cs="宋体" w:eastAsia="宋体" w:hint="default"/>
          <w:spacing w:val="-2"/>
        </w:rPr>
        <w:t>OEM</w:t>
      </w:r>
      <w:r>
        <w:rPr>
          <w:spacing w:val="-2"/>
        </w:rPr>
        <w:t>、差异化产品比例，能够有效加强本公司单品管理能力，从而有助于毛利率水平</w:t>
      </w:r>
      <w:r>
        <w:rPr>
          <w:spacing w:val="-80"/>
        </w:rPr>
        <w:t> </w:t>
      </w:r>
      <w:r>
        <w:rPr>
          <w:spacing w:val="-80"/>
        </w:rPr>
      </w:r>
      <w:r>
        <w:rPr/>
        <w:t>的提升；同时募集资金还将用于对供应商淡季生产和旺季备货的资金支持，进一步提升与供应商的合作关系，优化供应链管理，实现双方合作共赢。</w:t>
      </w:r>
    </w:p>
    <w:p>
      <w:pPr>
        <w:pStyle w:val="Heading4"/>
        <w:spacing w:line="240" w:lineRule="auto" w:before="48"/>
        <w:ind w:left="140" w:right="0"/>
        <w:jc w:val="both"/>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r>
      <w:r>
        <w:rPr>
          <w:rFonts w:ascii="宋体" w:hAnsi="宋体" w:cs="宋体" w:eastAsia="宋体" w:hint="default"/>
        </w:rPr>
        <w:t>2011</w:t>
      </w:r>
      <w:r>
        <w:rPr>
          <w:rFonts w:ascii="宋体" w:hAnsi="宋体" w:cs="宋体" w:eastAsia="宋体" w:hint="default"/>
          <w:spacing w:val="-9"/>
        </w:rPr>
        <w:t> </w:t>
      </w:r>
      <w:r>
        <w:rPr/>
        <w:t>年非公开发行项目</w:t>
      </w:r>
      <w:r>
        <w:rPr>
          <w:b w:val="0"/>
          <w:bCs w:val="0"/>
        </w:rPr>
      </w:r>
    </w:p>
    <w:p>
      <w:pPr>
        <w:pStyle w:val="BodyText"/>
        <w:spacing w:line="240" w:lineRule="auto" w:before="63"/>
        <w:ind w:left="0" w:right="1433"/>
        <w:jc w:val="right"/>
      </w:pPr>
      <w:r>
        <w:rPr>
          <w:spacing w:val="-1"/>
        </w:rPr>
        <w:t>单位：万元</w:t>
      </w:r>
    </w:p>
    <w:p>
      <w:pPr>
        <w:spacing w:line="240" w:lineRule="auto" w:before="11"/>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828"/>
        <w:gridCol w:w="1109"/>
        <w:gridCol w:w="1256"/>
        <w:gridCol w:w="1255"/>
        <w:gridCol w:w="1107"/>
        <w:gridCol w:w="1188"/>
        <w:gridCol w:w="1058"/>
        <w:gridCol w:w="1056"/>
        <w:gridCol w:w="1059"/>
        <w:gridCol w:w="1056"/>
        <w:gridCol w:w="1046"/>
      </w:tblGrid>
      <w:tr>
        <w:trPr>
          <w:trHeight w:val="1259"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承诺投资项目和超募资金投向</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76" w:right="19" w:hanging="53"/>
              <w:jc w:val="both"/>
              <w:rPr>
                <w:rFonts w:ascii="宋体" w:hAnsi="宋体" w:cs="宋体" w:eastAsia="宋体" w:hint="default"/>
                <w:sz w:val="21"/>
                <w:szCs w:val="21"/>
              </w:rPr>
            </w:pPr>
            <w:r>
              <w:rPr>
                <w:rFonts w:ascii="宋体" w:hAnsi="宋体" w:cs="宋体" w:eastAsia="宋体" w:hint="default"/>
                <w:sz w:val="21"/>
                <w:szCs w:val="21"/>
              </w:rPr>
              <w:t>是否已变更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含部</w:t>
            </w:r>
            <w:r>
              <w:rPr>
                <w:rFonts w:ascii="宋体" w:hAnsi="宋体" w:cs="宋体" w:eastAsia="宋体" w:hint="default"/>
                <w:w w:val="100"/>
                <w:sz w:val="21"/>
                <w:szCs w:val="21"/>
              </w:rPr>
              <w:t> </w:t>
            </w:r>
            <w:r>
              <w:rPr>
                <w:rFonts w:ascii="宋体" w:hAnsi="宋体" w:cs="宋体" w:eastAsia="宋体" w:hint="default"/>
                <w:sz w:val="21"/>
                <w:szCs w:val="21"/>
              </w:rPr>
              <w:t>分变更</w:t>
            </w:r>
            <w:r>
              <w:rPr>
                <w:rFonts w:ascii="宋体" w:hAnsi="宋体" w:cs="宋体" w:eastAsia="宋体" w:hint="default"/>
                <w:sz w:val="21"/>
                <w:szCs w:val="21"/>
              </w:rPr>
              <w:t>)</w:t>
            </w:r>
          </w:p>
        </w:tc>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96" w:right="93"/>
              <w:jc w:val="left"/>
              <w:rPr>
                <w:rFonts w:ascii="宋体" w:hAnsi="宋体" w:cs="宋体" w:eastAsia="宋体" w:hint="default"/>
                <w:sz w:val="21"/>
                <w:szCs w:val="21"/>
              </w:rPr>
            </w:pPr>
            <w:r>
              <w:rPr>
                <w:rFonts w:ascii="宋体" w:hAnsi="宋体" w:cs="宋体" w:eastAsia="宋体" w:hint="default"/>
                <w:sz w:val="21"/>
                <w:szCs w:val="21"/>
              </w:rPr>
              <w:t>募集资金承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诺投资总额</w:t>
            </w:r>
          </w:p>
        </w:tc>
        <w:tc>
          <w:tcPr>
            <w:tcW w:w="1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256" w:right="91" w:hanging="159"/>
              <w:jc w:val="left"/>
              <w:rPr>
                <w:rFonts w:ascii="宋体" w:hAnsi="宋体" w:cs="宋体" w:eastAsia="宋体" w:hint="default"/>
                <w:sz w:val="21"/>
                <w:szCs w:val="21"/>
              </w:rPr>
            </w:pPr>
            <w:r>
              <w:rPr>
                <w:rFonts w:ascii="宋体" w:hAnsi="宋体" w:cs="宋体" w:eastAsia="宋体" w:hint="default"/>
                <w:sz w:val="21"/>
                <w:szCs w:val="21"/>
              </w:rPr>
              <w:t>调整后投资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总额</w:t>
            </w:r>
            <w:r>
              <w:rPr>
                <w:rFonts w:ascii="宋体" w:hAnsi="宋体" w:cs="宋体" w:eastAsia="宋体" w:hint="default"/>
                <w:sz w:val="21"/>
                <w:szCs w:val="21"/>
              </w:rPr>
              <w:t>(1)</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232" w:right="17" w:hanging="209"/>
              <w:jc w:val="left"/>
              <w:rPr>
                <w:rFonts w:ascii="宋体" w:hAnsi="宋体" w:cs="宋体" w:eastAsia="宋体" w:hint="default"/>
                <w:sz w:val="21"/>
                <w:szCs w:val="21"/>
              </w:rPr>
            </w:pPr>
            <w:r>
              <w:rPr>
                <w:rFonts w:ascii="宋体" w:hAnsi="宋体" w:cs="宋体" w:eastAsia="宋体" w:hint="default"/>
                <w:sz w:val="21"/>
                <w:szCs w:val="21"/>
              </w:rPr>
              <w:t>本报告期投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入金额</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64" w:right="57"/>
              <w:jc w:val="center"/>
              <w:rPr>
                <w:rFonts w:ascii="宋体" w:hAnsi="宋体" w:cs="宋体" w:eastAsia="宋体" w:hint="default"/>
                <w:sz w:val="21"/>
                <w:szCs w:val="21"/>
              </w:rPr>
            </w:pPr>
            <w:r>
              <w:rPr>
                <w:rFonts w:ascii="宋体" w:hAnsi="宋体" w:cs="宋体" w:eastAsia="宋体" w:hint="default"/>
                <w:sz w:val="21"/>
                <w:szCs w:val="21"/>
              </w:rPr>
              <w:t>截至期末累</w:t>
            </w:r>
            <w:r>
              <w:rPr>
                <w:rFonts w:ascii="宋体" w:hAnsi="宋体" w:cs="宋体" w:eastAsia="宋体" w:hint="default"/>
                <w:w w:val="100"/>
                <w:sz w:val="21"/>
                <w:szCs w:val="21"/>
              </w:rPr>
              <w:t> </w:t>
            </w:r>
            <w:r>
              <w:rPr>
                <w:rFonts w:ascii="宋体" w:hAnsi="宋体" w:cs="宋体" w:eastAsia="宋体" w:hint="default"/>
                <w:sz w:val="21"/>
                <w:szCs w:val="21"/>
              </w:rPr>
              <w:t>计投入金额</w:t>
            </w:r>
            <w:r>
              <w:rPr>
                <w:rFonts w:ascii="宋体" w:hAnsi="宋体" w:cs="宋体" w:eastAsia="宋体" w:hint="default"/>
                <w:w w:val="100"/>
                <w:sz w:val="21"/>
                <w:szCs w:val="21"/>
              </w:rPr>
              <w:t> </w:t>
            </w:r>
            <w:r>
              <w:rPr>
                <w:rFonts w:ascii="宋体" w:hAnsi="宋体" w:cs="宋体" w:eastAsia="宋体" w:hint="default"/>
                <w:sz w:val="21"/>
                <w:szCs w:val="21"/>
              </w:rPr>
              <w:t>(2)</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截至期末</w:t>
            </w:r>
            <w:r>
              <w:rPr>
                <w:rFonts w:ascii="宋体" w:hAnsi="宋体" w:cs="宋体" w:eastAsia="宋体" w:hint="default"/>
                <w:w w:val="100"/>
                <w:sz w:val="21"/>
                <w:szCs w:val="21"/>
              </w:rPr>
              <w:t> </w:t>
            </w:r>
            <w:r>
              <w:rPr>
                <w:rFonts w:ascii="宋体" w:hAnsi="宋体" w:cs="宋体" w:eastAsia="宋体" w:hint="default"/>
                <w:sz w:val="21"/>
                <w:szCs w:val="21"/>
              </w:rPr>
              <w:t>投资进度</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p>
            <w:pPr>
              <w:pStyle w:val="TableParagraph"/>
              <w:spacing w:line="240" w:lineRule="auto" w:before="7"/>
              <w:ind w:left="156" w:right="0"/>
              <w:jc w:val="both"/>
              <w:rPr>
                <w:rFonts w:ascii="宋体" w:hAnsi="宋体" w:cs="宋体" w:eastAsia="宋体" w:hint="default"/>
                <w:sz w:val="21"/>
                <w:szCs w:val="21"/>
              </w:rPr>
            </w:pPr>
            <w:r>
              <w:rPr>
                <w:rFonts w:ascii="宋体"/>
                <w:sz w:val="21"/>
              </w:rPr>
              <w:t>(2)/(1)</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0" w:right="101"/>
              <w:jc w:val="center"/>
              <w:rPr>
                <w:rFonts w:ascii="宋体" w:hAnsi="宋体" w:cs="宋体" w:eastAsia="宋体" w:hint="default"/>
                <w:sz w:val="21"/>
                <w:szCs w:val="21"/>
              </w:rPr>
            </w:pPr>
            <w:r>
              <w:rPr>
                <w:rFonts w:ascii="宋体" w:hAnsi="宋体" w:cs="宋体" w:eastAsia="宋体" w:hint="default"/>
                <w:sz w:val="21"/>
                <w:szCs w:val="21"/>
              </w:rPr>
              <w:t>项目达到</w:t>
            </w:r>
            <w:r>
              <w:rPr>
                <w:rFonts w:ascii="宋体" w:hAnsi="宋体" w:cs="宋体" w:eastAsia="宋体" w:hint="default"/>
                <w:w w:val="100"/>
                <w:sz w:val="21"/>
                <w:szCs w:val="21"/>
              </w:rPr>
              <w:t> </w:t>
            </w:r>
            <w:r>
              <w:rPr>
                <w:rFonts w:ascii="宋体" w:hAnsi="宋体" w:cs="宋体" w:eastAsia="宋体" w:hint="default"/>
                <w:sz w:val="21"/>
                <w:szCs w:val="21"/>
              </w:rPr>
              <w:t>预定可使</w:t>
            </w:r>
            <w:r>
              <w:rPr>
                <w:rFonts w:ascii="宋体" w:hAnsi="宋体" w:cs="宋体" w:eastAsia="宋体" w:hint="default"/>
                <w:w w:val="100"/>
                <w:sz w:val="21"/>
                <w:szCs w:val="21"/>
              </w:rPr>
              <w:t> </w:t>
            </w:r>
            <w:r>
              <w:rPr>
                <w:rFonts w:ascii="宋体" w:hAnsi="宋体" w:cs="宋体" w:eastAsia="宋体" w:hint="default"/>
                <w:sz w:val="21"/>
                <w:szCs w:val="21"/>
              </w:rPr>
              <w:t>用状态日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103" w:right="101"/>
              <w:jc w:val="center"/>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实现的效</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是否达到</w:t>
            </w:r>
            <w:r>
              <w:rPr>
                <w:rFonts w:ascii="宋体" w:hAnsi="宋体" w:cs="宋体" w:eastAsia="宋体" w:hint="default"/>
                <w:w w:val="100"/>
                <w:sz w:val="21"/>
                <w:szCs w:val="21"/>
              </w:rPr>
              <w:t> </w:t>
            </w:r>
            <w:r>
              <w:rPr>
                <w:rFonts w:ascii="宋体" w:hAnsi="宋体" w:cs="宋体" w:eastAsia="宋体" w:hint="default"/>
                <w:sz w:val="21"/>
                <w:szCs w:val="21"/>
              </w:rPr>
              <w:t>预计效益</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98" w:right="93"/>
              <w:jc w:val="center"/>
              <w:rPr>
                <w:rFonts w:ascii="宋体" w:hAnsi="宋体" w:cs="宋体" w:eastAsia="宋体" w:hint="default"/>
                <w:sz w:val="21"/>
                <w:szCs w:val="21"/>
              </w:rPr>
            </w:pPr>
            <w:r>
              <w:rPr>
                <w:rFonts w:ascii="宋体" w:hAnsi="宋体" w:cs="宋体" w:eastAsia="宋体" w:hint="default"/>
                <w:sz w:val="21"/>
                <w:szCs w:val="21"/>
              </w:rPr>
              <w:t>项目可行</w:t>
            </w:r>
            <w:r>
              <w:rPr>
                <w:rFonts w:ascii="宋体" w:hAnsi="宋体" w:cs="宋体" w:eastAsia="宋体" w:hint="default"/>
                <w:w w:val="100"/>
                <w:sz w:val="21"/>
                <w:szCs w:val="21"/>
              </w:rPr>
              <w:t> </w:t>
            </w:r>
            <w:r>
              <w:rPr>
                <w:rFonts w:ascii="宋体" w:hAnsi="宋体" w:cs="宋体" w:eastAsia="宋体" w:hint="default"/>
                <w:sz w:val="21"/>
                <w:szCs w:val="21"/>
              </w:rPr>
              <w:t>性是否发</w:t>
            </w:r>
            <w:r>
              <w:rPr>
                <w:rFonts w:ascii="宋体" w:hAnsi="宋体" w:cs="宋体" w:eastAsia="宋体" w:hint="default"/>
                <w:w w:val="100"/>
                <w:sz w:val="21"/>
                <w:szCs w:val="21"/>
              </w:rPr>
              <w:t> </w:t>
            </w:r>
            <w:r>
              <w:rPr>
                <w:rFonts w:ascii="宋体" w:hAnsi="宋体" w:cs="宋体" w:eastAsia="宋体" w:hint="default"/>
                <w:sz w:val="21"/>
                <w:szCs w:val="21"/>
              </w:rPr>
              <w:t>生重大变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322" w:hRule="exact"/>
        </w:trPr>
        <w:tc>
          <w:tcPr>
            <w:tcW w:w="140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634"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300</w:t>
            </w:r>
            <w:r>
              <w:rPr>
                <w:rFonts w:ascii="宋体" w:hAnsi="宋体" w:cs="宋体" w:eastAsia="宋体" w:hint="default"/>
                <w:spacing w:val="-53"/>
                <w:sz w:val="21"/>
                <w:szCs w:val="21"/>
              </w:rPr>
              <w:t> </w:t>
            </w:r>
            <w:r>
              <w:rPr>
                <w:rFonts w:ascii="宋体" w:hAnsi="宋体" w:cs="宋体" w:eastAsia="宋体" w:hint="default"/>
                <w:sz w:val="21"/>
                <w:szCs w:val="21"/>
              </w:rPr>
              <w:t>家连锁店发展项目</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120,000.00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3" w:right="0"/>
              <w:jc w:val="left"/>
              <w:rPr>
                <w:rFonts w:ascii="Times New Roman" w:hAnsi="Times New Roman" w:cs="Times New Roman" w:eastAsia="Times New Roman" w:hint="default"/>
                <w:sz w:val="21"/>
                <w:szCs w:val="21"/>
              </w:rPr>
            </w:pPr>
            <w:r>
              <w:rPr>
                <w:rFonts w:ascii="Times New Roman"/>
                <w:sz w:val="21"/>
              </w:rPr>
              <w:t>90,000.00</w:t>
            </w:r>
          </w:p>
          <w:p>
            <w:pPr>
              <w:pStyle w:val="TableParagraph"/>
              <w:spacing w:line="240" w:lineRule="auto" w:before="23"/>
              <w:ind w:left="434"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51,094.65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51,094.65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57%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-10,799.62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9" w:right="0"/>
              <w:jc w:val="center"/>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37"/>
              <w:ind w:left="213"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重庆长寿寿星广场店购置项目</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10,538.90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10,538.90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7,540.66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7,540.66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72%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312.85</w:t>
            </w:r>
          </w:p>
        </w:tc>
        <w:tc>
          <w:tcPr>
            <w:tcW w:w="1056" w:type="dxa"/>
            <w:vMerge w:val="restart"/>
            <w:tcBorders>
              <w:top w:val="single" w:sz="4" w:space="0" w:color="000000"/>
              <w:left w:val="single" w:sz="4" w:space="0" w:color="000000"/>
              <w:right w:val="single" w:sz="4" w:space="0" w:color="000000"/>
            </w:tcBorders>
          </w:tcPr>
          <w:p>
            <w:pPr>
              <w:pStyle w:val="TableParagraph"/>
              <w:spacing w:line="267" w:lineRule="exact"/>
              <w:ind w:left="369" w:right="0"/>
              <w:jc w:val="center"/>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37"/>
              <w:ind w:left="213"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1046"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厦门财富港湾店购置项目</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12,071.92</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12,071.92</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12,071.92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12,071.92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61.41</w:t>
            </w:r>
          </w:p>
        </w:tc>
        <w:tc>
          <w:tcPr>
            <w:tcW w:w="1056"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长春物流中心建设项目</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15,271.94</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15,271.94</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8,976.41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8,976.41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59%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w:t>
            </w:r>
          </w:p>
        </w:tc>
        <w:tc>
          <w:tcPr>
            <w:tcW w:w="10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369" w:right="0"/>
              <w:jc w:val="center"/>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37"/>
              <w:ind w:left="213"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10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4"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哈尔滨物流中心建设项目</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18,308.37</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18,308.37</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13,197.69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13,197.69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z w:val="21"/>
              </w:rPr>
              <w:t>72%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w w:val="100"/>
                <w:sz w:val="21"/>
              </w:rPr>
              <w:t>-</w:t>
            </w:r>
          </w:p>
        </w:tc>
        <w:tc>
          <w:tcPr>
            <w:tcW w:w="105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包头物流中心建设项目</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14,061.47</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14,061.47</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2,930.22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2,930.22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21%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w:t>
            </w:r>
          </w:p>
        </w:tc>
        <w:tc>
          <w:tcPr>
            <w:tcW w:w="105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济南物流中心建设项目</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14,851.98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14,851.98</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14,851.98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14,851.98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8"/>
              <w:jc w:val="right"/>
              <w:rPr>
                <w:rFonts w:ascii="Times New Roman" w:hAnsi="Times New Roman" w:cs="Times New Roman" w:eastAsia="Times New Roman" w:hint="default"/>
                <w:sz w:val="21"/>
                <w:szCs w:val="21"/>
              </w:rPr>
            </w:pPr>
            <w:r>
              <w:rPr>
                <w:rFonts w:ascii="Times New Roman"/>
                <w:sz w:val="21"/>
              </w:rPr>
              <w:t>100%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w w:val="100"/>
                <w:sz w:val="21"/>
              </w:rPr>
              <w:t>-</w:t>
            </w:r>
          </w:p>
        </w:tc>
        <w:tc>
          <w:tcPr>
            <w:tcW w:w="105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青岛物流中心建设项目</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17,821.19</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17,821.19</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17,821.19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17,821.19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w:t>
            </w:r>
          </w:p>
        </w:tc>
        <w:tc>
          <w:tcPr>
            <w:tcW w:w="105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盐城物流中心建设项目</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13,860.59</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13,860.59</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10,480.47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10,480.47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76%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w:t>
            </w:r>
          </w:p>
        </w:tc>
        <w:tc>
          <w:tcPr>
            <w:tcW w:w="105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宿迁物流中心建设项目</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10,020.78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10,020.78</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89.65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89.65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w:t>
            </w:r>
          </w:p>
        </w:tc>
        <w:tc>
          <w:tcPr>
            <w:tcW w:w="105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24"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杭州物流配送中心建设项目</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18,405.42</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18,405.42</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2"/>
                <w:sz w:val="21"/>
              </w:rPr>
              <w:t>11,737.32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2"/>
                <w:sz w:val="21"/>
              </w:rPr>
              <w:t>11,737.32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z w:val="21"/>
              </w:rPr>
              <w:t>64%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w w:val="100"/>
                <w:sz w:val="21"/>
              </w:rPr>
              <w:t>-</w:t>
            </w:r>
          </w:p>
        </w:tc>
        <w:tc>
          <w:tcPr>
            <w:tcW w:w="105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南昌物流中心建设项目</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15,319.26</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15,319.26</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5,224.35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5,224.35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34%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w:t>
            </w:r>
          </w:p>
        </w:tc>
        <w:tc>
          <w:tcPr>
            <w:tcW w:w="1056" w:type="dxa"/>
            <w:vMerge/>
            <w:tcBorders>
              <w:left w:val="single" w:sz="4" w:space="0" w:color="000000"/>
              <w:bottom w:val="nil" w:sz="6" w:space="0" w:color="auto"/>
              <w:right w:val="single" w:sz="4" w:space="0" w:color="000000"/>
            </w:tcBorders>
          </w:tcPr>
          <w:p>
            <w:pPr/>
          </w:p>
        </w:tc>
        <w:tc>
          <w:tcPr>
            <w:tcW w:w="1046" w:type="dxa"/>
            <w:vMerge/>
            <w:tcBorders>
              <w:left w:val="single" w:sz="4" w:space="0" w:color="000000"/>
              <w:bottom w:val="nil" w:sz="6" w:space="0" w:color="auto"/>
              <w:right w:val="single" w:sz="4" w:space="0" w:color="000000"/>
            </w:tcBorders>
          </w:tcPr>
          <w:p>
            <w:pPr/>
          </w:p>
        </w:tc>
      </w:tr>
    </w:tbl>
    <w:p>
      <w:pPr>
        <w:spacing w:after="0"/>
        <w:sectPr>
          <w:pgSz w:w="16840" w:h="11910" w:orient="landscape"/>
          <w:pgMar w:header="867" w:footer="980" w:top="1060" w:bottom="1160" w:left="1300" w:right="0"/>
        </w:sectPr>
      </w:pPr>
    </w:p>
    <w:p>
      <w:pPr>
        <w:spacing w:line="240" w:lineRule="auto" w:before="2"/>
        <w:rPr>
          <w:rFonts w:ascii="Times New Roman" w:hAnsi="Times New Roman" w:cs="Times New Roman" w:eastAsia="Times New Roman" w:hint="default"/>
          <w:sz w:val="3"/>
          <w:szCs w:val="3"/>
        </w:rPr>
      </w:pPr>
      <w:r>
        <w:rPr/>
        <w:pict>
          <v:shape style="position:absolute;margin-left:706.919983pt;margin-top:518.320007pt;width:135pt;height:77pt;mso-position-horizontal-relative:page;mso-position-vertical-relative:page;z-index:1528" type="#_x0000_t75" stroked="false">
            <v:imagedata r:id="rId10" o:title=""/>
          </v:shape>
        </w:pict>
      </w:r>
    </w:p>
    <w:tbl>
      <w:tblPr>
        <w:tblW w:w="0" w:type="auto"/>
        <w:jc w:val="left"/>
        <w:tblInd w:w="106" w:type="dxa"/>
        <w:tblLayout w:type="fixed"/>
        <w:tblCellMar>
          <w:top w:w="0" w:type="dxa"/>
          <w:left w:w="0" w:type="dxa"/>
          <w:bottom w:w="0" w:type="dxa"/>
          <w:right w:w="0" w:type="dxa"/>
        </w:tblCellMar>
        <w:tblLook w:val="01E0"/>
      </w:tblPr>
      <w:tblGrid>
        <w:gridCol w:w="2822"/>
        <w:gridCol w:w="1108"/>
        <w:gridCol w:w="1262"/>
        <w:gridCol w:w="1255"/>
        <w:gridCol w:w="1107"/>
        <w:gridCol w:w="1188"/>
        <w:gridCol w:w="1064"/>
        <w:gridCol w:w="1045"/>
        <w:gridCol w:w="1070"/>
        <w:gridCol w:w="1051"/>
        <w:gridCol w:w="1046"/>
      </w:tblGrid>
      <w:tr>
        <w:trPr>
          <w:trHeight w:val="339" w:hRule="exact"/>
        </w:trPr>
        <w:tc>
          <w:tcPr>
            <w:tcW w:w="2822" w:type="dxa"/>
            <w:tcBorders>
              <w:top w:val="single" w:sz="15"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福州物流中心建设项目</w:t>
            </w:r>
          </w:p>
        </w:tc>
        <w:tc>
          <w:tcPr>
            <w:tcW w:w="1108" w:type="dxa"/>
            <w:tcBorders>
              <w:top w:val="single" w:sz="15" w:space="0" w:color="000000"/>
              <w:left w:val="single" w:sz="4" w:space="0" w:color="000000"/>
              <w:bottom w:val="single" w:sz="4" w:space="0" w:color="000000"/>
              <w:right w:val="single" w:sz="4" w:space="0" w:color="000000"/>
            </w:tcBorders>
          </w:tcPr>
          <w:p>
            <w:pPr>
              <w:pStyle w:val="TableParagraph"/>
              <w:spacing w:line="265" w:lineRule="exact"/>
              <w:ind w:left="1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21"/>
                <w:szCs w:val="21"/>
              </w:rPr>
            </w:pPr>
            <w:r>
              <w:rPr>
                <w:rFonts w:ascii="Times New Roman"/>
                <w:spacing w:val="-1"/>
                <w:sz w:val="21"/>
              </w:rPr>
              <w:t>17,835.64</w:t>
            </w:r>
          </w:p>
        </w:tc>
        <w:tc>
          <w:tcPr>
            <w:tcW w:w="125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7"/>
              <w:ind w:right="17"/>
              <w:jc w:val="right"/>
              <w:rPr>
                <w:rFonts w:ascii="Times New Roman" w:hAnsi="Times New Roman" w:cs="Times New Roman" w:eastAsia="Times New Roman" w:hint="default"/>
                <w:sz w:val="21"/>
                <w:szCs w:val="21"/>
              </w:rPr>
            </w:pPr>
            <w:r>
              <w:rPr>
                <w:rFonts w:ascii="Times New Roman"/>
                <w:spacing w:val="-1"/>
                <w:sz w:val="21"/>
              </w:rPr>
              <w:t>17,835.64</w:t>
            </w:r>
          </w:p>
        </w:tc>
        <w:tc>
          <w:tcPr>
            <w:tcW w:w="110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7"/>
              <w:ind w:right="17"/>
              <w:jc w:val="right"/>
              <w:rPr>
                <w:rFonts w:ascii="Times New Roman" w:hAnsi="Times New Roman" w:cs="Times New Roman" w:eastAsia="Times New Roman" w:hint="default"/>
                <w:sz w:val="21"/>
                <w:szCs w:val="21"/>
              </w:rPr>
            </w:pPr>
            <w:r>
              <w:rPr>
                <w:rFonts w:ascii="Times New Roman"/>
                <w:spacing w:val="-1"/>
                <w:sz w:val="21"/>
              </w:rPr>
              <w:t>3,299.45</w:t>
            </w:r>
          </w:p>
        </w:tc>
        <w:tc>
          <w:tcPr>
            <w:tcW w:w="118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7"/>
              <w:ind w:right="17"/>
              <w:jc w:val="right"/>
              <w:rPr>
                <w:rFonts w:ascii="Times New Roman" w:hAnsi="Times New Roman" w:cs="Times New Roman" w:eastAsia="Times New Roman" w:hint="default"/>
                <w:sz w:val="21"/>
                <w:szCs w:val="21"/>
              </w:rPr>
            </w:pPr>
            <w:r>
              <w:rPr>
                <w:rFonts w:ascii="Times New Roman"/>
                <w:spacing w:val="-1"/>
                <w:sz w:val="21"/>
              </w:rPr>
              <w:t>3,299.45</w:t>
            </w:r>
          </w:p>
        </w:tc>
        <w:tc>
          <w:tcPr>
            <w:tcW w:w="10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7"/>
              <w:ind w:right="24"/>
              <w:jc w:val="right"/>
              <w:rPr>
                <w:rFonts w:ascii="Times New Roman" w:hAnsi="Times New Roman" w:cs="Times New Roman" w:eastAsia="Times New Roman" w:hint="default"/>
                <w:sz w:val="21"/>
                <w:szCs w:val="21"/>
              </w:rPr>
            </w:pPr>
            <w:r>
              <w:rPr>
                <w:rFonts w:ascii="Times New Roman"/>
                <w:sz w:val="21"/>
              </w:rPr>
              <w:t>18%</w:t>
            </w:r>
          </w:p>
        </w:tc>
        <w:tc>
          <w:tcPr>
            <w:tcW w:w="1045" w:type="dxa"/>
            <w:tcBorders>
              <w:top w:val="single" w:sz="15" w:space="0" w:color="000000"/>
              <w:left w:val="single" w:sz="4" w:space="0" w:color="000000"/>
              <w:bottom w:val="single" w:sz="4" w:space="0" w:color="000000"/>
              <w:right w:val="single" w:sz="4" w:space="0" w:color="000000"/>
            </w:tcBorders>
          </w:tcPr>
          <w:p>
            <w:pPr>
              <w:pStyle w:val="TableParagraph"/>
              <w:spacing w:line="281" w:lineRule="exact"/>
              <w:ind w:right="14"/>
              <w:jc w:val="righ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070" w:type="dxa"/>
            <w:tcBorders>
              <w:top w:val="single" w:sz="15" w:space="0" w:color="000000"/>
              <w:left w:val="single" w:sz="4" w:space="0" w:color="000000"/>
              <w:bottom w:val="single" w:sz="4" w:space="0" w:color="000000"/>
              <w:right w:val="single" w:sz="4" w:space="0" w:color="000000"/>
            </w:tcBorders>
          </w:tcPr>
          <w:p>
            <w:pPr>
              <w:pStyle w:val="TableParagraph"/>
              <w:spacing w:line="265" w:lineRule="exact"/>
              <w:ind w:right="27"/>
              <w:jc w:val="right"/>
              <w:rPr>
                <w:rFonts w:ascii="宋体" w:hAnsi="宋体" w:cs="宋体" w:eastAsia="宋体" w:hint="default"/>
                <w:sz w:val="21"/>
                <w:szCs w:val="21"/>
              </w:rPr>
            </w:pPr>
            <w:r>
              <w:rPr>
                <w:rFonts w:ascii="宋体"/>
                <w:w w:val="100"/>
                <w:sz w:val="21"/>
              </w:rPr>
              <w:t>-</w:t>
            </w:r>
          </w:p>
        </w:tc>
        <w:tc>
          <w:tcPr>
            <w:tcW w:w="1051" w:type="dxa"/>
            <w:vMerge w:val="restart"/>
            <w:tcBorders>
              <w:top w:val="single" w:sz="6" w:space="0" w:color="000000"/>
              <w:left w:val="single" w:sz="4" w:space="0" w:color="000000"/>
              <w:right w:val="single" w:sz="4" w:space="0" w:color="000000"/>
            </w:tcBorders>
          </w:tcPr>
          <w:p>
            <w:pPr/>
          </w:p>
        </w:tc>
        <w:tc>
          <w:tcPr>
            <w:tcW w:w="1046" w:type="dxa"/>
            <w:vMerge w:val="restart"/>
            <w:tcBorders>
              <w:top w:val="single" w:sz="15" w:space="0" w:color="000000"/>
              <w:left w:val="single" w:sz="4" w:space="0" w:color="000000"/>
              <w:right w:val="single" w:sz="4" w:space="0" w:color="000000"/>
            </w:tcBorders>
          </w:tcPr>
          <w:p>
            <w:pPr/>
          </w:p>
        </w:tc>
      </w:tr>
      <w:tr>
        <w:trPr>
          <w:trHeight w:val="32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厦门物流中心建设项目</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14,584.46</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14,584.46</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10,461.83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10,461.83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z w:val="21"/>
              </w:rPr>
              <w:t>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4"/>
              <w:jc w:val="righ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w w:val="100"/>
                <w:sz w:val="21"/>
              </w:rPr>
              <w:t>-</w:t>
            </w:r>
          </w:p>
        </w:tc>
        <w:tc>
          <w:tcPr>
            <w:tcW w:w="1051"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2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武汉物流中心建设项目</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29,601.50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29,601.50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6,561.76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6,561.76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z w:val="21"/>
              </w:rPr>
              <w:t>22%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4"/>
              <w:jc w:val="righ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w w:val="100"/>
                <w:sz w:val="21"/>
              </w:rPr>
              <w:t>-</w:t>
            </w:r>
          </w:p>
        </w:tc>
        <w:tc>
          <w:tcPr>
            <w:tcW w:w="1051"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2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广州物流中心建设项目</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41,582.97</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41,582.97</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22,717.29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22,717.29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z w:val="21"/>
              </w:rPr>
              <w:t>55%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4"/>
              <w:jc w:val="righ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w w:val="100"/>
                <w:sz w:val="21"/>
              </w:rPr>
              <w:t>-</w:t>
            </w:r>
          </w:p>
        </w:tc>
        <w:tc>
          <w:tcPr>
            <w:tcW w:w="1051"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2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中山物流中心建设项目</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15,746.35</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15,746.35</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4,539.18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4,539.18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z w:val="21"/>
              </w:rPr>
              <w:t>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4"/>
              <w:jc w:val="righ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w w:val="100"/>
                <w:sz w:val="21"/>
              </w:rPr>
              <w:t>-</w:t>
            </w:r>
          </w:p>
        </w:tc>
        <w:tc>
          <w:tcPr>
            <w:tcW w:w="1051"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2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贵阳物流中心建设项目</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14,850.30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14,850.30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4,317.15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4,317.15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z w:val="21"/>
              </w:rPr>
              <w:t>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4"/>
              <w:jc w:val="righ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w w:val="100"/>
                <w:sz w:val="21"/>
              </w:rPr>
              <w:t>-</w:t>
            </w:r>
          </w:p>
        </w:tc>
        <w:tc>
          <w:tcPr>
            <w:tcW w:w="1051"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636"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自动化物流建设项目</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22,895.68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89" w:right="0"/>
              <w:jc w:val="left"/>
              <w:rPr>
                <w:rFonts w:ascii="Times New Roman" w:hAnsi="Times New Roman" w:cs="Times New Roman" w:eastAsia="Times New Roman" w:hint="default"/>
                <w:sz w:val="21"/>
                <w:szCs w:val="21"/>
              </w:rPr>
            </w:pPr>
            <w:r>
              <w:rPr>
                <w:rFonts w:ascii="Times New Roman"/>
                <w:sz w:val="21"/>
              </w:rPr>
              <w:t>1,367.24</w:t>
            </w:r>
          </w:p>
          <w:p>
            <w:pPr>
              <w:pStyle w:val="TableParagraph"/>
              <w:spacing w:line="240" w:lineRule="auto" w:before="23"/>
              <w:ind w:left="434"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100"/>
                <w:sz w:val="21"/>
              </w:rPr>
              <w:t>-</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4"/>
              <w:jc w:val="righ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7"/>
              <w:jc w:val="right"/>
              <w:rPr>
                <w:rFonts w:ascii="宋体" w:hAnsi="宋体" w:cs="宋体" w:eastAsia="宋体" w:hint="default"/>
                <w:sz w:val="21"/>
                <w:szCs w:val="21"/>
              </w:rPr>
            </w:pPr>
            <w:r>
              <w:rPr>
                <w:rFonts w:ascii="宋体"/>
                <w:w w:val="100"/>
                <w:sz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64" w:right="0"/>
              <w:jc w:val="center"/>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37"/>
              <w:ind w:left="208"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z w:val="21"/>
                <w:szCs w:val="21"/>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1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宋体" w:hAnsi="宋体" w:cs="宋体" w:eastAsia="宋体" w:hint="default"/>
                <w:sz w:val="21"/>
                <w:szCs w:val="21"/>
              </w:rPr>
            </w:pPr>
            <w:r>
              <w:rPr>
                <w:rFonts w:ascii="宋体" w:hAnsi="宋体" w:cs="宋体" w:eastAsia="宋体" w:hint="default"/>
                <w:sz w:val="21"/>
                <w:szCs w:val="21"/>
              </w:rPr>
              <w:t>信息系统平台建设项目</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22,209.00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22,209.00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6,784.85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6,784.85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7"/>
              <w:jc w:val="right"/>
              <w:rPr>
                <w:rFonts w:ascii="宋体" w:hAnsi="宋体" w:cs="宋体" w:eastAsia="宋体" w:hint="default"/>
                <w:sz w:val="21"/>
                <w:szCs w:val="21"/>
              </w:rPr>
            </w:pPr>
            <w:r>
              <w:rPr>
                <w:rFonts w:ascii="宋体"/>
                <w:w w:val="100"/>
                <w:sz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64" w:right="0"/>
              <w:jc w:val="center"/>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37"/>
              <w:ind w:left="208"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z w:val="21"/>
                <w:szCs w:val="21"/>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1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补充流动资金项目</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55,000.00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55,000.00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54,950.27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54,950.27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99.9%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4"/>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7"/>
              <w:jc w:val="right"/>
              <w:rPr>
                <w:rFonts w:ascii="宋体" w:hAnsi="宋体" w:cs="宋体" w:eastAsia="宋体" w:hint="default"/>
                <w:sz w:val="21"/>
                <w:szCs w:val="21"/>
              </w:rPr>
            </w:pPr>
            <w:r>
              <w:rPr>
                <w:rFonts w:ascii="宋体"/>
                <w:w w:val="100"/>
                <w:sz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center"/>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37"/>
              <w:ind w:left="208"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z w:val="21"/>
                <w:szCs w:val="21"/>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8" w:hRule="exact"/>
        </w:trPr>
        <w:tc>
          <w:tcPr>
            <w:tcW w:w="2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sz w:val="21"/>
              </w:rPr>
              <w:t>--</w:t>
            </w:r>
          </w:p>
        </w:tc>
        <w:tc>
          <w:tcPr>
            <w:tcW w:w="1262" w:type="dxa"/>
            <w:tcBorders>
              <w:top w:val="single" w:sz="4" w:space="0" w:color="000000"/>
              <w:left w:val="single" w:sz="14" w:space="0" w:color="D2D2D2"/>
              <w:bottom w:val="single" w:sz="17" w:space="0" w:color="D2D2D2"/>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514,837.72</w:t>
            </w:r>
          </w:p>
        </w:tc>
        <w:tc>
          <w:tcPr>
            <w:tcW w:w="1255"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463,309.28</w:t>
            </w:r>
          </w:p>
        </w:tc>
        <w:tc>
          <w:tcPr>
            <w:tcW w:w="1107"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269,648.29</w:t>
            </w:r>
          </w:p>
        </w:tc>
        <w:tc>
          <w:tcPr>
            <w:tcW w:w="1188" w:type="dxa"/>
            <w:tcBorders>
              <w:top w:val="single" w:sz="4" w:space="0" w:color="000000"/>
              <w:left w:val="single" w:sz="4" w:space="0" w:color="000000"/>
              <w:bottom w:val="single" w:sz="17" w:space="0" w:color="D2D2D2"/>
              <w:right w:val="single" w:sz="10" w:space="0" w:color="D2D2D2"/>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269,648.29</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7"/>
              <w:jc w:val="right"/>
              <w:rPr>
                <w:rFonts w:ascii="宋体" w:hAnsi="宋体" w:cs="宋体" w:eastAsia="宋体" w:hint="default"/>
                <w:sz w:val="21"/>
                <w:szCs w:val="21"/>
              </w:rPr>
            </w:pPr>
            <w:r>
              <w:rPr>
                <w:rFonts w:ascii="宋体"/>
                <w:sz w:val="21"/>
              </w:rPr>
              <w:t>--</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6"/>
              <w:jc w:val="right"/>
              <w:rPr>
                <w:rFonts w:ascii="宋体" w:hAnsi="宋体" w:cs="宋体" w:eastAsia="宋体" w:hint="default"/>
                <w:sz w:val="21"/>
                <w:szCs w:val="21"/>
              </w:rPr>
            </w:pPr>
            <w:r>
              <w:rPr>
                <w:rFonts w:ascii="宋体"/>
                <w:sz w:val="21"/>
              </w:rPr>
              <w:t>--</w:t>
            </w:r>
          </w:p>
        </w:tc>
        <w:tc>
          <w:tcPr>
            <w:tcW w:w="1070" w:type="dxa"/>
            <w:tcBorders>
              <w:top w:val="single" w:sz="4" w:space="0" w:color="000000"/>
              <w:left w:val="single" w:sz="9" w:space="0" w:color="D2D2D2"/>
              <w:bottom w:val="single" w:sz="17" w:space="0" w:color="D2D2D2"/>
              <w:right w:val="single" w:sz="12" w:space="0" w:color="D2D2D2"/>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-10,425.36</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3"/>
              <w:jc w:val="right"/>
              <w:rPr>
                <w:rFonts w:ascii="宋体" w:hAnsi="宋体" w:cs="宋体" w:eastAsia="宋体" w:hint="default"/>
                <w:sz w:val="21"/>
                <w:szCs w:val="21"/>
              </w:rPr>
            </w:pPr>
            <w:r>
              <w:rPr>
                <w:rFonts w:ascii="宋体"/>
                <w:sz w:val="21"/>
              </w:rPr>
              <w:t>--</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3"/>
              <w:jc w:val="right"/>
              <w:rPr>
                <w:rFonts w:ascii="宋体" w:hAnsi="宋体" w:cs="宋体" w:eastAsia="宋体" w:hint="default"/>
                <w:sz w:val="21"/>
                <w:szCs w:val="21"/>
              </w:rPr>
            </w:pPr>
            <w:r>
              <w:rPr>
                <w:rFonts w:ascii="宋体"/>
                <w:sz w:val="21"/>
              </w:rPr>
              <w:t>--</w:t>
            </w:r>
          </w:p>
        </w:tc>
      </w:tr>
      <w:tr>
        <w:trPr>
          <w:trHeight w:val="355" w:hRule="exact"/>
        </w:trPr>
        <w:tc>
          <w:tcPr>
            <w:tcW w:w="140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348" w:hRule="exact"/>
        </w:trPr>
        <w:tc>
          <w:tcPr>
            <w:tcW w:w="2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归还银行贷款（如有）</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11" w:right="0"/>
              <w:jc w:val="center"/>
              <w:rPr>
                <w:rFonts w:ascii="宋体" w:hAnsi="宋体" w:cs="宋体" w:eastAsia="宋体" w:hint="default"/>
                <w:sz w:val="21"/>
                <w:szCs w:val="21"/>
              </w:rPr>
            </w:pPr>
            <w:r>
              <w:rPr>
                <w:rFonts w:ascii="宋体"/>
                <w:sz w:val="21"/>
              </w:rPr>
              <w:t>--</w:t>
            </w:r>
          </w:p>
        </w:tc>
        <w:tc>
          <w:tcPr>
            <w:tcW w:w="1262" w:type="dxa"/>
            <w:tcBorders>
              <w:top w:val="single" w:sz="17" w:space="0" w:color="D2D2D2"/>
              <w:left w:val="single" w:sz="14" w:space="0" w:color="D2D2D2"/>
              <w:bottom w:val="single" w:sz="4" w:space="0" w:color="000000"/>
              <w:right w:val="single" w:sz="4" w:space="0" w:color="000000"/>
            </w:tcBorders>
          </w:tcPr>
          <w:p>
            <w:pPr>
              <w:pStyle w:val="TableParagraph"/>
              <w:spacing w:line="272" w:lineRule="exact"/>
              <w:ind w:right="23"/>
              <w:jc w:val="right"/>
              <w:rPr>
                <w:rFonts w:ascii="宋体" w:hAnsi="宋体" w:cs="宋体" w:eastAsia="宋体" w:hint="default"/>
                <w:sz w:val="21"/>
                <w:szCs w:val="21"/>
              </w:rPr>
            </w:pPr>
            <w:r>
              <w:rPr>
                <w:rFonts w:ascii="宋体"/>
                <w:w w:val="100"/>
                <w:sz w:val="21"/>
              </w:rPr>
              <w:t>-</w:t>
            </w:r>
          </w:p>
        </w:tc>
        <w:tc>
          <w:tcPr>
            <w:tcW w:w="1255" w:type="dxa"/>
            <w:tcBorders>
              <w:top w:val="single" w:sz="17" w:space="0" w:color="D2D2D2"/>
              <w:left w:val="single" w:sz="4" w:space="0" w:color="000000"/>
              <w:bottom w:val="single" w:sz="4" w:space="0" w:color="000000"/>
              <w:right w:val="single" w:sz="4" w:space="0" w:color="000000"/>
            </w:tcBorders>
          </w:tcPr>
          <w:p>
            <w:pPr>
              <w:pStyle w:val="TableParagraph"/>
              <w:spacing w:line="272" w:lineRule="exact"/>
              <w:ind w:right="19"/>
              <w:jc w:val="right"/>
              <w:rPr>
                <w:rFonts w:ascii="宋体" w:hAnsi="宋体" w:cs="宋体" w:eastAsia="宋体" w:hint="default"/>
                <w:sz w:val="21"/>
                <w:szCs w:val="21"/>
              </w:rPr>
            </w:pPr>
            <w:r>
              <w:rPr>
                <w:rFonts w:ascii="宋体"/>
                <w:w w:val="100"/>
                <w:sz w:val="21"/>
              </w:rPr>
              <w:t>-</w:t>
            </w:r>
          </w:p>
        </w:tc>
        <w:tc>
          <w:tcPr>
            <w:tcW w:w="1107" w:type="dxa"/>
            <w:tcBorders>
              <w:top w:val="single" w:sz="17" w:space="0" w:color="D2D2D2"/>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w w:val="100"/>
                <w:sz w:val="21"/>
              </w:rPr>
              <w:t>-</w:t>
            </w:r>
          </w:p>
        </w:tc>
        <w:tc>
          <w:tcPr>
            <w:tcW w:w="1188" w:type="dxa"/>
            <w:tcBorders>
              <w:top w:val="single" w:sz="17" w:space="0" w:color="D2D2D2"/>
              <w:left w:val="single" w:sz="4" w:space="0" w:color="000000"/>
              <w:bottom w:val="single" w:sz="4" w:space="0" w:color="000000"/>
              <w:right w:val="single" w:sz="4" w:space="0" w:color="000000"/>
            </w:tcBorders>
          </w:tcPr>
          <w:p>
            <w:pPr>
              <w:pStyle w:val="TableParagraph"/>
              <w:spacing w:line="272" w:lineRule="exact"/>
              <w:ind w:right="19"/>
              <w:jc w:val="right"/>
              <w:rPr>
                <w:rFonts w:ascii="宋体" w:hAnsi="宋体" w:cs="宋体" w:eastAsia="宋体" w:hint="default"/>
                <w:sz w:val="21"/>
                <w:szCs w:val="21"/>
              </w:rPr>
            </w:pPr>
            <w:r>
              <w:rPr>
                <w:rFonts w:ascii="宋体"/>
                <w:w w:val="100"/>
                <w:sz w:val="21"/>
              </w:rPr>
              <w:t>-</w:t>
            </w:r>
          </w:p>
        </w:tc>
        <w:tc>
          <w:tcPr>
            <w:tcW w:w="1064" w:type="dxa"/>
            <w:tcBorders>
              <w:top w:val="single" w:sz="17" w:space="0" w:color="D2D2D2"/>
              <w:left w:val="single" w:sz="4" w:space="0" w:color="000000"/>
              <w:bottom w:val="single" w:sz="4" w:space="0" w:color="000000"/>
              <w:right w:val="single" w:sz="12" w:space="0" w:color="D2D2D2"/>
            </w:tcBorders>
          </w:tcPr>
          <w:p>
            <w:pPr>
              <w:pStyle w:val="TableParagraph"/>
              <w:spacing w:line="272" w:lineRule="exact"/>
              <w:ind w:right="16"/>
              <w:jc w:val="right"/>
              <w:rPr>
                <w:rFonts w:ascii="宋体" w:hAnsi="宋体" w:cs="宋体" w:eastAsia="宋体" w:hint="default"/>
                <w:sz w:val="21"/>
                <w:szCs w:val="21"/>
              </w:rPr>
            </w:pPr>
            <w:r>
              <w:rPr>
                <w:rFonts w:ascii="宋体"/>
                <w:w w:val="100"/>
                <w:sz w:val="21"/>
              </w:rPr>
              <w:t>-</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16"/>
              <w:jc w:val="right"/>
              <w:rPr>
                <w:rFonts w:ascii="宋体" w:hAnsi="宋体" w:cs="宋体" w:eastAsia="宋体" w:hint="default"/>
                <w:sz w:val="21"/>
                <w:szCs w:val="21"/>
              </w:rPr>
            </w:pPr>
            <w:r>
              <w:rPr>
                <w:rFonts w:ascii="宋体"/>
                <w:sz w:val="21"/>
              </w:rPr>
              <w:t>--</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27"/>
              <w:jc w:val="right"/>
              <w:rPr>
                <w:rFonts w:ascii="宋体" w:hAnsi="宋体" w:cs="宋体" w:eastAsia="宋体" w:hint="default"/>
                <w:sz w:val="21"/>
                <w:szCs w:val="21"/>
              </w:rPr>
            </w:pPr>
            <w:r>
              <w:rPr>
                <w:rFonts w:ascii="宋体"/>
                <w:sz w:val="21"/>
              </w:rPr>
              <w:t>--</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23"/>
              <w:jc w:val="right"/>
              <w:rPr>
                <w:rFonts w:ascii="宋体" w:hAnsi="宋体" w:cs="宋体" w:eastAsia="宋体" w:hint="default"/>
                <w:sz w:val="21"/>
                <w:szCs w:val="21"/>
              </w:rPr>
            </w:pPr>
            <w:r>
              <w:rPr>
                <w:rFonts w:ascii="宋体"/>
                <w:sz w:val="21"/>
              </w:rPr>
              <w:t>--</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23"/>
              <w:jc w:val="right"/>
              <w:rPr>
                <w:rFonts w:ascii="宋体" w:hAnsi="宋体" w:cs="宋体" w:eastAsia="宋体" w:hint="default"/>
                <w:sz w:val="21"/>
                <w:szCs w:val="21"/>
              </w:rPr>
            </w:pPr>
            <w:r>
              <w:rPr>
                <w:rFonts w:ascii="宋体"/>
                <w:sz w:val="21"/>
              </w:rPr>
              <w:t>--</w:t>
            </w:r>
          </w:p>
        </w:tc>
      </w:tr>
      <w:tr>
        <w:trPr>
          <w:trHeight w:val="322" w:hRule="exact"/>
        </w:trPr>
        <w:tc>
          <w:tcPr>
            <w:tcW w:w="2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补充流动资金（如有）</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sz w:val="21"/>
              </w:rPr>
              <w:t>--</w:t>
            </w:r>
          </w:p>
        </w:tc>
        <w:tc>
          <w:tcPr>
            <w:tcW w:w="1262" w:type="dxa"/>
            <w:tcBorders>
              <w:top w:val="single" w:sz="4" w:space="0" w:color="000000"/>
              <w:left w:val="single" w:sz="14" w:space="0" w:color="D2D2D2"/>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w w:val="100"/>
                <w:sz w:val="21"/>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w:t>
            </w:r>
          </w:p>
        </w:tc>
        <w:tc>
          <w:tcPr>
            <w:tcW w:w="1064" w:type="dxa"/>
            <w:tcBorders>
              <w:top w:val="single" w:sz="4" w:space="0" w:color="000000"/>
              <w:left w:val="single" w:sz="4" w:space="0" w:color="000000"/>
              <w:bottom w:val="single" w:sz="4" w:space="0" w:color="000000"/>
              <w:right w:val="single" w:sz="12" w:space="0" w:color="D2D2D2"/>
            </w:tcBorders>
          </w:tcPr>
          <w:p>
            <w:pPr>
              <w:pStyle w:val="TableParagraph"/>
              <w:spacing w:line="262" w:lineRule="exact"/>
              <w:ind w:right="16"/>
              <w:jc w:val="right"/>
              <w:rPr>
                <w:rFonts w:ascii="宋体" w:hAnsi="宋体" w:cs="宋体" w:eastAsia="宋体" w:hint="default"/>
                <w:sz w:val="21"/>
                <w:szCs w:val="21"/>
              </w:rPr>
            </w:pPr>
            <w:r>
              <w:rPr>
                <w:rFonts w:ascii="宋体"/>
                <w:w w:val="100"/>
                <w:sz w:val="21"/>
              </w:rPr>
              <w:t>-</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6"/>
              <w:jc w:val="right"/>
              <w:rPr>
                <w:rFonts w:ascii="宋体" w:hAnsi="宋体" w:cs="宋体" w:eastAsia="宋体" w:hint="default"/>
                <w:sz w:val="21"/>
                <w:szCs w:val="21"/>
              </w:rPr>
            </w:pPr>
            <w:r>
              <w:rPr>
                <w:rFonts w:ascii="宋体"/>
                <w:sz w:val="21"/>
              </w:rPr>
              <w:t>--</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7"/>
              <w:jc w:val="right"/>
              <w:rPr>
                <w:rFonts w:ascii="宋体" w:hAnsi="宋体" w:cs="宋体" w:eastAsia="宋体" w:hint="default"/>
                <w:sz w:val="21"/>
                <w:szCs w:val="21"/>
              </w:rPr>
            </w:pPr>
            <w:r>
              <w:rPr>
                <w:rFonts w:ascii="宋体"/>
                <w:sz w:val="21"/>
              </w:rPr>
              <w:t>--</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3"/>
              <w:jc w:val="right"/>
              <w:rPr>
                <w:rFonts w:ascii="宋体" w:hAnsi="宋体" w:cs="宋体" w:eastAsia="宋体" w:hint="default"/>
                <w:sz w:val="21"/>
                <w:szCs w:val="21"/>
              </w:rPr>
            </w:pPr>
            <w:r>
              <w:rPr>
                <w:rFonts w:ascii="宋体"/>
                <w:sz w:val="21"/>
              </w:rPr>
              <w:t>--</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3"/>
              <w:jc w:val="right"/>
              <w:rPr>
                <w:rFonts w:ascii="宋体" w:hAnsi="宋体" w:cs="宋体" w:eastAsia="宋体" w:hint="default"/>
                <w:sz w:val="21"/>
                <w:szCs w:val="21"/>
              </w:rPr>
            </w:pPr>
            <w:r>
              <w:rPr>
                <w:rFonts w:ascii="宋体"/>
                <w:sz w:val="21"/>
              </w:rPr>
              <w:t>--</w:t>
            </w:r>
          </w:p>
        </w:tc>
      </w:tr>
      <w:tr>
        <w:trPr>
          <w:trHeight w:val="322" w:hRule="exact"/>
        </w:trPr>
        <w:tc>
          <w:tcPr>
            <w:tcW w:w="2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sz w:val="21"/>
              </w:rPr>
              <w:t>--</w:t>
            </w:r>
          </w:p>
        </w:tc>
        <w:tc>
          <w:tcPr>
            <w:tcW w:w="1262" w:type="dxa"/>
            <w:tcBorders>
              <w:top w:val="single" w:sz="4" w:space="0" w:color="000000"/>
              <w:left w:val="single" w:sz="14" w:space="0" w:color="D2D2D2"/>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w w:val="100"/>
                <w:sz w:val="21"/>
              </w:rPr>
              <w:t>-</w:t>
            </w:r>
          </w:p>
        </w:tc>
        <w:tc>
          <w:tcPr>
            <w:tcW w:w="1188" w:type="dxa"/>
            <w:tcBorders>
              <w:top w:val="single" w:sz="4" w:space="0" w:color="000000"/>
              <w:left w:val="single" w:sz="4" w:space="0" w:color="000000"/>
              <w:bottom w:val="single" w:sz="4" w:space="0" w:color="000000"/>
              <w:right w:val="single" w:sz="10" w:space="0" w:color="D2D2D2"/>
            </w:tcBorders>
          </w:tcPr>
          <w:p>
            <w:pPr>
              <w:pStyle w:val="TableParagraph"/>
              <w:spacing w:line="262" w:lineRule="exact"/>
              <w:ind w:right="12"/>
              <w:jc w:val="right"/>
              <w:rPr>
                <w:rFonts w:ascii="宋体" w:hAnsi="宋体" w:cs="宋体" w:eastAsia="宋体" w:hint="default"/>
                <w:sz w:val="21"/>
                <w:szCs w:val="21"/>
              </w:rPr>
            </w:pPr>
            <w:r>
              <w:rPr>
                <w:rFonts w:ascii="宋体"/>
                <w:w w:val="100"/>
                <w:sz w:val="21"/>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7"/>
              <w:jc w:val="right"/>
              <w:rPr>
                <w:rFonts w:ascii="宋体" w:hAnsi="宋体" w:cs="宋体" w:eastAsia="宋体" w:hint="default"/>
                <w:sz w:val="21"/>
                <w:szCs w:val="21"/>
              </w:rPr>
            </w:pPr>
            <w:r>
              <w:rPr>
                <w:rFonts w:ascii="宋体"/>
                <w:sz w:val="21"/>
              </w:rPr>
              <w:t>--</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6"/>
              <w:jc w:val="right"/>
              <w:rPr>
                <w:rFonts w:ascii="宋体" w:hAnsi="宋体" w:cs="宋体" w:eastAsia="宋体" w:hint="default"/>
                <w:sz w:val="21"/>
                <w:szCs w:val="21"/>
              </w:rPr>
            </w:pPr>
            <w:r>
              <w:rPr>
                <w:rFonts w:ascii="宋体"/>
                <w:sz w:val="21"/>
              </w:rPr>
              <w:t>--</w:t>
            </w:r>
          </w:p>
        </w:tc>
        <w:tc>
          <w:tcPr>
            <w:tcW w:w="1070" w:type="dxa"/>
            <w:tcBorders>
              <w:top w:val="single" w:sz="4" w:space="0" w:color="000000"/>
              <w:left w:val="single" w:sz="9" w:space="0" w:color="D2D2D2"/>
              <w:bottom w:val="single" w:sz="4" w:space="0" w:color="000000"/>
              <w:right w:val="single" w:sz="12" w:space="0" w:color="D2D2D2"/>
            </w:tcBorders>
          </w:tcPr>
          <w:p>
            <w:pPr>
              <w:pStyle w:val="TableParagraph"/>
              <w:spacing w:line="262" w:lineRule="exact"/>
              <w:ind w:right="16"/>
              <w:jc w:val="right"/>
              <w:rPr>
                <w:rFonts w:ascii="宋体" w:hAnsi="宋体" w:cs="宋体" w:eastAsia="宋体" w:hint="default"/>
                <w:sz w:val="21"/>
                <w:szCs w:val="21"/>
              </w:rPr>
            </w:pPr>
            <w:r>
              <w:rPr>
                <w:rFonts w:ascii="宋体"/>
                <w:sz w:val="21"/>
              </w:rPr>
              <w:t>--</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3"/>
              <w:jc w:val="right"/>
              <w:rPr>
                <w:rFonts w:ascii="宋体" w:hAnsi="宋体" w:cs="宋体" w:eastAsia="宋体" w:hint="default"/>
                <w:sz w:val="21"/>
                <w:szCs w:val="21"/>
              </w:rPr>
            </w:pPr>
            <w:r>
              <w:rPr>
                <w:rFonts w:ascii="宋体"/>
                <w:sz w:val="21"/>
              </w:rPr>
              <w:t>--</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3"/>
              <w:jc w:val="right"/>
              <w:rPr>
                <w:rFonts w:ascii="宋体" w:hAnsi="宋体" w:cs="宋体" w:eastAsia="宋体" w:hint="default"/>
                <w:sz w:val="21"/>
                <w:szCs w:val="21"/>
              </w:rPr>
            </w:pPr>
            <w:r>
              <w:rPr>
                <w:rFonts w:ascii="宋体"/>
                <w:sz w:val="21"/>
              </w:rPr>
              <w:t>--</w:t>
            </w:r>
          </w:p>
        </w:tc>
      </w:tr>
      <w:tr>
        <w:trPr>
          <w:trHeight w:val="322" w:hRule="exact"/>
        </w:trPr>
        <w:tc>
          <w:tcPr>
            <w:tcW w:w="2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sz w:val="21"/>
              </w:rPr>
              <w:t>--</w:t>
            </w:r>
          </w:p>
        </w:tc>
        <w:tc>
          <w:tcPr>
            <w:tcW w:w="1262"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514,837.72</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463,309.28</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269,648.29</w:t>
            </w:r>
          </w:p>
        </w:tc>
        <w:tc>
          <w:tcPr>
            <w:tcW w:w="118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269,648.29</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7"/>
              <w:jc w:val="right"/>
              <w:rPr>
                <w:rFonts w:ascii="宋体" w:hAnsi="宋体" w:cs="宋体" w:eastAsia="宋体" w:hint="default"/>
                <w:sz w:val="21"/>
                <w:szCs w:val="21"/>
              </w:rPr>
            </w:pPr>
            <w:r>
              <w:rPr>
                <w:rFonts w:ascii="宋体"/>
                <w:sz w:val="21"/>
              </w:rPr>
              <w:t>--</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6"/>
              <w:jc w:val="right"/>
              <w:rPr>
                <w:rFonts w:ascii="宋体" w:hAnsi="宋体" w:cs="宋体" w:eastAsia="宋体" w:hint="default"/>
                <w:sz w:val="21"/>
                <w:szCs w:val="21"/>
              </w:rPr>
            </w:pPr>
            <w:r>
              <w:rPr>
                <w:rFonts w:ascii="宋体"/>
                <w:sz w:val="21"/>
              </w:rPr>
              <w:t>--</w:t>
            </w:r>
          </w:p>
        </w:tc>
        <w:tc>
          <w:tcPr>
            <w:tcW w:w="1070" w:type="dxa"/>
            <w:tcBorders>
              <w:top w:val="single" w:sz="4" w:space="0" w:color="000000"/>
              <w:left w:val="single" w:sz="9" w:space="0" w:color="D2D2D2"/>
              <w:bottom w:val="single" w:sz="4" w:space="0" w:color="000000"/>
              <w:right w:val="single" w:sz="12" w:space="0" w:color="D2D2D2"/>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-10,425.36</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3"/>
              <w:jc w:val="right"/>
              <w:rPr>
                <w:rFonts w:ascii="宋体" w:hAnsi="宋体" w:cs="宋体" w:eastAsia="宋体" w:hint="default"/>
                <w:sz w:val="21"/>
                <w:szCs w:val="21"/>
              </w:rPr>
            </w:pPr>
            <w:r>
              <w:rPr>
                <w:rFonts w:ascii="宋体"/>
                <w:sz w:val="21"/>
              </w:rPr>
              <w:t>--</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3"/>
              <w:jc w:val="right"/>
              <w:rPr>
                <w:rFonts w:ascii="宋体" w:hAnsi="宋体" w:cs="宋体" w:eastAsia="宋体" w:hint="default"/>
                <w:sz w:val="21"/>
                <w:szCs w:val="21"/>
              </w:rPr>
            </w:pPr>
            <w:r>
              <w:rPr>
                <w:rFonts w:ascii="宋体"/>
                <w:sz w:val="21"/>
              </w:rPr>
              <w:t>--</w:t>
            </w:r>
          </w:p>
        </w:tc>
      </w:tr>
      <w:tr>
        <w:trPr>
          <w:trHeight w:val="636" w:hRule="exact"/>
        </w:trPr>
        <w:tc>
          <w:tcPr>
            <w:tcW w:w="2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52"/>
              <w:jc w:val="left"/>
              <w:rPr>
                <w:rFonts w:ascii="宋体" w:hAnsi="宋体" w:cs="宋体" w:eastAsia="宋体" w:hint="default"/>
                <w:sz w:val="21"/>
                <w:szCs w:val="21"/>
              </w:rPr>
            </w:pPr>
            <w:r>
              <w:rPr>
                <w:rFonts w:ascii="宋体" w:hAnsi="宋体" w:cs="宋体" w:eastAsia="宋体" w:hint="default"/>
                <w:spacing w:val="-2"/>
                <w:sz w:val="21"/>
                <w:szCs w:val="21"/>
              </w:rPr>
              <w:t>未达到计划进度或预计收益的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情况和原因（分具体项目）</w:t>
            </w:r>
          </w:p>
        </w:tc>
        <w:tc>
          <w:tcPr>
            <w:tcW w:w="11196"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34" w:hRule="exact"/>
        </w:trPr>
        <w:tc>
          <w:tcPr>
            <w:tcW w:w="2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52"/>
              <w:jc w:val="left"/>
              <w:rPr>
                <w:rFonts w:ascii="宋体" w:hAnsi="宋体" w:cs="宋体" w:eastAsia="宋体" w:hint="default"/>
                <w:sz w:val="21"/>
                <w:szCs w:val="21"/>
              </w:rPr>
            </w:pPr>
            <w:r>
              <w:rPr>
                <w:rFonts w:ascii="宋体" w:hAnsi="宋体" w:cs="宋体" w:eastAsia="宋体" w:hint="default"/>
                <w:spacing w:val="-2"/>
                <w:sz w:val="21"/>
                <w:szCs w:val="21"/>
              </w:rPr>
              <w:t>项目可行性发生重大变化的情</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况说明</w:t>
            </w:r>
          </w:p>
        </w:tc>
        <w:tc>
          <w:tcPr>
            <w:tcW w:w="11196"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2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52"/>
              <w:jc w:val="left"/>
              <w:rPr>
                <w:rFonts w:ascii="宋体" w:hAnsi="宋体" w:cs="宋体" w:eastAsia="宋体" w:hint="default"/>
                <w:sz w:val="21"/>
                <w:szCs w:val="21"/>
              </w:rPr>
            </w:pPr>
            <w:r>
              <w:rPr>
                <w:rFonts w:ascii="宋体" w:hAnsi="宋体" w:cs="宋体" w:eastAsia="宋体" w:hint="default"/>
                <w:spacing w:val="-2"/>
                <w:sz w:val="21"/>
                <w:szCs w:val="21"/>
              </w:rPr>
              <w:t>超募资金的金额、用途及使用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进展情况</w:t>
            </w:r>
          </w:p>
        </w:tc>
        <w:tc>
          <w:tcPr>
            <w:tcW w:w="11196"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2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52"/>
              <w:jc w:val="left"/>
              <w:rPr>
                <w:rFonts w:ascii="宋体" w:hAnsi="宋体" w:cs="宋体" w:eastAsia="宋体" w:hint="default"/>
                <w:sz w:val="21"/>
                <w:szCs w:val="21"/>
              </w:rPr>
            </w:pPr>
            <w:r>
              <w:rPr>
                <w:rFonts w:ascii="宋体" w:hAnsi="宋体" w:cs="宋体" w:eastAsia="宋体" w:hint="default"/>
                <w:spacing w:val="-2"/>
                <w:sz w:val="21"/>
                <w:szCs w:val="21"/>
              </w:rPr>
              <w:t>募集资金投资项目实施地点变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更情况</w:t>
            </w:r>
          </w:p>
        </w:tc>
        <w:tc>
          <w:tcPr>
            <w:tcW w:w="11196"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2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52"/>
              <w:jc w:val="left"/>
              <w:rPr>
                <w:rFonts w:ascii="宋体" w:hAnsi="宋体" w:cs="宋体" w:eastAsia="宋体" w:hint="default"/>
                <w:sz w:val="21"/>
                <w:szCs w:val="21"/>
              </w:rPr>
            </w:pPr>
            <w:r>
              <w:rPr>
                <w:rFonts w:ascii="宋体" w:hAnsi="宋体" w:cs="宋体" w:eastAsia="宋体" w:hint="default"/>
                <w:spacing w:val="-2"/>
                <w:sz w:val="21"/>
                <w:szCs w:val="21"/>
              </w:rPr>
              <w:t>募集资金投资项目实施方式调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整情况</w:t>
            </w:r>
          </w:p>
        </w:tc>
        <w:tc>
          <w:tcPr>
            <w:tcW w:w="11196"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pgSz w:w="16840" w:h="11910" w:orient="landscape"/>
          <w:pgMar w:header="867" w:footer="980" w:top="1060" w:bottom="1160" w:left="130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828"/>
        <w:gridCol w:w="11190"/>
      </w:tblGrid>
      <w:tr>
        <w:trPr>
          <w:trHeight w:val="2211" w:hRule="exact"/>
        </w:trPr>
        <w:tc>
          <w:tcPr>
            <w:tcW w:w="282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73" w:lineRule="auto"/>
              <w:ind w:left="23" w:right="58"/>
              <w:jc w:val="left"/>
              <w:rPr>
                <w:rFonts w:ascii="宋体" w:hAnsi="宋体" w:cs="宋体" w:eastAsia="宋体" w:hint="default"/>
                <w:sz w:val="21"/>
                <w:szCs w:val="21"/>
              </w:rPr>
            </w:pPr>
            <w:r>
              <w:rPr>
                <w:rFonts w:ascii="宋体" w:hAnsi="宋体" w:cs="宋体" w:eastAsia="宋体" w:hint="default"/>
                <w:spacing w:val="-2"/>
                <w:sz w:val="21"/>
                <w:szCs w:val="21"/>
              </w:rPr>
              <w:t>募集资金投入项目先期投入及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置换情况</w:t>
            </w:r>
          </w:p>
        </w:tc>
        <w:tc>
          <w:tcPr>
            <w:tcW w:w="11190" w:type="dxa"/>
            <w:tcBorders>
              <w:top w:val="single" w:sz="15" w:space="0" w:color="000000"/>
              <w:left w:val="single" w:sz="4" w:space="0" w:color="000000"/>
              <w:bottom w:val="single" w:sz="4" w:space="0" w:color="000000"/>
              <w:right w:val="single" w:sz="4" w:space="0" w:color="000000"/>
            </w:tcBorders>
          </w:tcPr>
          <w:p>
            <w:pPr>
              <w:pStyle w:val="TableParagraph"/>
              <w:spacing w:line="273" w:lineRule="auto"/>
              <w:ind w:left="23" w:right="16"/>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年第一次临时股东大会决议，本公司可先行投入部分自筹资金进行项目建设。截止</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日止，公</w:t>
            </w:r>
            <w:r>
              <w:rPr>
                <w:rFonts w:ascii="宋体" w:hAnsi="宋体" w:cs="宋体" w:eastAsia="宋体" w:hint="default"/>
                <w:w w:val="100"/>
                <w:sz w:val="21"/>
                <w:szCs w:val="21"/>
              </w:rPr>
              <w:t> </w:t>
            </w:r>
            <w:r>
              <w:rPr>
                <w:rFonts w:ascii="宋体" w:hAnsi="宋体" w:cs="宋体" w:eastAsia="宋体" w:hint="default"/>
                <w:sz w:val="21"/>
                <w:szCs w:val="21"/>
              </w:rPr>
              <w:t>司以自筹资金预先投入部分募集资金投资项目</w:t>
            </w:r>
            <w:r>
              <w:rPr>
                <w:rFonts w:ascii="宋体" w:hAnsi="宋体" w:cs="宋体" w:eastAsia="宋体" w:hint="default"/>
                <w:sz w:val="21"/>
                <w:szCs w:val="21"/>
              </w:rPr>
              <w:t>-</w:t>
            </w:r>
            <w:r>
              <w:rPr>
                <w:rFonts w:ascii="宋体" w:hAnsi="宋体" w:cs="宋体" w:eastAsia="宋体" w:hint="default"/>
                <w:sz w:val="21"/>
                <w:szCs w:val="21"/>
              </w:rPr>
              <w:t>购置店发展项目、物流中心建设项目及信息平台升级项目共计人民币</w:t>
            </w:r>
            <w:r>
              <w:rPr>
                <w:rFonts w:ascii="宋体" w:hAnsi="宋体" w:cs="宋体" w:eastAsia="宋体" w:hint="default"/>
                <w:w w:val="100"/>
                <w:sz w:val="21"/>
                <w:szCs w:val="21"/>
              </w:rPr>
              <w:t> </w:t>
            </w:r>
            <w:r>
              <w:rPr>
                <w:rFonts w:ascii="宋体" w:hAnsi="宋体" w:cs="宋体" w:eastAsia="宋体" w:hint="default"/>
                <w:sz w:val="21"/>
                <w:szCs w:val="21"/>
              </w:rPr>
              <w:t>136,490.28</w:t>
            </w:r>
            <w:r>
              <w:rPr>
                <w:rFonts w:ascii="宋体" w:hAnsi="宋体" w:cs="宋体" w:eastAsia="宋体" w:hint="default"/>
                <w:spacing w:val="-40"/>
                <w:sz w:val="21"/>
                <w:szCs w:val="21"/>
              </w:rPr>
              <w:t> </w:t>
            </w:r>
            <w:r>
              <w:rPr>
                <w:rFonts w:ascii="宋体" w:hAnsi="宋体" w:cs="宋体" w:eastAsia="宋体" w:hint="default"/>
                <w:spacing w:val="-7"/>
                <w:sz w:val="21"/>
                <w:szCs w:val="21"/>
              </w:rPr>
              <w:t>万元；截止</w:t>
            </w:r>
            <w:r>
              <w:rPr>
                <w:rFonts w:ascii="宋体" w:hAnsi="宋体" w:cs="宋体" w:eastAsia="宋体" w:hint="default"/>
                <w:spacing w:val="-41"/>
                <w:sz w:val="21"/>
                <w:szCs w:val="21"/>
              </w:rPr>
              <w:t> </w:t>
            </w:r>
            <w:r>
              <w:rPr>
                <w:rFonts w:ascii="宋体" w:hAnsi="宋体" w:cs="宋体" w:eastAsia="宋体" w:hint="default"/>
                <w:sz w:val="21"/>
                <w:szCs w:val="21"/>
              </w:rPr>
              <w:t>2012</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8</w:t>
            </w:r>
            <w:r>
              <w:rPr>
                <w:rFonts w:ascii="宋体" w:hAnsi="宋体" w:cs="宋体" w:eastAsia="宋体" w:hint="default"/>
                <w:spacing w:val="-41"/>
                <w:sz w:val="21"/>
                <w:szCs w:val="21"/>
              </w:rPr>
              <w:t> </w:t>
            </w:r>
            <w:r>
              <w:rPr>
                <w:rFonts w:ascii="宋体" w:hAnsi="宋体" w:cs="宋体" w:eastAsia="宋体" w:hint="default"/>
                <w:spacing w:val="-3"/>
                <w:sz w:val="21"/>
                <w:szCs w:val="21"/>
              </w:rPr>
              <w:t>日止，公司以自筹资金预先投入部分募集资金投资项目</w:t>
            </w:r>
            <w:r>
              <w:rPr>
                <w:rFonts w:ascii="宋体" w:hAnsi="宋体" w:cs="宋体" w:eastAsia="宋体" w:hint="default"/>
                <w:spacing w:val="-3"/>
                <w:sz w:val="21"/>
                <w:szCs w:val="21"/>
              </w:rPr>
              <w:t>-</w:t>
            </w:r>
            <w:r>
              <w:rPr>
                <w:rFonts w:ascii="宋体" w:hAnsi="宋体" w:cs="宋体" w:eastAsia="宋体" w:hint="default"/>
                <w:spacing w:val="-3"/>
                <w:sz w:val="21"/>
                <w:szCs w:val="21"/>
              </w:rPr>
              <w:t>租赁店发展项目共计人民币</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pacing w:val="-1"/>
                <w:sz w:val="21"/>
                <w:szCs w:val="21"/>
              </w:rPr>
              <w:t>44,933.49</w:t>
            </w:r>
            <w:r>
              <w:rPr>
                <w:rFonts w:ascii="宋体" w:hAnsi="宋体" w:cs="宋体" w:eastAsia="宋体" w:hint="default"/>
                <w:spacing w:val="47"/>
                <w:sz w:val="21"/>
                <w:szCs w:val="21"/>
              </w:rPr>
              <w:t> </w:t>
            </w:r>
            <w:r>
              <w:rPr>
                <w:rFonts w:ascii="宋体" w:hAnsi="宋体" w:cs="宋体" w:eastAsia="宋体" w:hint="default"/>
                <w:spacing w:val="-2"/>
                <w:sz w:val="21"/>
                <w:szCs w:val="21"/>
              </w:rPr>
              <w:t>万元，前述自筹资金预先投入募集资金项目情况已经普华永道中天会计师事务所予以验证，并分别出具普华永</w:t>
            </w:r>
          </w:p>
          <w:p>
            <w:pPr>
              <w:pStyle w:val="TableParagraph"/>
              <w:spacing w:line="273" w:lineRule="auto" w:before="37"/>
              <w:ind w:left="23" w:right="16"/>
              <w:jc w:val="both"/>
              <w:rPr>
                <w:rFonts w:ascii="宋体" w:hAnsi="宋体" w:cs="宋体" w:eastAsia="宋体" w:hint="default"/>
                <w:sz w:val="21"/>
                <w:szCs w:val="21"/>
              </w:rPr>
            </w:pPr>
            <w:r>
              <w:rPr>
                <w:rFonts w:ascii="宋体" w:hAnsi="宋体" w:cs="宋体" w:eastAsia="宋体" w:hint="default"/>
                <w:sz w:val="21"/>
                <w:szCs w:val="21"/>
              </w:rPr>
              <w:t>道中天特审字</w:t>
            </w:r>
            <w:r>
              <w:rPr>
                <w:rFonts w:ascii="宋体" w:hAnsi="宋体" w:cs="宋体" w:eastAsia="宋体" w:hint="default"/>
                <w:sz w:val="21"/>
                <w:szCs w:val="21"/>
              </w:rPr>
              <w:t>(2012)</w:t>
            </w:r>
            <w:r>
              <w:rPr>
                <w:rFonts w:ascii="宋体" w:hAnsi="宋体" w:cs="宋体" w:eastAsia="宋体" w:hint="default"/>
                <w:sz w:val="21"/>
                <w:szCs w:val="21"/>
              </w:rPr>
              <w:t>第</w:t>
            </w:r>
            <w:r>
              <w:rPr>
                <w:rFonts w:ascii="宋体" w:hAnsi="宋体" w:cs="宋体" w:eastAsia="宋体" w:hint="default"/>
                <w:spacing w:val="-57"/>
                <w:sz w:val="21"/>
                <w:szCs w:val="21"/>
              </w:rPr>
              <w:t> </w:t>
            </w:r>
            <w:r>
              <w:rPr>
                <w:rFonts w:ascii="宋体" w:hAnsi="宋体" w:cs="宋体" w:eastAsia="宋体" w:hint="default"/>
                <w:sz w:val="21"/>
                <w:szCs w:val="21"/>
              </w:rPr>
              <w:t>1129</w:t>
            </w:r>
            <w:r>
              <w:rPr>
                <w:rFonts w:ascii="宋体" w:hAnsi="宋体" w:cs="宋体" w:eastAsia="宋体" w:hint="default"/>
                <w:spacing w:val="-57"/>
                <w:sz w:val="21"/>
                <w:szCs w:val="21"/>
              </w:rPr>
              <w:t> </w:t>
            </w:r>
            <w:r>
              <w:rPr>
                <w:rFonts w:ascii="宋体" w:hAnsi="宋体" w:cs="宋体" w:eastAsia="宋体" w:hint="default"/>
                <w:sz w:val="21"/>
                <w:szCs w:val="21"/>
              </w:rPr>
              <w:t>号、中天特审字</w:t>
            </w:r>
            <w:r>
              <w:rPr>
                <w:rFonts w:ascii="宋体" w:hAnsi="宋体" w:cs="宋体" w:eastAsia="宋体" w:hint="default"/>
                <w:sz w:val="21"/>
                <w:szCs w:val="21"/>
              </w:rPr>
              <w:t>(2012)</w:t>
            </w:r>
            <w:r>
              <w:rPr>
                <w:rFonts w:ascii="宋体" w:hAnsi="宋体" w:cs="宋体" w:eastAsia="宋体" w:hint="default"/>
                <w:sz w:val="21"/>
                <w:szCs w:val="21"/>
              </w:rPr>
              <w:t>第</w:t>
            </w:r>
            <w:r>
              <w:rPr>
                <w:rFonts w:ascii="宋体" w:hAnsi="宋体" w:cs="宋体" w:eastAsia="宋体" w:hint="default"/>
                <w:spacing w:val="-57"/>
                <w:sz w:val="21"/>
                <w:szCs w:val="21"/>
              </w:rPr>
              <w:t> </w:t>
            </w:r>
            <w:r>
              <w:rPr>
                <w:rFonts w:ascii="宋体" w:hAnsi="宋体" w:cs="宋体" w:eastAsia="宋体" w:hint="default"/>
                <w:sz w:val="21"/>
                <w:szCs w:val="21"/>
              </w:rPr>
              <w:t>1196</w:t>
            </w:r>
            <w:r>
              <w:rPr>
                <w:rFonts w:ascii="宋体" w:hAnsi="宋体" w:cs="宋体" w:eastAsia="宋体" w:hint="default"/>
                <w:spacing w:val="-57"/>
                <w:sz w:val="21"/>
                <w:szCs w:val="21"/>
              </w:rPr>
              <w:t> </w:t>
            </w:r>
            <w:r>
              <w:rPr>
                <w:rFonts w:ascii="宋体" w:hAnsi="宋体" w:cs="宋体" w:eastAsia="宋体" w:hint="default"/>
                <w:sz w:val="21"/>
                <w:szCs w:val="21"/>
              </w:rPr>
              <w:t>号鉴证报告，经公司第四届董事会第二十七次、第四届董事会</w:t>
            </w:r>
            <w:r>
              <w:rPr>
                <w:rFonts w:ascii="宋体" w:hAnsi="宋体" w:cs="宋体" w:eastAsia="宋体" w:hint="default"/>
                <w:w w:val="100"/>
                <w:sz w:val="21"/>
                <w:szCs w:val="21"/>
              </w:rPr>
              <w:t> </w:t>
            </w:r>
            <w:r>
              <w:rPr>
                <w:rFonts w:ascii="宋体" w:hAnsi="宋体" w:cs="宋体" w:eastAsia="宋体" w:hint="default"/>
                <w:spacing w:val="-2"/>
                <w:sz w:val="21"/>
                <w:szCs w:val="21"/>
              </w:rPr>
              <w:t>第三十次会议审议通过，公司保荐机构、独立董事、监事会发表明确同意意见后，同意公司以募集资金置换预先投入的自</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筹资金。具体情况可以参见公司</w:t>
            </w:r>
            <w:r>
              <w:rPr>
                <w:rFonts w:ascii="宋体" w:hAnsi="宋体" w:cs="宋体" w:eastAsia="宋体" w:hint="default"/>
                <w:spacing w:val="-58"/>
                <w:sz w:val="21"/>
                <w:szCs w:val="21"/>
              </w:rPr>
              <w:t> </w:t>
            </w:r>
            <w:r>
              <w:rPr>
                <w:rFonts w:ascii="宋体" w:hAnsi="宋体" w:cs="宋体" w:eastAsia="宋体" w:hint="default"/>
                <w:sz w:val="21"/>
                <w:szCs w:val="21"/>
              </w:rPr>
              <w:t>2012-030</w:t>
            </w:r>
            <w:r>
              <w:rPr>
                <w:rFonts w:ascii="宋体" w:hAnsi="宋体" w:cs="宋体" w:eastAsia="宋体" w:hint="default"/>
                <w:sz w:val="21"/>
                <w:szCs w:val="21"/>
              </w:rPr>
              <w:t>、</w:t>
            </w:r>
            <w:r>
              <w:rPr>
                <w:rFonts w:ascii="宋体" w:hAnsi="宋体" w:cs="宋体" w:eastAsia="宋体" w:hint="default"/>
                <w:sz w:val="21"/>
                <w:szCs w:val="21"/>
              </w:rPr>
              <w:t>2012-046</w:t>
            </w:r>
            <w:r>
              <w:rPr>
                <w:rFonts w:ascii="宋体" w:hAnsi="宋体" w:cs="宋体" w:eastAsia="宋体" w:hint="default"/>
                <w:spacing w:val="-57"/>
                <w:sz w:val="21"/>
                <w:szCs w:val="21"/>
              </w:rPr>
              <w:t> </w:t>
            </w:r>
            <w:r>
              <w:rPr>
                <w:rFonts w:ascii="宋体" w:hAnsi="宋体" w:cs="宋体" w:eastAsia="宋体" w:hint="default"/>
                <w:sz w:val="21"/>
                <w:szCs w:val="21"/>
              </w:rPr>
              <w:t>号公告。</w:t>
            </w:r>
          </w:p>
        </w:tc>
      </w:tr>
      <w:tr>
        <w:trPr>
          <w:trHeight w:val="634"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58"/>
              <w:jc w:val="left"/>
              <w:rPr>
                <w:rFonts w:ascii="宋体" w:hAnsi="宋体" w:cs="宋体" w:eastAsia="宋体" w:hint="default"/>
                <w:sz w:val="21"/>
                <w:szCs w:val="21"/>
              </w:rPr>
            </w:pPr>
            <w:r>
              <w:rPr>
                <w:rFonts w:ascii="宋体" w:hAnsi="宋体" w:cs="宋体" w:eastAsia="宋体" w:hint="default"/>
                <w:spacing w:val="-2"/>
                <w:sz w:val="21"/>
                <w:szCs w:val="21"/>
              </w:rPr>
              <w:t>用闲置募集资金暂时补充流动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资金情况</w:t>
            </w:r>
          </w:p>
        </w:tc>
        <w:tc>
          <w:tcPr>
            <w:tcW w:w="1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58"/>
              <w:jc w:val="left"/>
              <w:rPr>
                <w:rFonts w:ascii="宋体" w:hAnsi="宋体" w:cs="宋体" w:eastAsia="宋体" w:hint="default"/>
                <w:sz w:val="21"/>
                <w:szCs w:val="21"/>
              </w:rPr>
            </w:pPr>
            <w:r>
              <w:rPr>
                <w:rFonts w:ascii="宋体" w:hAnsi="宋体" w:cs="宋体" w:eastAsia="宋体" w:hint="default"/>
                <w:spacing w:val="-2"/>
                <w:sz w:val="21"/>
                <w:szCs w:val="21"/>
              </w:rPr>
              <w:t>项目实施出现募集资金结余的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金额及原因</w:t>
            </w:r>
          </w:p>
        </w:tc>
        <w:tc>
          <w:tcPr>
            <w:tcW w:w="1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46"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3" w:right="58"/>
              <w:jc w:val="left"/>
              <w:rPr>
                <w:rFonts w:ascii="宋体" w:hAnsi="宋体" w:cs="宋体" w:eastAsia="宋体" w:hint="default"/>
                <w:sz w:val="21"/>
                <w:szCs w:val="21"/>
              </w:rPr>
            </w:pPr>
            <w:r>
              <w:rPr>
                <w:rFonts w:ascii="宋体" w:hAnsi="宋体" w:cs="宋体" w:eastAsia="宋体" w:hint="default"/>
                <w:spacing w:val="-2"/>
                <w:sz w:val="21"/>
                <w:szCs w:val="21"/>
              </w:rPr>
              <w:t>尚未使用的募集资金用途及去</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向</w:t>
            </w:r>
          </w:p>
        </w:tc>
        <w:tc>
          <w:tcPr>
            <w:tcW w:w="11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6"/>
              <w:jc w:val="left"/>
              <w:rPr>
                <w:rFonts w:ascii="宋体" w:hAnsi="宋体" w:cs="宋体" w:eastAsia="宋体" w:hint="default"/>
                <w:sz w:val="21"/>
                <w:szCs w:val="21"/>
              </w:rPr>
            </w:pPr>
            <w:r>
              <w:rPr>
                <w:rFonts w:ascii="宋体" w:hAnsi="宋体" w:cs="宋体" w:eastAsia="宋体" w:hint="default"/>
                <w:spacing w:val="-2"/>
                <w:sz w:val="21"/>
                <w:szCs w:val="21"/>
              </w:rPr>
              <w:t>公司尚未使用的募集资金将主要用于连锁店发展项目、物流平台建设项目及信息系统平台升级项目。公司将尚未使用的募</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集资金存放于公司专户中，其中为提高资金使用效率，将闲置的募集资金</w:t>
            </w:r>
            <w:r>
              <w:rPr>
                <w:rFonts w:ascii="宋体" w:hAnsi="宋体" w:cs="宋体" w:eastAsia="宋体" w:hint="default"/>
                <w:spacing w:val="-55"/>
                <w:sz w:val="21"/>
                <w:szCs w:val="21"/>
              </w:rPr>
              <w:t> </w:t>
            </w:r>
            <w:r>
              <w:rPr>
                <w:rFonts w:ascii="宋体" w:hAnsi="宋体" w:cs="宋体" w:eastAsia="宋体" w:hint="default"/>
                <w:sz w:val="21"/>
                <w:szCs w:val="21"/>
              </w:rPr>
              <w:t>14.95</w:t>
            </w:r>
            <w:r>
              <w:rPr>
                <w:rFonts w:ascii="宋体" w:hAnsi="宋体" w:cs="宋体" w:eastAsia="宋体" w:hint="default"/>
                <w:spacing w:val="-55"/>
                <w:sz w:val="21"/>
                <w:szCs w:val="21"/>
              </w:rPr>
              <w:t> </w:t>
            </w:r>
            <w:r>
              <w:rPr>
                <w:rFonts w:ascii="宋体" w:hAnsi="宋体" w:cs="宋体" w:eastAsia="宋体" w:hint="default"/>
                <w:sz w:val="21"/>
                <w:szCs w:val="21"/>
              </w:rPr>
              <w:t>亿元以定期存单的方式存放，</w:t>
            </w:r>
            <w:r>
              <w:rPr>
                <w:rFonts w:ascii="宋体" w:hAnsi="宋体" w:cs="宋体" w:eastAsia="宋体" w:hint="default"/>
                <w:sz w:val="21"/>
                <w:szCs w:val="21"/>
              </w:rPr>
              <w:t>33,299.84</w:t>
            </w:r>
            <w:r>
              <w:rPr>
                <w:rFonts w:ascii="宋体" w:hAnsi="宋体" w:cs="宋体" w:eastAsia="宋体" w:hint="default"/>
                <w:w w:val="100"/>
                <w:sz w:val="21"/>
                <w:szCs w:val="21"/>
              </w:rPr>
              <w:t> </w:t>
            </w:r>
            <w:r>
              <w:rPr>
                <w:rFonts w:ascii="宋体" w:hAnsi="宋体" w:cs="宋体" w:eastAsia="宋体" w:hint="default"/>
                <w:sz w:val="21"/>
                <w:szCs w:val="21"/>
              </w:rPr>
              <w:t>万元以通知存款方式存放，不存在存单抵押、质押及其他所有权、使用权受到限制的情况。</w:t>
            </w:r>
          </w:p>
        </w:tc>
      </w:tr>
      <w:tr>
        <w:trPr>
          <w:trHeight w:val="634"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58"/>
              <w:jc w:val="left"/>
              <w:rPr>
                <w:rFonts w:ascii="宋体" w:hAnsi="宋体" w:cs="宋体" w:eastAsia="宋体" w:hint="default"/>
                <w:sz w:val="21"/>
                <w:szCs w:val="21"/>
              </w:rPr>
            </w:pPr>
            <w:r>
              <w:rPr>
                <w:rFonts w:ascii="宋体" w:hAnsi="宋体" w:cs="宋体" w:eastAsia="宋体" w:hint="default"/>
                <w:spacing w:val="-2"/>
                <w:sz w:val="21"/>
                <w:szCs w:val="21"/>
              </w:rPr>
              <w:t>募集资金使用及披露中存在的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问题或其他情况</w:t>
            </w:r>
          </w:p>
        </w:tc>
        <w:tc>
          <w:tcPr>
            <w:tcW w:w="1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73" w:lineRule="auto" w:before="28"/>
        <w:ind w:left="140" w:right="1183"/>
        <w:jc w:val="left"/>
      </w:pPr>
      <w:r>
        <w:rPr/>
        <w:t>注</w:t>
      </w:r>
      <w:r>
        <w:rPr>
          <w:spacing w:val="-39"/>
        </w:rPr>
        <w:t> </w:t>
      </w:r>
      <w:r>
        <w:rPr>
          <w:rFonts w:ascii="宋体" w:hAnsi="宋体" w:cs="宋体" w:eastAsia="宋体" w:hint="default"/>
          <w:spacing w:val="-3"/>
        </w:rPr>
        <w:t>1</w:t>
      </w:r>
      <w:r>
        <w:rPr>
          <w:spacing w:val="-3"/>
        </w:rPr>
        <w:t>：由于实际募集资金净额少于</w:t>
      </w:r>
      <w:r>
        <w:rPr>
          <w:spacing w:val="-39"/>
        </w:rPr>
        <w:t> </w:t>
      </w:r>
      <w:r>
        <w:rPr>
          <w:rFonts w:ascii="宋体" w:hAnsi="宋体" w:cs="宋体" w:eastAsia="宋体" w:hint="default"/>
        </w:rPr>
        <w:t>2011</w:t>
      </w:r>
      <w:r>
        <w:rPr>
          <w:rFonts w:ascii="宋体" w:hAnsi="宋体" w:cs="宋体" w:eastAsia="宋体" w:hint="default"/>
          <w:spacing w:val="-39"/>
        </w:rPr>
        <w:t> </w:t>
      </w:r>
      <w:r>
        <w:rPr>
          <w:spacing w:val="-3"/>
        </w:rPr>
        <w:t>年非公开发行股票方案中计划使用募集资金金额，根据公司</w:t>
      </w:r>
      <w:r>
        <w:rPr>
          <w:spacing w:val="-39"/>
        </w:rPr>
        <w:t> </w:t>
      </w:r>
      <w:r>
        <w:rPr>
          <w:rFonts w:ascii="宋体" w:hAnsi="宋体" w:cs="宋体" w:eastAsia="宋体" w:hint="default"/>
        </w:rPr>
        <w:t>2011</w:t>
      </w:r>
      <w:r>
        <w:rPr>
          <w:rFonts w:ascii="宋体" w:hAnsi="宋体" w:cs="宋体" w:eastAsia="宋体" w:hint="default"/>
          <w:spacing w:val="-41"/>
        </w:rPr>
        <w:t> </w:t>
      </w:r>
      <w:r>
        <w:rPr>
          <w:spacing w:val="-3"/>
        </w:rPr>
        <w:t>年第一次临时股东大会决议，若本次发行实际募</w:t>
      </w:r>
      <w:r>
        <w:rPr>
          <w:spacing w:val="-68"/>
        </w:rPr>
        <w:t> </w:t>
      </w:r>
      <w:r>
        <w:rPr>
          <w:spacing w:val="-68"/>
        </w:rPr>
      </w:r>
      <w:r>
        <w:rPr>
          <w:spacing w:val="-2"/>
        </w:rPr>
        <w:t>集资金净额少于上述项目拟投入募集资金总额，公司将根据实际募集资金净额，按照项目的轻重缓急等情况，调整并最终决定募集资金的具体投资项目、</w:t>
      </w:r>
      <w:r>
        <w:rPr>
          <w:spacing w:val="6"/>
        </w:rPr>
        <w:t> </w:t>
      </w:r>
      <w:r>
        <w:rPr>
          <w:spacing w:val="6"/>
        </w:rPr>
      </w:r>
      <w:r>
        <w:rPr>
          <w:spacing w:val="-2"/>
        </w:rPr>
        <w:t>优先顺序及各项目的具体投资金额，募集资金不足部分由公司以自有资金解决</w:t>
      </w:r>
      <w:r>
        <w:rPr>
          <w:rFonts w:ascii="宋体" w:hAnsi="宋体" w:cs="宋体" w:eastAsia="宋体" w:hint="default"/>
          <w:spacing w:val="-2"/>
        </w:rPr>
        <w:t>,</w:t>
      </w:r>
      <w:r>
        <w:rPr>
          <w:spacing w:val="-2"/>
        </w:rPr>
        <w:t>故对租赁店发展项目、自动化物流建设项目的募集资金投资总额进行了调</w:t>
      </w:r>
      <w:r>
        <w:rPr>
          <w:spacing w:val="7"/>
        </w:rPr>
        <w:t> </w:t>
      </w:r>
      <w:r>
        <w:rPr>
          <w:spacing w:val="7"/>
        </w:rPr>
      </w:r>
      <w:r>
        <w:rPr/>
        <w:t>整。</w:t>
      </w:r>
    </w:p>
    <w:p>
      <w:pPr>
        <w:pStyle w:val="BodyText"/>
        <w:spacing w:line="273" w:lineRule="auto" w:before="48"/>
        <w:ind w:left="140" w:right="1183"/>
        <w:jc w:val="left"/>
      </w:pPr>
      <w:r>
        <w:rPr/>
        <w:t>注</w:t>
      </w:r>
      <w:r>
        <w:rPr>
          <w:spacing w:val="-27"/>
        </w:rPr>
        <w:t> </w:t>
      </w:r>
      <w:r>
        <w:rPr>
          <w:rFonts w:ascii="宋体" w:hAnsi="宋体" w:cs="宋体" w:eastAsia="宋体" w:hint="default"/>
          <w:spacing w:val="-9"/>
        </w:rPr>
        <w:t>2</w:t>
      </w:r>
      <w:r>
        <w:rPr>
          <w:spacing w:val="-9"/>
        </w:rPr>
        <w:t>：</w:t>
      </w:r>
      <w:r>
        <w:rPr>
          <w:rFonts w:ascii="宋体" w:hAnsi="宋体" w:cs="宋体" w:eastAsia="宋体" w:hint="default"/>
          <w:spacing w:val="-9"/>
        </w:rPr>
        <w:t>300</w:t>
      </w:r>
      <w:r>
        <w:rPr>
          <w:rFonts w:ascii="宋体" w:hAnsi="宋体" w:cs="宋体" w:eastAsia="宋体" w:hint="default"/>
          <w:spacing w:val="-27"/>
        </w:rPr>
        <w:t> </w:t>
      </w:r>
      <w:r>
        <w:rPr>
          <w:spacing w:val="-4"/>
        </w:rPr>
        <w:t>家连锁店项目尚未全部实施完毕，且连锁店均在</w:t>
      </w:r>
      <w:r>
        <w:rPr>
          <w:spacing w:val="-27"/>
        </w:rPr>
        <w:t> </w:t>
      </w:r>
      <w:r>
        <w:rPr>
          <w:rFonts w:ascii="宋体" w:hAnsi="宋体" w:cs="宋体" w:eastAsia="宋体" w:hint="default"/>
        </w:rPr>
        <w:t>2011</w:t>
      </w:r>
      <w:r>
        <w:rPr>
          <w:rFonts w:ascii="宋体" w:hAnsi="宋体" w:cs="宋体" w:eastAsia="宋体" w:hint="default"/>
          <w:spacing w:val="-27"/>
        </w:rPr>
        <w:t> </w:t>
      </w:r>
      <w:r>
        <w:rPr>
          <w:spacing w:val="-3"/>
        </w:rPr>
        <w:t>年及以后开设，经营均没有达到非公开发行上市公告书判定年限</w:t>
      </w:r>
      <w:r>
        <w:rPr>
          <w:rFonts w:ascii="宋体" w:hAnsi="宋体" w:cs="宋体" w:eastAsia="宋体" w:hint="default"/>
          <w:spacing w:val="-3"/>
        </w:rPr>
        <w:t>-</w:t>
      </w:r>
      <w:r>
        <w:rPr>
          <w:spacing w:val="-3"/>
        </w:rPr>
        <w:t>正常年</w:t>
      </w:r>
      <w:r>
        <w:rPr>
          <w:rFonts w:ascii="宋体" w:hAnsi="宋体" w:cs="宋体" w:eastAsia="宋体" w:hint="default"/>
          <w:spacing w:val="-3"/>
        </w:rPr>
        <w:t>(</w:t>
      </w:r>
      <w:r>
        <w:rPr>
          <w:spacing w:val="-3"/>
        </w:rPr>
        <w:t>开业后第三年</w:t>
      </w:r>
      <w:r>
        <w:rPr>
          <w:rFonts w:ascii="宋体" w:hAnsi="宋体" w:cs="宋体" w:eastAsia="宋体" w:hint="default"/>
          <w:spacing w:val="-3"/>
        </w:rPr>
        <w:t>)</w:t>
      </w:r>
      <w:r>
        <w:rPr>
          <w:spacing w:val="-3"/>
        </w:rPr>
        <w:t>。</w:t>
      </w:r>
      <w:r>
        <w:rPr>
          <w:spacing w:val="-91"/>
        </w:rPr>
        <w:t> </w:t>
      </w:r>
      <w:r>
        <w:rPr/>
        <w:t>注</w:t>
      </w:r>
      <w:r>
        <w:rPr>
          <w:spacing w:val="62"/>
        </w:rPr>
        <w:t> </w:t>
      </w:r>
      <w:r>
        <w:rPr>
          <w:rFonts w:ascii="宋体" w:hAnsi="宋体" w:cs="宋体" w:eastAsia="宋体" w:hint="default"/>
          <w:spacing w:val="-2"/>
        </w:rPr>
        <w:t>3</w:t>
      </w:r>
      <w:r>
        <w:rPr>
          <w:spacing w:val="-2"/>
        </w:rPr>
        <w:t>：重庆长寿寿星广场店购置项目、厦门财富港湾店购置项目连锁店经营均没有达到非公开发行上市公告书判定年限</w:t>
      </w:r>
      <w:r>
        <w:rPr>
          <w:rFonts w:ascii="宋体" w:hAnsi="宋体" w:cs="宋体" w:eastAsia="宋体" w:hint="default"/>
          <w:spacing w:val="-2"/>
        </w:rPr>
        <w:t>-</w:t>
      </w:r>
      <w:r>
        <w:rPr>
          <w:spacing w:val="-2"/>
        </w:rPr>
        <w:t>正常年</w:t>
      </w:r>
      <w:r>
        <w:rPr>
          <w:rFonts w:ascii="宋体" w:hAnsi="宋体" w:cs="宋体" w:eastAsia="宋体" w:hint="default"/>
          <w:spacing w:val="-2"/>
        </w:rPr>
        <w:t>(</w:t>
      </w:r>
      <w:r>
        <w:rPr>
          <w:spacing w:val="-2"/>
        </w:rPr>
        <w:t>开业后第三年</w:t>
      </w:r>
      <w:r>
        <w:rPr>
          <w:rFonts w:ascii="宋体" w:hAnsi="宋体" w:cs="宋体" w:eastAsia="宋体" w:hint="default"/>
          <w:spacing w:val="-2"/>
        </w:rPr>
        <w:t>)</w:t>
      </w:r>
      <w:r>
        <w:rPr>
          <w:spacing w:val="-2"/>
        </w:rPr>
        <w:t>。</w:t>
      </w:r>
    </w:p>
    <w:p>
      <w:pPr>
        <w:pStyle w:val="BodyText"/>
        <w:spacing w:line="273" w:lineRule="auto"/>
        <w:ind w:left="140" w:right="1373"/>
        <w:jc w:val="both"/>
      </w:pPr>
      <w:r>
        <w:rPr/>
        <w:t>注 </w:t>
      </w:r>
      <w:r>
        <w:rPr>
          <w:rFonts w:ascii="宋体" w:hAnsi="宋体" w:cs="宋体" w:eastAsia="宋体" w:hint="default"/>
          <w:spacing w:val="-2"/>
        </w:rPr>
        <w:t>4</w:t>
      </w:r>
      <w:r>
        <w:rPr>
          <w:spacing w:val="-2"/>
        </w:rPr>
        <w:t>：物流中心项目不直接产生经济效益，公司通过上述物流基地的建设，能够有效支撑公司连锁网络拓展，尤其是加快推进三、四级市场的连锁发展，</w:t>
      </w:r>
      <w:r>
        <w:rPr>
          <w:spacing w:val="-43"/>
        </w:rPr>
        <w:t> </w:t>
      </w:r>
      <w:r>
        <w:rPr>
          <w:spacing w:val="-43"/>
        </w:rPr>
      </w:r>
      <w:r>
        <w:rPr/>
        <w:t>有利于内部管理精细化，加强供应链管理，提升商品周转效率，同时为公司线上业务发展提供有效地物流中心平台支撑。公司在上述十五个地区的新建</w:t>
      </w:r>
      <w:r>
        <w:rPr>
          <w:spacing w:val="-10"/>
        </w:rPr>
        <w:t> </w:t>
      </w:r>
      <w:r>
        <w:rPr>
          <w:spacing w:val="-10"/>
        </w:rPr>
      </w:r>
      <w:r>
        <w:rPr/>
        <w:t>物流配送中心，对于保障公司销售、提升服务能力具有十分重大的意义。</w:t>
      </w:r>
    </w:p>
    <w:p>
      <w:pPr>
        <w:pStyle w:val="BodyText"/>
        <w:spacing w:line="273" w:lineRule="auto" w:before="48"/>
        <w:ind w:left="140" w:right="1430"/>
        <w:jc w:val="both"/>
      </w:pPr>
      <w:r>
        <w:rPr/>
        <w:t>注 </w:t>
      </w:r>
      <w:r>
        <w:rPr>
          <w:rFonts w:ascii="宋体" w:hAnsi="宋体" w:cs="宋体" w:eastAsia="宋体" w:hint="default"/>
          <w:spacing w:val="-3"/>
        </w:rPr>
        <w:t>5</w:t>
      </w:r>
      <w:r>
        <w:rPr>
          <w:spacing w:val="-3"/>
        </w:rPr>
        <w:t>：北京、沈阳、成都、广州、武汉等地的小件商品自动分拣仓库项目正加快推进，自动化物流设备将根据仓库建设进度予以投入。自动化物流项目的</w:t>
      </w:r>
      <w:r>
        <w:rPr>
          <w:spacing w:val="-34"/>
        </w:rPr>
        <w:t> </w:t>
      </w:r>
      <w:r>
        <w:rPr>
          <w:spacing w:val="-34"/>
        </w:rPr>
      </w:r>
      <w:r>
        <w:rPr/>
        <w:t>建设进一步满足了公司线上业务的发展需求，有利于降低经营成本，巩固行业地位，提高效益；同时项目的实施将进一步完善公司实体与虚拟销售的物</w:t>
      </w:r>
      <w:r>
        <w:rPr>
          <w:spacing w:val="-10"/>
        </w:rPr>
        <w:t> </w:t>
      </w:r>
      <w:r>
        <w:rPr>
          <w:spacing w:val="-10"/>
        </w:rPr>
      </w:r>
      <w:r>
        <w:rPr/>
        <w:t>流配送需求，实现全方位、多层次的配送模式，有利于提高企业的核心竞争力。</w:t>
      </w:r>
    </w:p>
    <w:p>
      <w:pPr>
        <w:spacing w:after="0" w:line="273" w:lineRule="auto"/>
        <w:jc w:val="both"/>
        <w:sectPr>
          <w:footerReference w:type="default" r:id="rId25"/>
          <w:pgSz w:w="16840" w:h="11910" w:orient="landscape"/>
          <w:pgMar w:footer="1340" w:header="867" w:top="1060" w:bottom="1540" w:left="1300" w:right="0"/>
        </w:sectPr>
      </w:pPr>
    </w:p>
    <w:p>
      <w:pPr>
        <w:spacing w:line="240" w:lineRule="auto" w:before="11"/>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1597624" type="#_x0000_t75" stroked="false">
            <v:imagedata r:id="rId10" o:title=""/>
          </v:shape>
        </w:pict>
      </w:r>
    </w:p>
    <w:p>
      <w:pPr>
        <w:pStyle w:val="BodyText"/>
        <w:spacing w:line="273" w:lineRule="auto" w:before="36"/>
        <w:ind w:right="1126"/>
        <w:jc w:val="both"/>
      </w:pPr>
      <w:r>
        <w:rPr/>
        <w:t>注</w:t>
      </w:r>
      <w:r>
        <w:rPr>
          <w:spacing w:val="-28"/>
        </w:rPr>
        <w:t> </w:t>
      </w:r>
      <w:r>
        <w:rPr>
          <w:rFonts w:ascii="宋体" w:hAnsi="宋体" w:cs="宋体" w:eastAsia="宋体" w:hint="default"/>
        </w:rPr>
        <w:t>6</w:t>
      </w:r>
      <w:r>
        <w:rPr/>
        <w:t>：信息系统平台建设不直接产生经济效益，其效益主要体现在：进一步提高公司办公自动化的水平，</w:t>
      </w:r>
      <w:r>
        <w:rPr>
          <w:w w:val="100"/>
        </w:rPr>
        <w:t> </w:t>
      </w:r>
      <w:r>
        <w:rPr>
          <w:spacing w:val="-2"/>
        </w:rPr>
        <w:t>强化企业的内部管理，加强系统安全管理、提升效率；大大提高电子商务系统平台网站的响应速度和后台</w:t>
      </w:r>
      <w:r>
        <w:rPr>
          <w:spacing w:val="-43"/>
        </w:rPr>
        <w:t> </w:t>
      </w:r>
      <w:r>
        <w:rPr>
          <w:spacing w:val="-43"/>
        </w:rPr>
      </w:r>
      <w:r>
        <w:rPr>
          <w:spacing w:val="-2"/>
        </w:rPr>
        <w:t>消息处理的能力，满足更高的性能和销售需求，同时也给顾客带来更完美的购物体验；进一步提高售后服</w:t>
      </w:r>
      <w:r>
        <w:rPr>
          <w:spacing w:val="-45"/>
        </w:rPr>
        <w:t> </w:t>
      </w:r>
      <w:r>
        <w:rPr>
          <w:spacing w:val="-45"/>
        </w:rPr>
      </w:r>
      <w:r>
        <w:rPr/>
        <w:t>务信息水平，做到服务的多元化，销售的多样化，完善销售与服务的整合。</w:t>
      </w:r>
    </w:p>
    <w:p>
      <w:pPr>
        <w:pStyle w:val="BodyText"/>
        <w:spacing w:line="273" w:lineRule="auto" w:before="48"/>
        <w:ind w:right="1126"/>
        <w:jc w:val="both"/>
      </w:pPr>
      <w:r>
        <w:rPr/>
        <w:t>注</w:t>
      </w:r>
      <w:r>
        <w:rPr>
          <w:spacing w:val="-28"/>
        </w:rPr>
        <w:t> </w:t>
      </w:r>
      <w:r>
        <w:rPr>
          <w:rFonts w:ascii="宋体" w:hAnsi="宋体" w:cs="宋体" w:eastAsia="宋体" w:hint="default"/>
        </w:rPr>
        <w:t>7</w:t>
      </w:r>
      <w:r>
        <w:rPr/>
        <w:t>：补充流动资金项目募集资金主要用于扩大公司定制、包销产品采购占比，随着定制、包销产品的销</w:t>
      </w:r>
      <w:r>
        <w:rPr>
          <w:w w:val="100"/>
        </w:rPr>
        <w:t> </w:t>
      </w:r>
      <w:r>
        <w:rPr>
          <w:spacing w:val="-2"/>
        </w:rPr>
        <w:t>售占比的提升，将一定程度上促进公司毛利率水平的提升；同时募集资金还将用于提升对供应商诸如研发</w:t>
      </w:r>
      <w:r>
        <w:rPr>
          <w:spacing w:val="-43"/>
        </w:rPr>
        <w:t> </w:t>
      </w:r>
      <w:r>
        <w:rPr>
          <w:spacing w:val="-43"/>
        </w:rPr>
      </w:r>
      <w:r>
        <w:rPr>
          <w:spacing w:val="-2"/>
        </w:rPr>
        <w:t>新品、产品销售淡季的资金支持等，进一步提升与供应商的合作关系，优化供应链管理，实现双方合作共</w:t>
      </w:r>
      <w:r>
        <w:rPr>
          <w:spacing w:val="-50"/>
        </w:rPr>
        <w:t> </w:t>
      </w:r>
      <w:r>
        <w:rPr>
          <w:spacing w:val="-50"/>
        </w:rPr>
      </w:r>
      <w:r>
        <w:rPr/>
        <w:t>赢。</w:t>
      </w:r>
    </w:p>
    <w:p>
      <w:pPr>
        <w:spacing w:line="240" w:lineRule="auto" w:before="4"/>
        <w:rPr>
          <w:rFonts w:ascii="宋体" w:hAnsi="宋体" w:cs="宋体" w:eastAsia="宋体" w:hint="default"/>
          <w:sz w:val="23"/>
          <w:szCs w:val="23"/>
        </w:rPr>
      </w:pPr>
    </w:p>
    <w:p>
      <w:pPr>
        <w:pStyle w:val="Heading4"/>
        <w:spacing w:line="571" w:lineRule="auto"/>
        <w:ind w:left="573" w:right="8330" w:hanging="421"/>
        <w:jc w:val="left"/>
        <w:rPr>
          <w:rFonts w:ascii="宋体" w:hAnsi="宋体" w:cs="宋体" w:eastAsia="宋体" w:hint="default"/>
          <w:b w:val="0"/>
          <w:bCs w:val="0"/>
        </w:rPr>
      </w:pPr>
      <w:r>
        <w:rPr>
          <w:rFonts w:ascii="Times New Roman" w:hAnsi="Times New Roman" w:cs="Times New Roman" w:eastAsia="Times New Roman" w:hint="default"/>
        </w:rPr>
        <w:t>3</w:t>
      </w:r>
      <w:r>
        <w:rPr/>
        <w:t>、募集资金变更项目情况</w:t>
      </w:r>
      <w:r>
        <w:rPr>
          <w:w w:val="100"/>
        </w:rPr>
        <w:t> </w:t>
      </w:r>
      <w:r>
        <w:rPr>
          <w:rFonts w:ascii="宋体" w:hAnsi="宋体" w:cs="宋体" w:eastAsia="宋体" w:hint="default"/>
          <w:b w:val="0"/>
          <w:bCs w:val="0"/>
        </w:rPr>
        <w:t>不适用</w:t>
      </w:r>
    </w:p>
    <w:p>
      <w:pPr>
        <w:pStyle w:val="Heading4"/>
        <w:spacing w:line="240" w:lineRule="auto" w:before="127"/>
        <w:ind w:right="0"/>
        <w:jc w:val="both"/>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10"/>
        <w:rPr>
          <w:rFonts w:ascii="宋体" w:hAnsi="宋体" w:cs="宋体" w:eastAsia="宋体" w:hint="default"/>
          <w:b/>
          <w:bCs/>
          <w:sz w:val="24"/>
          <w:szCs w:val="24"/>
        </w:rPr>
      </w:pPr>
    </w:p>
    <w:p>
      <w:pPr>
        <w:pStyle w:val="BodyText"/>
        <w:tabs>
          <w:tab w:pos="8134" w:val="left" w:leader="none"/>
        </w:tabs>
        <w:spacing w:line="240" w:lineRule="auto" w:before="0"/>
        <w:ind w:right="0"/>
        <w:jc w:val="both"/>
      </w:pPr>
      <w:r>
        <w:rPr/>
        <w:t>报告期内，公司净利润前</w:t>
      </w:r>
      <w:r>
        <w:rPr>
          <w:spacing w:val="-56"/>
        </w:rPr>
        <w:t> </w:t>
      </w:r>
      <w:r>
        <w:rPr>
          <w:rFonts w:ascii="宋体" w:hAnsi="宋体" w:cs="宋体" w:eastAsia="宋体" w:hint="default"/>
        </w:rPr>
        <w:t>30</w:t>
      </w:r>
      <w:r>
        <w:rPr>
          <w:rFonts w:ascii="宋体" w:hAnsi="宋体" w:cs="宋体" w:eastAsia="宋体" w:hint="default"/>
          <w:spacing w:val="-54"/>
        </w:rPr>
        <w:t> </w:t>
      </w:r>
      <w:r>
        <w:rPr/>
        <w:t>位子公司经营情况：</w:t>
        <w:tab/>
        <w:t>（单位：万元）</w:t>
      </w:r>
    </w:p>
    <w:p>
      <w:pPr>
        <w:spacing w:line="240" w:lineRule="auto" w:before="11"/>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588"/>
        <w:gridCol w:w="939"/>
        <w:gridCol w:w="938"/>
        <w:gridCol w:w="939"/>
        <w:gridCol w:w="1013"/>
        <w:gridCol w:w="1090"/>
        <w:gridCol w:w="1085"/>
        <w:gridCol w:w="1106"/>
      </w:tblGrid>
      <w:tr>
        <w:trPr>
          <w:trHeight w:val="635" w:hRule="exact"/>
        </w:trPr>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3"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公司类型</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45" w:right="0"/>
              <w:jc w:val="left"/>
              <w:rPr>
                <w:rFonts w:ascii="宋体" w:hAnsi="宋体" w:cs="宋体" w:eastAsia="宋体" w:hint="default"/>
                <w:sz w:val="21"/>
                <w:szCs w:val="21"/>
              </w:rPr>
            </w:pPr>
            <w:r>
              <w:rPr>
                <w:rFonts w:ascii="宋体" w:hAnsi="宋体" w:cs="宋体" w:eastAsia="宋体" w:hint="default"/>
                <w:sz w:val="21"/>
                <w:szCs w:val="21"/>
              </w:rPr>
              <w:t>所处行业</w:t>
            </w: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48" w:right="39" w:hanging="104"/>
              <w:jc w:val="left"/>
              <w:rPr>
                <w:rFonts w:ascii="宋体" w:hAnsi="宋体" w:cs="宋体" w:eastAsia="宋体" w:hint="default"/>
                <w:sz w:val="21"/>
                <w:szCs w:val="21"/>
              </w:rPr>
            </w:pPr>
            <w:r>
              <w:rPr>
                <w:rFonts w:ascii="宋体" w:hAnsi="宋体" w:cs="宋体" w:eastAsia="宋体" w:hint="default"/>
                <w:sz w:val="21"/>
                <w:szCs w:val="21"/>
              </w:rPr>
              <w:t>主要产品</w:t>
            </w:r>
            <w:r>
              <w:rPr>
                <w:rFonts w:ascii="宋体" w:hAnsi="宋体" w:cs="宋体" w:eastAsia="宋体" w:hint="default"/>
                <w:w w:val="100"/>
                <w:sz w:val="21"/>
                <w:szCs w:val="21"/>
              </w:rPr>
              <w:t> </w:t>
            </w:r>
            <w:r>
              <w:rPr>
                <w:rFonts w:ascii="宋体" w:hAnsi="宋体" w:cs="宋体" w:eastAsia="宋体" w:hint="default"/>
                <w:sz w:val="21"/>
                <w:szCs w:val="21"/>
              </w:rPr>
              <w:t>或服务</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8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2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2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32"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946"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3"/>
              <w:jc w:val="both"/>
              <w:rPr>
                <w:rFonts w:ascii="宋体" w:hAnsi="宋体" w:cs="宋体" w:eastAsia="宋体" w:hint="default"/>
                <w:sz w:val="21"/>
                <w:szCs w:val="21"/>
              </w:rPr>
            </w:pPr>
            <w:r>
              <w:rPr>
                <w:rFonts w:ascii="宋体" w:hAnsi="宋体" w:cs="宋体" w:eastAsia="宋体" w:hint="default"/>
                <w:sz w:val="21"/>
                <w:szCs w:val="21"/>
              </w:rPr>
              <w:t>重庆苏宁电器有限公司（原</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7"/>
                <w:sz w:val="21"/>
                <w:szCs w:val="21"/>
              </w:rPr>
              <w:t>重庆渝宁苏宁电器有限公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6"/>
              <w:jc w:val="center"/>
              <w:rPr>
                <w:rFonts w:ascii="宋体" w:hAnsi="宋体" w:cs="宋体" w:eastAsia="宋体" w:hint="default"/>
                <w:sz w:val="21"/>
                <w:szCs w:val="21"/>
              </w:rPr>
            </w:pPr>
            <w:r>
              <w:rPr>
                <w:rFonts w:ascii="宋体" w:hAnsi="宋体" w:cs="宋体" w:eastAsia="宋体" w:hint="default"/>
                <w:sz w:val="21"/>
                <w:szCs w:val="21"/>
              </w:rPr>
              <w:t>家电零售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47,150.63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178,442.05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112,385.20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18,275.41</w:t>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北京苏宁电器有限公司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家电零售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47,242.85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291,084.72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167,074.98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10,926.54</w:t>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四川苏宁电器有限公司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家电零售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26,314.44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108,478.50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68,432.75</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8,053.38</w:t>
            </w:r>
            <w:r>
              <w:rPr>
                <w:rFonts w:ascii="Times New Roman"/>
                <w:sz w:val="21"/>
              </w:rPr>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南京白下苏宁电器有限公司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6"/>
              <w:jc w:val="center"/>
              <w:rPr>
                <w:rFonts w:ascii="宋体" w:hAnsi="宋体" w:cs="宋体" w:eastAsia="宋体" w:hint="default"/>
                <w:sz w:val="21"/>
                <w:szCs w:val="21"/>
              </w:rPr>
            </w:pPr>
            <w:r>
              <w:rPr>
                <w:rFonts w:ascii="宋体" w:hAnsi="宋体" w:cs="宋体" w:eastAsia="宋体" w:hint="default"/>
                <w:sz w:val="21"/>
                <w:szCs w:val="21"/>
              </w:rPr>
              <w:t>家电零售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41,447.84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2"/>
                <w:sz w:val="21"/>
              </w:rPr>
              <w:t>18,118.76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8,020.93</w:t>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南京雨花苏宁电器有限公司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区域采购</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72,258.62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10,216.76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7,254.46</w:t>
            </w:r>
          </w:p>
        </w:tc>
      </w:tr>
      <w:tr>
        <w:trPr>
          <w:trHeight w:val="32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陕西苏宁电器有限责任公司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6"/>
              <w:jc w:val="center"/>
              <w:rPr>
                <w:rFonts w:ascii="宋体" w:hAnsi="宋体" w:cs="宋体" w:eastAsia="宋体" w:hint="default"/>
                <w:sz w:val="21"/>
                <w:szCs w:val="21"/>
              </w:rPr>
            </w:pPr>
            <w:r>
              <w:rPr>
                <w:rFonts w:ascii="宋体" w:hAnsi="宋体" w:cs="宋体" w:eastAsia="宋体" w:hint="default"/>
                <w:sz w:val="21"/>
                <w:szCs w:val="21"/>
              </w:rPr>
              <w:t>家电零售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2"/>
                <w:sz w:val="21"/>
              </w:rPr>
              <w:t>11,651.00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69,409.84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56,035.97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6,163.19</w:t>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香港苏宁镭射有限公司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家电零售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877.18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40,069.17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298.40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6,153.58</w:t>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重庆巴渝苏宁电器有限公司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区域采购</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21,669.70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98,099.00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2"/>
                <w:sz w:val="21"/>
              </w:rPr>
              <w:t>27,111.33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5,241.18</w:t>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四川苏宁物流有限公司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区域采购</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15,851.60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71,418.69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20,762.04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4,438.89</w:t>
            </w:r>
          </w:p>
        </w:tc>
      </w:tr>
      <w:tr>
        <w:trPr>
          <w:trHeight w:val="715"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湖南苏宁先锋电子有限公司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8"/>
              <w:jc w:val="left"/>
              <w:rPr>
                <w:rFonts w:ascii="宋体" w:hAnsi="宋体" w:cs="宋体" w:eastAsia="宋体" w:hint="default"/>
                <w:sz w:val="21"/>
                <w:szCs w:val="21"/>
              </w:rPr>
            </w:pPr>
            <w:r>
              <w:rPr>
                <w:rFonts w:ascii="宋体" w:hAnsi="宋体" w:cs="宋体" w:eastAsia="宋体" w:hint="default"/>
                <w:spacing w:val="9"/>
                <w:sz w:val="21"/>
                <w:szCs w:val="21"/>
              </w:rPr>
              <w:t>自主品牌</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运营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43,883.27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11,179.55</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4,221.25</w:t>
            </w:r>
          </w:p>
        </w:tc>
      </w:tr>
      <w:tr>
        <w:trPr>
          <w:trHeight w:val="63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z w:val="21"/>
                <w:szCs w:val="21"/>
              </w:rPr>
              <w:t>苏宁（天津）电器采购有限</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6"/>
              <w:jc w:val="center"/>
              <w:rPr>
                <w:rFonts w:ascii="宋体" w:hAnsi="宋体" w:cs="宋体" w:eastAsia="宋体" w:hint="default"/>
                <w:sz w:val="21"/>
                <w:szCs w:val="21"/>
              </w:rPr>
            </w:pPr>
            <w:r>
              <w:rPr>
                <w:rFonts w:ascii="宋体" w:hAnsi="宋体" w:cs="宋体" w:eastAsia="宋体" w:hint="default"/>
                <w:sz w:val="21"/>
                <w:szCs w:val="21"/>
              </w:rPr>
              <w:t>区域采购</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46,999.14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15,335.05</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4,133.20</w:t>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深圳市苏宁电器有限公司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家电零售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2"/>
                <w:sz w:val="21"/>
              </w:rPr>
              <w:t>12,311.00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100,892.54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50,371.79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3,743.15</w:t>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广东苏宁电器有限公司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6"/>
              <w:jc w:val="center"/>
              <w:rPr>
                <w:rFonts w:ascii="宋体" w:hAnsi="宋体" w:cs="宋体" w:eastAsia="宋体" w:hint="default"/>
                <w:sz w:val="21"/>
                <w:szCs w:val="21"/>
              </w:rPr>
            </w:pPr>
            <w:r>
              <w:rPr>
                <w:rFonts w:ascii="宋体" w:hAnsi="宋体" w:cs="宋体" w:eastAsia="宋体" w:hint="default"/>
                <w:sz w:val="21"/>
                <w:szCs w:val="21"/>
              </w:rPr>
              <w:t>家电零售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32,017.00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122,873.58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50,879.64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3,627.36</w:t>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青岛胶宁苏宁电器有限公司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区域采购</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22,821.19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56,297.13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26,014.73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2"/>
                <w:sz w:val="21"/>
              </w:rPr>
              <w:t>3,211.69</w:t>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合肥高新苏宁电器有限公司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区域采购</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59,318.09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13,109.07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3,209.24</w:t>
            </w:r>
          </w:p>
        </w:tc>
      </w:tr>
      <w:tr>
        <w:trPr>
          <w:trHeight w:val="32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沈阳苏宁物流有限公司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6"/>
              <w:jc w:val="center"/>
              <w:rPr>
                <w:rFonts w:ascii="宋体" w:hAnsi="宋体" w:cs="宋体" w:eastAsia="宋体" w:hint="default"/>
                <w:sz w:val="21"/>
                <w:szCs w:val="21"/>
              </w:rPr>
            </w:pPr>
            <w:r>
              <w:rPr>
                <w:rFonts w:ascii="宋体" w:hAnsi="宋体" w:cs="宋体" w:eastAsia="宋体" w:hint="default"/>
                <w:sz w:val="21"/>
                <w:szCs w:val="21"/>
              </w:rPr>
              <w:t>区域采购</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14,693.30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58,184.07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17,060.69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2,982.80</w:t>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天津天宁苏宁电器有限公司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家电零售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9,890.08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63,095.01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2"/>
                <w:sz w:val="21"/>
              </w:rPr>
              <w:t>29,117.12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2,826.77</w:t>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贵阳东方苏宁电器有限公司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家电零售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4,612.00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28,169.53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17,381.17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2,785.99</w:t>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武汉苏宁电器有限公司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家电零售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38,206.00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128,788.70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56,150.51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2,584.92</w:t>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广州苏宁电器有限公司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家电零售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102,466.81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43,168.03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2,337.79</w:t>
            </w:r>
          </w:p>
        </w:tc>
      </w:tr>
      <w:tr>
        <w:trPr>
          <w:trHeight w:val="32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西宁苏宁电器有限公司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家电零售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2,400.00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13,469.04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2"/>
                <w:sz w:val="21"/>
              </w:rPr>
              <w:t>11,184.46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2,075.73</w:t>
            </w:r>
          </w:p>
        </w:tc>
      </w:tr>
    </w:tbl>
    <w:p>
      <w:pPr>
        <w:spacing w:after="0" w:line="240" w:lineRule="auto"/>
        <w:jc w:val="right"/>
        <w:rPr>
          <w:rFonts w:ascii="Times New Roman" w:hAnsi="Times New Roman" w:cs="Times New Roman" w:eastAsia="Times New Roman" w:hint="default"/>
          <w:sz w:val="21"/>
          <w:szCs w:val="21"/>
        </w:rPr>
        <w:sectPr>
          <w:headerReference w:type="default" r:id="rId26"/>
          <w:footerReference w:type="default" r:id="rId27"/>
          <w:pgSz w:w="11910" w:h="16840"/>
          <w:pgMar w:header="877" w:footer="980" w:top="1100" w:bottom="1160" w:left="980" w:right="0"/>
          <w:pgNumType w:start="38"/>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1597600" type="#_x0000_t75" stroked="false">
            <v:imagedata r:id="rId10" o:title=""/>
          </v:shape>
        </w:pict>
      </w:r>
    </w:p>
    <w:tbl>
      <w:tblPr>
        <w:tblW w:w="0" w:type="auto"/>
        <w:jc w:val="left"/>
        <w:tblInd w:w="119" w:type="dxa"/>
        <w:tblLayout w:type="fixed"/>
        <w:tblCellMar>
          <w:top w:w="0" w:type="dxa"/>
          <w:left w:w="0" w:type="dxa"/>
          <w:bottom w:w="0" w:type="dxa"/>
          <w:right w:w="0" w:type="dxa"/>
        </w:tblCellMar>
        <w:tblLook w:val="01E0"/>
      </w:tblPr>
      <w:tblGrid>
        <w:gridCol w:w="2588"/>
        <w:gridCol w:w="939"/>
        <w:gridCol w:w="938"/>
        <w:gridCol w:w="939"/>
        <w:gridCol w:w="1013"/>
        <w:gridCol w:w="1090"/>
        <w:gridCol w:w="1085"/>
        <w:gridCol w:w="1106"/>
      </w:tblGrid>
      <w:tr>
        <w:trPr>
          <w:trHeight w:val="63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sz w:val="21"/>
                <w:szCs w:val="21"/>
              </w:rPr>
              <w:t>江苏法迪欧电器有限公司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
              <w:jc w:val="left"/>
              <w:rPr>
                <w:rFonts w:ascii="宋体" w:hAnsi="宋体" w:cs="宋体" w:eastAsia="宋体" w:hint="default"/>
                <w:sz w:val="21"/>
                <w:szCs w:val="21"/>
              </w:rPr>
            </w:pPr>
            <w:r>
              <w:rPr>
                <w:rFonts w:ascii="宋体" w:hAnsi="宋体" w:cs="宋体" w:eastAsia="宋体" w:hint="default"/>
                <w:spacing w:val="9"/>
                <w:sz w:val="21"/>
                <w:szCs w:val="21"/>
              </w:rPr>
              <w:t>自主品牌</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运营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9,093.20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7,826.04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1,848.46</w:t>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上海沪申苏宁电器有限公司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区域采购</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32,877.89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2"/>
                <w:sz w:val="21"/>
              </w:rPr>
              <w:t>11,813.69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1,807.78</w:t>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沈阳苏宁电器有限公司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家电零售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35,337.30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72,585.05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46,653.88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1,769.77</w:t>
            </w:r>
          </w:p>
        </w:tc>
      </w:tr>
      <w:tr>
        <w:trPr>
          <w:trHeight w:val="32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淮安苏宁电器有限责任公司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6"/>
              <w:jc w:val="center"/>
              <w:rPr>
                <w:rFonts w:ascii="宋体" w:hAnsi="宋体" w:cs="宋体" w:eastAsia="宋体" w:hint="default"/>
                <w:sz w:val="21"/>
                <w:szCs w:val="21"/>
              </w:rPr>
            </w:pPr>
            <w:r>
              <w:rPr>
                <w:rFonts w:ascii="宋体" w:hAnsi="宋体" w:cs="宋体" w:eastAsia="宋体" w:hint="default"/>
                <w:sz w:val="21"/>
                <w:szCs w:val="21"/>
              </w:rPr>
              <w:t>家电零售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5,000.00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15,043.55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2"/>
                <w:sz w:val="21"/>
              </w:rPr>
              <w:t>11,669.20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1,751.86</w:t>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上海长宁苏宁电器有限公司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家电零售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55,818.60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2"/>
                <w:sz w:val="21"/>
              </w:rPr>
              <w:t>112,933.27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71,825.71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1,735.58</w:t>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徐州苏宁电器采购有限公司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家电零售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101,982.26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4,822.49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1,703.33</w:t>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杭州苏宁电器有限公司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区域采购</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29,819.93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52,254.95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32,517.41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1,600.29</w:t>
            </w:r>
          </w:p>
        </w:tc>
      </w:tr>
      <w:tr>
        <w:trPr>
          <w:trHeight w:val="32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香港苏宁采购中心有限公司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区域采购</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877.18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57,635.98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1,730.88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1,570.86</w:t>
            </w:r>
          </w:p>
        </w:tc>
      </w:tr>
      <w:tr>
        <w:trPr>
          <w:trHeight w:val="32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盐城苏宁电器有限公司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6"/>
              <w:jc w:val="center"/>
              <w:rPr>
                <w:rFonts w:ascii="宋体" w:hAnsi="宋体" w:cs="宋体" w:eastAsia="宋体" w:hint="default"/>
                <w:sz w:val="21"/>
                <w:szCs w:val="21"/>
              </w:rPr>
            </w:pPr>
            <w:r>
              <w:rPr>
                <w:rFonts w:ascii="宋体" w:hAnsi="宋体" w:cs="宋体" w:eastAsia="宋体" w:hint="default"/>
                <w:sz w:val="21"/>
                <w:szCs w:val="21"/>
              </w:rPr>
              <w:t>家电零售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3,572.00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12,780.62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9,980.49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1,406.65</w:t>
            </w:r>
          </w:p>
        </w:tc>
      </w:tr>
    </w:tbl>
    <w:p>
      <w:pPr>
        <w:spacing w:line="240" w:lineRule="auto" w:before="2"/>
        <w:rPr>
          <w:rFonts w:ascii="宋体" w:hAnsi="宋体" w:cs="宋体" w:eastAsia="宋体" w:hint="default"/>
          <w:sz w:val="20"/>
          <w:szCs w:val="20"/>
        </w:rPr>
      </w:pPr>
    </w:p>
    <w:p>
      <w:pPr>
        <w:pStyle w:val="BodyText"/>
        <w:spacing w:line="240" w:lineRule="auto" w:before="36"/>
        <w:ind w:left="573" w:right="982"/>
        <w:jc w:val="left"/>
      </w:pPr>
      <w:r>
        <w:rPr/>
        <w:t>报告期内不存在单个参股公司的投资收益对净利润的影响</w:t>
      </w:r>
      <w:r>
        <w:rPr>
          <w:rFonts w:ascii="宋体" w:hAnsi="宋体" w:cs="宋体" w:eastAsia="宋体" w:hint="default"/>
        </w:rPr>
        <w:t>10%</w:t>
      </w:r>
      <w:r>
        <w:rPr/>
        <w:t>以上（含</w:t>
      </w:r>
      <w:r>
        <w:rPr>
          <w:rFonts w:ascii="宋体" w:hAnsi="宋体" w:cs="宋体" w:eastAsia="宋体" w:hint="default"/>
        </w:rPr>
        <w:t>10%</w:t>
      </w:r>
      <w:r>
        <w:rPr/>
        <w:t>）的情况。</w:t>
      </w:r>
    </w:p>
    <w:p>
      <w:pPr>
        <w:spacing w:line="240" w:lineRule="auto" w:before="10"/>
        <w:rPr>
          <w:rFonts w:ascii="宋体" w:hAnsi="宋体" w:cs="宋体" w:eastAsia="宋体" w:hint="default"/>
          <w:sz w:val="26"/>
          <w:szCs w:val="26"/>
        </w:rPr>
      </w:pPr>
    </w:p>
    <w:p>
      <w:pPr>
        <w:pStyle w:val="BodyText"/>
        <w:spacing w:line="273" w:lineRule="auto" w:before="0"/>
        <w:ind w:right="982" w:firstLine="420"/>
        <w:jc w:val="left"/>
      </w:pPr>
      <w:r>
        <w:rPr>
          <w:spacing w:val="-2"/>
        </w:rPr>
        <w:t>报告期内公司主要取得和处置子公司的情况：参见财务报告附注“本年度新纳入合并范围的主体和本</w:t>
      </w:r>
      <w:r>
        <w:rPr>
          <w:w w:val="100"/>
        </w:rPr>
        <w:t> </w:t>
      </w:r>
      <w:r>
        <w:rPr>
          <w:spacing w:val="-16"/>
          <w:w w:val="100"/>
        </w:rPr>
        <w:t>年度不再纳入合并范围的主体”。</w:t>
      </w:r>
      <w:r>
        <w:rPr>
          <w:w w:val="100"/>
        </w:rPr>
      </w:r>
    </w:p>
    <w:p>
      <w:pPr>
        <w:spacing w:line="240" w:lineRule="auto" w:before="5"/>
        <w:rPr>
          <w:rFonts w:ascii="宋体" w:hAnsi="宋体" w:cs="宋体" w:eastAsia="宋体" w:hint="default"/>
          <w:sz w:val="21"/>
          <w:szCs w:val="21"/>
        </w:rPr>
      </w:pPr>
    </w:p>
    <w:p>
      <w:pPr>
        <w:pStyle w:val="Heading2"/>
        <w:spacing w:line="240" w:lineRule="auto"/>
        <w:ind w:right="982"/>
        <w:jc w:val="left"/>
        <w:rPr>
          <w:b w:val="0"/>
          <w:bCs w:val="0"/>
        </w:rPr>
      </w:pPr>
      <w:r>
        <w:rPr/>
        <w:t>十、公司控制的特殊目的主体情况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right="982"/>
        <w:jc w:val="left"/>
      </w:pPr>
      <w:r>
        <w:rPr/>
        <w:t>不适用</w:t>
      </w:r>
    </w:p>
    <w:p>
      <w:pPr>
        <w:spacing w:line="240" w:lineRule="auto" w:before="11"/>
        <w:rPr>
          <w:rFonts w:ascii="宋体" w:hAnsi="宋体" w:cs="宋体" w:eastAsia="宋体" w:hint="default"/>
          <w:sz w:val="23"/>
          <w:szCs w:val="23"/>
        </w:rPr>
      </w:pPr>
    </w:p>
    <w:p>
      <w:pPr>
        <w:pStyle w:val="Heading2"/>
        <w:spacing w:line="240" w:lineRule="auto"/>
        <w:ind w:right="982"/>
        <w:jc w:val="left"/>
        <w:rPr>
          <w:b w:val="0"/>
          <w:bCs w:val="0"/>
        </w:rPr>
      </w:pPr>
      <w:r>
        <w:rPr/>
        <w:t>十一、公司未来发展的展望</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573" w:right="3586"/>
        <w:jc w:val="left"/>
      </w:pPr>
      <w:r>
        <w:rPr/>
        <w:t>（一）行业发展趋势分析</w:t>
      </w:r>
      <w:r>
        <w:rPr>
          <w:w w:val="100"/>
        </w:rPr>
        <w:t> </w:t>
      </w:r>
      <w:r>
        <w:rPr>
          <w:rFonts w:ascii="宋体" w:hAnsi="宋体" w:cs="宋体" w:eastAsia="宋体" w:hint="default"/>
          <w:spacing w:val="-2"/>
        </w:rPr>
        <w:t>1</w:t>
      </w:r>
      <w:r>
        <w:rPr>
          <w:spacing w:val="-2"/>
        </w:rPr>
        <w:t>、宏观经济发展面临复杂形势，继续稳增长、转方式、调结构</w:t>
      </w:r>
    </w:p>
    <w:p>
      <w:pPr>
        <w:pStyle w:val="BodyText"/>
        <w:spacing w:line="408" w:lineRule="auto"/>
        <w:ind w:right="982" w:firstLine="420"/>
        <w:jc w:val="left"/>
      </w:pPr>
      <w:r>
        <w:rPr>
          <w:rFonts w:ascii="宋体" w:hAnsi="宋体" w:cs="宋体" w:eastAsia="宋体" w:hint="default"/>
        </w:rPr>
        <w:t>2013</w:t>
      </w:r>
      <w:r>
        <w:rPr>
          <w:rFonts w:ascii="宋体" w:hAnsi="宋体" w:cs="宋体" w:eastAsia="宋体" w:hint="default"/>
          <w:spacing w:val="2"/>
        </w:rPr>
        <w:t> </w:t>
      </w:r>
      <w:r>
        <w:rPr>
          <w:spacing w:val="-2"/>
        </w:rPr>
        <w:t>年，国际金融危机深层次影响持续显现，世界经济复苏充满不确定性、不稳定性。从国内来看，</w:t>
      </w:r>
      <w:r>
        <w:rPr>
          <w:w w:val="100"/>
        </w:rPr>
        <w:t> </w:t>
      </w:r>
      <w:r>
        <w:rPr>
          <w:spacing w:val="-2"/>
        </w:rPr>
        <w:t>我国发展仍处于重要战略机遇期，中国经济将继续“稳中求进”的工作总基调，立足于扩大内需，以提高</w:t>
      </w:r>
      <w:r>
        <w:rPr>
          <w:spacing w:val="-43"/>
        </w:rPr>
        <w:t> </w:t>
      </w:r>
      <w:r>
        <w:rPr>
          <w:spacing w:val="-43"/>
        </w:rPr>
      </w:r>
      <w:r>
        <w:rPr>
          <w:spacing w:val="-5"/>
        </w:rPr>
        <w:t>经济增长质量和效益为中心，深化改革开放，实施创新驱动战略。</w:t>
      </w:r>
      <w:r>
        <w:rPr>
          <w:rFonts w:ascii="宋体" w:hAnsi="宋体" w:cs="宋体" w:eastAsia="宋体" w:hint="default"/>
          <w:spacing w:val="-5"/>
        </w:rPr>
        <w:t>2013</w:t>
      </w:r>
      <w:r>
        <w:rPr>
          <w:rFonts w:ascii="宋体" w:hAnsi="宋体" w:cs="宋体" w:eastAsia="宋体" w:hint="default"/>
          <w:spacing w:val="-32"/>
        </w:rPr>
        <w:t> </w:t>
      </w:r>
      <w:r>
        <w:rPr>
          <w:spacing w:val="-4"/>
        </w:rPr>
        <w:t>年，国内生产总值增长预计在</w:t>
      </w:r>
      <w:r>
        <w:rPr>
          <w:spacing w:val="-35"/>
        </w:rPr>
        <w:t> </w:t>
      </w:r>
      <w:r>
        <w:rPr>
          <w:rFonts w:ascii="宋体" w:hAnsi="宋体" w:cs="宋体" w:eastAsia="宋体" w:hint="default"/>
        </w:rPr>
        <w:t>7.5%</w:t>
      </w:r>
      <w:r>
        <w:rPr>
          <w:rFonts w:ascii="宋体" w:hAnsi="宋体" w:cs="宋体" w:eastAsia="宋体" w:hint="default"/>
          <w:spacing w:val="-65"/>
        </w:rPr>
        <w:t> </w:t>
      </w:r>
      <w:r>
        <w:rPr/>
        <w:t>左右，发展的协调性将进一步增强。</w:t>
      </w:r>
    </w:p>
    <w:p>
      <w:pPr>
        <w:pStyle w:val="BodyText"/>
        <w:spacing w:line="240" w:lineRule="auto"/>
        <w:ind w:left="573" w:right="982"/>
        <w:jc w:val="left"/>
      </w:pPr>
      <w:r>
        <w:rPr>
          <w:rFonts w:ascii="宋体" w:hAnsi="宋体" w:cs="宋体" w:eastAsia="宋体" w:hint="default"/>
        </w:rPr>
        <w:t>2</w:t>
      </w:r>
      <w:r>
        <w:rPr/>
        <w:t>、零售行业短期景气度下降</w:t>
      </w:r>
    </w:p>
    <w:p>
      <w:pPr>
        <w:spacing w:line="240" w:lineRule="auto" w:before="10"/>
        <w:rPr>
          <w:rFonts w:ascii="宋体" w:hAnsi="宋体" w:cs="宋体" w:eastAsia="宋体" w:hint="default"/>
          <w:sz w:val="14"/>
          <w:szCs w:val="14"/>
        </w:rPr>
      </w:pPr>
    </w:p>
    <w:p>
      <w:pPr>
        <w:pStyle w:val="BodyText"/>
        <w:spacing w:line="408" w:lineRule="auto" w:before="0"/>
        <w:ind w:right="982" w:firstLine="420"/>
        <w:jc w:val="left"/>
      </w:pPr>
      <w:r>
        <w:rPr>
          <w:rFonts w:ascii="宋体" w:hAnsi="宋体" w:cs="宋体" w:eastAsia="宋体" w:hint="default"/>
        </w:rPr>
        <w:t>2013</w:t>
      </w:r>
      <w:r>
        <w:rPr>
          <w:rFonts w:ascii="宋体" w:hAnsi="宋体" w:cs="宋体" w:eastAsia="宋体" w:hint="default"/>
          <w:spacing w:val="2"/>
        </w:rPr>
        <w:t> </w:t>
      </w:r>
      <w:r>
        <w:rPr>
          <w:spacing w:val="-2"/>
        </w:rPr>
        <w:t>年，零售行业发展面临挑战，由于物价、房价上涨预期明显，在收入预期增长不确定的情况下，</w:t>
      </w:r>
      <w:r>
        <w:rPr>
          <w:w w:val="100"/>
        </w:rPr>
        <w:t> </w:t>
      </w:r>
      <w:r>
        <w:rPr>
          <w:spacing w:val="-2"/>
        </w:rPr>
        <w:t>消费者信心受到抑制。同时，零售行业还面临了租金、人工成本等费用刚性上涨，新兴业态迅猛发展、行</w:t>
      </w:r>
      <w:r>
        <w:rPr>
          <w:spacing w:val="-43"/>
        </w:rPr>
        <w:t> </w:t>
      </w:r>
      <w:r>
        <w:rPr>
          <w:spacing w:val="-43"/>
        </w:rPr>
      </w:r>
      <w:r>
        <w:rPr/>
        <w:t>业竞争加剧等诸多不利因素。</w:t>
      </w:r>
    </w:p>
    <w:p>
      <w:pPr>
        <w:pStyle w:val="BodyText"/>
        <w:spacing w:line="408" w:lineRule="auto"/>
        <w:ind w:right="982" w:firstLine="420"/>
        <w:jc w:val="left"/>
      </w:pPr>
      <w:r>
        <w:rPr>
          <w:spacing w:val="-2"/>
        </w:rPr>
        <w:t>但另一方面，随着新型城镇化战略的实践，以及一系列收入分配改革政策的推进，零售行业发展的外</w:t>
      </w:r>
      <w:r>
        <w:rPr>
          <w:w w:val="100"/>
        </w:rPr>
        <w:t> </w:t>
      </w:r>
      <w:r>
        <w:rPr/>
        <w:t>部环境逐步改善，行业有望获得新一轮的发展机会。</w:t>
      </w:r>
    </w:p>
    <w:p>
      <w:pPr>
        <w:pStyle w:val="BodyText"/>
        <w:spacing w:line="240" w:lineRule="auto"/>
        <w:ind w:left="573" w:right="982"/>
        <w:jc w:val="left"/>
      </w:pPr>
      <w:r>
        <w:rPr>
          <w:rFonts w:ascii="宋体" w:hAnsi="宋体" w:cs="宋体" w:eastAsia="宋体" w:hint="default"/>
        </w:rPr>
        <w:t>3</w:t>
      </w:r>
      <w:r>
        <w:rPr/>
        <w:t>、网购市场保持高速增长</w:t>
      </w:r>
    </w:p>
    <w:p>
      <w:pPr>
        <w:spacing w:line="240" w:lineRule="auto" w:before="10"/>
        <w:rPr>
          <w:rFonts w:ascii="宋体" w:hAnsi="宋体" w:cs="宋体" w:eastAsia="宋体" w:hint="default"/>
          <w:sz w:val="14"/>
          <w:szCs w:val="14"/>
        </w:rPr>
      </w:pPr>
    </w:p>
    <w:p>
      <w:pPr>
        <w:pStyle w:val="BodyText"/>
        <w:spacing w:line="408" w:lineRule="auto" w:before="0"/>
        <w:ind w:right="982" w:firstLine="420"/>
        <w:jc w:val="left"/>
      </w:pPr>
      <w:r>
        <w:rPr/>
        <w:t>艾瑞咨询数据显示，</w:t>
      </w:r>
      <w:r>
        <w:rPr>
          <w:rFonts w:ascii="宋体" w:hAnsi="宋体" w:cs="宋体" w:eastAsia="宋体" w:hint="default"/>
        </w:rPr>
        <w:t>2012</w:t>
      </w:r>
      <w:r>
        <w:rPr>
          <w:rFonts w:ascii="宋体" w:hAnsi="宋体" w:cs="宋体" w:eastAsia="宋体" w:hint="default"/>
          <w:spacing w:val="-50"/>
        </w:rPr>
        <w:t> </w:t>
      </w:r>
      <w:r>
        <w:rPr/>
        <w:t>年中国网络购物交易规模突破</w:t>
      </w:r>
      <w:r>
        <w:rPr>
          <w:spacing w:val="-48"/>
        </w:rPr>
        <w:t> </w:t>
      </w:r>
      <w:r>
        <w:rPr>
          <w:rFonts w:ascii="宋体" w:hAnsi="宋体" w:cs="宋体" w:eastAsia="宋体" w:hint="default"/>
        </w:rPr>
        <w:t>10000</w:t>
      </w:r>
      <w:r>
        <w:rPr>
          <w:rFonts w:ascii="宋体" w:hAnsi="宋体" w:cs="宋体" w:eastAsia="宋体" w:hint="default"/>
          <w:spacing w:val="-48"/>
        </w:rPr>
        <w:t> </w:t>
      </w:r>
      <w:r>
        <w:rPr/>
        <w:t>亿元大关，达到</w:t>
      </w:r>
      <w:r>
        <w:rPr>
          <w:spacing w:val="-48"/>
        </w:rPr>
        <w:t> </w:t>
      </w:r>
      <w:r>
        <w:rPr>
          <w:rFonts w:ascii="宋体" w:hAnsi="宋体" w:cs="宋体" w:eastAsia="宋体" w:hint="default"/>
        </w:rPr>
        <w:t>13,040.0</w:t>
      </w:r>
      <w:r>
        <w:rPr>
          <w:rFonts w:ascii="宋体" w:hAnsi="宋体" w:cs="宋体" w:eastAsia="宋体" w:hint="default"/>
          <w:spacing w:val="-48"/>
        </w:rPr>
        <w:t> </w:t>
      </w:r>
      <w:r>
        <w:rPr/>
        <w:t>亿元，较往</w:t>
      </w:r>
      <w:r>
        <w:rPr>
          <w:w w:val="100"/>
        </w:rPr>
        <w:t> </w:t>
      </w:r>
      <w:r>
        <w:rPr/>
        <w:t>年增长</w:t>
      </w:r>
      <w:r>
        <w:rPr>
          <w:spacing w:val="-35"/>
        </w:rPr>
        <w:t> </w:t>
      </w:r>
      <w:r>
        <w:rPr>
          <w:rFonts w:ascii="宋体" w:hAnsi="宋体" w:cs="宋体" w:eastAsia="宋体" w:hint="default"/>
        </w:rPr>
        <w:t>66.20%</w:t>
      </w:r>
      <w:r>
        <w:rPr/>
        <w:t>，在社会消费品总零售额的占比达到</w:t>
      </w:r>
      <w:r>
        <w:rPr>
          <w:spacing w:val="-37"/>
        </w:rPr>
        <w:t> </w:t>
      </w:r>
      <w:r>
        <w:rPr>
          <w:rFonts w:ascii="宋体" w:hAnsi="宋体" w:cs="宋体" w:eastAsia="宋体" w:hint="default"/>
        </w:rPr>
        <w:t>6.20%</w:t>
      </w:r>
      <w:r>
        <w:rPr/>
        <w:t>。中国网络购物市场从</w:t>
      </w:r>
      <w:r>
        <w:rPr>
          <w:spacing w:val="-35"/>
        </w:rPr>
        <w:t> </w:t>
      </w:r>
      <w:r>
        <w:rPr>
          <w:rFonts w:ascii="宋体" w:hAnsi="宋体" w:cs="宋体" w:eastAsia="宋体" w:hint="default"/>
        </w:rPr>
        <w:t>2012</w:t>
      </w:r>
      <w:r>
        <w:rPr>
          <w:rFonts w:ascii="宋体" w:hAnsi="宋体" w:cs="宋体" w:eastAsia="宋体" w:hint="default"/>
          <w:spacing w:val="-37"/>
        </w:rPr>
        <w:t> </w:t>
      </w:r>
      <w:r>
        <w:rPr/>
        <w:t>年后开始逐渐进入</w:t>
      </w:r>
    </w:p>
    <w:p>
      <w:pPr>
        <w:spacing w:after="0" w:line="408"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05"/>
        <w:jc w:val="both"/>
      </w:pPr>
      <w:r>
        <w:rPr>
          <w:spacing w:val="-2"/>
        </w:rPr>
        <w:t>成熟期。未来几年，随着传统零售行业转型升级，中国西部省份及中东部三四线城市的网购潜力得到进一</w:t>
      </w:r>
      <w:r>
        <w:rPr>
          <w:spacing w:val="-43"/>
        </w:rPr>
        <w:t> </w:t>
      </w:r>
      <w:r>
        <w:rPr>
          <w:spacing w:val="-43"/>
        </w:rPr>
      </w:r>
      <w:r>
        <w:rPr>
          <w:spacing w:val="-2"/>
        </w:rPr>
        <w:t>步开发，加上移动互联网的发展促使移动网购日益便捷，中国网络购物市场整体还将保持较快增长速度，</w:t>
      </w:r>
      <w:r>
        <w:rPr>
          <w:spacing w:val="-21"/>
        </w:rPr>
        <w:t> </w:t>
      </w:r>
      <w:r>
        <w:rPr>
          <w:spacing w:val="-21"/>
        </w:rPr>
      </w:r>
      <w:r>
        <w:rPr/>
        <w:t>预计仍将保持</w:t>
      </w:r>
      <w:r>
        <w:rPr>
          <w:spacing w:val="-51"/>
        </w:rPr>
        <w:t> </w:t>
      </w:r>
      <w:r>
        <w:rPr>
          <w:rFonts w:ascii="宋体" w:hAnsi="宋体" w:cs="宋体" w:eastAsia="宋体" w:hint="default"/>
        </w:rPr>
        <w:t>50%</w:t>
      </w:r>
      <w:r>
        <w:rPr/>
        <w:t>以上的增速。</w:t>
      </w:r>
    </w:p>
    <w:p>
      <w:pPr>
        <w:pStyle w:val="BodyText"/>
        <w:spacing w:line="408" w:lineRule="auto"/>
        <w:ind w:left="573" w:right="3586"/>
        <w:jc w:val="left"/>
      </w:pPr>
      <w:r>
        <w:rPr/>
        <w:t>（二）公司发展机遇与挑战并存</w:t>
      </w:r>
      <w:r>
        <w:rPr>
          <w:w w:val="100"/>
        </w:rPr>
        <w:t> </w:t>
      </w:r>
      <w:r>
        <w:rPr>
          <w:rFonts w:ascii="宋体" w:hAnsi="宋体" w:cs="宋体" w:eastAsia="宋体" w:hint="default"/>
          <w:spacing w:val="-2"/>
        </w:rPr>
        <w:t>1</w:t>
      </w:r>
      <w:r>
        <w:rPr>
          <w:spacing w:val="-2"/>
        </w:rPr>
        <w:t>、快速推进转型升级，打开新的发展空间</w:t>
      </w:r>
    </w:p>
    <w:p>
      <w:pPr>
        <w:pStyle w:val="BodyText"/>
        <w:spacing w:line="408" w:lineRule="auto"/>
        <w:ind w:right="1105" w:firstLine="420"/>
        <w:jc w:val="both"/>
      </w:pPr>
      <w:r>
        <w:rPr/>
        <w:t>基于对市场环境、行业趋势的演变不断进行前瞻性的研究以及把握，公司于 </w:t>
      </w:r>
      <w:r>
        <w:rPr>
          <w:rFonts w:ascii="宋体" w:hAnsi="宋体" w:cs="宋体" w:eastAsia="宋体" w:hint="default"/>
        </w:rPr>
        <w:t>2011</w:t>
      </w:r>
      <w:r>
        <w:rPr>
          <w:rFonts w:ascii="宋体" w:hAnsi="宋体" w:cs="宋体" w:eastAsia="宋体" w:hint="default"/>
          <w:spacing w:val="-27"/>
        </w:rPr>
        <w:t> </w:t>
      </w:r>
      <w:r>
        <w:rPr/>
        <w:t>年就完整的提出新</w:t>
      </w:r>
      <w:r>
        <w:rPr>
          <w:w w:val="100"/>
        </w:rPr>
        <w:t> </w:t>
      </w:r>
      <w:r>
        <w:rPr>
          <w:spacing w:val="-2"/>
        </w:rPr>
        <w:t>十年“科技转型、智慧服务”的发展战略，探索实践企业新的业务模式。两年多来，通过不断创新探索，</w:t>
      </w:r>
      <w:r>
        <w:rPr>
          <w:spacing w:val="-21"/>
        </w:rPr>
        <w:t> </w:t>
      </w:r>
      <w:r>
        <w:rPr>
          <w:spacing w:val="-21"/>
        </w:rPr>
      </w:r>
      <w:r>
        <w:rPr>
          <w:spacing w:val="-2"/>
        </w:rPr>
        <w:t>苏宁易购联动线下虚实结合，全品类拓展，发展迅猛；苏宁科技转型以云服务为核心，从最初的员工云服</w:t>
      </w:r>
      <w:r>
        <w:rPr>
          <w:spacing w:val="-47"/>
        </w:rPr>
        <w:t> </w:t>
      </w:r>
      <w:r>
        <w:rPr>
          <w:spacing w:val="-47"/>
        </w:rPr>
      </w:r>
      <w:r>
        <w:rPr>
          <w:spacing w:val="-2"/>
        </w:rPr>
        <w:t>务、供应商云服务，逐渐进入融合互联物联、集成智能家居的消费者云服务领域。苏宁新的业务模式已经</w:t>
      </w:r>
      <w:r>
        <w:rPr>
          <w:spacing w:val="-47"/>
        </w:rPr>
        <w:t> </w:t>
      </w:r>
      <w:r>
        <w:rPr>
          <w:spacing w:val="-47"/>
        </w:rPr>
      </w:r>
      <w:r>
        <w:rPr>
          <w:spacing w:val="-2"/>
        </w:rPr>
        <w:t>逐步进入了市场化运用、规模化发展的阶段。虚实融合战略的实施呈现阶段性、周期性的特点，短期内线</w:t>
      </w:r>
      <w:r>
        <w:rPr>
          <w:spacing w:val="-47"/>
        </w:rPr>
        <w:t> </w:t>
      </w:r>
      <w:r>
        <w:rPr>
          <w:spacing w:val="-47"/>
        </w:rPr>
      </w:r>
      <w:r>
        <w:rPr>
          <w:spacing w:val="-2"/>
        </w:rPr>
        <w:t>上线下的博弈给公司经营带来一定的挑战，但随着公司大量基础工作的不断落实推进，组织结构的不断完</w:t>
      </w:r>
      <w:r>
        <w:rPr>
          <w:spacing w:val="-43"/>
        </w:rPr>
        <w:t> </w:t>
      </w:r>
      <w:r>
        <w:rPr>
          <w:spacing w:val="-43"/>
        </w:rPr>
      </w:r>
      <w:r>
        <w:rPr/>
        <w:t>善，挑战也将转化为新的机遇，相信转型的成功能够为公司打开全新的发展空间。</w:t>
      </w:r>
    </w:p>
    <w:p>
      <w:pPr>
        <w:pStyle w:val="BodyText"/>
        <w:spacing w:line="408" w:lineRule="auto"/>
        <w:ind w:left="573" w:right="982"/>
        <w:jc w:val="left"/>
      </w:pPr>
      <w:r>
        <w:rPr>
          <w:rFonts w:ascii="宋体" w:hAnsi="宋体" w:cs="宋体" w:eastAsia="宋体" w:hint="default"/>
        </w:rPr>
        <w:t>2</w:t>
      </w:r>
      <w:r>
        <w:rPr/>
        <w:t>、线上业务受到不规范经营的影响，发展面临挑战</w:t>
      </w:r>
      <w:r>
        <w:rPr>
          <w:w w:val="100"/>
        </w:rPr>
        <w:t> </w:t>
      </w:r>
      <w:r>
        <w:rPr>
          <w:spacing w:val="-2"/>
        </w:rPr>
        <w:t>过去十年，电子商务事业虽然取得迅猛发展，但不容忽视的是，伴随着高投资、高增长，出现了管理</w:t>
      </w:r>
    </w:p>
    <w:p>
      <w:pPr>
        <w:pStyle w:val="BodyText"/>
        <w:spacing w:line="408" w:lineRule="auto"/>
        <w:ind w:right="1105"/>
        <w:jc w:val="both"/>
      </w:pPr>
      <w:r>
        <w:rPr>
          <w:spacing w:val="-2"/>
        </w:rPr>
        <w:t>滞后、执法缺位的现象。由于历史原因，绝大部分平台商家没有履行工商登记手续，处于非税经营状态；</w:t>
      </w:r>
      <w:r>
        <w:rPr>
          <w:spacing w:val="-21"/>
        </w:rPr>
        <w:t> </w:t>
      </w:r>
      <w:r>
        <w:rPr>
          <w:spacing w:val="-21"/>
        </w:rPr>
      </w:r>
      <w:r>
        <w:rPr>
          <w:spacing w:val="-2"/>
        </w:rPr>
        <w:t>由于国家工商、税务、物价、海关、质监等执法职能，在电子商务领域存在管理真空、监控盲点，水货、</w:t>
      </w:r>
      <w:r>
        <w:rPr>
          <w:spacing w:val="-21"/>
        </w:rPr>
        <w:t> </w:t>
      </w:r>
      <w:r>
        <w:rPr>
          <w:spacing w:val="-21"/>
        </w:rPr>
      </w:r>
      <w:r>
        <w:rPr>
          <w:spacing w:val="-2"/>
        </w:rPr>
        <w:t>假货在网上进行交易，对零售市场秩序造成了冲击。此外，大批的互联网企业在境外资本的支持下，不考</w:t>
      </w:r>
      <w:r>
        <w:rPr>
          <w:spacing w:val="-47"/>
        </w:rPr>
        <w:t> </w:t>
      </w:r>
      <w:r>
        <w:rPr>
          <w:spacing w:val="-47"/>
        </w:rPr>
      </w:r>
      <w:r>
        <w:rPr>
          <w:spacing w:val="-2"/>
        </w:rPr>
        <w:t>虑长期发展和竞争能力建设，不计成本纯粹依靠价格竞争，对市场进行掠夺式的占有，不仅对国内传统零</w:t>
      </w:r>
      <w:r>
        <w:rPr>
          <w:spacing w:val="-43"/>
        </w:rPr>
        <w:t> </w:t>
      </w:r>
      <w:r>
        <w:rPr>
          <w:spacing w:val="-43"/>
        </w:rPr>
      </w:r>
      <w:r>
        <w:rPr/>
        <w:t>售行业产生影响，也对制造业和市场规范秩序造成了破坏。</w:t>
      </w:r>
    </w:p>
    <w:p>
      <w:pPr>
        <w:pStyle w:val="BodyText"/>
        <w:spacing w:line="408" w:lineRule="auto"/>
        <w:ind w:right="1126" w:firstLine="420"/>
        <w:jc w:val="both"/>
      </w:pPr>
      <w:r>
        <w:rPr>
          <w:spacing w:val="-2"/>
        </w:rPr>
        <w:t>电商业务是零售行业的消费方式革命，商业模式革命，代表着先进的生产力，其发展必须是建立在规</w:t>
      </w:r>
      <w:r>
        <w:rPr>
          <w:w w:val="100"/>
        </w:rPr>
        <w:t> </w:t>
      </w:r>
      <w:r>
        <w:rPr>
          <w:spacing w:val="-2"/>
        </w:rPr>
        <w:t>范市场机制之上的，只有加强行业规范和监督，才能引导行业由“野蛮生长”走向规范发展，真正打造一</w:t>
      </w:r>
      <w:r>
        <w:rPr>
          <w:spacing w:val="-43"/>
        </w:rPr>
        <w:t> </w:t>
      </w:r>
      <w:r>
        <w:rPr>
          <w:spacing w:val="-43"/>
        </w:rPr>
      </w:r>
      <w:r>
        <w:rPr/>
        <w:t>批具备核心竞争能力的优质电商企业。</w:t>
      </w:r>
    </w:p>
    <w:p>
      <w:pPr>
        <w:pStyle w:val="BodyText"/>
        <w:spacing w:line="240" w:lineRule="auto"/>
        <w:ind w:left="573" w:right="982"/>
        <w:jc w:val="left"/>
      </w:pPr>
      <w:r>
        <w:rPr>
          <w:rFonts w:ascii="宋体" w:hAnsi="宋体" w:cs="宋体" w:eastAsia="宋体" w:hint="default"/>
        </w:rPr>
        <w:t>3</w:t>
      </w:r>
      <w:r>
        <w:rPr/>
        <w:t>、二、三级市场发展亟待渗透，物流建设网路布局需进一步加强</w:t>
      </w:r>
    </w:p>
    <w:p>
      <w:pPr>
        <w:spacing w:line="240" w:lineRule="auto" w:before="11"/>
        <w:rPr>
          <w:rFonts w:ascii="宋体" w:hAnsi="宋体" w:cs="宋体" w:eastAsia="宋体" w:hint="default"/>
          <w:sz w:val="14"/>
          <w:szCs w:val="14"/>
        </w:rPr>
      </w:pPr>
    </w:p>
    <w:p>
      <w:pPr>
        <w:pStyle w:val="BodyText"/>
        <w:spacing w:line="408" w:lineRule="auto" w:before="0"/>
        <w:ind w:right="1126" w:firstLine="420"/>
        <w:jc w:val="both"/>
      </w:pPr>
      <w:r>
        <w:rPr/>
        <w:t>据中国发展研究基金会预测，</w:t>
      </w:r>
      <w:r>
        <w:rPr>
          <w:rFonts w:ascii="宋体" w:hAnsi="宋体" w:cs="宋体" w:eastAsia="宋体" w:hint="default"/>
        </w:rPr>
        <w:t>2020</w:t>
      </w:r>
      <w:r>
        <w:rPr>
          <w:rFonts w:ascii="宋体" w:hAnsi="宋体" w:cs="宋体" w:eastAsia="宋体" w:hint="default"/>
          <w:spacing w:val="-36"/>
        </w:rPr>
        <w:t> </w:t>
      </w:r>
      <w:r>
        <w:rPr/>
        <w:t>年，中国城市化率将达到</w:t>
      </w:r>
      <w:r>
        <w:rPr>
          <w:spacing w:val="-35"/>
        </w:rPr>
        <w:t> </w:t>
      </w:r>
      <w:r>
        <w:rPr>
          <w:rFonts w:ascii="宋体" w:hAnsi="宋体" w:cs="宋体" w:eastAsia="宋体" w:hint="default"/>
        </w:rPr>
        <w:t>58%</w:t>
      </w:r>
      <w:r>
        <w:rPr/>
        <w:t>，到</w:t>
      </w:r>
      <w:r>
        <w:rPr>
          <w:spacing w:val="-33"/>
        </w:rPr>
        <w:t> </w:t>
      </w:r>
      <w:r>
        <w:rPr>
          <w:rFonts w:ascii="宋体" w:hAnsi="宋体" w:cs="宋体" w:eastAsia="宋体" w:hint="default"/>
        </w:rPr>
        <w:t>2030</w:t>
      </w:r>
      <w:r>
        <w:rPr>
          <w:rFonts w:ascii="宋体" w:hAnsi="宋体" w:cs="宋体" w:eastAsia="宋体" w:hint="default"/>
          <w:spacing w:val="-36"/>
        </w:rPr>
        <w:t> </w:t>
      </w:r>
      <w:r>
        <w:rPr/>
        <w:t>年，中国城市化率将达到</w:t>
      </w:r>
      <w:r>
        <w:rPr>
          <w:w w:val="100"/>
        </w:rPr>
        <w:t> </w:t>
      </w:r>
      <w:r>
        <w:rPr>
          <w:rFonts w:ascii="宋体" w:hAnsi="宋体" w:cs="宋体" w:eastAsia="宋体" w:hint="default"/>
        </w:rPr>
        <w:t>65%</w:t>
      </w:r>
      <w:r>
        <w:rPr/>
        <w:t>以上。同时，随着城市化进程的推进，未来中国将形成特大城市、大城市、中小城市同步发展的城市</w:t>
      </w:r>
      <w:r>
        <w:rPr>
          <w:spacing w:val="-24"/>
        </w:rPr>
        <w:t> </w:t>
      </w:r>
      <w:r>
        <w:rPr>
          <w:spacing w:val="-24"/>
        </w:rPr>
      </w:r>
      <w:r>
        <w:rPr>
          <w:spacing w:val="-2"/>
        </w:rPr>
        <w:t>形态，因此可以预见城市化水平的增长和城市群落聚集效应的增加，也将有力的推动零售行业的发展。这</w:t>
      </w:r>
      <w:r>
        <w:rPr>
          <w:spacing w:val="-44"/>
        </w:rPr>
        <w:t> </w:t>
      </w:r>
      <w:r>
        <w:rPr>
          <w:spacing w:val="-44"/>
        </w:rPr>
      </w:r>
      <w:r>
        <w:rPr>
          <w:spacing w:val="-2"/>
        </w:rPr>
        <w:t>样的变化为公司连锁发展网络的更深层次渗透提供了新的机遇，但同时对公司二、三级市场经营管理能力</w:t>
      </w:r>
      <w:r>
        <w:rPr>
          <w:spacing w:val="-42"/>
        </w:rPr>
        <w:t> </w:t>
      </w:r>
      <w:r>
        <w:rPr>
          <w:spacing w:val="-42"/>
        </w:rPr>
      </w:r>
      <w:r>
        <w:rPr/>
        <w:t>及物流网络覆盖提出了更高的要求。</w:t>
      </w:r>
    </w:p>
    <w:p>
      <w:pPr>
        <w:pStyle w:val="BodyText"/>
        <w:spacing w:line="240" w:lineRule="auto"/>
        <w:ind w:right="0" w:firstLine="420"/>
        <w:jc w:val="both"/>
      </w:pPr>
      <w:r>
        <w:rPr/>
        <w:t>由于物流平台建设步伐相对连锁网络拓展有一定的滞后，这在一定程度上限制了公司二、三级市场的</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区域资源整合以及采购及配套服务能力的提升。此外，公司加快发展 </w:t>
      </w:r>
      <w:r>
        <w:rPr>
          <w:rFonts w:ascii="宋体" w:hAnsi="宋体" w:cs="宋体" w:eastAsia="宋体" w:hint="default"/>
        </w:rPr>
        <w:t>3C</w:t>
      </w:r>
      <w:r>
        <w:rPr>
          <w:rFonts w:ascii="宋体" w:hAnsi="宋体" w:cs="宋体" w:eastAsia="宋体" w:hint="default"/>
          <w:spacing w:val="-28"/>
        </w:rPr>
        <w:t> </w:t>
      </w:r>
      <w:r>
        <w:rPr/>
        <w:t>产品及电子商务业务，对提升小</w:t>
      </w:r>
    </w:p>
    <w:p>
      <w:pPr>
        <w:spacing w:after="0" w:line="240" w:lineRule="auto"/>
        <w:jc w:val="both"/>
        <w:sectPr>
          <w:footerReference w:type="default" r:id="rId28"/>
          <w:pgSz w:w="11910" w:h="16840"/>
          <w:pgMar w:footer="1265" w:header="877" w:top="1100" w:bottom="1460" w:left="980" w:right="0"/>
          <w:pgNumType w:start="40"/>
        </w:sectPr>
      </w:pPr>
    </w:p>
    <w:p>
      <w:pPr>
        <w:spacing w:line="240" w:lineRule="auto" w:before="9"/>
        <w:rPr>
          <w:rFonts w:ascii="宋体" w:hAnsi="宋体" w:cs="宋体" w:eastAsia="宋体" w:hint="default"/>
          <w:sz w:val="26"/>
          <w:szCs w:val="26"/>
        </w:rPr>
      </w:pPr>
    </w:p>
    <w:p>
      <w:pPr>
        <w:pStyle w:val="BodyText"/>
        <w:spacing w:line="408" w:lineRule="auto" w:before="36"/>
        <w:ind w:right="1126"/>
        <w:jc w:val="both"/>
      </w:pPr>
      <w:r>
        <w:rPr>
          <w:spacing w:val="-2"/>
        </w:rPr>
        <w:t>件商品的存储、调拨、配送效率也提出了新的要求。目前公司物流基地已进入批量化筹建阶段，物流网路</w:t>
      </w:r>
      <w:r>
        <w:rPr>
          <w:spacing w:val="-47"/>
        </w:rPr>
        <w:t> </w:t>
      </w:r>
      <w:r>
        <w:rPr>
          <w:spacing w:val="-47"/>
        </w:rPr>
      </w:r>
      <w:r>
        <w:rPr>
          <w:spacing w:val="-2"/>
        </w:rPr>
        <w:t>布局不断加快，已形成从采购枢纽到门店库的四级库存与全国运输体系，随着物流体系不断完善，效应逐</w:t>
      </w:r>
      <w:r>
        <w:rPr>
          <w:spacing w:val="-45"/>
        </w:rPr>
        <w:t> </w:t>
      </w:r>
      <w:r>
        <w:rPr>
          <w:spacing w:val="-45"/>
        </w:rPr>
      </w:r>
      <w:r>
        <w:rPr/>
        <w:t>步体现，对公司二三级市场发展以及线上业务发展提供有力的支撑。</w:t>
      </w:r>
    </w:p>
    <w:p>
      <w:pPr>
        <w:pStyle w:val="BodyText"/>
        <w:spacing w:line="408" w:lineRule="auto"/>
        <w:ind w:left="573" w:right="982"/>
        <w:jc w:val="left"/>
      </w:pPr>
      <w:r>
        <w:rPr>
          <w:rFonts w:ascii="宋体" w:hAnsi="宋体" w:cs="宋体" w:eastAsia="宋体" w:hint="default"/>
        </w:rPr>
        <w:t>4</w:t>
      </w:r>
      <w:r>
        <w:rPr/>
        <w:t>、加强资产管理，提高运营效率</w:t>
      </w:r>
      <w:r>
        <w:rPr>
          <w:w w:val="100"/>
        </w:rPr>
        <w:t> </w:t>
      </w:r>
      <w:r>
        <w:rPr>
          <w:spacing w:val="-2"/>
        </w:rPr>
        <w:t>公司始终坚持“前台带动后台、后台推动前台”的经营策略，不断完善物流平台、信息体系的建设，</w:t>
      </w:r>
    </w:p>
    <w:p>
      <w:pPr>
        <w:pStyle w:val="BodyText"/>
        <w:spacing w:line="408" w:lineRule="auto"/>
        <w:ind w:right="982"/>
        <w:jc w:val="left"/>
      </w:pPr>
      <w:r>
        <w:rPr>
          <w:spacing w:val="-2"/>
        </w:rPr>
        <w:t>长期来看，有利于企业经营稳定性，但是短期内随着购置店、自建店、物流体系相关的资产投入加大，影</w:t>
      </w:r>
      <w:r>
        <w:rPr>
          <w:spacing w:val="-43"/>
        </w:rPr>
        <w:t> </w:t>
      </w:r>
      <w:r>
        <w:rPr>
          <w:spacing w:val="-43"/>
        </w:rPr>
      </w:r>
      <w:r>
        <w:rPr>
          <w:spacing w:val="-2"/>
        </w:rPr>
        <w:t>响了周转效率。公司必须加强资产的管理，提高周转效率。一方面对于已有项目，加快建设，缩短建设周</w:t>
      </w:r>
      <w:r>
        <w:rPr>
          <w:spacing w:val="-43"/>
        </w:rPr>
        <w:t> </w:t>
      </w:r>
      <w:r>
        <w:rPr>
          <w:spacing w:val="-43"/>
        </w:rPr>
      </w:r>
      <w:r>
        <w:rPr>
          <w:spacing w:val="-5"/>
        </w:rPr>
        <w:t>期，早日投入运营，加快效益的实现；另一方面对于新增项目，强化投资的可行性分析，重视投入产出比，</w:t>
      </w:r>
      <w:r>
        <w:rPr>
          <w:spacing w:val="-9"/>
        </w:rPr>
        <w:t> </w:t>
      </w:r>
      <w:r>
        <w:rPr>
          <w:spacing w:val="-9"/>
        </w:rPr>
      </w:r>
      <w:r>
        <w:rPr>
          <w:spacing w:val="-2"/>
        </w:rPr>
        <w:t>并综合运用多种资金筹集方式，实现资金效益的最大化。随着自有物业店面一定规模的形成，以及物流网</w:t>
      </w:r>
      <w:r>
        <w:rPr>
          <w:spacing w:val="-45"/>
        </w:rPr>
        <w:t> </w:t>
      </w:r>
      <w:r>
        <w:rPr>
          <w:spacing w:val="-45"/>
        </w:rPr>
      </w:r>
      <w:r>
        <w:rPr>
          <w:spacing w:val="-2"/>
        </w:rPr>
        <w:t>络体系的完善，企业发展基础更加夯实，将极大促进销售规模的持续提升以及成本费用的有效节约，推动</w:t>
      </w:r>
      <w:r>
        <w:rPr>
          <w:spacing w:val="-43"/>
        </w:rPr>
        <w:t> </w:t>
      </w:r>
      <w:r>
        <w:rPr>
          <w:spacing w:val="-43"/>
        </w:rPr>
      </w:r>
      <w:r>
        <w:rPr/>
        <w:t>效率效益的大幅度提高。</w:t>
      </w:r>
    </w:p>
    <w:p>
      <w:pPr>
        <w:pStyle w:val="BodyText"/>
        <w:spacing w:line="240" w:lineRule="auto"/>
        <w:ind w:left="573" w:right="982"/>
        <w:jc w:val="left"/>
      </w:pPr>
      <w:r>
        <w:rPr>
          <w:rFonts w:ascii="宋体" w:hAnsi="宋体" w:cs="宋体" w:eastAsia="宋体" w:hint="default"/>
        </w:rPr>
        <w:t>(</w:t>
      </w:r>
      <w:r>
        <w:rPr/>
        <w:t>三</w:t>
      </w:r>
      <w:r>
        <w:rPr>
          <w:rFonts w:ascii="宋体" w:hAnsi="宋体" w:cs="宋体" w:eastAsia="宋体" w:hint="default"/>
        </w:rPr>
        <w:t>)</w:t>
      </w:r>
      <w:r>
        <w:rPr/>
        <w:t>公司发展战略及</w:t>
      </w:r>
      <w:r>
        <w:rPr>
          <w:spacing w:val="-53"/>
        </w:rPr>
        <w:t> </w:t>
      </w:r>
      <w:r>
        <w:rPr>
          <w:rFonts w:ascii="宋体" w:hAnsi="宋体" w:cs="宋体" w:eastAsia="宋体" w:hint="default"/>
        </w:rPr>
        <w:t>2013</w:t>
      </w:r>
      <w:r>
        <w:rPr>
          <w:rFonts w:ascii="宋体" w:hAnsi="宋体" w:cs="宋体" w:eastAsia="宋体" w:hint="default"/>
          <w:spacing w:val="-55"/>
        </w:rPr>
        <w:t> </w:t>
      </w:r>
      <w:r>
        <w:rPr/>
        <w:t>年经营规划</w:t>
      </w:r>
    </w:p>
    <w:p>
      <w:pPr>
        <w:spacing w:line="240" w:lineRule="auto" w:before="10"/>
        <w:rPr>
          <w:rFonts w:ascii="宋体" w:hAnsi="宋体" w:cs="宋体" w:eastAsia="宋体" w:hint="default"/>
          <w:sz w:val="14"/>
          <w:szCs w:val="14"/>
        </w:rPr>
      </w:pPr>
    </w:p>
    <w:p>
      <w:pPr>
        <w:pStyle w:val="BodyText"/>
        <w:spacing w:line="408" w:lineRule="auto" w:before="0"/>
        <w:ind w:right="1128" w:firstLine="420"/>
        <w:jc w:val="both"/>
      </w:pPr>
      <w:r>
        <w:rPr/>
        <w:t>苏宁在过往的</w:t>
      </w:r>
      <w:r>
        <w:rPr>
          <w:spacing w:val="-60"/>
        </w:rPr>
        <w:t> </w:t>
      </w:r>
      <w:r>
        <w:rPr>
          <w:rFonts w:ascii="宋体" w:hAnsi="宋体" w:cs="宋体" w:eastAsia="宋体" w:hint="default"/>
        </w:rPr>
        <w:t>22</w:t>
      </w:r>
      <w:r>
        <w:rPr>
          <w:rFonts w:ascii="宋体" w:hAnsi="宋体" w:cs="宋体" w:eastAsia="宋体" w:hint="default"/>
          <w:spacing w:val="-60"/>
        </w:rPr>
        <w:t> </w:t>
      </w:r>
      <w:r>
        <w:rPr/>
        <w:t>年发展过程中间，经历了多次创新和转型，</w:t>
      </w:r>
      <w:r>
        <w:rPr>
          <w:rFonts w:ascii="宋体" w:hAnsi="宋体" w:cs="宋体" w:eastAsia="宋体" w:hint="default"/>
        </w:rPr>
        <w:t>2009</w:t>
      </w:r>
      <w:r>
        <w:rPr>
          <w:rFonts w:ascii="宋体" w:hAnsi="宋体" w:cs="宋体" w:eastAsia="宋体" w:hint="default"/>
          <w:spacing w:val="-62"/>
        </w:rPr>
        <w:t> </w:t>
      </w:r>
      <w:r>
        <w:rPr/>
        <w:t>年启动营销变革，</w:t>
      </w:r>
      <w:r>
        <w:rPr>
          <w:rFonts w:ascii="宋体" w:hAnsi="宋体" w:cs="宋体" w:eastAsia="宋体" w:hint="default"/>
        </w:rPr>
        <w:t>2010</w:t>
      </w:r>
      <w:r>
        <w:rPr>
          <w:rFonts w:ascii="宋体" w:hAnsi="宋体" w:cs="宋体" w:eastAsia="宋体" w:hint="default"/>
          <w:spacing w:val="-60"/>
        </w:rPr>
        <w:t> </w:t>
      </w:r>
      <w:r>
        <w:rPr/>
        <w:t>年苏宁易购</w:t>
      </w:r>
      <w:r>
        <w:rPr>
          <w:w w:val="100"/>
        </w:rPr>
        <w:t> </w:t>
      </w:r>
      <w:r>
        <w:rPr>
          <w:spacing w:val="-3"/>
        </w:rPr>
        <w:t>正式上线，开始线上线下双平台的融合发展，</w:t>
      </w:r>
      <w:r>
        <w:rPr>
          <w:rFonts w:ascii="宋体" w:hAnsi="宋体" w:cs="宋体" w:eastAsia="宋体" w:hint="default"/>
          <w:spacing w:val="-3"/>
        </w:rPr>
        <w:t>2011 </w:t>
      </w:r>
      <w:r>
        <w:rPr>
          <w:spacing w:val="-4"/>
        </w:rPr>
        <w:t>年实施新十年“科技转型、智慧服务”的发展战略，经</w:t>
      </w:r>
      <w:r>
        <w:rPr>
          <w:spacing w:val="-78"/>
        </w:rPr>
        <w:t> </w:t>
      </w:r>
      <w:r>
        <w:rPr>
          <w:spacing w:val="-78"/>
        </w:rPr>
      </w:r>
      <w:r>
        <w:rPr/>
        <w:t>过三年的创新转型探索，</w:t>
      </w:r>
      <w:r>
        <w:rPr>
          <w:rFonts w:ascii="宋体" w:hAnsi="宋体" w:cs="宋体" w:eastAsia="宋体" w:hint="default"/>
        </w:rPr>
        <w:t>2013</w:t>
      </w:r>
      <w:r>
        <w:rPr>
          <w:rFonts w:ascii="宋体" w:hAnsi="宋体" w:cs="宋体" w:eastAsia="宋体" w:hint="default"/>
          <w:spacing w:val="-35"/>
        </w:rPr>
        <w:t> </w:t>
      </w:r>
      <w:r>
        <w:rPr/>
        <w:t>苏宁零售事业的发展全力进入转型提速、跨越裂变的快车道。</w:t>
      </w:r>
      <w:r>
        <w:rPr>
          <w:rFonts w:ascii="宋体" w:hAnsi="宋体" w:cs="宋体" w:eastAsia="宋体" w:hint="default"/>
        </w:rPr>
        <w:t>2013</w:t>
      </w:r>
      <w:r>
        <w:rPr>
          <w:rFonts w:ascii="宋体" w:hAnsi="宋体" w:cs="宋体" w:eastAsia="宋体" w:hint="default"/>
          <w:spacing w:val="-36"/>
        </w:rPr>
        <w:t> </w:t>
      </w:r>
      <w:r>
        <w:rPr/>
        <w:t>年</w:t>
      </w:r>
      <w:r>
        <w:rPr>
          <w:spacing w:val="-35"/>
        </w:rPr>
        <w:t> </w:t>
      </w:r>
      <w:r>
        <w:rPr>
          <w:rFonts w:ascii="宋体" w:hAnsi="宋体" w:cs="宋体" w:eastAsia="宋体" w:hint="default"/>
        </w:rPr>
        <w:t>3</w:t>
      </w:r>
      <w:r>
        <w:rPr>
          <w:rFonts w:ascii="宋体" w:hAnsi="宋体" w:cs="宋体" w:eastAsia="宋体" w:hint="default"/>
          <w:spacing w:val="-35"/>
        </w:rPr>
        <w:t> </w:t>
      </w:r>
      <w:r>
        <w:rPr/>
        <w:t>月</w:t>
      </w:r>
      <w:r>
        <w:rPr>
          <w:w w:val="100"/>
        </w:rPr>
        <w:t> </w:t>
      </w:r>
      <w:r>
        <w:rPr>
          <w:rFonts w:ascii="宋体" w:hAnsi="宋体" w:cs="宋体" w:eastAsia="宋体" w:hint="default"/>
        </w:rPr>
        <w:t>22 </w:t>
      </w:r>
      <w:r>
        <w:rPr>
          <w:spacing w:val="-4"/>
        </w:rPr>
        <w:t>日，公司正式启用“苏宁云商”这一新名称，苏宁云服务将进入全品类、全渠道、全客群的成熟推广时</w:t>
      </w:r>
      <w:r>
        <w:rPr>
          <w:spacing w:val="-68"/>
        </w:rPr>
        <w:t> </w:t>
      </w:r>
      <w:r>
        <w:rPr>
          <w:spacing w:val="-68"/>
        </w:rPr>
      </w:r>
      <w:r>
        <w:rPr/>
        <w:t>期，苏宁“云商”模式以及与之配套的更加专业开放的组织将清晰呈现。</w:t>
      </w:r>
    </w:p>
    <w:p>
      <w:pPr>
        <w:pStyle w:val="BodyText"/>
        <w:spacing w:line="408" w:lineRule="auto"/>
        <w:ind w:right="1128" w:firstLine="420"/>
        <w:jc w:val="both"/>
      </w:pPr>
      <w:r>
        <w:rPr>
          <w:spacing w:val="-5"/>
          <w:w w:val="100"/>
        </w:rPr>
        <w:t>云商模式，即“店商</w:t>
      </w:r>
      <w:r>
        <w:rPr>
          <w:rFonts w:ascii="宋体" w:hAnsi="宋体" w:cs="宋体" w:eastAsia="宋体" w:hint="default"/>
          <w:spacing w:val="-5"/>
          <w:w w:val="100"/>
        </w:rPr>
        <w:t>+</w:t>
      </w:r>
      <w:r>
        <w:rPr>
          <w:spacing w:val="-5"/>
          <w:w w:val="100"/>
        </w:rPr>
        <w:t>电商</w:t>
      </w:r>
      <w:r>
        <w:rPr>
          <w:rFonts w:ascii="宋体" w:hAnsi="宋体" w:cs="宋体" w:eastAsia="宋体" w:hint="default"/>
          <w:spacing w:val="-5"/>
          <w:w w:val="100"/>
        </w:rPr>
        <w:t>+</w:t>
      </w:r>
      <w:r>
        <w:rPr>
          <w:spacing w:val="-5"/>
          <w:w w:val="100"/>
        </w:rPr>
        <w:t>零售服务商”，是互联网时代的零售与服务模式</w:t>
      </w:r>
      <w:r>
        <w:rPr>
          <w:rFonts w:ascii="宋体" w:hAnsi="宋体" w:cs="宋体" w:eastAsia="宋体" w:hint="default"/>
          <w:spacing w:val="-5"/>
          <w:w w:val="100"/>
        </w:rPr>
        <w:t>,</w:t>
      </w:r>
      <w:r>
        <w:rPr>
          <w:spacing w:val="-5"/>
          <w:w w:val="100"/>
        </w:rPr>
        <w:t>将致力于打造线下连锁店</w:t>
      </w:r>
      <w:r>
        <w:rPr>
          <w:w w:val="100"/>
        </w:rPr>
        <w:t> </w:t>
      </w:r>
      <w:r>
        <w:rPr>
          <w:spacing w:val="-2"/>
        </w:rPr>
        <w:t>面平台和线上电子商务两个平台，通过云商系统以云技术为支撑、以开放平台为架构，服务全产业、服务</w:t>
      </w:r>
      <w:r>
        <w:rPr>
          <w:spacing w:val="-46"/>
        </w:rPr>
        <w:t> </w:t>
      </w:r>
      <w:r>
        <w:rPr>
          <w:spacing w:val="-46"/>
        </w:rPr>
      </w:r>
      <w:r>
        <w:rPr/>
        <w:t>全客群，形成多渠道融合、全品类经营、开放平台服务的业务形态。</w:t>
      </w:r>
    </w:p>
    <w:p>
      <w:pPr>
        <w:pStyle w:val="BodyText"/>
        <w:spacing w:line="408" w:lineRule="auto"/>
        <w:ind w:right="1025" w:firstLine="420"/>
        <w:jc w:val="left"/>
      </w:pPr>
      <w:r>
        <w:rPr/>
        <w:t>业务模式的转型固化，还需要组织架构、运行流程与之相配套，为更好地推进“云商”模式落地，公</w:t>
      </w:r>
      <w:r>
        <w:rPr>
          <w:w w:val="100"/>
        </w:rPr>
        <w:t> </w:t>
      </w:r>
      <w:r>
        <w:rPr>
          <w:spacing w:val="-5"/>
        </w:rPr>
        <w:t>司对组织架构进行了全面调整和优化。在总部管理层面设立了连锁开发、市场营销、服务物流、财务信息、</w:t>
      </w:r>
      <w:r>
        <w:rPr>
          <w:spacing w:val="-8"/>
        </w:rPr>
        <w:t> </w:t>
      </w:r>
      <w:r>
        <w:rPr>
          <w:spacing w:val="-8"/>
        </w:rPr>
      </w:r>
      <w:r>
        <w:rPr>
          <w:spacing w:val="-5"/>
        </w:rPr>
        <w:t>行政人事五大管理总部，负责战略规划、标准制定、计划管控，协调各经营事业群工作。在总部经营层面，</w:t>
      </w:r>
      <w:r>
        <w:rPr>
          <w:spacing w:val="-6"/>
        </w:rPr>
        <w:t> </w:t>
      </w:r>
      <w:r>
        <w:rPr>
          <w:spacing w:val="-6"/>
        </w:rPr>
      </w:r>
      <w:r>
        <w:rPr>
          <w:spacing w:val="-2"/>
        </w:rPr>
        <w:t>打造线上电子商务、线下连锁平台和商品经营三大经营总部，涵盖了实体产品、内容产品、服务产品三大</w:t>
      </w:r>
      <w:r>
        <w:rPr>
          <w:spacing w:val="-47"/>
        </w:rPr>
        <w:t> </w:t>
      </w:r>
      <w:r>
        <w:rPr>
          <w:spacing w:val="-47"/>
        </w:rPr>
      </w:r>
      <w:r>
        <w:rPr/>
        <w:t>类</w:t>
      </w:r>
      <w:r>
        <w:rPr>
          <w:spacing w:val="-59"/>
        </w:rPr>
        <w:t> </w:t>
      </w:r>
      <w:r>
        <w:rPr>
          <w:rFonts w:ascii="宋体" w:hAnsi="宋体" w:cs="宋体" w:eastAsia="宋体" w:hint="default"/>
        </w:rPr>
        <w:t>28</w:t>
      </w:r>
      <w:r>
        <w:rPr>
          <w:rFonts w:ascii="宋体" w:hAnsi="宋体" w:cs="宋体" w:eastAsia="宋体" w:hint="default"/>
          <w:spacing w:val="-62"/>
        </w:rPr>
        <w:t> </w:t>
      </w:r>
      <w:r>
        <w:rPr/>
        <w:t>个事业部，形成“平台共享</w:t>
      </w:r>
      <w:r>
        <w:rPr>
          <w:rFonts w:ascii="宋体" w:hAnsi="宋体" w:cs="宋体" w:eastAsia="宋体" w:hint="default"/>
        </w:rPr>
        <w:t>+</w:t>
      </w:r>
      <w:r>
        <w:rPr/>
        <w:t>垂直协同”的经营组合。在大区层面，扁平化垂直管理、本地化自主经</w:t>
      </w:r>
      <w:r>
        <w:rPr>
          <w:w w:val="100"/>
        </w:rPr>
        <w:t> </w:t>
      </w:r>
      <w:r>
        <w:rPr>
          <w:spacing w:val="-2"/>
        </w:rPr>
        <w:t>营，把大区—子公司—营运部三级缩减为大区—城市终端两级管理，并大幅扩充大区和城市终端数量，增</w:t>
      </w:r>
      <w:r>
        <w:rPr>
          <w:spacing w:val="-43"/>
        </w:rPr>
        <w:t> </w:t>
      </w:r>
      <w:r>
        <w:rPr>
          <w:spacing w:val="-43"/>
        </w:rPr>
      </w:r>
      <w:r>
        <w:rPr/>
        <w:t>强区域化运营和本地化服务能力，提升运营效率。</w:t>
      </w:r>
    </w:p>
    <w:p>
      <w:pPr>
        <w:pStyle w:val="BodyText"/>
        <w:spacing w:line="408" w:lineRule="auto"/>
        <w:ind w:right="982" w:firstLine="420"/>
        <w:jc w:val="left"/>
      </w:pPr>
      <w:r>
        <w:rPr/>
        <w:t>线上线下两大开放平台三大经营事业群，</w:t>
      </w:r>
      <w:r>
        <w:rPr>
          <w:rFonts w:ascii="宋体" w:hAnsi="宋体" w:cs="宋体" w:eastAsia="宋体" w:hint="default"/>
        </w:rPr>
        <w:t>28 </w:t>
      </w:r>
      <w:r>
        <w:rPr/>
        <w:t>个事业部，</w:t>
      </w:r>
      <w:r>
        <w:rPr>
          <w:rFonts w:ascii="宋体" w:hAnsi="宋体" w:cs="宋体" w:eastAsia="宋体" w:hint="default"/>
        </w:rPr>
        <w:t>60</w:t>
      </w:r>
      <w:r>
        <w:rPr>
          <w:rFonts w:ascii="宋体" w:hAnsi="宋体" w:cs="宋体" w:eastAsia="宋体" w:hint="default"/>
          <w:spacing w:val="-28"/>
        </w:rPr>
        <w:t> </w:t>
      </w:r>
      <w:r>
        <w:rPr/>
        <w:t>个大区组成了苏宁联合舰队，既保障了各</w:t>
      </w:r>
      <w:r>
        <w:rPr>
          <w:w w:val="100"/>
        </w:rPr>
        <w:t> </w:t>
      </w:r>
      <w:r>
        <w:rPr>
          <w:spacing w:val="-4"/>
        </w:rPr>
        <w:t>项业务独立经营，也全面推动业务之间相互融合，实现“</w:t>
      </w:r>
      <w:r>
        <w:rPr>
          <w:rFonts w:ascii="宋体" w:hAnsi="宋体" w:cs="宋体" w:eastAsia="宋体" w:hint="default"/>
          <w:spacing w:val="-4"/>
        </w:rPr>
        <w:t>1+1</w:t>
      </w:r>
      <w:r>
        <w:rPr>
          <w:spacing w:val="-4"/>
        </w:rPr>
        <w:t>＞</w:t>
      </w:r>
      <w:r>
        <w:rPr>
          <w:rFonts w:ascii="宋体" w:hAnsi="宋体" w:cs="宋体" w:eastAsia="宋体" w:hint="default"/>
          <w:spacing w:val="-4"/>
        </w:rPr>
        <w:t>2</w:t>
      </w:r>
      <w:r>
        <w:rPr>
          <w:spacing w:val="-4"/>
        </w:rPr>
        <w:t>”的效应，将更加有效整合内外各种资源，</w:t>
      </w:r>
    </w:p>
    <w:p>
      <w:pPr>
        <w:spacing w:after="0" w:line="408" w:lineRule="auto"/>
        <w:jc w:val="left"/>
        <w:sectPr>
          <w:footerReference w:type="default" r:id="rId29"/>
          <w:pgSz w:w="11910" w:h="16840"/>
          <w:pgMar w:footer="1496" w:header="877" w:top="1100" w:bottom="1680" w:left="980" w:right="0"/>
          <w:pgNumType w:start="41"/>
        </w:sectPr>
      </w:pPr>
    </w:p>
    <w:p>
      <w:pPr>
        <w:spacing w:line="240" w:lineRule="auto" w:before="9"/>
        <w:rPr>
          <w:rFonts w:ascii="宋体" w:hAnsi="宋体" w:cs="宋体" w:eastAsia="宋体" w:hint="default"/>
          <w:sz w:val="26"/>
          <w:szCs w:val="26"/>
        </w:rPr>
      </w:pPr>
    </w:p>
    <w:p>
      <w:pPr>
        <w:pStyle w:val="BodyText"/>
        <w:spacing w:line="408" w:lineRule="auto" w:before="36"/>
        <w:ind w:left="573" w:right="3586" w:hanging="421"/>
        <w:jc w:val="left"/>
        <w:rPr>
          <w:rFonts w:ascii="宋体" w:hAnsi="宋体" w:cs="宋体" w:eastAsia="宋体" w:hint="default"/>
        </w:rPr>
      </w:pPr>
      <w:r>
        <w:rPr>
          <w:spacing w:val="-2"/>
        </w:rPr>
        <w:t>模式的价值实现，将苏宁云商真正打造成为一个互联网时代的零售服务企业。</w:t>
      </w:r>
      <w:r>
        <w:rPr>
          <w:spacing w:val="-42"/>
        </w:rPr>
        <w:t> </w:t>
      </w:r>
      <w:r>
        <w:rPr>
          <w:spacing w:val="-42"/>
        </w:rPr>
      </w:r>
      <w:r>
        <w:rPr>
          <w:rFonts w:ascii="宋体" w:hAnsi="宋体" w:cs="宋体" w:eastAsia="宋体" w:hint="default"/>
          <w:w w:val="100"/>
        </w:rPr>
        <w:t>2013</w:t>
      </w:r>
      <w:r>
        <w:rPr>
          <w:rFonts w:ascii="宋体" w:hAnsi="宋体" w:cs="宋体" w:eastAsia="宋体" w:hint="default"/>
          <w:spacing w:val="-48"/>
          <w:w w:val="100"/>
        </w:rPr>
        <w:t> </w:t>
      </w:r>
      <w:r>
        <w:rPr>
          <w:spacing w:val="-6"/>
          <w:w w:val="100"/>
        </w:rPr>
        <w:t>年，公司将积极践行“云商模式”，推动各项工作开展</w:t>
      </w:r>
      <w:r>
        <w:rPr>
          <w:rFonts w:ascii="宋体" w:hAnsi="宋体" w:cs="宋体" w:eastAsia="宋体" w:hint="default"/>
          <w:spacing w:val="-6"/>
          <w:w w:val="100"/>
        </w:rPr>
        <w:t>:</w:t>
      </w:r>
    </w:p>
    <w:p>
      <w:pPr>
        <w:pStyle w:val="BodyText"/>
        <w:spacing w:line="240" w:lineRule="auto"/>
        <w:ind w:left="573" w:right="982"/>
        <w:jc w:val="left"/>
      </w:pPr>
      <w:r>
        <w:rPr>
          <w:rFonts w:ascii="宋体" w:hAnsi="宋体" w:cs="宋体" w:eastAsia="宋体" w:hint="default"/>
        </w:rPr>
        <w:t>1</w:t>
      </w:r>
      <w:r>
        <w:rPr/>
        <w:t>、连锁平台方面</w:t>
      </w:r>
    </w:p>
    <w:p>
      <w:pPr>
        <w:spacing w:line="240" w:lineRule="auto" w:before="10"/>
        <w:rPr>
          <w:rFonts w:ascii="宋体" w:hAnsi="宋体" w:cs="宋体" w:eastAsia="宋体" w:hint="default"/>
          <w:sz w:val="14"/>
          <w:szCs w:val="14"/>
        </w:rPr>
      </w:pPr>
    </w:p>
    <w:p>
      <w:pPr>
        <w:pStyle w:val="BodyText"/>
        <w:spacing w:line="408" w:lineRule="auto" w:before="0"/>
        <w:ind w:right="982" w:firstLine="420"/>
        <w:jc w:val="left"/>
      </w:pPr>
      <w:r>
        <w:rPr>
          <w:rFonts w:ascii="宋体" w:hAnsi="宋体" w:cs="宋体" w:eastAsia="宋体" w:hint="default"/>
        </w:rPr>
        <w:t>2013</w:t>
      </w:r>
      <w:r>
        <w:rPr>
          <w:rFonts w:ascii="宋体" w:hAnsi="宋体" w:cs="宋体" w:eastAsia="宋体" w:hint="default"/>
          <w:spacing w:val="-11"/>
        </w:rPr>
        <w:t> </w:t>
      </w:r>
      <w:r>
        <w:rPr>
          <w:spacing w:val="-6"/>
        </w:rPr>
        <w:t>年，公司一方面将结合经济环境和市场变化，把握机遇，综合运用“租、建、购、并”开发方式，</w:t>
      </w:r>
      <w:r>
        <w:rPr>
          <w:w w:val="100"/>
        </w:rPr>
        <w:t> </w:t>
      </w:r>
      <w:r>
        <w:rPr>
          <w:spacing w:val="-2"/>
        </w:rPr>
        <w:t>继续加快实体网络的建设，尤其是二三级市场的开发；另一方面，公司更加注重店面运营管理，推进标准</w:t>
      </w:r>
      <w:r>
        <w:rPr>
          <w:spacing w:val="-47"/>
        </w:rPr>
        <w:t> </w:t>
      </w:r>
      <w:r>
        <w:rPr>
          <w:spacing w:val="-47"/>
        </w:rPr>
      </w:r>
      <w:r>
        <w:rPr/>
        <w:t>化建设，加强不同业务店面的精准定位及差异化运营，提升单店经营质量。</w:t>
      </w:r>
    </w:p>
    <w:p>
      <w:pPr>
        <w:pStyle w:val="BodyText"/>
        <w:tabs>
          <w:tab w:pos="993" w:val="left" w:leader="none"/>
        </w:tabs>
        <w:spacing w:line="240" w:lineRule="auto"/>
        <w:ind w:left="573" w:right="982"/>
        <w:jc w:val="left"/>
      </w:pPr>
      <w:r>
        <w:rPr>
          <w:rFonts w:ascii="Wingdings" w:hAnsi="Wingdings" w:cs="Wingdings" w:eastAsia="Wingdings" w:hint="default"/>
        </w:rPr>
        <w:t></w:t>
      </w:r>
      <w:r>
        <w:rPr>
          <w:rFonts w:ascii="Times New Roman" w:hAnsi="Times New Roman" w:cs="Times New Roman" w:eastAsia="Times New Roman" w:hint="default"/>
        </w:rPr>
        <w:tab/>
      </w:r>
      <w:r>
        <w:rPr/>
        <w:t>各级市场发展策略</w:t>
      </w:r>
    </w:p>
    <w:p>
      <w:pPr>
        <w:pStyle w:val="BodyText"/>
        <w:tabs>
          <w:tab w:pos="993" w:val="left" w:leader="none"/>
        </w:tabs>
        <w:spacing w:line="388" w:lineRule="auto" w:before="178"/>
        <w:ind w:right="1132"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2"/>
        </w:rPr>
        <w:t>严格控制一级市场同城社区店的开设，以“旗舰店</w:t>
      </w:r>
      <w:r>
        <w:rPr>
          <w:rFonts w:ascii="宋体" w:hAnsi="宋体" w:cs="宋体" w:eastAsia="宋体" w:hint="default"/>
          <w:spacing w:val="-2"/>
        </w:rPr>
        <w:t>+</w:t>
      </w:r>
      <w:r>
        <w:rPr>
          <w:spacing w:val="-2"/>
        </w:rPr>
        <w:t>超级店</w:t>
      </w:r>
      <w:r>
        <w:rPr>
          <w:rFonts w:ascii="宋体" w:hAnsi="宋体" w:cs="宋体" w:eastAsia="宋体" w:hint="default"/>
          <w:spacing w:val="-2"/>
        </w:rPr>
        <w:t>+</w:t>
      </w:r>
      <w:r>
        <w:rPr>
          <w:spacing w:val="-2"/>
        </w:rPr>
        <w:t>乐购仕门店”的线下互补联动，与线</w:t>
      </w:r>
      <w:r>
        <w:rPr>
          <w:w w:val="100"/>
        </w:rPr>
        <w:t> </w:t>
      </w:r>
      <w:r>
        <w:rPr/>
        <w:t>上全面融合发展为主，同时继续针对现有门店布局进行优化调整，提升整体市场份额。</w:t>
      </w:r>
    </w:p>
    <w:p>
      <w:pPr>
        <w:pStyle w:val="BodyText"/>
        <w:tabs>
          <w:tab w:pos="993" w:val="left" w:leader="none"/>
        </w:tabs>
        <w:spacing w:line="400" w:lineRule="auto" w:before="63"/>
        <w:ind w:right="1025" w:firstLine="420"/>
        <w:jc w:val="left"/>
      </w:pPr>
      <w:r>
        <w:rPr>
          <w:rFonts w:ascii="Wingdings" w:hAnsi="Wingdings" w:cs="Wingdings" w:eastAsia="Wingdings" w:hint="default"/>
        </w:rPr>
        <w:t></w:t>
      </w:r>
      <w:r>
        <w:rPr>
          <w:rFonts w:ascii="Times New Roman" w:hAnsi="Times New Roman" w:cs="Times New Roman" w:eastAsia="Times New Roman" w:hint="default"/>
        </w:rPr>
        <w:tab/>
      </w:r>
      <w:r>
        <w:rPr/>
        <w:t>持续推进二三级市场攻略，一方面加大现有已进入城市核心门店的优化和改造，全面改善购物环</w:t>
      </w:r>
      <w:r>
        <w:rPr>
          <w:w w:val="100"/>
        </w:rPr>
        <w:t> </w:t>
      </w:r>
      <w:r>
        <w:rPr>
          <w:spacing w:val="-2"/>
        </w:rPr>
        <w:t>境和商品服务，提升店面经营水平；另一方面，结合现有二级市场管理公司的经营管理能力及市场行业发</w:t>
      </w:r>
      <w:r>
        <w:rPr>
          <w:spacing w:val="-44"/>
        </w:rPr>
        <w:t> </w:t>
      </w:r>
      <w:r>
        <w:rPr>
          <w:spacing w:val="-44"/>
        </w:rPr>
      </w:r>
      <w:r>
        <w:rPr>
          <w:spacing w:val="-5"/>
        </w:rPr>
        <w:t>展水平及竞争因素，排定优先顺序，对于空白商圈快速选址、加快布局，推进旗舰店、地区旗舰店的开设。</w:t>
      </w:r>
      <w:r>
        <w:rPr>
          <w:spacing w:val="-4"/>
        </w:rPr>
        <w:t> </w:t>
      </w:r>
      <w:r>
        <w:rPr>
          <w:spacing w:val="-4"/>
        </w:rPr>
      </w:r>
      <w:r>
        <w:rPr/>
        <w:t>在二级市场管理公司能力成熟的情况下，顺势推进三四级市场发展。</w:t>
      </w:r>
    </w:p>
    <w:p>
      <w:pPr>
        <w:pStyle w:val="BodyText"/>
        <w:tabs>
          <w:tab w:pos="993" w:val="left" w:leader="none"/>
        </w:tabs>
        <w:spacing w:line="240" w:lineRule="auto" w:before="52"/>
        <w:ind w:left="573" w:right="982"/>
        <w:jc w:val="left"/>
      </w:pPr>
      <w:r>
        <w:rPr>
          <w:rFonts w:ascii="Wingdings" w:hAnsi="Wingdings" w:cs="Wingdings" w:eastAsia="Wingdings" w:hint="default"/>
        </w:rPr>
        <w:t></w:t>
      </w:r>
      <w:r>
        <w:rPr>
          <w:rFonts w:ascii="Times New Roman" w:hAnsi="Times New Roman" w:cs="Times New Roman" w:eastAsia="Times New Roman" w:hint="default"/>
        </w:rPr>
        <w:tab/>
      </w:r>
      <w:r>
        <w:rPr/>
        <w:t>各业态连锁店发展策略</w:t>
      </w:r>
    </w:p>
    <w:p>
      <w:pPr>
        <w:pStyle w:val="BodyText"/>
        <w:spacing w:line="398" w:lineRule="auto" w:before="178"/>
        <w:ind w:right="1126" w:firstLine="420"/>
        <w:jc w:val="both"/>
      </w:pPr>
      <w:r>
        <w:rPr>
          <w:rFonts w:ascii="Wingdings" w:hAnsi="Wingdings" w:cs="Wingdings" w:eastAsia="Wingdings" w:hint="default"/>
        </w:rPr>
        <w:t></w:t>
      </w:r>
      <w:r>
        <w:rPr>
          <w:rFonts w:ascii="Times New Roman" w:hAnsi="Times New Roman" w:cs="Times New Roman" w:eastAsia="Times New Roman" w:hint="default"/>
        </w:rPr>
      </w:r>
      <w:r>
        <w:rPr/>
        <w:t>超级店计划新开或改造约 </w:t>
      </w:r>
      <w:r>
        <w:rPr>
          <w:rFonts w:ascii="宋体" w:hAnsi="宋体" w:cs="宋体" w:eastAsia="宋体" w:hint="default"/>
        </w:rPr>
        <w:t>70</w:t>
      </w:r>
      <w:r>
        <w:rPr>
          <w:rFonts w:ascii="宋体" w:hAnsi="宋体" w:cs="宋体" w:eastAsia="宋体" w:hint="default"/>
          <w:spacing w:val="14"/>
        </w:rPr>
        <w:t> </w:t>
      </w:r>
      <w:r>
        <w:rPr/>
        <w:t>家，进一步深化其作为线上线下两个平台实现产品及服务两个方面</w:t>
      </w:r>
      <w:r>
        <w:rPr>
          <w:w w:val="100"/>
        </w:rPr>
        <w:t> </w:t>
      </w:r>
      <w:r>
        <w:rPr>
          <w:spacing w:val="-2"/>
        </w:rPr>
        <w:t>融合的载体功能，开展易购自提点、虚拟增值下载、金融服务及自助会员服务等业务，并加快本地生活服</w:t>
      </w:r>
      <w:r>
        <w:rPr>
          <w:spacing w:val="-50"/>
        </w:rPr>
        <w:t> </w:t>
      </w:r>
      <w:r>
        <w:rPr>
          <w:spacing w:val="-50"/>
        </w:rPr>
      </w:r>
      <w:r>
        <w:rPr/>
        <w:t>务、精品超市、折扣专区等的设置和落地，进一步凸显新模式、新服务为消费者带来持续吸引力。</w:t>
      </w:r>
    </w:p>
    <w:p>
      <w:pPr>
        <w:pStyle w:val="BodyText"/>
        <w:tabs>
          <w:tab w:pos="993" w:val="left" w:leader="none"/>
        </w:tabs>
        <w:spacing w:line="388" w:lineRule="auto" w:before="54"/>
        <w:ind w:right="1126" w:firstLine="420"/>
        <w:jc w:val="left"/>
      </w:pPr>
      <w:r>
        <w:rPr>
          <w:rFonts w:ascii="Wingdings" w:hAnsi="Wingdings" w:cs="Wingdings" w:eastAsia="Wingdings" w:hint="default"/>
        </w:rPr>
        <w:t></w:t>
      </w:r>
      <w:r>
        <w:rPr>
          <w:rFonts w:ascii="Times New Roman" w:hAnsi="Times New Roman" w:cs="Times New Roman" w:eastAsia="Times New Roman" w:hint="default"/>
        </w:rPr>
        <w:tab/>
      </w:r>
      <w:r>
        <w:rPr/>
        <w:t>乐购仕生活广场将计划新开 </w:t>
      </w:r>
      <w:r>
        <w:rPr>
          <w:rFonts w:ascii="宋体" w:hAnsi="宋体" w:cs="宋体" w:eastAsia="宋体" w:hint="default"/>
        </w:rPr>
        <w:t>20</w:t>
      </w:r>
      <w:r>
        <w:rPr>
          <w:rFonts w:ascii="宋体" w:hAnsi="宋体" w:cs="宋体" w:eastAsia="宋体" w:hint="default"/>
          <w:spacing w:val="-29"/>
        </w:rPr>
        <w:t> </w:t>
      </w:r>
      <w:r>
        <w:rPr/>
        <w:t>家门店，继续深入营造品牌个性，以乐购仕家电百货生活广场店</w:t>
      </w:r>
      <w:r>
        <w:rPr>
          <w:w w:val="100"/>
        </w:rPr>
        <w:t> </w:t>
      </w:r>
      <w:r>
        <w:rPr/>
        <w:t>为核心，加强对广场业态、进口食品、服务的特色化经营，与商圈内原有苏宁店面形成差异化经营。</w:t>
      </w:r>
    </w:p>
    <w:p>
      <w:pPr>
        <w:pStyle w:val="BodyText"/>
        <w:tabs>
          <w:tab w:pos="993" w:val="left" w:leader="none"/>
        </w:tabs>
        <w:spacing w:line="388" w:lineRule="auto" w:before="63"/>
        <w:ind w:right="1132"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2"/>
        </w:rPr>
        <w:t>加快已有自建店项目建设及核心区域自建店项目布局，推进二级市场的自建店开发工作。完善自</w:t>
      </w:r>
      <w:r>
        <w:rPr>
          <w:w w:val="100"/>
        </w:rPr>
        <w:t> </w:t>
      </w:r>
      <w:r>
        <w:rPr/>
        <w:t>建店开发、筹建模式，梳理自建店项目流程，有效控制装饰成本，提升店面形象。</w:t>
      </w:r>
    </w:p>
    <w:p>
      <w:pPr>
        <w:pStyle w:val="BodyText"/>
        <w:tabs>
          <w:tab w:pos="993" w:val="left" w:leader="none"/>
        </w:tabs>
        <w:spacing w:line="240" w:lineRule="auto" w:before="63"/>
        <w:ind w:left="573" w:right="982"/>
        <w:jc w:val="left"/>
      </w:pPr>
      <w:r>
        <w:rPr>
          <w:rFonts w:ascii="Wingdings" w:hAnsi="Wingdings" w:cs="Wingdings" w:eastAsia="Wingdings" w:hint="default"/>
        </w:rPr>
        <w:t></w:t>
      </w:r>
      <w:r>
        <w:rPr>
          <w:rFonts w:ascii="Times New Roman" w:hAnsi="Times New Roman" w:cs="Times New Roman" w:eastAsia="Times New Roman" w:hint="default"/>
        </w:rPr>
        <w:tab/>
      </w:r>
      <w:r>
        <w:rPr/>
        <w:t>海外市场</w:t>
      </w:r>
    </w:p>
    <w:p>
      <w:pPr>
        <w:pStyle w:val="BodyText"/>
        <w:tabs>
          <w:tab w:pos="993" w:val="left" w:leader="none"/>
        </w:tabs>
        <w:spacing w:line="388" w:lineRule="auto" w:before="178"/>
        <w:ind w:right="1126" w:firstLine="420"/>
        <w:jc w:val="left"/>
      </w:pPr>
      <w:r>
        <w:rPr>
          <w:rFonts w:ascii="Wingdings" w:hAnsi="Wingdings" w:cs="Wingdings" w:eastAsia="Wingdings" w:hint="default"/>
        </w:rPr>
        <w:t></w:t>
      </w:r>
      <w:r>
        <w:rPr>
          <w:rFonts w:ascii="Times New Roman" w:hAnsi="Times New Roman" w:cs="Times New Roman" w:eastAsia="Times New Roman" w:hint="default"/>
        </w:rPr>
        <w:tab/>
      </w:r>
      <w:r>
        <w:rPr/>
        <w:t>香港地区计划新开店面 </w:t>
      </w:r>
      <w:r>
        <w:rPr>
          <w:rFonts w:ascii="宋体" w:hAnsi="宋体" w:cs="宋体" w:eastAsia="宋体" w:hint="default"/>
        </w:rPr>
        <w:t>4</w:t>
      </w:r>
      <w:r>
        <w:rPr>
          <w:rFonts w:ascii="宋体" w:hAnsi="宋体" w:cs="宋体" w:eastAsia="宋体" w:hint="default"/>
          <w:spacing w:val="-40"/>
        </w:rPr>
        <w:t> </w:t>
      </w:r>
      <w:r>
        <w:rPr>
          <w:spacing w:val="-3"/>
        </w:rPr>
        <w:t>家，将充分发挥零售平台和贸易渠道的双重优势，实现零售和贸易的同</w:t>
      </w:r>
      <w:r>
        <w:rPr>
          <w:w w:val="100"/>
        </w:rPr>
        <w:t> </w:t>
      </w:r>
      <w:r>
        <w:rPr/>
        <w:t>步增长。</w:t>
      </w:r>
    </w:p>
    <w:p>
      <w:pPr>
        <w:pStyle w:val="BodyText"/>
        <w:tabs>
          <w:tab w:pos="993" w:val="left" w:leader="none"/>
        </w:tabs>
        <w:spacing w:line="388" w:lineRule="auto" w:before="63"/>
        <w:ind w:right="1129" w:firstLine="420"/>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rPr>
        <w:t>LAOX</w:t>
      </w:r>
      <w:r>
        <w:rPr>
          <w:rFonts w:ascii="宋体" w:hAnsi="宋体" w:cs="宋体" w:eastAsia="宋体" w:hint="default"/>
          <w:spacing w:val="24"/>
        </w:rPr>
        <w:t> </w:t>
      </w:r>
      <w:r>
        <w:rPr>
          <w:spacing w:val="-4"/>
        </w:rPr>
        <w:t>公司将在初步完成日本国内连锁布局的基础上，重点提升门店运营效率，强化自主产品的开</w:t>
      </w:r>
      <w:r>
        <w:rPr>
          <w:w w:val="100"/>
        </w:rPr>
        <w:t> </w:t>
      </w:r>
      <w:r>
        <w:rPr/>
        <w:t>发。进一步加强与公司总部和香港的协同，支持公司超电器化运营。</w:t>
      </w:r>
    </w:p>
    <w:p>
      <w:pPr>
        <w:pStyle w:val="BodyText"/>
        <w:spacing w:line="240" w:lineRule="auto" w:before="63"/>
        <w:ind w:left="573" w:right="982"/>
        <w:jc w:val="left"/>
      </w:pPr>
      <w:r>
        <w:rPr>
          <w:rFonts w:ascii="宋体" w:hAnsi="宋体" w:cs="宋体" w:eastAsia="宋体" w:hint="default"/>
        </w:rPr>
        <w:t>2</w:t>
      </w:r>
      <w:r>
        <w:rPr/>
        <w:t>、电子商务平台方面</w:t>
      </w:r>
    </w:p>
    <w:p>
      <w:pPr>
        <w:pStyle w:val="BodyText"/>
        <w:spacing w:line="468" w:lineRule="exact" w:before="64"/>
        <w:ind w:right="1126" w:firstLine="420"/>
        <w:jc w:val="both"/>
      </w:pPr>
      <w:r>
        <w:rPr>
          <w:rFonts w:ascii="Wingdings" w:hAnsi="Wingdings" w:cs="Wingdings" w:eastAsia="Wingdings" w:hint="default"/>
        </w:rPr>
        <w:t></w:t>
      </w:r>
      <w:r>
        <w:rPr>
          <w:rFonts w:ascii="Wingdings" w:hAnsi="Wingdings" w:cs="Wingdings" w:eastAsia="Wingdings" w:hint="default"/>
          <w:spacing w:val="16"/>
        </w:rPr>
        <w:t></w:t>
      </w:r>
      <w:r>
        <w:rPr>
          <w:rFonts w:ascii="Times New Roman" w:hAnsi="Times New Roman" w:cs="Times New Roman" w:eastAsia="Times New Roman" w:hint="default"/>
          <w:spacing w:val="16"/>
        </w:rPr>
      </w:r>
      <w:r>
        <w:rPr/>
        <w:t>组建电子商务经营总部，进一步丰富拓展在电子商务领域经营的业务种类，包括从建立开放平台</w:t>
      </w:r>
      <w:r>
        <w:rPr>
          <w:w w:val="100"/>
        </w:rPr>
        <w:t> </w:t>
      </w:r>
      <w:r>
        <w:rPr>
          <w:spacing w:val="-2"/>
        </w:rPr>
        <w:t>招商引进实体商品，实现全品类拓展，到建立本地生活、商旅等生活服务类的新业务，以及依托云技术推</w:t>
      </w:r>
      <w:r>
        <w:rPr>
          <w:spacing w:val="-50"/>
        </w:rPr>
        <w:t> </w:t>
      </w:r>
      <w:r>
        <w:rPr>
          <w:spacing w:val="-50"/>
        </w:rPr>
      </w:r>
      <w:r>
        <w:rPr/>
        <w:t>出云服务等，公司在电子商务领域经营的框架基本形成。</w:t>
      </w:r>
    </w:p>
    <w:p>
      <w:pPr>
        <w:spacing w:after="0" w:line="468" w:lineRule="exact"/>
        <w:jc w:val="both"/>
        <w:sectPr>
          <w:footerReference w:type="default" r:id="rId30"/>
          <w:pgSz w:w="11910" w:h="16840"/>
          <w:pgMar w:footer="1255" w:header="877" w:top="1100" w:bottom="1440" w:left="980" w:right="0"/>
          <w:pgNumType w:start="42"/>
        </w:sectPr>
      </w:pPr>
    </w:p>
    <w:p>
      <w:pPr>
        <w:spacing w:line="240" w:lineRule="auto" w:before="9"/>
        <w:rPr>
          <w:rFonts w:ascii="宋体" w:hAnsi="宋体" w:cs="宋体" w:eastAsia="宋体" w:hint="default"/>
          <w:sz w:val="26"/>
          <w:szCs w:val="26"/>
        </w:rPr>
      </w:pPr>
    </w:p>
    <w:p>
      <w:pPr>
        <w:pStyle w:val="BodyText"/>
        <w:tabs>
          <w:tab w:pos="993" w:val="left" w:leader="none"/>
        </w:tabs>
        <w:spacing w:line="398" w:lineRule="auto" w:before="36"/>
        <w:ind w:right="1025"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5"/>
        </w:rPr>
        <w:t>在商品运营方面，力争满足消费者的一站式需求，依托公司采购一体化的规模优势，拓展全品类，</w:t>
      </w:r>
      <w:r>
        <w:rPr>
          <w:w w:val="100"/>
        </w:rPr>
        <w:t> </w:t>
      </w:r>
      <w:r>
        <w:rPr>
          <w:spacing w:val="-2"/>
        </w:rPr>
        <w:t>全面建立基于互联网技术经营商品的能力，提升单品的运营质量，在商品的呈现、页面的维护、搜索等方</w:t>
      </w:r>
      <w:r>
        <w:rPr>
          <w:spacing w:val="-47"/>
        </w:rPr>
        <w:t> </w:t>
      </w:r>
      <w:r>
        <w:rPr>
          <w:spacing w:val="-47"/>
        </w:rPr>
      </w:r>
      <w:r>
        <w:rPr/>
        <w:t>面更加符合互联网消费的特点。</w:t>
      </w:r>
    </w:p>
    <w:p>
      <w:pPr>
        <w:pStyle w:val="BodyText"/>
        <w:tabs>
          <w:tab w:pos="993" w:val="left" w:leader="none"/>
        </w:tabs>
        <w:spacing w:line="388" w:lineRule="auto" w:before="54"/>
        <w:ind w:right="1132"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2"/>
        </w:rPr>
        <w:t>在开放平台招商和运营方面，建立一整套开放服务的标准和商户管理的规则，在全面提升我司电</w:t>
      </w:r>
      <w:r>
        <w:rPr>
          <w:w w:val="100"/>
        </w:rPr>
        <w:t> </w:t>
      </w:r>
      <w:r>
        <w:rPr/>
        <w:t>子商务平台产品竞争力的同时，充分发挥公司既有的服务质量和服务标准化优势。</w:t>
      </w:r>
    </w:p>
    <w:p>
      <w:pPr>
        <w:pStyle w:val="BodyText"/>
        <w:spacing w:line="398" w:lineRule="auto" w:before="63"/>
        <w:ind w:right="1104" w:firstLine="420"/>
        <w:jc w:val="both"/>
      </w:pPr>
      <w:r>
        <w:rPr>
          <w:rFonts w:ascii="Wingdings" w:hAnsi="Wingdings" w:cs="Wingdings" w:eastAsia="Wingdings" w:hint="default"/>
        </w:rPr>
        <w:t></w:t>
      </w:r>
      <w:r>
        <w:rPr>
          <w:rFonts w:ascii="Wingdings" w:hAnsi="Wingdings" w:cs="Wingdings" w:eastAsia="Wingdings" w:hint="default"/>
          <w:spacing w:val="36"/>
        </w:rPr>
        <w:t></w:t>
      </w:r>
      <w:r>
        <w:rPr>
          <w:rFonts w:ascii="Times New Roman" w:hAnsi="Times New Roman" w:cs="Times New Roman" w:eastAsia="Times New Roman" w:hint="default"/>
          <w:spacing w:val="36"/>
        </w:rPr>
      </w:r>
      <w:r>
        <w:rPr/>
        <w:t>在产品运营方面，重点优化购物体验，激发网购消费者的购买欲望。充分研究网购消费者心理，</w:t>
      </w:r>
      <w:r>
        <w:rPr>
          <w:w w:val="100"/>
        </w:rPr>
        <w:t> </w:t>
      </w:r>
      <w:r>
        <w:rPr>
          <w:spacing w:val="-2"/>
        </w:rPr>
        <w:t>有效利用互联网技术，开发一系列品牌化、周期化的促销产品，再通过精准营销、生命周期管理，实现用</w:t>
      </w:r>
      <w:r>
        <w:rPr>
          <w:spacing w:val="-43"/>
        </w:rPr>
        <w:t> </w:t>
      </w:r>
      <w:r>
        <w:rPr>
          <w:spacing w:val="-43"/>
        </w:rPr>
      </w:r>
      <w:r>
        <w:rPr/>
        <w:t>户最大的价值挖掘。</w:t>
      </w:r>
    </w:p>
    <w:p>
      <w:pPr>
        <w:pStyle w:val="BodyText"/>
        <w:tabs>
          <w:tab w:pos="993" w:val="left" w:leader="none"/>
        </w:tabs>
        <w:spacing w:line="388" w:lineRule="auto" w:before="55"/>
        <w:ind w:right="1132"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2"/>
        </w:rPr>
        <w:t>在虚拟运营方面，深入开发商旅、生活服务、数字服务等业务领域，深入理解其商品化增值和高</w:t>
      </w:r>
      <w:r>
        <w:rPr>
          <w:w w:val="100"/>
        </w:rPr>
        <w:t> </w:t>
      </w:r>
      <w:r>
        <w:rPr/>
        <w:t>用户粘性的特点，大幅度提高用户在我司电商平台上的活跃率。</w:t>
      </w:r>
    </w:p>
    <w:p>
      <w:pPr>
        <w:pStyle w:val="BodyText"/>
        <w:spacing w:line="408" w:lineRule="auto" w:before="63"/>
        <w:ind w:left="573" w:right="982"/>
        <w:jc w:val="left"/>
      </w:pPr>
      <w:r>
        <w:rPr>
          <w:rFonts w:ascii="宋体" w:hAnsi="宋体" w:cs="宋体" w:eastAsia="宋体" w:hint="default"/>
        </w:rPr>
        <w:t>3</w:t>
      </w:r>
      <w:r>
        <w:rPr/>
        <w:t>、商品经营方面</w:t>
      </w:r>
      <w:r>
        <w:rPr>
          <w:w w:val="100"/>
        </w:rPr>
        <w:t> </w:t>
      </w:r>
      <w:r>
        <w:rPr>
          <w:spacing w:val="-2"/>
        </w:rPr>
        <w:t>商品分类上形成电器类、百货类、日用品类、图书类和综合服务类五大品类，同时拓展新品类，并进</w:t>
      </w:r>
    </w:p>
    <w:p>
      <w:pPr>
        <w:pStyle w:val="BodyText"/>
        <w:spacing w:line="408" w:lineRule="auto"/>
        <w:ind w:right="982"/>
        <w:jc w:val="left"/>
      </w:pPr>
      <w:r>
        <w:rPr>
          <w:spacing w:val="-2"/>
        </w:rPr>
        <w:t>一步拆分为事业部，实现专业化经营。每一个事业部，都将实现线上线下全面整合统一管理，实现产品协</w:t>
      </w:r>
      <w:r>
        <w:rPr>
          <w:spacing w:val="-50"/>
        </w:rPr>
        <w:t> </w:t>
      </w:r>
      <w:r>
        <w:rPr>
          <w:spacing w:val="-50"/>
        </w:rPr>
      </w:r>
      <w:r>
        <w:rPr/>
        <w:t>同。</w:t>
      </w:r>
    </w:p>
    <w:p>
      <w:pPr>
        <w:pStyle w:val="BodyText"/>
        <w:tabs>
          <w:tab w:pos="993" w:val="left" w:leader="none"/>
        </w:tabs>
        <w:spacing w:line="240" w:lineRule="auto"/>
        <w:ind w:left="573" w:right="982"/>
        <w:jc w:val="left"/>
      </w:pPr>
      <w:r>
        <w:rPr>
          <w:rFonts w:ascii="Wingdings" w:hAnsi="Wingdings" w:cs="Wingdings" w:eastAsia="Wingdings" w:hint="default"/>
        </w:rPr>
        <w:t></w:t>
      </w:r>
      <w:r>
        <w:rPr>
          <w:rFonts w:ascii="Times New Roman" w:hAnsi="Times New Roman" w:cs="Times New Roman" w:eastAsia="Times New Roman" w:hint="default"/>
        </w:rPr>
        <w:tab/>
      </w:r>
      <w:r>
        <w:rPr/>
        <w:t>采购管理</w:t>
      </w:r>
    </w:p>
    <w:p>
      <w:pPr>
        <w:pStyle w:val="BodyText"/>
        <w:spacing w:line="408" w:lineRule="auto" w:before="178"/>
        <w:ind w:right="982" w:firstLine="420"/>
        <w:jc w:val="left"/>
      </w:pPr>
      <w:r>
        <w:rPr>
          <w:rFonts w:ascii="宋体" w:hAnsi="宋体" w:cs="宋体" w:eastAsia="宋体" w:hint="default"/>
        </w:rPr>
        <w:t>2013</w:t>
      </w:r>
      <w:r>
        <w:rPr>
          <w:rFonts w:ascii="宋体" w:hAnsi="宋体" w:cs="宋体" w:eastAsia="宋体" w:hint="default"/>
          <w:spacing w:val="8"/>
        </w:rPr>
        <w:t> </w:t>
      </w:r>
      <w:r>
        <w:rPr>
          <w:spacing w:val="-4"/>
        </w:rPr>
        <w:t>年将进一步整合苏宁电器连锁、苏宁易购、乐购仕三个业务单元的采购组织，深化线上、线下统</w:t>
      </w:r>
      <w:r>
        <w:rPr>
          <w:w w:val="100"/>
        </w:rPr>
        <w:t> </w:t>
      </w:r>
      <w:r>
        <w:rPr/>
        <w:t>一采购。推进统购代销、联营合作模式，加快二三级市场供应商的引进，充分发挥地区能动性。</w:t>
      </w:r>
    </w:p>
    <w:p>
      <w:pPr>
        <w:pStyle w:val="BodyText"/>
        <w:tabs>
          <w:tab w:pos="993" w:val="left" w:leader="none"/>
        </w:tabs>
        <w:spacing w:line="388" w:lineRule="auto"/>
        <w:ind w:left="573" w:right="1132"/>
        <w:jc w:val="left"/>
      </w:pPr>
      <w:r>
        <w:rPr>
          <w:rFonts w:ascii="Wingdings" w:hAnsi="Wingdings" w:cs="Wingdings" w:eastAsia="Wingdings" w:hint="default"/>
        </w:rPr>
        <w:t></w:t>
      </w:r>
      <w:r>
        <w:rPr>
          <w:rFonts w:ascii="Times New Roman" w:hAnsi="Times New Roman" w:cs="Times New Roman" w:eastAsia="Times New Roman" w:hint="default"/>
        </w:rPr>
        <w:tab/>
      </w:r>
      <w:r>
        <w:rPr/>
        <w:t>供应链管理</w:t>
      </w:r>
      <w:r>
        <w:rPr>
          <w:spacing w:val="-102"/>
        </w:rPr>
        <w:t> </w:t>
      </w:r>
      <w:r>
        <w:rPr>
          <w:spacing w:val="-102"/>
        </w:rPr>
      </w:r>
      <w:r>
        <w:rPr>
          <w:spacing w:val="-2"/>
        </w:rPr>
        <w:t>从产品价格、订单满足率、货源响应效率、交货准确率、产品质量、快速响应能力等维度建立供应商</w:t>
      </w:r>
    </w:p>
    <w:p>
      <w:pPr>
        <w:pStyle w:val="BodyText"/>
        <w:spacing w:line="408" w:lineRule="auto" w:before="63"/>
        <w:ind w:right="1023"/>
        <w:jc w:val="both"/>
      </w:pPr>
      <w:r>
        <w:rPr>
          <w:spacing w:val="-7"/>
        </w:rPr>
        <w:t>评价指标体系，进一步优化供应商管理，淘汰不合格供应商；继续加快推进</w:t>
      </w:r>
      <w:r>
        <w:rPr>
          <w:spacing w:val="-36"/>
        </w:rPr>
        <w:t> </w:t>
      </w:r>
      <w:r>
        <w:rPr>
          <w:rFonts w:ascii="宋体" w:hAnsi="宋体" w:cs="宋体" w:eastAsia="宋体" w:hint="default"/>
          <w:spacing w:val="-5"/>
        </w:rPr>
        <w:t>CPFR</w:t>
      </w:r>
      <w:r>
        <w:rPr>
          <w:spacing w:val="-5"/>
        </w:rPr>
        <w:t>（</w:t>
      </w:r>
      <w:r>
        <w:rPr>
          <w:rFonts w:ascii="宋体" w:hAnsi="宋体" w:cs="宋体" w:eastAsia="宋体" w:hint="default"/>
          <w:spacing w:val="-5"/>
        </w:rPr>
        <w:t>Collaborative</w:t>
      </w:r>
      <w:r>
        <w:rPr>
          <w:rFonts w:ascii="宋体" w:hAnsi="宋体" w:cs="宋体" w:eastAsia="宋体" w:hint="default"/>
          <w:spacing w:val="-37"/>
        </w:rPr>
        <w:t> </w:t>
      </w:r>
      <w:r>
        <w:rPr>
          <w:rFonts w:ascii="宋体" w:hAnsi="宋体" w:cs="宋体" w:eastAsia="宋体" w:hint="default"/>
        </w:rPr>
        <w:t>Planning</w:t>
      </w:r>
      <w:r>
        <w:rPr>
          <w:rFonts w:ascii="宋体" w:hAnsi="宋体" w:cs="宋体" w:eastAsia="宋体" w:hint="default"/>
          <w:spacing w:val="-65"/>
        </w:rPr>
        <w:t> </w:t>
      </w:r>
      <w:r>
        <w:rPr>
          <w:rFonts w:ascii="宋体" w:hAnsi="宋体" w:cs="宋体" w:eastAsia="宋体" w:hint="default"/>
          <w:spacing w:val="-65"/>
        </w:rPr>
      </w:r>
      <w:r>
        <w:rPr>
          <w:rFonts w:ascii="宋体" w:hAnsi="宋体" w:cs="宋体" w:eastAsia="宋体" w:hint="default"/>
        </w:rPr>
        <w:t>Forecasting</w:t>
      </w:r>
      <w:r>
        <w:rPr>
          <w:rFonts w:ascii="宋体" w:hAnsi="宋体" w:cs="宋体" w:eastAsia="宋体" w:hint="default"/>
          <w:spacing w:val="-41"/>
        </w:rPr>
        <w:t> </w:t>
      </w:r>
      <w:r>
        <w:rPr>
          <w:rFonts w:ascii="宋体" w:hAnsi="宋体" w:cs="宋体" w:eastAsia="宋体" w:hint="default"/>
        </w:rPr>
        <w:t>and</w:t>
      </w:r>
      <w:r>
        <w:rPr>
          <w:rFonts w:ascii="宋体" w:hAnsi="宋体" w:cs="宋体" w:eastAsia="宋体" w:hint="default"/>
          <w:spacing w:val="-41"/>
        </w:rPr>
        <w:t> </w:t>
      </w:r>
      <w:r>
        <w:rPr>
          <w:rFonts w:ascii="宋体" w:hAnsi="宋体" w:cs="宋体" w:eastAsia="宋体" w:hint="default"/>
          <w:spacing w:val="-4"/>
        </w:rPr>
        <w:t>Replenishment</w:t>
      </w:r>
      <w:r>
        <w:rPr>
          <w:spacing w:val="-4"/>
        </w:rPr>
        <w:t>，指协同计划预测补货方案）项目，自动补货推进到全品类；</w:t>
      </w:r>
      <w:r>
        <w:rPr>
          <w:rFonts w:ascii="宋体" w:hAnsi="宋体" w:cs="宋体" w:eastAsia="宋体" w:hint="default"/>
          <w:spacing w:val="-4"/>
        </w:rPr>
        <w:t>SCS</w:t>
      </w:r>
      <w:r>
        <w:rPr>
          <w:spacing w:val="-4"/>
        </w:rPr>
        <w:t>（</w:t>
      </w:r>
      <w:r>
        <w:rPr>
          <w:rFonts w:ascii="宋体" w:hAnsi="宋体" w:cs="宋体" w:eastAsia="宋体" w:hint="default"/>
          <w:spacing w:val="-4"/>
        </w:rPr>
        <w:t>Supply</w:t>
      </w:r>
      <w:r>
        <w:rPr>
          <w:rFonts w:ascii="宋体" w:hAnsi="宋体" w:cs="宋体" w:eastAsia="宋体" w:hint="default"/>
          <w:spacing w:val="-73"/>
        </w:rPr>
        <w:t> </w:t>
      </w:r>
      <w:r>
        <w:rPr>
          <w:rFonts w:ascii="宋体" w:hAnsi="宋体" w:cs="宋体" w:eastAsia="宋体" w:hint="default"/>
          <w:spacing w:val="-73"/>
        </w:rPr>
      </w:r>
      <w:r>
        <w:rPr>
          <w:rFonts w:ascii="宋体" w:hAnsi="宋体" w:cs="宋体" w:eastAsia="宋体" w:hint="default"/>
        </w:rPr>
        <w:t>Chain</w:t>
      </w:r>
      <w:r>
        <w:rPr>
          <w:rFonts w:ascii="宋体" w:hAnsi="宋体" w:cs="宋体" w:eastAsia="宋体" w:hint="default"/>
          <w:spacing w:val="5"/>
        </w:rPr>
        <w:t> </w:t>
      </w:r>
      <w:r>
        <w:rPr>
          <w:rFonts w:ascii="宋体" w:hAnsi="宋体" w:cs="宋体" w:eastAsia="宋体" w:hint="default"/>
          <w:spacing w:val="-3"/>
        </w:rPr>
        <w:t>System</w:t>
      </w:r>
      <w:r>
        <w:rPr>
          <w:spacing w:val="-3"/>
        </w:rPr>
        <w:t>，指苏宁供应商系统）在目前平台的操作基础上，加快开放；与供应商对库存进行共同管理。</w:t>
      </w:r>
    </w:p>
    <w:p>
      <w:pPr>
        <w:pStyle w:val="BodyText"/>
        <w:tabs>
          <w:tab w:pos="993" w:val="left" w:leader="none"/>
        </w:tabs>
        <w:spacing w:line="388" w:lineRule="auto"/>
        <w:ind w:left="573" w:right="1132"/>
        <w:jc w:val="left"/>
      </w:pPr>
      <w:r>
        <w:rPr>
          <w:rFonts w:ascii="Wingdings" w:hAnsi="Wingdings" w:cs="Wingdings" w:eastAsia="Wingdings" w:hint="default"/>
        </w:rPr>
        <w:t></w:t>
      </w:r>
      <w:r>
        <w:rPr>
          <w:rFonts w:ascii="Times New Roman" w:hAnsi="Times New Roman" w:cs="Times New Roman" w:eastAsia="Times New Roman" w:hint="default"/>
        </w:rPr>
        <w:tab/>
      </w:r>
      <w:r>
        <w:rPr/>
        <w:t>自主产品管理</w:t>
      </w:r>
      <w:r>
        <w:rPr>
          <w:w w:val="100"/>
        </w:rPr>
        <w:t> </w:t>
      </w:r>
      <w:r>
        <w:rPr>
          <w:spacing w:val="-2"/>
        </w:rPr>
        <w:t>围绕全品类经营战略要求，加快百货日用品的自主开发步伐，快速整合供应链，深入研究市场，真正</w:t>
      </w:r>
    </w:p>
    <w:p>
      <w:pPr>
        <w:pStyle w:val="BodyText"/>
        <w:spacing w:line="408" w:lineRule="auto" w:before="63"/>
        <w:ind w:right="982"/>
        <w:jc w:val="left"/>
      </w:pPr>
      <w:r>
        <w:rPr>
          <w:spacing w:val="-2"/>
        </w:rPr>
        <w:t>找到适合线上、线下的不同商品品类，并形成可持续的经营模式；加强与上游供应商的合作，研究前沿商</w:t>
      </w:r>
      <w:r>
        <w:rPr>
          <w:spacing w:val="-50"/>
        </w:rPr>
        <w:t> </w:t>
      </w:r>
      <w:r>
        <w:rPr>
          <w:spacing w:val="-50"/>
        </w:rPr>
      </w:r>
      <w:r>
        <w:rPr/>
        <w:t>品，进一步推进包销、买断、定制的模式。</w:t>
      </w:r>
    </w:p>
    <w:p>
      <w:pPr>
        <w:pStyle w:val="BodyText"/>
        <w:spacing w:line="408" w:lineRule="auto"/>
        <w:ind w:left="573" w:right="982"/>
        <w:jc w:val="left"/>
      </w:pPr>
      <w:r>
        <w:rPr>
          <w:rFonts w:ascii="宋体" w:hAnsi="宋体" w:cs="宋体" w:eastAsia="宋体" w:hint="default"/>
        </w:rPr>
        <w:t>4</w:t>
      </w:r>
      <w:r>
        <w:rPr/>
        <w:t>、后台平台发展方面</w:t>
      </w:r>
      <w:r>
        <w:rPr>
          <w:w w:val="100"/>
        </w:rPr>
        <w:t> </w:t>
      </w:r>
      <w:r>
        <w:rPr>
          <w:spacing w:val="-2"/>
        </w:rPr>
        <w:t>将以打造线上线下融合为核心目标，真正实现服务共享，加快物流配送速度，优化购物流程，提升用</w:t>
      </w:r>
    </w:p>
    <w:p>
      <w:pPr>
        <w:pStyle w:val="BodyText"/>
        <w:spacing w:line="240" w:lineRule="auto"/>
        <w:ind w:right="0"/>
        <w:jc w:val="both"/>
      </w:pPr>
      <w:r>
        <w:rPr/>
        <w:t>户体验。</w:t>
      </w:r>
    </w:p>
    <w:p>
      <w:pPr>
        <w:spacing w:line="240" w:lineRule="auto" w:before="10"/>
        <w:rPr>
          <w:rFonts w:ascii="宋体" w:hAnsi="宋体" w:cs="宋体" w:eastAsia="宋体" w:hint="default"/>
          <w:sz w:val="14"/>
          <w:szCs w:val="14"/>
        </w:rPr>
      </w:pPr>
    </w:p>
    <w:p>
      <w:pPr>
        <w:pStyle w:val="BodyText"/>
        <w:tabs>
          <w:tab w:pos="993" w:val="left" w:leader="none"/>
        </w:tabs>
        <w:spacing w:line="240" w:lineRule="auto" w:before="0"/>
        <w:ind w:left="573" w:right="982"/>
        <w:jc w:val="left"/>
      </w:pPr>
      <w:r>
        <w:rPr>
          <w:rFonts w:ascii="Wingdings" w:hAnsi="Wingdings" w:cs="Wingdings" w:eastAsia="Wingdings" w:hint="default"/>
        </w:rPr>
        <w:t></w:t>
      </w:r>
      <w:r>
        <w:rPr>
          <w:rFonts w:ascii="Times New Roman" w:hAnsi="Times New Roman" w:cs="Times New Roman" w:eastAsia="Times New Roman" w:hint="default"/>
        </w:rPr>
        <w:tab/>
      </w:r>
      <w:r>
        <w:rPr/>
        <w:t>物流方面</w:t>
      </w:r>
    </w:p>
    <w:p>
      <w:pPr>
        <w:spacing w:after="0" w:line="240" w:lineRule="auto"/>
        <w:jc w:val="left"/>
        <w:sectPr>
          <w:pgSz w:w="11910" w:h="16840"/>
          <w:pgMar w:header="877" w:footer="1255" w:top="1100" w:bottom="144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firstLine="420"/>
        <w:jc w:val="both"/>
      </w:pPr>
      <w:r>
        <w:rPr>
          <w:spacing w:val="-2"/>
        </w:rPr>
        <w:t>进一步围绕电子商务平台，加强体系建设工作，通过信息技术的运用，打破空间、时间的界限，从传</w:t>
      </w:r>
      <w:r>
        <w:rPr>
          <w:w w:val="100"/>
        </w:rPr>
        <w:t> </w:t>
      </w:r>
      <w:r>
        <w:rPr>
          <w:spacing w:val="-4"/>
          <w:w w:val="100"/>
        </w:rPr>
        <w:t>统的物流服务向内容服务商转变，标准化服务产品，真正实现全品类、全方位、全客户的“云服务”。</w:t>
      </w:r>
    </w:p>
    <w:p>
      <w:pPr>
        <w:pStyle w:val="BodyText"/>
        <w:spacing w:line="408" w:lineRule="auto"/>
        <w:ind w:right="1126" w:firstLine="420"/>
        <w:jc w:val="both"/>
      </w:pPr>
      <w:r>
        <w:rPr>
          <w:spacing w:val="-2"/>
        </w:rPr>
        <w:t>物流服务能力规划及建设方面，通过自建、改造、增租等方式解决小件能力的规划，进一步建立和梳</w:t>
      </w:r>
      <w:r>
        <w:rPr>
          <w:w w:val="100"/>
        </w:rPr>
        <w:t> </w:t>
      </w:r>
      <w:r>
        <w:rPr>
          <w:spacing w:val="-2"/>
        </w:rPr>
        <w:t>理大、小件物流基地设计标准，完善规划，加快物流基地的建设；根据采销铺货规则和物流运作模式规划</w:t>
      </w:r>
      <w:r>
        <w:rPr>
          <w:spacing w:val="-47"/>
        </w:rPr>
        <w:t> </w:t>
      </w:r>
      <w:r>
        <w:rPr>
          <w:spacing w:val="-47"/>
        </w:rPr>
      </w:r>
      <w:r>
        <w:rPr/>
        <w:t>做好干线运输与支线短拨能力规划，根据建设快递点类型做好最后一公里建设规划。</w:t>
      </w:r>
    </w:p>
    <w:p>
      <w:pPr>
        <w:pStyle w:val="BodyText"/>
        <w:tabs>
          <w:tab w:pos="993" w:val="left" w:leader="none"/>
        </w:tabs>
        <w:spacing w:line="388" w:lineRule="auto"/>
        <w:ind w:left="573" w:right="1132"/>
        <w:jc w:val="left"/>
      </w:pPr>
      <w:r>
        <w:rPr>
          <w:rFonts w:ascii="Wingdings" w:hAnsi="Wingdings" w:cs="Wingdings" w:eastAsia="Wingdings" w:hint="default"/>
        </w:rPr>
        <w:t></w:t>
      </w:r>
      <w:r>
        <w:rPr>
          <w:rFonts w:ascii="Times New Roman" w:hAnsi="Times New Roman" w:cs="Times New Roman" w:eastAsia="Times New Roman" w:hint="default"/>
        </w:rPr>
        <w:tab/>
      </w:r>
      <w:r>
        <w:rPr/>
        <w:t>售后服务方面</w:t>
      </w:r>
      <w:r>
        <w:rPr>
          <w:w w:val="100"/>
        </w:rPr>
        <w:t> </w:t>
      </w:r>
      <w:r>
        <w:rPr>
          <w:spacing w:val="-2"/>
        </w:rPr>
        <w:t>围绕经营商品的延展，加强服务规划，搭建电器产品、电子产品、集成产品三个运营管理平台，提供</w:t>
      </w:r>
    </w:p>
    <w:p>
      <w:pPr>
        <w:pStyle w:val="BodyText"/>
        <w:spacing w:line="410" w:lineRule="auto" w:before="63"/>
        <w:ind w:left="573" w:right="982" w:hanging="421"/>
        <w:jc w:val="left"/>
      </w:pPr>
      <w:r>
        <w:rPr/>
        <w:t>多样化的服务产品，拓展服务范围，满足客户多层次的需求，提升售后经营效益和影响力。</w:t>
      </w:r>
      <w:r>
        <w:rPr>
          <w:w w:val="100"/>
        </w:rPr>
        <w:t> </w:t>
      </w:r>
      <w:r>
        <w:rPr>
          <w:spacing w:val="-5"/>
        </w:rPr>
        <w:t>加强售后服务网络的规划建设和终端网点的管理，提高服务质量。加大售后服务体系队伍的调整力度，</w:t>
      </w:r>
    </w:p>
    <w:p>
      <w:pPr>
        <w:pStyle w:val="BodyText"/>
        <w:spacing w:line="240" w:lineRule="auto" w:before="44"/>
        <w:ind w:right="982"/>
        <w:jc w:val="left"/>
      </w:pPr>
      <w:r>
        <w:rPr/>
        <w:t>建立知识型、年轻化的管理团队和技术队伍。</w:t>
      </w:r>
    </w:p>
    <w:p>
      <w:pPr>
        <w:spacing w:line="240" w:lineRule="auto" w:before="10"/>
        <w:rPr>
          <w:rFonts w:ascii="宋体" w:hAnsi="宋体" w:cs="宋体" w:eastAsia="宋体" w:hint="default"/>
          <w:sz w:val="14"/>
          <w:szCs w:val="14"/>
        </w:rPr>
      </w:pPr>
    </w:p>
    <w:p>
      <w:pPr>
        <w:pStyle w:val="BodyText"/>
        <w:tabs>
          <w:tab w:pos="993" w:val="left" w:leader="none"/>
        </w:tabs>
        <w:spacing w:line="388" w:lineRule="auto" w:before="0"/>
        <w:ind w:left="573" w:right="1132"/>
        <w:jc w:val="left"/>
      </w:pPr>
      <w:r>
        <w:rPr>
          <w:rFonts w:ascii="Wingdings" w:hAnsi="Wingdings" w:cs="Wingdings" w:eastAsia="Wingdings" w:hint="default"/>
        </w:rPr>
        <w:t></w:t>
      </w:r>
      <w:r>
        <w:rPr>
          <w:rFonts w:ascii="Times New Roman" w:hAnsi="Times New Roman" w:cs="Times New Roman" w:eastAsia="Times New Roman" w:hint="default"/>
        </w:rPr>
        <w:tab/>
      </w:r>
      <w:r>
        <w:rPr/>
        <w:t>客服服务方面</w:t>
      </w:r>
      <w:r>
        <w:rPr>
          <w:w w:val="100"/>
        </w:rPr>
        <w:t> </w:t>
      </w:r>
      <w:r>
        <w:rPr>
          <w:spacing w:val="-2"/>
        </w:rPr>
        <w:t>紧密围绕平台经营和客户服务需要，划分服务对象，细分服务产品，将现有客服体系合并后按各个品</w:t>
      </w:r>
    </w:p>
    <w:p>
      <w:pPr>
        <w:pStyle w:val="BodyText"/>
        <w:spacing w:line="408" w:lineRule="auto" w:before="63"/>
        <w:ind w:left="573" w:right="1128" w:hanging="421"/>
        <w:jc w:val="left"/>
      </w:pPr>
      <w:r>
        <w:rPr/>
        <w:t>类拆分，提升客服人员的专业技能。</w:t>
      </w:r>
      <w:r>
        <w:rPr>
          <w:w w:val="100"/>
        </w:rPr>
        <w:t> </w:t>
      </w:r>
      <w:r>
        <w:rPr>
          <w:spacing w:val="-2"/>
          <w:w w:val="100"/>
        </w:rPr>
        <w:t>倡导“一切从消费者角度出发”，提升客服话语权和主导地位，业务处理流程从之前的流水线作业制</w:t>
      </w:r>
    </w:p>
    <w:p>
      <w:pPr>
        <w:pStyle w:val="BodyText"/>
        <w:spacing w:line="240" w:lineRule="auto"/>
        <w:ind w:right="982"/>
        <w:jc w:val="left"/>
      </w:pPr>
      <w:r>
        <w:rPr/>
        <w:t>度更改为“首位负责、一单到底”的作业模式，提高服务承诺履行度，优化标准化解决方式。</w:t>
      </w:r>
    </w:p>
    <w:p>
      <w:pPr>
        <w:spacing w:line="240" w:lineRule="auto" w:before="10"/>
        <w:rPr>
          <w:rFonts w:ascii="宋体" w:hAnsi="宋体" w:cs="宋体" w:eastAsia="宋体" w:hint="default"/>
          <w:sz w:val="14"/>
          <w:szCs w:val="14"/>
        </w:rPr>
      </w:pPr>
    </w:p>
    <w:p>
      <w:pPr>
        <w:pStyle w:val="BodyText"/>
        <w:tabs>
          <w:tab w:pos="993" w:val="left" w:leader="none"/>
        </w:tabs>
        <w:spacing w:line="240" w:lineRule="auto" w:before="0"/>
        <w:ind w:left="573" w:right="982"/>
        <w:jc w:val="left"/>
      </w:pPr>
      <w:r>
        <w:rPr>
          <w:rFonts w:ascii="Wingdings" w:hAnsi="Wingdings" w:cs="Wingdings" w:eastAsia="Wingdings" w:hint="default"/>
        </w:rPr>
        <w:t></w:t>
      </w:r>
      <w:r>
        <w:rPr>
          <w:rFonts w:ascii="Times New Roman" w:hAnsi="Times New Roman" w:cs="Times New Roman" w:eastAsia="Times New Roman" w:hint="default"/>
        </w:rPr>
        <w:tab/>
      </w:r>
      <w:r>
        <w:rPr/>
        <w:t>信息体系</w:t>
      </w:r>
    </w:p>
    <w:p>
      <w:pPr>
        <w:pStyle w:val="BodyText"/>
        <w:tabs>
          <w:tab w:pos="993" w:val="left" w:leader="none"/>
        </w:tabs>
        <w:spacing w:line="388" w:lineRule="auto" w:before="179"/>
        <w:ind w:right="1025"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5"/>
        </w:rPr>
        <w:t>积极配合实现苏宁虚实结合的商业模式落地，以及苏宁易购行业地位提升的目标，在移动互联网、</w:t>
      </w:r>
      <w:r>
        <w:rPr>
          <w:w w:val="100"/>
        </w:rPr>
        <w:t> </w:t>
      </w:r>
      <w:r>
        <w:rPr/>
        <w:t>云计算、金融等领域大胆创新、积极探索。</w:t>
      </w:r>
    </w:p>
    <w:p>
      <w:pPr>
        <w:pStyle w:val="BodyText"/>
        <w:spacing w:line="398" w:lineRule="auto" w:before="63"/>
        <w:ind w:right="1126" w:firstLine="420"/>
        <w:jc w:val="both"/>
      </w:pPr>
      <w:r>
        <w:rPr>
          <w:rFonts w:ascii="Wingdings" w:hAnsi="Wingdings" w:cs="Wingdings" w:eastAsia="Wingdings" w:hint="default"/>
        </w:rPr>
        <w:t></w:t>
      </w:r>
      <w:r>
        <w:rPr>
          <w:rFonts w:ascii="Times New Roman" w:hAnsi="Times New Roman" w:cs="Times New Roman" w:eastAsia="Times New Roman" w:hint="default"/>
        </w:rPr>
      </w:r>
      <w:r>
        <w:rPr/>
        <w:t>在内部管理上，进一步加强 </w:t>
      </w:r>
      <w:r>
        <w:rPr>
          <w:rFonts w:ascii="宋体" w:hAnsi="宋体" w:cs="宋体" w:eastAsia="宋体" w:hint="default"/>
        </w:rPr>
        <w:t>IT</w:t>
      </w:r>
      <w:r>
        <w:rPr>
          <w:rFonts w:ascii="宋体" w:hAnsi="宋体" w:cs="宋体" w:eastAsia="宋体" w:hint="default"/>
          <w:spacing w:val="13"/>
        </w:rPr>
        <w:t> </w:t>
      </w:r>
      <w:r>
        <w:rPr/>
        <w:t>和运营的融合，在统一的产品规划、技术规范、项目管理的组织</w:t>
      </w:r>
      <w:r>
        <w:rPr>
          <w:w w:val="100"/>
        </w:rPr>
        <w:t> </w:t>
      </w:r>
      <w:r>
        <w:rPr>
          <w:spacing w:val="-2"/>
        </w:rPr>
        <w:t>领导下，产品研发体系以市场化为导向，将产品的需求设计、技术研发、生产运维与市场经营进行有效整</w:t>
      </w:r>
      <w:r>
        <w:rPr>
          <w:spacing w:val="-47"/>
        </w:rPr>
        <w:t> </w:t>
      </w:r>
      <w:r>
        <w:rPr>
          <w:spacing w:val="-47"/>
        </w:rPr>
      </w:r>
      <w:r>
        <w:rPr/>
        <w:t>合，从组织上保障技术驱动业务的理念。</w:t>
      </w:r>
    </w:p>
    <w:p>
      <w:pPr>
        <w:pStyle w:val="BodyText"/>
        <w:spacing w:line="388" w:lineRule="auto" w:before="54"/>
        <w:ind w:right="1126" w:firstLine="420"/>
        <w:jc w:val="both"/>
      </w:pPr>
      <w:r>
        <w:rPr>
          <w:rFonts w:ascii="Wingdings" w:hAnsi="Wingdings" w:cs="Wingdings" w:eastAsia="Wingdings" w:hint="default"/>
        </w:rPr>
        <w:t></w:t>
      </w:r>
      <w:r>
        <w:rPr>
          <w:rFonts w:ascii="Wingdings" w:hAnsi="Wingdings" w:cs="Wingdings" w:eastAsia="Wingdings" w:hint="default"/>
          <w:spacing w:val="15"/>
        </w:rPr>
        <w:t></w:t>
      </w:r>
      <w:r>
        <w:rPr>
          <w:rFonts w:ascii="Times New Roman" w:hAnsi="Times New Roman" w:cs="Times New Roman" w:eastAsia="Times New Roman" w:hint="default"/>
          <w:spacing w:val="15"/>
        </w:rPr>
      </w:r>
      <w:r>
        <w:rPr/>
        <w:t>在产品上，建立起有层次的产品规划体系与竞争策略，形成公司在市场上鲜明的产品体系，打造</w:t>
      </w:r>
      <w:r>
        <w:rPr>
          <w:w w:val="100"/>
        </w:rPr>
        <w:t> </w:t>
      </w:r>
      <w:r>
        <w:rPr/>
        <w:t>有竞争力的明星产品。</w:t>
      </w:r>
    </w:p>
    <w:p>
      <w:pPr>
        <w:pStyle w:val="BodyText"/>
        <w:spacing w:line="388" w:lineRule="auto" w:before="63"/>
        <w:ind w:right="1126" w:firstLine="420"/>
        <w:jc w:val="both"/>
      </w:pPr>
      <w:r>
        <w:rPr>
          <w:rFonts w:ascii="Wingdings" w:hAnsi="Wingdings" w:cs="Wingdings" w:eastAsia="Wingdings" w:hint="default"/>
        </w:rPr>
        <w:t></w:t>
      </w:r>
      <w:r>
        <w:rPr>
          <w:rFonts w:ascii="Wingdings" w:hAnsi="Wingdings" w:cs="Wingdings" w:eastAsia="Wingdings" w:hint="default"/>
          <w:spacing w:val="14"/>
        </w:rPr>
        <w:t></w:t>
      </w:r>
      <w:r>
        <w:rPr>
          <w:rFonts w:ascii="Times New Roman" w:hAnsi="Times New Roman" w:cs="Times New Roman" w:eastAsia="Times New Roman" w:hint="default"/>
          <w:spacing w:val="14"/>
        </w:rPr>
      </w:r>
      <w:r>
        <w:rPr/>
        <w:t>在用户体验上，一切要从用户角度出发，无论是面向消费者的易购网站，还是面向企业的开放平</w:t>
      </w:r>
      <w:r>
        <w:rPr>
          <w:w w:val="100"/>
        </w:rPr>
        <w:t> </w:t>
      </w:r>
      <w:r>
        <w:rPr/>
        <w:t>台以及面向内部员工的管理平台，都要围绕客户体验这个主旨开展工作。</w:t>
      </w:r>
    </w:p>
    <w:p>
      <w:pPr>
        <w:pStyle w:val="BodyText"/>
        <w:spacing w:line="240" w:lineRule="auto" w:before="63"/>
        <w:ind w:left="573" w:right="982"/>
        <w:jc w:val="left"/>
      </w:pPr>
      <w:r>
        <w:rPr>
          <w:rFonts w:ascii="宋体" w:hAnsi="宋体" w:cs="宋体" w:eastAsia="宋体" w:hint="default"/>
        </w:rPr>
        <w:t>5</w:t>
      </w:r>
      <w:r>
        <w:rPr/>
        <w:t>、人才引进及团队建设方面</w:t>
      </w:r>
    </w:p>
    <w:p>
      <w:pPr>
        <w:spacing w:line="240" w:lineRule="auto" w:before="10"/>
        <w:rPr>
          <w:rFonts w:ascii="宋体" w:hAnsi="宋体" w:cs="宋体" w:eastAsia="宋体" w:hint="default"/>
          <w:sz w:val="14"/>
          <w:szCs w:val="14"/>
        </w:rPr>
      </w:pPr>
    </w:p>
    <w:p>
      <w:pPr>
        <w:pStyle w:val="BodyText"/>
        <w:spacing w:line="388" w:lineRule="auto" w:before="0"/>
        <w:ind w:right="1126" w:firstLine="420"/>
        <w:jc w:val="both"/>
      </w:pPr>
      <w:r>
        <w:rPr>
          <w:rFonts w:ascii="Wingdings" w:hAnsi="Wingdings" w:cs="Wingdings" w:eastAsia="Wingdings" w:hint="default"/>
        </w:rPr>
        <w:t></w:t>
      </w:r>
      <w:r>
        <w:rPr>
          <w:rFonts w:ascii="Times New Roman" w:hAnsi="Times New Roman" w:cs="Times New Roman" w:eastAsia="Times New Roman" w:hint="default"/>
        </w:rPr>
      </w:r>
      <w:r>
        <w:rPr>
          <w:rFonts w:ascii="宋体" w:hAnsi="宋体" w:cs="宋体" w:eastAsia="宋体" w:hint="default"/>
        </w:rPr>
        <w:t>2013</w:t>
      </w:r>
      <w:r>
        <w:rPr>
          <w:rFonts w:ascii="宋体" w:hAnsi="宋体" w:cs="宋体" w:eastAsia="宋体" w:hint="default"/>
          <w:spacing w:val="62"/>
        </w:rPr>
        <w:t> </w:t>
      </w:r>
      <w:r>
        <w:rPr>
          <w:spacing w:val="-4"/>
        </w:rPr>
        <w:t>年，将启动大规模人才招聘，通过引进社会成熟人才，进一步优化人才结构，同时将持续引</w:t>
      </w:r>
      <w:r>
        <w:rPr>
          <w:w w:val="100"/>
        </w:rPr>
        <w:t> </w:t>
      </w:r>
      <w:r>
        <w:rPr/>
        <w:t>进大学毕业生，保障云商新模式的实施。</w:t>
      </w:r>
    </w:p>
    <w:p>
      <w:pPr>
        <w:pStyle w:val="BodyText"/>
        <w:tabs>
          <w:tab w:pos="993" w:val="left" w:leader="none"/>
        </w:tabs>
        <w:spacing w:line="240" w:lineRule="auto" w:before="63"/>
        <w:ind w:left="573" w:right="982"/>
        <w:jc w:val="left"/>
      </w:pPr>
      <w:r>
        <w:rPr>
          <w:rFonts w:ascii="Wingdings" w:hAnsi="Wingdings" w:cs="Wingdings" w:eastAsia="Wingdings" w:hint="default"/>
        </w:rPr>
        <w:t></w:t>
      </w:r>
      <w:r>
        <w:rPr>
          <w:rFonts w:ascii="Times New Roman" w:hAnsi="Times New Roman" w:cs="Times New Roman" w:eastAsia="Times New Roman" w:hint="default"/>
        </w:rPr>
        <w:tab/>
      </w:r>
      <w:r>
        <w:rPr>
          <w:spacing w:val="-5"/>
        </w:rPr>
        <w:t>加强业务培训组织的建设，面向各个总部，各个专业，进一步依托苏宁大学平台，建立业务学院，</w:t>
      </w:r>
    </w:p>
    <w:p>
      <w:pPr>
        <w:pStyle w:val="BodyText"/>
        <w:spacing w:line="240" w:lineRule="auto" w:before="178"/>
        <w:ind w:right="982"/>
        <w:jc w:val="left"/>
      </w:pPr>
      <w:r>
        <w:rPr/>
        <w:t>今年将进一步完成</w:t>
      </w:r>
      <w:r>
        <w:rPr>
          <w:spacing w:val="-55"/>
        </w:rPr>
        <w:t> </w:t>
      </w:r>
      <w:r>
        <w:rPr>
          <w:rFonts w:ascii="宋体" w:hAnsi="宋体" w:cs="宋体" w:eastAsia="宋体" w:hint="default"/>
        </w:rPr>
        <w:t>8</w:t>
      </w:r>
      <w:r>
        <w:rPr>
          <w:rFonts w:ascii="宋体" w:hAnsi="宋体" w:cs="宋体" w:eastAsia="宋体" w:hint="default"/>
          <w:spacing w:val="-57"/>
        </w:rPr>
        <w:t> </w:t>
      </w:r>
      <w:r>
        <w:rPr/>
        <w:t>个学院的筹备。建成以后，业务的培训将切合业务的需求，加强业务性和针对性。</w:t>
      </w:r>
    </w:p>
    <w:p>
      <w:pPr>
        <w:spacing w:after="0" w:line="240" w:lineRule="auto"/>
        <w:jc w:val="left"/>
        <w:sectPr>
          <w:pgSz w:w="11910" w:h="16840"/>
          <w:pgMar w:header="877" w:footer="1255" w:top="1100" w:bottom="144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982" w:firstLine="420"/>
        <w:jc w:val="left"/>
      </w:pPr>
      <w:r>
        <w:rPr>
          <w:spacing w:val="-2"/>
        </w:rPr>
        <w:t>围绕工作结果进一步加大激励考核，建立中基层干部员工的常态激励考核机制和高管的年度激励考核</w:t>
      </w:r>
      <w:r>
        <w:rPr>
          <w:w w:val="100"/>
        </w:rPr>
        <w:t> </w:t>
      </w:r>
      <w:r>
        <w:rPr/>
        <w:t>机制。进一步完善各项长期激励制度与奖励性福利政策，以多样化的激励措施，激发员工的工作激情。</w:t>
      </w:r>
    </w:p>
    <w:p>
      <w:pPr>
        <w:pStyle w:val="BodyText"/>
        <w:spacing w:line="408" w:lineRule="auto"/>
        <w:ind w:left="573" w:right="982"/>
        <w:jc w:val="left"/>
      </w:pPr>
      <w:r>
        <w:rPr/>
        <w:t>（四）未来资金需求及使用计划</w:t>
      </w:r>
      <w:r>
        <w:rPr>
          <w:w w:val="100"/>
        </w:rPr>
        <w:t> </w:t>
      </w:r>
      <w:r>
        <w:rPr>
          <w:spacing w:val="-2"/>
        </w:rPr>
        <w:t>结合发展战略目标，公司将制定切实可行的发展规划和实施计划，合理筹集、安排、使用资金。公司</w:t>
      </w:r>
    </w:p>
    <w:p>
      <w:pPr>
        <w:pStyle w:val="BodyText"/>
        <w:spacing w:line="240" w:lineRule="auto"/>
        <w:ind w:right="982"/>
        <w:jc w:val="left"/>
      </w:pPr>
      <w:r>
        <w:rPr/>
        <w:t>银行信贷信誉良好，同时作为上市公司，有条件使用多种方式筹集资金，未来资金来源有充足保证。</w:t>
      </w:r>
    </w:p>
    <w:p>
      <w:pPr>
        <w:spacing w:line="240" w:lineRule="auto" w:before="11"/>
        <w:rPr>
          <w:rFonts w:ascii="宋体" w:hAnsi="宋体" w:cs="宋体" w:eastAsia="宋体" w:hint="default"/>
          <w:sz w:val="29"/>
          <w:szCs w:val="29"/>
        </w:rPr>
      </w:pPr>
    </w:p>
    <w:p>
      <w:pPr>
        <w:pStyle w:val="Heading2"/>
        <w:spacing w:line="240" w:lineRule="auto"/>
        <w:ind w:right="982"/>
        <w:jc w:val="left"/>
        <w:rPr>
          <w:b w:val="0"/>
          <w:bCs w:val="0"/>
        </w:rPr>
      </w:pPr>
      <w:r>
        <w:rPr/>
        <w:t>十二、董事会对会计师事务所本报告期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5"/>
        <w:rPr>
          <w:rFonts w:ascii="宋体" w:hAnsi="宋体" w:cs="宋体" w:eastAsia="宋体" w:hint="default"/>
          <w:b/>
          <w:bCs/>
          <w:sz w:val="29"/>
          <w:szCs w:val="29"/>
        </w:rPr>
      </w:pPr>
    </w:p>
    <w:p>
      <w:pPr>
        <w:pStyle w:val="BodyText"/>
        <w:spacing w:line="240" w:lineRule="auto" w:before="0"/>
        <w:ind w:left="573" w:right="982"/>
        <w:jc w:val="left"/>
      </w:pPr>
      <w:r>
        <w:rPr/>
        <w:t>不适用</w:t>
      </w:r>
    </w:p>
    <w:p>
      <w:pPr>
        <w:spacing w:line="240" w:lineRule="auto" w:before="12"/>
        <w:rPr>
          <w:rFonts w:ascii="宋体" w:hAnsi="宋体" w:cs="宋体" w:eastAsia="宋体" w:hint="default"/>
          <w:sz w:val="29"/>
          <w:szCs w:val="29"/>
        </w:rPr>
      </w:pPr>
    </w:p>
    <w:p>
      <w:pPr>
        <w:pStyle w:val="Heading2"/>
        <w:spacing w:line="240" w:lineRule="auto"/>
        <w:ind w:right="982"/>
        <w:jc w:val="left"/>
        <w:rPr>
          <w:b w:val="0"/>
          <w:bCs w:val="0"/>
        </w:rPr>
      </w:pPr>
      <w:r>
        <w:rPr/>
        <w:t>十三、与上年度财务报告相比，会计政策、会计估计和核算方法发生变化的情况说明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82"/>
        <w:jc w:val="left"/>
      </w:pPr>
      <w:r>
        <w:rPr/>
        <w:t>不适用</w:t>
      </w:r>
    </w:p>
    <w:p>
      <w:pPr>
        <w:spacing w:line="240" w:lineRule="auto" w:before="11"/>
        <w:rPr>
          <w:rFonts w:ascii="宋体" w:hAnsi="宋体" w:cs="宋体" w:eastAsia="宋体" w:hint="default"/>
          <w:sz w:val="29"/>
          <w:szCs w:val="29"/>
        </w:rPr>
      </w:pPr>
    </w:p>
    <w:p>
      <w:pPr>
        <w:pStyle w:val="Heading2"/>
        <w:spacing w:line="240" w:lineRule="auto"/>
        <w:ind w:right="982"/>
        <w:jc w:val="left"/>
        <w:rPr>
          <w:b w:val="0"/>
          <w:bCs w:val="0"/>
        </w:rPr>
      </w:pPr>
      <w:r>
        <w:rPr/>
        <w:t>十四、报告期内发生重大会计差错更正需追溯重述的情况说明</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982"/>
        <w:jc w:val="left"/>
      </w:pPr>
      <w:r>
        <w:rPr/>
        <w:t>不适用</w:t>
      </w:r>
    </w:p>
    <w:p>
      <w:pPr>
        <w:spacing w:line="240" w:lineRule="auto" w:before="11"/>
        <w:rPr>
          <w:rFonts w:ascii="宋体" w:hAnsi="宋体" w:cs="宋体" w:eastAsia="宋体" w:hint="default"/>
          <w:sz w:val="29"/>
          <w:szCs w:val="29"/>
        </w:rPr>
      </w:pPr>
    </w:p>
    <w:p>
      <w:pPr>
        <w:pStyle w:val="Heading2"/>
        <w:spacing w:line="240" w:lineRule="auto"/>
        <w:ind w:right="982"/>
        <w:jc w:val="left"/>
        <w:rPr>
          <w:b w:val="0"/>
          <w:bCs w:val="0"/>
        </w:rPr>
      </w:pPr>
      <w:r>
        <w:rPr/>
        <w:t>十五、与上年度财务报告相比，合并报表范围发生变化的情况说明</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right="1126" w:firstLine="42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年度公司合并报表范围新增</w:t>
      </w:r>
      <w:r>
        <w:rPr>
          <w:spacing w:val="-46"/>
        </w:rPr>
        <w:t> </w:t>
      </w:r>
      <w:r>
        <w:rPr>
          <w:rFonts w:ascii="Times New Roman" w:hAnsi="Times New Roman" w:cs="Times New Roman" w:eastAsia="Times New Roman" w:hint="default"/>
        </w:rPr>
        <w:t>47</w:t>
      </w:r>
      <w:r>
        <w:rPr>
          <w:rFonts w:ascii="Times New Roman" w:hAnsi="Times New Roman" w:cs="Times New Roman" w:eastAsia="Times New Roman" w:hint="default"/>
          <w:spacing w:val="4"/>
        </w:rPr>
        <w:t> </w:t>
      </w:r>
      <w:r>
        <w:rPr>
          <w:spacing w:val="-7"/>
        </w:rPr>
        <w:t>家子公司，其中</w:t>
      </w:r>
      <w:r>
        <w:rPr>
          <w:spacing w:val="-48"/>
        </w:rPr>
        <w:t> </w:t>
      </w:r>
      <w:r>
        <w:rPr>
          <w:rFonts w:ascii="Times New Roman" w:hAnsi="Times New Roman" w:cs="Times New Roman" w:eastAsia="Times New Roman" w:hint="default"/>
        </w:rPr>
        <w:t>27</w:t>
      </w:r>
      <w:r>
        <w:rPr>
          <w:rFonts w:ascii="Times New Roman" w:hAnsi="Times New Roman" w:cs="Times New Roman" w:eastAsia="Times New Roman" w:hint="default"/>
          <w:spacing w:val="7"/>
        </w:rPr>
        <w:t> </w:t>
      </w:r>
      <w:r>
        <w:rPr>
          <w:spacing w:val="-4"/>
        </w:rPr>
        <w:t>家从事电器与电子消费品的连锁零售业务、</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8"/>
          <w:w w:val="100"/>
        </w:rPr>
        <w:t> </w:t>
      </w:r>
      <w:r>
        <w:rPr/>
        <w:t>家从事仓储物流业务、</w:t>
      </w:r>
      <w:r>
        <w:rPr>
          <w:rFonts w:ascii="Times New Roman" w:hAnsi="Times New Roman" w:cs="Times New Roman" w:eastAsia="Times New Roman" w:hint="default"/>
        </w:rPr>
        <w:t>8 </w:t>
      </w:r>
      <w:r>
        <w:rPr/>
        <w:t>家从事网上电器与电子消费品的零售业务、</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家从事金融服务业务。另同时报告</w:t>
      </w:r>
      <w:r>
        <w:rPr>
          <w:w w:val="100"/>
        </w:rPr>
        <w:t> </w:t>
      </w:r>
      <w:r>
        <w:rPr>
          <w:spacing w:val="-1"/>
          <w:w w:val="100"/>
        </w:rPr>
        <w:t>期内公司注销子公司</w:t>
      </w:r>
      <w:r>
        <w:rPr>
          <w:spacing w:val="-3"/>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48"/>
          <w:w w:val="100"/>
        </w:rPr>
        <w:t> </w:t>
      </w:r>
      <w:r>
        <w:rPr>
          <w:spacing w:val="-5"/>
          <w:w w:val="100"/>
        </w:rPr>
        <w:t>家。本年度合并报表范围详见财务报表附注：“四、企业合并及合并财务报表本年</w:t>
      </w:r>
      <w:r>
        <w:rPr>
          <w:spacing w:val="-103"/>
          <w:w w:val="100"/>
        </w:rPr>
        <w:t> </w:t>
      </w:r>
      <w:r>
        <w:rPr>
          <w:spacing w:val="-103"/>
          <w:w w:val="100"/>
        </w:rPr>
      </w:r>
      <w:r>
        <w:rPr>
          <w:spacing w:val="-5"/>
          <w:w w:val="100"/>
        </w:rPr>
        <w:t>度新纳入合并范围的主体和本年度不再纳入合并范围的主体”。</w:t>
      </w:r>
    </w:p>
    <w:p>
      <w:pPr>
        <w:spacing w:line="240" w:lineRule="auto" w:before="1"/>
        <w:rPr>
          <w:rFonts w:ascii="宋体" w:hAnsi="宋体" w:cs="宋体" w:eastAsia="宋体" w:hint="default"/>
          <w:sz w:val="20"/>
          <w:szCs w:val="20"/>
        </w:rPr>
      </w:pPr>
    </w:p>
    <w:p>
      <w:pPr>
        <w:pStyle w:val="Heading2"/>
        <w:spacing w:line="240" w:lineRule="auto"/>
        <w:ind w:right="982"/>
        <w:jc w:val="left"/>
        <w:rPr>
          <w:b w:val="0"/>
          <w:bCs w:val="0"/>
        </w:rPr>
      </w:pPr>
      <w:r>
        <w:rPr/>
        <w:t>十六、公司利润分配及分红派息情况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982"/>
        <w:jc w:val="left"/>
      </w:pPr>
      <w:r>
        <w:rPr>
          <w:rFonts w:ascii="宋体" w:hAnsi="宋体" w:cs="宋体" w:eastAsia="宋体" w:hint="default"/>
        </w:rPr>
        <w:t>1</w:t>
      </w:r>
      <w:r>
        <w:rPr/>
        <w:t>、报告期内利润分配政策特别是现金分红政策的制定、执行或调整情况：</w:t>
      </w:r>
    </w:p>
    <w:p>
      <w:pPr>
        <w:spacing w:line="240" w:lineRule="auto" w:before="10"/>
        <w:rPr>
          <w:rFonts w:ascii="宋体" w:hAnsi="宋体" w:cs="宋体" w:eastAsia="宋体" w:hint="default"/>
          <w:sz w:val="14"/>
          <w:szCs w:val="14"/>
        </w:rPr>
      </w:pPr>
    </w:p>
    <w:p>
      <w:pPr>
        <w:pStyle w:val="BodyText"/>
        <w:spacing w:line="410" w:lineRule="auto" w:before="0"/>
        <w:ind w:left="573" w:right="982"/>
        <w:jc w:val="left"/>
      </w:pPr>
      <w:r>
        <w:rPr/>
        <w:t>（</w:t>
      </w:r>
      <w:r>
        <w:rPr>
          <w:rFonts w:ascii="宋体" w:hAnsi="宋体" w:cs="宋体" w:eastAsia="宋体" w:hint="default"/>
        </w:rPr>
        <w:t>1</w:t>
      </w:r>
      <w:r>
        <w:rPr/>
        <w:t>）公司现金分红政策的制定情况</w:t>
      </w:r>
      <w:r>
        <w:rPr>
          <w:w w:val="100"/>
        </w:rPr>
        <w:t> </w:t>
      </w:r>
      <w:r>
        <w:rPr>
          <w:rFonts w:ascii="宋体" w:hAnsi="宋体" w:cs="宋体" w:eastAsia="宋体" w:hint="default"/>
          <w:spacing w:val="-5"/>
        </w:rPr>
        <w:t>2012</w:t>
      </w:r>
      <w:r>
        <w:rPr>
          <w:spacing w:val="-5"/>
        </w:rPr>
        <w:t>年</w:t>
      </w:r>
      <w:r>
        <w:rPr>
          <w:rFonts w:ascii="宋体" w:hAnsi="宋体" w:cs="宋体" w:eastAsia="宋体" w:hint="default"/>
          <w:spacing w:val="-5"/>
        </w:rPr>
        <w:t>8</w:t>
      </w:r>
      <w:r>
        <w:rPr>
          <w:spacing w:val="-5"/>
        </w:rPr>
        <w:t>月，根据中国证券监督管理委员会《关于进一步落实上市公司现金分红有关事项的通知》（证</w:t>
      </w:r>
    </w:p>
    <w:p>
      <w:pPr>
        <w:pStyle w:val="BodyText"/>
        <w:spacing w:line="408" w:lineRule="auto" w:before="44"/>
        <w:ind w:right="982"/>
        <w:jc w:val="left"/>
      </w:pPr>
      <w:r>
        <w:rPr>
          <w:spacing w:val="-2"/>
        </w:rPr>
        <w:t>监发</w:t>
      </w:r>
      <w:r>
        <w:rPr>
          <w:rFonts w:ascii="宋体" w:hAnsi="宋体" w:cs="宋体" w:eastAsia="宋体" w:hint="default"/>
          <w:spacing w:val="-2"/>
        </w:rPr>
        <w:t>[2012]37</w:t>
      </w:r>
      <w:r>
        <w:rPr>
          <w:spacing w:val="-2"/>
        </w:rPr>
        <w:t>号）及江苏证监局的有关文件精神，为进一步完善公司利润分配政策、维护全体股东利益，</w:t>
      </w:r>
      <w:r>
        <w:rPr>
          <w:spacing w:val="-14"/>
        </w:rPr>
        <w:t> </w:t>
      </w:r>
      <w:r>
        <w:rPr>
          <w:spacing w:val="-14"/>
        </w:rPr>
      </w:r>
      <w:r>
        <w:rPr/>
        <w:t>经公司第四届董事会第二十八次会议审议，公司</w:t>
      </w:r>
      <w:r>
        <w:rPr>
          <w:rFonts w:ascii="宋体" w:hAnsi="宋体" w:cs="宋体" w:eastAsia="宋体" w:hint="default"/>
        </w:rPr>
        <w:t>2012</w:t>
      </w:r>
      <w:r>
        <w:rPr/>
        <w:t>年第一次临时股东大会决议通过《关于修改公司</w:t>
      </w:r>
      <w:r>
        <w:rPr>
          <w:rFonts w:ascii="宋体" w:hAnsi="宋体" w:cs="宋体" w:eastAsia="宋体" w:hint="default"/>
        </w:rPr>
        <w:t>&lt;</w:t>
      </w:r>
      <w:r>
        <w:rPr/>
        <w:t>章</w:t>
      </w:r>
      <w:r>
        <w:rPr>
          <w:w w:val="100"/>
        </w:rPr>
        <w:t> </w:t>
      </w:r>
      <w:r>
        <w:rPr/>
        <w:t>程</w:t>
      </w:r>
      <w:r>
        <w:rPr>
          <w:rFonts w:ascii="宋体" w:hAnsi="宋体" w:cs="宋体" w:eastAsia="宋体" w:hint="default"/>
        </w:rPr>
        <w:t>&gt;</w:t>
      </w:r>
      <w:r>
        <w:rPr/>
        <w:t>的议案》，对公司《章程》中与利润分配政策相关的条款第八十二条、第一百六十四条进行修改，进</w:t>
      </w:r>
      <w:r>
        <w:rPr>
          <w:w w:val="100"/>
        </w:rPr>
        <w:t> </w:t>
      </w:r>
      <w:r>
        <w:rPr>
          <w:spacing w:val="-2"/>
        </w:rPr>
        <w:t>一步完善了公司董事会、股东大会对公司利润分配尤其是现金分红事项的决策程序和机制，明确公司利润</w:t>
      </w:r>
    </w:p>
    <w:p>
      <w:pPr>
        <w:pStyle w:val="BodyText"/>
        <w:spacing w:line="240" w:lineRule="auto"/>
        <w:ind w:right="982"/>
        <w:jc w:val="left"/>
      </w:pPr>
      <w:r>
        <w:rPr/>
        <w:t>分配尤其是现金分红政策的具体内容、利润分配形式、利润分配尤其是现金分红的期间间隔、现金分红的</w:t>
      </w:r>
    </w:p>
    <w:p>
      <w:pPr>
        <w:spacing w:after="0" w:line="240" w:lineRule="auto"/>
        <w:jc w:val="left"/>
        <w:sectPr>
          <w:footerReference w:type="default" r:id="rId31"/>
          <w:pgSz w:w="11910" w:h="16840"/>
          <w:pgMar w:footer="1340" w:header="877" w:top="1100" w:bottom="1540" w:left="980" w:right="0"/>
          <w:pgNumType w:start="45"/>
        </w:sectPr>
      </w:pPr>
    </w:p>
    <w:p>
      <w:pPr>
        <w:spacing w:line="240" w:lineRule="auto" w:before="9"/>
        <w:rPr>
          <w:rFonts w:ascii="宋体" w:hAnsi="宋体" w:cs="宋体" w:eastAsia="宋体" w:hint="default"/>
          <w:sz w:val="26"/>
          <w:szCs w:val="26"/>
        </w:rPr>
      </w:pPr>
    </w:p>
    <w:p>
      <w:pPr>
        <w:pStyle w:val="BodyText"/>
        <w:spacing w:line="408" w:lineRule="auto" w:before="36"/>
        <w:ind w:right="1126"/>
        <w:jc w:val="both"/>
      </w:pPr>
      <w:r>
        <w:rPr>
          <w:spacing w:val="-2"/>
        </w:rPr>
        <w:t>具体条件等。建立健全了公司利润分配制度，充分维护了公司全体股东依法享有的资产收益等权利。本次</w:t>
      </w:r>
      <w:r>
        <w:rPr>
          <w:spacing w:val="-42"/>
        </w:rPr>
        <w:t> </w:t>
      </w:r>
      <w:r>
        <w:rPr>
          <w:spacing w:val="-42"/>
        </w:rPr>
      </w:r>
      <w:r>
        <w:rPr>
          <w:spacing w:val="-2"/>
        </w:rPr>
        <w:t>股东大会在审议该议案时采取现场投票和网络投票相结合的方式，充分保证了中小股东的权利；公司独立</w:t>
      </w:r>
      <w:r>
        <w:rPr>
          <w:spacing w:val="-41"/>
        </w:rPr>
        <w:t> </w:t>
      </w:r>
      <w:r>
        <w:rPr>
          <w:spacing w:val="-41"/>
        </w:rPr>
      </w:r>
      <w:r>
        <w:rPr/>
        <w:t>董事就本次关于修改公司《章程》中利润分配政策条款发表了独立意见。</w:t>
      </w:r>
    </w:p>
    <w:p>
      <w:pPr>
        <w:pStyle w:val="BodyText"/>
        <w:spacing w:line="408" w:lineRule="auto"/>
        <w:ind w:left="573" w:right="982"/>
        <w:jc w:val="left"/>
      </w:pPr>
      <w:r>
        <w:rPr/>
        <w:t>（</w:t>
      </w:r>
      <w:r>
        <w:rPr>
          <w:rFonts w:ascii="宋体" w:hAnsi="宋体" w:cs="宋体" w:eastAsia="宋体" w:hint="default"/>
        </w:rPr>
        <w:t>2</w:t>
      </w:r>
      <w:r>
        <w:rPr/>
        <w:t>）报告期内公司实施的利润分配方案</w:t>
      </w:r>
      <w:r>
        <w:rPr>
          <w:w w:val="100"/>
        </w:rPr>
        <w:t> </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4</w:t>
      </w:r>
      <w:r>
        <w:rPr>
          <w:spacing w:val="-2"/>
        </w:rPr>
        <w:t>日，公司召开</w:t>
      </w:r>
      <w:r>
        <w:rPr>
          <w:rFonts w:ascii="宋体" w:hAnsi="宋体" w:cs="宋体" w:eastAsia="宋体" w:hint="default"/>
          <w:spacing w:val="-2"/>
        </w:rPr>
        <w:t>2011</w:t>
      </w:r>
      <w:r>
        <w:rPr>
          <w:spacing w:val="-2"/>
        </w:rPr>
        <w:t>年年度股东大会，审议通过</w:t>
      </w:r>
      <w:r>
        <w:rPr>
          <w:rFonts w:ascii="宋体" w:hAnsi="宋体" w:cs="宋体" w:eastAsia="宋体" w:hint="default"/>
          <w:spacing w:val="-2"/>
        </w:rPr>
        <w:t>2011</w:t>
      </w:r>
      <w:r>
        <w:rPr>
          <w:spacing w:val="-2"/>
        </w:rPr>
        <w:t>年年度利润分配方案，具体为：以公司</w:t>
      </w:r>
    </w:p>
    <w:p>
      <w:pPr>
        <w:pStyle w:val="BodyText"/>
        <w:spacing w:line="408" w:lineRule="auto"/>
        <w:ind w:right="982"/>
        <w:jc w:val="left"/>
      </w:pPr>
      <w:r>
        <w:rPr>
          <w:spacing w:val="-2"/>
        </w:rPr>
        <w:t>现有总股本</w:t>
      </w:r>
      <w:r>
        <w:rPr>
          <w:rFonts w:ascii="宋体" w:hAnsi="宋体" w:cs="宋体" w:eastAsia="宋体" w:hint="default"/>
          <w:spacing w:val="-2"/>
        </w:rPr>
        <w:t>6,996,211,866</w:t>
      </w:r>
      <w:r>
        <w:rPr>
          <w:spacing w:val="-2"/>
        </w:rPr>
        <w:t>股为基数，向全体股东每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1.5</w:t>
      </w:r>
      <w:r>
        <w:rPr>
          <w:spacing w:val="-2"/>
        </w:rPr>
        <w:t>元人民币现金（含税，扣税后，</w:t>
      </w:r>
      <w:r>
        <w:rPr>
          <w:spacing w:val="-6"/>
        </w:rPr>
        <w:t> </w:t>
      </w:r>
      <w:r>
        <w:rPr>
          <w:spacing w:val="-6"/>
        </w:rPr>
      </w:r>
      <w:r>
        <w:rPr>
          <w:spacing w:val="-2"/>
        </w:rPr>
        <w:t>个人股东、证券投资基金、合格境外机构投资者实际每</w:t>
      </w:r>
      <w:r>
        <w:rPr>
          <w:rFonts w:ascii="宋体" w:hAnsi="宋体" w:cs="宋体" w:eastAsia="宋体" w:hint="default"/>
          <w:spacing w:val="-2"/>
        </w:rPr>
        <w:t>10</w:t>
      </w:r>
      <w:r>
        <w:rPr>
          <w:spacing w:val="-2"/>
        </w:rPr>
        <w:t>股派现金红利</w:t>
      </w:r>
      <w:r>
        <w:rPr>
          <w:rFonts w:ascii="宋体" w:hAnsi="宋体" w:cs="宋体" w:eastAsia="宋体" w:hint="default"/>
          <w:spacing w:val="-2"/>
        </w:rPr>
        <w:t>1.35</w:t>
      </w:r>
      <w:r>
        <w:rPr>
          <w:spacing w:val="-2"/>
        </w:rPr>
        <w:t>元）。根据股东大会决议，公</w:t>
      </w:r>
      <w:r>
        <w:rPr>
          <w:spacing w:val="-36"/>
        </w:rPr>
        <w:t> </w:t>
      </w:r>
      <w:r>
        <w:rPr>
          <w:spacing w:val="-36"/>
        </w:rPr>
      </w:r>
      <w:r>
        <w:rPr/>
        <w:t>司于</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25</w:t>
      </w:r>
      <w:r>
        <w:rPr/>
        <w:t>日在巨潮资讯网、《证券时报》、《中国证券报》、《上海证券报》、《证券日报》上</w:t>
      </w:r>
      <w:r>
        <w:rPr>
          <w:w w:val="100"/>
        </w:rPr>
        <w:t> </w:t>
      </w:r>
      <w:r>
        <w:rPr>
          <w:spacing w:val="-2"/>
        </w:rPr>
        <w:t>刊登了</w:t>
      </w:r>
      <w:r>
        <w:rPr>
          <w:rFonts w:ascii="宋体" w:hAnsi="宋体" w:cs="宋体" w:eastAsia="宋体" w:hint="default"/>
          <w:spacing w:val="-2"/>
        </w:rPr>
        <w:t>2011</w:t>
      </w:r>
      <w:r>
        <w:rPr>
          <w:spacing w:val="-2"/>
        </w:rPr>
        <w:t>年度分红派息实施公告，本次利润分配的股权登记日为</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30</w:t>
      </w:r>
      <w:r>
        <w:rPr>
          <w:spacing w:val="-2"/>
        </w:rPr>
        <w:t>日，除权除息日为</w:t>
      </w:r>
      <w:r>
        <w:rPr>
          <w:rFonts w:ascii="宋体" w:hAnsi="宋体" w:cs="宋体" w:eastAsia="宋体" w:hint="default"/>
          <w:spacing w:val="-2"/>
        </w:rPr>
        <w:t>2012</w:t>
      </w:r>
      <w:r>
        <w:rPr>
          <w:spacing w:val="-2"/>
        </w:rPr>
        <w:t>年</w:t>
      </w:r>
      <w:r>
        <w:rPr>
          <w:rFonts w:ascii="宋体" w:hAnsi="宋体" w:cs="宋体" w:eastAsia="宋体" w:hint="default"/>
          <w:spacing w:val="-2"/>
        </w:rPr>
        <w:t>5</w:t>
      </w:r>
      <w:r>
        <w:rPr>
          <w:rFonts w:ascii="宋体" w:hAnsi="宋体" w:cs="宋体" w:eastAsia="宋体" w:hint="default"/>
          <w:spacing w:val="-28"/>
        </w:rPr>
        <w:t> </w:t>
      </w:r>
      <w:r>
        <w:rPr/>
        <w:t>月</w:t>
      </w:r>
      <w:r>
        <w:rPr>
          <w:rFonts w:ascii="宋体" w:hAnsi="宋体" w:cs="宋体" w:eastAsia="宋体" w:hint="default"/>
        </w:rPr>
        <w:t>31</w:t>
      </w:r>
      <w:r>
        <w:rPr/>
        <w:t>日。</w:t>
      </w:r>
    </w:p>
    <w:p>
      <w:pPr>
        <w:pStyle w:val="BodyText"/>
        <w:spacing w:line="408" w:lineRule="auto"/>
        <w:ind w:right="982" w:firstLine="420"/>
        <w:jc w:val="left"/>
      </w:pPr>
      <w:r>
        <w:rPr/>
        <w:t>公司历来重视对广大股东的投资回报，</w:t>
      </w:r>
      <w:r>
        <w:rPr>
          <w:rFonts w:ascii="宋体" w:hAnsi="宋体" w:cs="宋体" w:eastAsia="宋体" w:hint="default"/>
        </w:rPr>
        <w:t>2009-2011</w:t>
      </w:r>
      <w:r>
        <w:rPr/>
        <w:t>年三年现金分红累积达到</w:t>
      </w:r>
      <w:r>
        <w:rPr>
          <w:rFonts w:ascii="宋体" w:hAnsi="宋体" w:cs="宋体" w:eastAsia="宋体" w:hint="default"/>
        </w:rPr>
        <w:t>19.82</w:t>
      </w:r>
      <w:r>
        <w:rPr/>
        <w:t>亿元，股东充分分享</w:t>
      </w:r>
      <w:r>
        <w:rPr>
          <w:w w:val="100"/>
        </w:rPr>
        <w:t> </w:t>
      </w:r>
      <w:r>
        <w:rPr/>
        <w:t>了公司成长的收益。公司现阶段执行的利润分配政策一直是连续的和稳定的，本着兼顾全体股东的整体利</w:t>
      </w:r>
      <w:r>
        <w:rPr>
          <w:w w:val="100"/>
        </w:rPr>
        <w:t> </w:t>
      </w:r>
      <w:r>
        <w:rPr>
          <w:spacing w:val="-5"/>
        </w:rPr>
        <w:t>益及公司的可持续发展的原则，并考虑公司经营状况、盈利规模、年度投资计划等因素，制定持续、稳定、</w:t>
      </w:r>
      <w:r>
        <w:rPr>
          <w:spacing w:val="-7"/>
        </w:rPr>
        <w:t> </w:t>
      </w:r>
      <w:r>
        <w:rPr>
          <w:spacing w:val="-7"/>
        </w:rPr>
      </w:r>
      <w:r>
        <w:rPr>
          <w:spacing w:val="-2"/>
        </w:rPr>
        <w:t>科学的分配政策；通过采取现金分红、资本公积转增股本、送红股等方式进行权益分派，给予投资者合理</w:t>
      </w:r>
      <w:r>
        <w:rPr>
          <w:spacing w:val="-50"/>
        </w:rPr>
        <w:t> </w:t>
      </w:r>
      <w:r>
        <w:rPr>
          <w:spacing w:val="-50"/>
        </w:rPr>
      </w:r>
      <w:r>
        <w:rPr>
          <w:spacing w:val="-5"/>
        </w:rPr>
        <w:t>的投资回报，使投资者能够充分分享公司成长的收益，符合中国证监会、深圳证券交易所发布的相关法律、 </w:t>
      </w:r>
      <w:r>
        <w:rPr>
          <w:spacing w:val="-5"/>
        </w:rPr>
      </w:r>
      <w:r>
        <w:rPr/>
        <w:t>法规、规范性文件的要求。</w:t>
      </w:r>
    </w:p>
    <w:p>
      <w:pPr>
        <w:pStyle w:val="BodyText"/>
        <w:spacing w:line="240" w:lineRule="auto"/>
        <w:ind w:left="573" w:right="982"/>
        <w:jc w:val="left"/>
      </w:pPr>
      <w:r>
        <w:rPr>
          <w:rFonts w:ascii="宋体" w:hAnsi="宋体" w:cs="宋体" w:eastAsia="宋体" w:hint="default"/>
        </w:rPr>
        <w:t>2</w:t>
      </w:r>
      <w:r>
        <w:rPr/>
        <w:t>、本年度利润分配及资本公积金转增股本预案</w:t>
      </w:r>
    </w:p>
    <w:p>
      <w:pPr>
        <w:spacing w:line="240" w:lineRule="auto" w:before="10"/>
        <w:rPr>
          <w:rFonts w:ascii="宋体" w:hAnsi="宋体" w:cs="宋体" w:eastAsia="宋体" w:hint="default"/>
          <w:sz w:val="14"/>
          <w:szCs w:val="14"/>
        </w:rPr>
      </w:pPr>
    </w:p>
    <w:p>
      <w:pPr>
        <w:pStyle w:val="BodyText"/>
        <w:spacing w:line="240" w:lineRule="auto" w:before="0"/>
        <w:ind w:left="573" w:right="982"/>
        <w:jc w:val="left"/>
      </w:pPr>
      <w:r>
        <w:rPr/>
        <w:t>√ 适用 □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36"/>
        <w:ind w:left="0" w:right="1119"/>
        <w:jc w:val="right"/>
      </w:pPr>
      <w:r>
        <w:rPr/>
        <w:pict>
          <v:shape style="position:absolute;margin-left:56.400002pt;margin-top:-94.656334pt;width:479.3pt;height:206.8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8"/>
                    <w:gridCol w:w="5863"/>
                  </w:tblGrid>
                  <w:tr>
                    <w:trPr>
                      <w:trHeight w:val="32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2"/>
                            <w:sz w:val="21"/>
                            <w:szCs w:val="21"/>
                          </w:rPr>
                          <w:t> </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0.50</w:t>
                        </w:r>
                      </w:p>
                    </w:tc>
                  </w:tr>
                  <w:tr>
                    <w:trPr>
                      <w:trHeight w:val="32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含税</w:t>
                        </w:r>
                        <w:r>
                          <w:rPr>
                            <w:rFonts w:ascii="宋体" w:hAnsi="宋体" w:cs="宋体" w:eastAsia="宋体" w:hint="default"/>
                            <w:w w:val="100"/>
                            <w:sz w:val="21"/>
                            <w:szCs w:val="21"/>
                          </w:rPr>
                          <w:t>）</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369,152,000</w:t>
                        </w:r>
                      </w:p>
                    </w:tc>
                  </w:tr>
                  <w:tr>
                    <w:trPr>
                      <w:trHeight w:val="32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6,818,714,000</w:t>
                        </w:r>
                      </w:p>
                    </w:tc>
                  </w:tr>
                  <w:tr>
                    <w:trPr>
                      <w:trHeight w:val="32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785"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w:t>
                        </w:r>
                      </w:p>
                    </w:tc>
                  </w:tr>
                  <w:tr>
                    <w:trPr>
                      <w:trHeight w:val="219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经普华永道中天会计师事务所有限公司出具的普华永道中天审字（</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）第</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10073</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号《审计报告》确认</w:t>
                        </w:r>
                      </w:p>
                      <w:p>
                        <w:pPr>
                          <w:pStyle w:val="TableParagraph"/>
                          <w:spacing w:line="240" w:lineRule="auto" w:before="21"/>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年公司母公司实现净利润</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1,477,362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千元，按公司净利润</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提取法定盈余公积金</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147,736</w:t>
                        </w:r>
                        <w:r>
                          <w:rPr>
                            <w:rFonts w:ascii="Times New Roman" w:hAnsi="Times New Roman" w:cs="Times New Roman" w:eastAsia="Times New Roman" w:hint="default"/>
                            <w:spacing w:val="2"/>
                            <w:sz w:val="21"/>
                            <w:szCs w:val="21"/>
                          </w:rPr>
                          <w:t> </w:t>
                        </w:r>
                        <w:r>
                          <w:rPr>
                            <w:rFonts w:ascii="宋体" w:hAnsi="宋体" w:cs="宋体" w:eastAsia="宋体" w:hint="default"/>
                            <w:spacing w:val="-9"/>
                            <w:sz w:val="21"/>
                            <w:szCs w:val="21"/>
                          </w:rPr>
                          <w:t>千元，提</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取法定盈余公积金后剩余利润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1,329,626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千元。</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年内，公司支付普通股股利</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1,049,432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千元，加年初</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6,538,520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千元，报告期末公司未分配利润为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6,818,714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千元。公司第四届董事会第三十六次</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会议审议通过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年度利润分配方案：以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年末公司总股本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7,383,043,150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股为基数，向全体股东每</w:t>
                        </w:r>
                      </w:p>
                      <w:p>
                        <w:pPr>
                          <w:pStyle w:val="TableParagraph"/>
                          <w:spacing w:line="240" w:lineRule="auto" w:before="21"/>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w:t>
                        </w:r>
                        <w:r>
                          <w:rPr>
                            <w:rFonts w:ascii="宋体" w:hAnsi="宋体" w:cs="宋体" w:eastAsia="宋体" w:hint="default"/>
                            <w:w w:val="100"/>
                            <w:sz w:val="21"/>
                            <w:szCs w:val="21"/>
                          </w:rPr>
                          <w:t>现金</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z w:val="21"/>
                            <w:szCs w:val="21"/>
                          </w:rPr>
                          <w:t> </w:t>
                        </w:r>
                        <w:r>
                          <w:rPr>
                            <w:rFonts w:ascii="宋体" w:hAnsi="宋体" w:cs="宋体" w:eastAsia="宋体" w:hint="default"/>
                            <w:spacing w:val="-27"/>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6"/>
                            <w:w w:val="100"/>
                            <w:sz w:val="21"/>
                            <w:szCs w:val="21"/>
                          </w:rPr>
                          <w:t>）</w:t>
                        </w:r>
                        <w:r>
                          <w:rPr>
                            <w:rFonts w:ascii="宋体" w:hAnsi="宋体" w:cs="宋体" w:eastAsia="宋体" w:hint="default"/>
                            <w:spacing w:val="-27"/>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次</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分配</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369,</w:t>
                        </w:r>
                        <w:r>
                          <w:rPr>
                            <w:rFonts w:ascii="Times New Roman" w:hAnsi="Times New Roman" w:cs="Times New Roman" w:eastAsia="Times New Roman" w:hint="default"/>
                            <w:spacing w:val="-3"/>
                            <w:w w:val="100"/>
                            <w:sz w:val="21"/>
                            <w:szCs w:val="21"/>
                          </w:rPr>
                          <w:t>15</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千</w:t>
                        </w:r>
                        <w:r>
                          <w:rPr>
                            <w:rFonts w:ascii="宋体" w:hAnsi="宋体" w:cs="宋体" w:eastAsia="宋体" w:hint="default"/>
                            <w:spacing w:val="-3"/>
                            <w:w w:val="100"/>
                            <w:sz w:val="21"/>
                            <w:szCs w:val="21"/>
                          </w:rPr>
                          <w:t>元</w:t>
                        </w:r>
                        <w:r>
                          <w:rPr>
                            <w:rFonts w:ascii="宋体" w:hAnsi="宋体" w:cs="宋体" w:eastAsia="宋体" w:hint="default"/>
                            <w:spacing w:val="-25"/>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后</w:t>
                        </w:r>
                        <w:r>
                          <w:rPr>
                            <w:rFonts w:ascii="宋体" w:hAnsi="宋体" w:cs="宋体" w:eastAsia="宋体" w:hint="default"/>
                            <w:spacing w:val="-25"/>
                            <w:w w:val="100"/>
                            <w:sz w:val="21"/>
                            <w:szCs w:val="21"/>
                          </w:rPr>
                          <w:t>，</w:t>
                        </w:r>
                        <w:r>
                          <w:rPr>
                            <w:rFonts w:ascii="宋体" w:hAnsi="宋体" w:cs="宋体" w:eastAsia="宋体" w:hint="default"/>
                            <w:spacing w:val="-3"/>
                            <w:w w:val="100"/>
                            <w:sz w:val="21"/>
                            <w:szCs w:val="21"/>
                          </w:rPr>
                          <w:t>剩余</w:t>
                        </w:r>
                        <w:r>
                          <w:rPr>
                            <w:rFonts w:ascii="宋体" w:hAnsi="宋体" w:cs="宋体" w:eastAsia="宋体" w:hint="default"/>
                            <w:w w:val="100"/>
                            <w:sz w:val="21"/>
                            <w:szCs w:val="21"/>
                          </w:rPr>
                          <w:t>未分</w:t>
                        </w:r>
                        <w:r>
                          <w:rPr>
                            <w:rFonts w:ascii="宋体" w:hAnsi="宋体" w:cs="宋体" w:eastAsia="宋体" w:hint="default"/>
                            <w:spacing w:val="-3"/>
                            <w:w w:val="100"/>
                            <w:sz w:val="21"/>
                            <w:szCs w:val="21"/>
                          </w:rPr>
                          <w:t>配利</w:t>
                        </w:r>
                        <w:r>
                          <w:rPr>
                            <w:rFonts w:ascii="宋体" w:hAnsi="宋体" w:cs="宋体" w:eastAsia="宋体" w:hint="default"/>
                            <w:w w:val="100"/>
                            <w:sz w:val="21"/>
                            <w:szCs w:val="21"/>
                          </w:rPr>
                          <w:t>润</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6,4</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9,5</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千元</w:t>
                        </w:r>
                        <w:r>
                          <w:rPr>
                            <w:rFonts w:ascii="宋体" w:hAnsi="宋体" w:cs="宋体" w:eastAsia="宋体" w:hint="default"/>
                            <w:w w:val="100"/>
                            <w:sz w:val="21"/>
                            <w:szCs w:val="21"/>
                          </w:rPr>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转入下一年度。本次利润分配预案须经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年度股东大会审议批准后实施。</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36"/>
        <w:ind w:left="573" w:right="982"/>
        <w:jc w:val="left"/>
      </w:pPr>
      <w:r>
        <w:rPr>
          <w:rFonts w:ascii="Times New Roman" w:hAnsi="Times New Roman" w:cs="Times New Roman" w:eastAsia="Times New Roman" w:hint="default"/>
        </w:rPr>
        <w:t>3</w:t>
      </w:r>
      <w:r>
        <w:rPr/>
        <w:t>、公司近</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年（含报告期）的利润分配方案及资本公积金转增股本方案情况</w:t>
      </w:r>
    </w:p>
    <w:p>
      <w:pPr>
        <w:pStyle w:val="BodyText"/>
        <w:spacing w:line="240" w:lineRule="auto" w:before="177"/>
        <w:ind w:left="573" w:right="982"/>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2009</w:t>
      </w:r>
      <w:r>
        <w:rPr>
          <w:spacing w:val="-3"/>
        </w:rPr>
        <w:t>年利润分配方案：公司以</w:t>
      </w:r>
      <w:r>
        <w:rPr>
          <w:rFonts w:ascii="Times New Roman" w:hAnsi="Times New Roman" w:cs="Times New Roman" w:eastAsia="Times New Roman" w:hint="default"/>
          <w:spacing w:val="-3"/>
        </w:rPr>
        <w:t>2009</w:t>
      </w:r>
      <w:r>
        <w:rPr>
          <w:spacing w:val="-3"/>
        </w:rPr>
        <w:t>年末总股本</w:t>
      </w:r>
      <w:r>
        <w:rPr>
          <w:rFonts w:ascii="Times New Roman" w:hAnsi="Times New Roman" w:cs="Times New Roman" w:eastAsia="Times New Roman" w:hint="default"/>
          <w:spacing w:val="-3"/>
        </w:rPr>
        <w:t>4,664,141,244</w:t>
      </w:r>
      <w:r>
        <w:rPr>
          <w:spacing w:val="-3"/>
        </w:rPr>
        <w:t>股为基数，向全体股东每</w:t>
      </w:r>
      <w:r>
        <w:rPr>
          <w:rFonts w:ascii="Times New Roman" w:hAnsi="Times New Roman" w:cs="Times New Roman" w:eastAsia="Times New Roman" w:hint="default"/>
          <w:spacing w:val="-3"/>
        </w:rPr>
        <w:t>10</w:t>
      </w:r>
      <w:r>
        <w:rPr>
          <w:spacing w:val="-3"/>
        </w:rPr>
        <w:t>股派发现</w:t>
      </w:r>
    </w:p>
    <w:p>
      <w:pPr>
        <w:spacing w:after="0" w:line="240" w:lineRule="auto"/>
        <w:jc w:val="left"/>
        <w:sectPr>
          <w:pgSz w:w="11910" w:h="16840"/>
          <w:pgMar w:header="877" w:footer="1340" w:top="1100" w:bottom="154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982"/>
        <w:jc w:val="left"/>
      </w:pPr>
      <w:r>
        <w:rPr/>
        <w:t>金红利</w:t>
      </w:r>
      <w:r>
        <w:rPr>
          <w:rFonts w:ascii="Times New Roman" w:hAnsi="Times New Roman" w:cs="Times New Roman" w:eastAsia="Times New Roman" w:hint="default"/>
        </w:rPr>
        <w:t>0.5</w:t>
      </w:r>
      <w:r>
        <w:rPr/>
        <w:t>元，同时，以资本公积转增股本的方式向全体股东每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p>
    <w:p>
      <w:pPr>
        <w:pStyle w:val="BodyText"/>
        <w:spacing w:line="386" w:lineRule="auto" w:before="177"/>
        <w:ind w:right="982" w:firstLine="420"/>
        <w:jc w:val="lef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2010</w:t>
      </w:r>
      <w:r>
        <w:rPr>
          <w:spacing w:val="-3"/>
        </w:rPr>
        <w:t>年利润分配方案：公司以</w:t>
      </w:r>
      <w:r>
        <w:rPr>
          <w:rFonts w:ascii="Times New Roman" w:hAnsi="Times New Roman" w:cs="Times New Roman" w:eastAsia="Times New Roman" w:hint="default"/>
          <w:spacing w:val="-3"/>
        </w:rPr>
        <w:t>2010</w:t>
      </w:r>
      <w:r>
        <w:rPr>
          <w:spacing w:val="-3"/>
        </w:rPr>
        <w:t>年末总股本</w:t>
      </w:r>
      <w:r>
        <w:rPr>
          <w:rFonts w:ascii="Times New Roman" w:hAnsi="Times New Roman" w:cs="Times New Roman" w:eastAsia="Times New Roman" w:hint="default"/>
          <w:spacing w:val="-3"/>
        </w:rPr>
        <w:t>6,996,211,866</w:t>
      </w:r>
      <w:r>
        <w:rPr>
          <w:spacing w:val="-3"/>
        </w:rPr>
        <w:t>股为基数，向全体股东每</w:t>
      </w:r>
      <w:r>
        <w:rPr>
          <w:rFonts w:ascii="Times New Roman" w:hAnsi="Times New Roman" w:cs="Times New Roman" w:eastAsia="Times New Roman" w:hint="default"/>
          <w:spacing w:val="-3"/>
        </w:rPr>
        <w:t>10</w:t>
      </w:r>
      <w:r>
        <w:rPr>
          <w:spacing w:val="-3"/>
        </w:rPr>
        <w:t>股派发现</w:t>
      </w:r>
      <w:r>
        <w:rPr>
          <w:w w:val="100"/>
        </w:rPr>
        <w:t> </w:t>
      </w:r>
      <w:r>
        <w:rPr/>
        <w:t>金红利</w:t>
      </w:r>
      <w:r>
        <w:rPr>
          <w:rFonts w:ascii="Times New Roman" w:hAnsi="Times New Roman" w:cs="Times New Roman" w:eastAsia="Times New Roman" w:hint="default"/>
        </w:rPr>
        <w:t>1</w:t>
      </w:r>
      <w:r>
        <w:rPr/>
        <w:t>元（含税）；</w:t>
      </w:r>
    </w:p>
    <w:p>
      <w:pPr>
        <w:pStyle w:val="BodyText"/>
        <w:spacing w:line="386" w:lineRule="auto" w:before="35"/>
        <w:ind w:right="982" w:firstLine="420"/>
        <w:jc w:val="left"/>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2011</w:t>
      </w:r>
      <w:r>
        <w:rPr>
          <w:spacing w:val="-3"/>
        </w:rPr>
        <w:t>年利润分配方案：公司以</w:t>
      </w:r>
      <w:r>
        <w:rPr>
          <w:rFonts w:ascii="Times New Roman" w:hAnsi="Times New Roman" w:cs="Times New Roman" w:eastAsia="Times New Roman" w:hint="default"/>
          <w:spacing w:val="-3"/>
        </w:rPr>
        <w:t>2011</w:t>
      </w:r>
      <w:r>
        <w:rPr>
          <w:spacing w:val="-3"/>
        </w:rPr>
        <w:t>年末总股本</w:t>
      </w:r>
      <w:r>
        <w:rPr>
          <w:rFonts w:ascii="Times New Roman" w:hAnsi="Times New Roman" w:cs="Times New Roman" w:eastAsia="Times New Roman" w:hint="default"/>
          <w:spacing w:val="-3"/>
        </w:rPr>
        <w:t>6,996,211,866</w:t>
      </w:r>
      <w:r>
        <w:rPr>
          <w:spacing w:val="-3"/>
        </w:rPr>
        <w:t>股为基数，向全体股东每</w:t>
      </w:r>
      <w:r>
        <w:rPr>
          <w:rFonts w:ascii="Times New Roman" w:hAnsi="Times New Roman" w:cs="Times New Roman" w:eastAsia="Times New Roman" w:hint="default"/>
          <w:spacing w:val="-3"/>
        </w:rPr>
        <w:t>10</w:t>
      </w:r>
      <w:r>
        <w:rPr>
          <w:spacing w:val="-3"/>
        </w:rPr>
        <w:t>股派发现</w:t>
      </w:r>
      <w:r>
        <w:rPr>
          <w:w w:val="100"/>
        </w:rPr>
        <w:t> </w:t>
      </w:r>
      <w:r>
        <w:rPr/>
        <w:t>金红利</w:t>
      </w:r>
      <w:r>
        <w:rPr>
          <w:rFonts w:ascii="Times New Roman" w:hAnsi="Times New Roman" w:cs="Times New Roman" w:eastAsia="Times New Roman" w:hint="default"/>
        </w:rPr>
        <w:t>1.5</w:t>
      </w:r>
      <w:r>
        <w:rPr/>
        <w:t>元（含税）。</w:t>
      </w:r>
    </w:p>
    <w:p>
      <w:pPr>
        <w:pStyle w:val="BodyText"/>
        <w:tabs>
          <w:tab w:pos="8449" w:val="left" w:leader="none"/>
        </w:tabs>
        <w:spacing w:line="240" w:lineRule="auto" w:before="191"/>
        <w:ind w:left="573" w:right="982"/>
        <w:jc w:val="left"/>
      </w:pPr>
      <w:r>
        <w:rPr>
          <w:rFonts w:ascii="宋体" w:hAnsi="宋体" w:cs="宋体" w:eastAsia="宋体" w:hint="default"/>
          <w:spacing w:val="-2"/>
        </w:rPr>
        <w:t>4</w:t>
      </w:r>
      <w:r>
        <w:rPr>
          <w:spacing w:val="-2"/>
        </w:rPr>
        <w:t>、公司近三年现金分红情况表</w:t>
        <w:tab/>
        <w:t>单位：千元</w:t>
      </w:r>
    </w:p>
    <w:p>
      <w:pPr>
        <w:spacing w:line="240" w:lineRule="auto" w:before="1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61" w:hRule="exact"/>
        </w:trPr>
        <w:tc>
          <w:tcPr>
            <w:tcW w:w="2393" w:type="dxa"/>
            <w:vMerge w:val="restart"/>
            <w:tcBorders>
              <w:top w:val="single" w:sz="4" w:space="0" w:color="000000"/>
              <w:left w:val="single" w:sz="4" w:space="0" w:color="000000"/>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35" w:right="31"/>
              <w:jc w:val="center"/>
              <w:rPr>
                <w:rFonts w:ascii="宋体" w:hAnsi="宋体" w:cs="宋体" w:eastAsia="宋体" w:hint="default"/>
                <w:sz w:val="21"/>
                <w:szCs w:val="21"/>
              </w:rPr>
            </w:pPr>
            <w:r>
              <w:rPr>
                <w:rFonts w:ascii="宋体" w:hAnsi="宋体" w:cs="宋体" w:eastAsia="宋体" w:hint="default"/>
                <w:spacing w:val="-2"/>
                <w:sz w:val="21"/>
                <w:szCs w:val="21"/>
              </w:rPr>
              <w:t>占合并报表中归属于上市</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公司股东的净利润的比率</w:t>
            </w:r>
          </w:p>
          <w:p>
            <w:pPr>
              <w:pStyle w:val="TableParagraph"/>
              <w:spacing w:line="240" w:lineRule="auto" w:before="7"/>
              <w:ind w:left="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156" w:hRule="exact"/>
        </w:trPr>
        <w:tc>
          <w:tcPr>
            <w:tcW w:w="2393" w:type="dxa"/>
            <w:vMerge/>
            <w:tcBorders>
              <w:left w:val="single" w:sz="4" w:space="0" w:color="000000"/>
              <w:bottom w:val="nil" w:sz="6" w:space="0" w:color="auto"/>
              <w:right w:val="single" w:sz="4" w:space="0" w:color="000000"/>
            </w:tcBorders>
            <w:shd w:val="clear" w:color="auto" w:fill="D2D2D2"/>
          </w:tcPr>
          <w:p>
            <w:pPr/>
          </w:p>
        </w:tc>
        <w:tc>
          <w:tcPr>
            <w:tcW w:w="239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35" w:right="31"/>
              <w:jc w:val="left"/>
              <w:rPr>
                <w:rFonts w:ascii="宋体" w:hAnsi="宋体" w:cs="宋体" w:eastAsia="宋体" w:hint="default"/>
                <w:sz w:val="21"/>
                <w:szCs w:val="21"/>
              </w:rPr>
            </w:pPr>
            <w:r>
              <w:rPr>
                <w:rFonts w:ascii="宋体" w:hAnsi="宋体" w:cs="宋体" w:eastAsia="宋体" w:hint="default"/>
                <w:spacing w:val="-2"/>
                <w:sz w:val="21"/>
                <w:szCs w:val="21"/>
              </w:rPr>
              <w:t>分红年度合并报表中归属</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于上市公司股东的净利润</w:t>
            </w:r>
          </w:p>
        </w:tc>
        <w:tc>
          <w:tcPr>
            <w:tcW w:w="2393" w:type="dxa"/>
            <w:vMerge/>
            <w:tcBorders>
              <w:left w:val="single" w:sz="4" w:space="0" w:color="000000"/>
              <w:right w:val="single" w:sz="4" w:space="0" w:color="000000"/>
            </w:tcBorders>
            <w:shd w:val="clear" w:color="auto" w:fill="D2D2D2"/>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141"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56" w:hRule="exact"/>
        </w:trPr>
        <w:tc>
          <w:tcPr>
            <w:tcW w:w="2393" w:type="dxa"/>
            <w:vMerge w:val="restart"/>
            <w:tcBorders>
              <w:top w:val="nil" w:sz="6" w:space="0" w:color="auto"/>
              <w:left w:val="single" w:sz="4" w:space="0" w:color="000000"/>
              <w:right w:val="single" w:sz="4" w:space="0" w:color="000000"/>
            </w:tcBorders>
            <w:shd w:val="clear" w:color="auto" w:fill="D2D2D2"/>
          </w:tcPr>
          <w:p>
            <w:pPr/>
          </w:p>
        </w:tc>
        <w:tc>
          <w:tcPr>
            <w:tcW w:w="2391" w:type="dxa"/>
            <w:vMerge w:val="restart"/>
            <w:tcBorders>
              <w:top w:val="nil" w:sz="6" w:space="0" w:color="auto"/>
              <w:left w:val="single" w:sz="4" w:space="0" w:color="000000"/>
              <w:right w:val="single" w:sz="4" w:space="0" w:color="000000"/>
            </w:tcBorders>
            <w:shd w:val="clear" w:color="auto" w:fill="D2D2D2"/>
          </w:tcPr>
          <w:p>
            <w:pPr/>
          </w:p>
        </w:tc>
        <w:tc>
          <w:tcPr>
            <w:tcW w:w="2393" w:type="dxa"/>
            <w:vMerge/>
            <w:tcBorders>
              <w:left w:val="single" w:sz="4" w:space="0" w:color="000000"/>
              <w:bottom w:val="nil" w:sz="6" w:space="0" w:color="auto"/>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369,152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2"/>
                <w:sz w:val="21"/>
              </w:rPr>
              <w:t>2,676,119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13.79%</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1,049,432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4,820,594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21.77%</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699,621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2"/>
                <w:sz w:val="21"/>
              </w:rPr>
              <w:t>4,011,820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z w:val="21"/>
              </w:rPr>
              <w:t>17.44%</w:t>
            </w:r>
          </w:p>
        </w:tc>
      </w:tr>
    </w:tbl>
    <w:p>
      <w:pPr>
        <w:pStyle w:val="BodyText"/>
        <w:spacing w:line="262" w:lineRule="exact" w:before="0"/>
        <w:ind w:left="573" w:right="982"/>
        <w:jc w:val="left"/>
      </w:pPr>
      <w:r>
        <w:rPr/>
        <w:t>公司报告期内盈利且母公司未分配利润为正但未提出现金红利分配预案</w:t>
      </w:r>
    </w:p>
    <w:p>
      <w:pPr>
        <w:pStyle w:val="BodyText"/>
        <w:spacing w:line="240" w:lineRule="auto" w:before="37"/>
        <w:ind w:left="573" w:right="982"/>
        <w:jc w:val="left"/>
      </w:pPr>
      <w:r>
        <w:rPr/>
        <w:t>□ 适用 √ 不适用</w:t>
      </w:r>
    </w:p>
    <w:p>
      <w:pPr>
        <w:spacing w:line="240" w:lineRule="auto" w:before="11"/>
        <w:rPr>
          <w:rFonts w:ascii="宋体" w:hAnsi="宋体" w:cs="宋体" w:eastAsia="宋体" w:hint="default"/>
          <w:sz w:val="23"/>
          <w:szCs w:val="23"/>
        </w:rPr>
      </w:pPr>
    </w:p>
    <w:p>
      <w:pPr>
        <w:pStyle w:val="Heading2"/>
        <w:spacing w:line="240" w:lineRule="auto"/>
        <w:ind w:right="982"/>
        <w:jc w:val="left"/>
        <w:rPr>
          <w:b w:val="0"/>
          <w:bCs w:val="0"/>
        </w:rPr>
      </w:pPr>
      <w:r>
        <w:rPr/>
        <w:t>十七、社会责任情况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t>公司《</w:t>
      </w:r>
      <w:r>
        <w:rPr>
          <w:rFonts w:ascii="宋体" w:hAnsi="宋体" w:cs="宋体" w:eastAsia="宋体" w:hint="default"/>
        </w:rPr>
        <w:t>2012</w:t>
      </w:r>
      <w:r>
        <w:rPr>
          <w:rFonts w:ascii="宋体" w:hAnsi="宋体" w:cs="宋体" w:eastAsia="宋体" w:hint="default"/>
          <w:spacing w:val="-44"/>
        </w:rPr>
        <w:t> </w:t>
      </w:r>
      <w:r>
        <w:rPr/>
        <w:t>年企业社会责任报告》回顾了</w:t>
      </w:r>
      <w:r>
        <w:rPr>
          <w:spacing w:val="-44"/>
        </w:rPr>
        <w:t> </w:t>
      </w:r>
      <w:r>
        <w:rPr>
          <w:rFonts w:ascii="宋体" w:hAnsi="宋体" w:cs="宋体" w:eastAsia="宋体" w:hint="default"/>
        </w:rPr>
        <w:t>2012</w:t>
      </w:r>
      <w:r>
        <w:rPr>
          <w:rFonts w:ascii="宋体" w:hAnsi="宋体" w:cs="宋体" w:eastAsia="宋体" w:hint="default"/>
          <w:spacing w:val="-44"/>
        </w:rPr>
        <w:t> </w:t>
      </w:r>
      <w:r>
        <w:rPr/>
        <w:t>年公司面临的内部与外部存在的机遇与遇到的挑战，</w:t>
      </w:r>
      <w:r>
        <w:rPr>
          <w:w w:val="100"/>
        </w:rPr>
        <w:t> </w:t>
      </w:r>
      <w:r>
        <w:rPr>
          <w:spacing w:val="-2"/>
        </w:rPr>
        <w:t>披露了公司在履行价值使命、共赢使命、服务使命、员工使命、环境使命与和谐使命方面的理念、实践和</w:t>
      </w:r>
      <w:r>
        <w:rPr>
          <w:spacing w:val="-43"/>
        </w:rPr>
        <w:t> </w:t>
      </w:r>
      <w:r>
        <w:rPr>
          <w:spacing w:val="-43"/>
        </w:rPr>
      </w:r>
      <w:r>
        <w:rPr/>
        <w:t>绩效，具体内容参见</w:t>
      </w:r>
      <w:r>
        <w:rPr>
          <w:spacing w:val="-53"/>
        </w:rPr>
        <w:t> </w:t>
      </w:r>
      <w:r>
        <w:rPr>
          <w:rFonts w:ascii="宋体" w:hAnsi="宋体" w:cs="宋体" w:eastAsia="宋体" w:hint="default"/>
        </w:rPr>
        <w:t>2013</w:t>
      </w:r>
      <w:r>
        <w:rPr>
          <w:rFonts w:ascii="宋体" w:hAnsi="宋体" w:cs="宋体" w:eastAsia="宋体" w:hint="default"/>
          <w:spacing w:val="-55"/>
        </w:rPr>
        <w:t> </w:t>
      </w:r>
      <w:r>
        <w:rPr/>
        <w:t>年</w:t>
      </w:r>
      <w:r>
        <w:rPr>
          <w:spacing w:val="-52"/>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日巨潮资讯网</w:t>
      </w:r>
      <w:r>
        <w:rPr>
          <w:spacing w:val="-55"/>
        </w:rPr>
        <w:t> </w:t>
      </w:r>
      <w:r>
        <w:rPr>
          <w:rFonts w:ascii="宋体" w:hAnsi="宋体" w:cs="宋体" w:eastAsia="宋体" w:hint="default"/>
          <w:color w:val="0000FF"/>
          <w:spacing w:val="-55"/>
        </w:rPr>
      </w:r>
      <w:hyperlink r:id="rId13">
        <w:r>
          <w:rPr>
            <w:rFonts w:ascii="宋体" w:hAnsi="宋体" w:cs="宋体" w:eastAsia="宋体" w:hint="default"/>
            <w:color w:val="0000FF"/>
            <w:u w:val="single" w:color="0000FF"/>
          </w:rPr>
          <w:t>http://www.cninfo.com.cn</w:t>
        </w:r>
        <w:r>
          <w:rPr>
            <w:rFonts w:ascii="宋体" w:hAnsi="宋体" w:cs="宋体" w:eastAsia="宋体" w:hint="default"/>
            <w:color w:val="0000FF"/>
            <w:spacing w:val="-53"/>
            <w:u w:val="single" w:color="0000FF"/>
          </w:rPr>
          <w:t> </w:t>
        </w:r>
        <w:r>
          <w:rPr>
            <w:rFonts w:ascii="宋体" w:hAnsi="宋体" w:cs="宋体" w:eastAsia="宋体" w:hint="default"/>
            <w:color w:val="0000FF"/>
            <w:spacing w:val="-53"/>
          </w:rPr>
        </w:r>
      </w:hyperlink>
      <w:r>
        <w:rPr/>
        <w:t>相关公告。</w:t>
      </w:r>
    </w:p>
    <w:p>
      <w:pPr>
        <w:spacing w:line="240" w:lineRule="auto" w:before="8"/>
        <w:rPr>
          <w:rFonts w:ascii="宋体" w:hAnsi="宋体" w:cs="宋体" w:eastAsia="宋体" w:hint="default"/>
          <w:sz w:val="18"/>
          <w:szCs w:val="18"/>
        </w:rPr>
      </w:pPr>
    </w:p>
    <w:p>
      <w:pPr>
        <w:pStyle w:val="Heading2"/>
        <w:spacing w:line="240" w:lineRule="auto"/>
        <w:ind w:right="982"/>
        <w:jc w:val="left"/>
        <w:rPr>
          <w:b w:val="0"/>
          <w:bCs w:val="0"/>
        </w:rPr>
      </w:pPr>
      <w:r>
        <w:rPr/>
        <w:t>十八、报告期内接待调研、沟通、采访等活动登记表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844"/>
        <w:gridCol w:w="1148"/>
        <w:gridCol w:w="979"/>
        <w:gridCol w:w="850"/>
        <w:gridCol w:w="1844"/>
        <w:gridCol w:w="2907"/>
      </w:tblGrid>
      <w:tr>
        <w:trPr>
          <w:trHeight w:val="63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64"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5" w:right="98"/>
              <w:jc w:val="left"/>
              <w:rPr>
                <w:rFonts w:ascii="宋体" w:hAnsi="宋体" w:cs="宋体" w:eastAsia="宋体" w:hint="default"/>
                <w:sz w:val="21"/>
                <w:szCs w:val="21"/>
              </w:rPr>
            </w:pPr>
            <w:r>
              <w:rPr>
                <w:rFonts w:ascii="宋体" w:hAnsi="宋体" w:cs="宋体" w:eastAsia="宋体" w:hint="default"/>
                <w:sz w:val="21"/>
                <w:szCs w:val="21"/>
              </w:rPr>
              <w:t>接待对</w:t>
            </w:r>
            <w:r>
              <w:rPr>
                <w:rFonts w:ascii="宋体" w:hAnsi="宋体" w:cs="宋体" w:eastAsia="宋体" w:hint="default"/>
                <w:spacing w:val="-102"/>
                <w:sz w:val="21"/>
                <w:szCs w:val="21"/>
              </w:rPr>
              <w:t> </w:t>
            </w:r>
            <w:r>
              <w:rPr>
                <w:rFonts w:ascii="宋体" w:hAnsi="宋体" w:cs="宋体" w:eastAsia="宋体" w:hint="default"/>
                <w:sz w:val="21"/>
                <w:szCs w:val="21"/>
              </w:rPr>
              <w:t>象类型</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497"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83" w:right="0"/>
              <w:jc w:val="left"/>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sz w:val="21"/>
              </w:rPr>
              <w:t>Viking</w:t>
            </w:r>
            <w:r>
              <w:rPr>
                <w:rFonts w:ascii="宋体"/>
                <w:spacing w:val="2"/>
                <w:sz w:val="21"/>
              </w:rPr>
              <w:t> </w:t>
            </w:r>
            <w:r>
              <w:rPr>
                <w:rFonts w:ascii="宋体"/>
                <w:sz w:val="21"/>
              </w:rPr>
              <w:t>Global</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了解公司</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年易购整体销售</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情况及</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年开店规划</w:t>
            </w:r>
          </w:p>
        </w:tc>
      </w:tr>
      <w:tr>
        <w:trPr>
          <w:trHeight w:val="9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sz w:val="21"/>
              </w:rPr>
              <w:t>Myriad</w:t>
            </w:r>
            <w:r>
              <w:rPr>
                <w:rFonts w:ascii="宋体"/>
                <w:spacing w:val="-102"/>
                <w:sz w:val="21"/>
              </w:rPr>
              <w:t> </w:t>
            </w:r>
            <w:r>
              <w:rPr>
                <w:rFonts w:ascii="宋体"/>
                <w:sz w:val="21"/>
              </w:rPr>
              <w:t>Investment;TPG-Ax</w:t>
            </w:r>
            <w:r>
              <w:rPr>
                <w:rFonts w:ascii="宋体"/>
                <w:w w:val="100"/>
                <w:sz w:val="21"/>
              </w:rPr>
              <w:t> </w:t>
            </w:r>
            <w:r>
              <w:rPr>
                <w:rFonts w:ascii="宋体"/>
                <w:sz w:val="21"/>
              </w:rPr>
              <w:t>on</w:t>
            </w:r>
            <w:r>
              <w:rPr>
                <w:rFonts w:ascii="宋体"/>
                <w:spacing w:val="2"/>
                <w:sz w:val="21"/>
              </w:rPr>
              <w:t> </w:t>
            </w:r>
            <w:r>
              <w:rPr>
                <w:rFonts w:ascii="宋体"/>
                <w:sz w:val="21"/>
              </w:rPr>
              <w:t>Capital</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33"/>
              <w:jc w:val="left"/>
              <w:rPr>
                <w:rFonts w:ascii="宋体" w:hAnsi="宋体" w:cs="宋体" w:eastAsia="宋体" w:hint="default"/>
                <w:sz w:val="21"/>
                <w:szCs w:val="21"/>
              </w:rPr>
            </w:pPr>
            <w:r>
              <w:rPr>
                <w:rFonts w:ascii="宋体" w:hAnsi="宋体" w:cs="宋体" w:eastAsia="宋体" w:hint="default"/>
                <w:sz w:val="21"/>
                <w:szCs w:val="21"/>
              </w:rPr>
              <w:t>了解公司</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年第四季度经营</w:t>
            </w:r>
            <w:r>
              <w:rPr>
                <w:rFonts w:ascii="宋体" w:hAnsi="宋体" w:cs="宋体" w:eastAsia="宋体" w:hint="default"/>
                <w:w w:val="100"/>
                <w:sz w:val="21"/>
                <w:szCs w:val="21"/>
              </w:rPr>
              <w:t> </w:t>
            </w:r>
            <w:r>
              <w:rPr>
                <w:rFonts w:ascii="宋体" w:hAnsi="宋体" w:cs="宋体" w:eastAsia="宋体" w:hint="default"/>
                <w:sz w:val="21"/>
                <w:szCs w:val="21"/>
              </w:rPr>
              <w:t>情况及易购、物流发展规划</w:t>
            </w:r>
          </w:p>
        </w:tc>
      </w:tr>
      <w:tr>
        <w:trPr>
          <w:trHeight w:val="63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里昂证券</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了解昆明地区主要店面销售及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当地发展情况</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华泰证券</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3"/>
              <w:jc w:val="left"/>
              <w:rPr>
                <w:rFonts w:ascii="宋体" w:hAnsi="宋体" w:cs="宋体" w:eastAsia="宋体" w:hint="default"/>
                <w:sz w:val="21"/>
                <w:szCs w:val="21"/>
              </w:rPr>
            </w:pPr>
            <w:r>
              <w:rPr>
                <w:rFonts w:ascii="宋体" w:hAnsi="宋体" w:cs="宋体" w:eastAsia="宋体" w:hint="default"/>
                <w:sz w:val="21"/>
                <w:szCs w:val="21"/>
              </w:rPr>
              <w:t>了解公司</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年易购业绩情况</w:t>
            </w:r>
            <w:r>
              <w:rPr>
                <w:rFonts w:ascii="宋体" w:hAnsi="宋体" w:cs="宋体" w:eastAsia="宋体" w:hint="default"/>
                <w:w w:val="100"/>
                <w:sz w:val="21"/>
                <w:szCs w:val="21"/>
              </w:rPr>
              <w:t> </w:t>
            </w:r>
            <w:r>
              <w:rPr>
                <w:rFonts w:ascii="宋体" w:hAnsi="宋体" w:cs="宋体" w:eastAsia="宋体" w:hint="default"/>
                <w:sz w:val="21"/>
                <w:szCs w:val="21"/>
              </w:rPr>
              <w:t>及未来发展重点</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z w:val="21"/>
                <w:szCs w:val="21"/>
              </w:rPr>
              <w:t>上海实力资产</w:t>
            </w:r>
            <w:r>
              <w:rPr>
                <w:rFonts w:ascii="宋体" w:hAnsi="宋体" w:cs="宋体" w:eastAsia="宋体" w:hint="default"/>
                <w:sz w:val="21"/>
                <w:szCs w:val="21"/>
              </w:rPr>
              <w:t>;</w:t>
            </w:r>
            <w:r>
              <w:rPr>
                <w:rFonts w:ascii="宋体" w:hAnsi="宋体" w:cs="宋体" w:eastAsia="宋体" w:hint="default"/>
                <w:sz w:val="21"/>
                <w:szCs w:val="21"/>
              </w:rPr>
              <w:t>东方</w:t>
            </w:r>
            <w:r>
              <w:rPr>
                <w:rFonts w:ascii="宋体" w:hAnsi="宋体" w:cs="宋体" w:eastAsia="宋体" w:hint="default"/>
                <w:w w:val="100"/>
                <w:sz w:val="21"/>
                <w:szCs w:val="21"/>
              </w:rPr>
              <w:t> </w:t>
            </w:r>
            <w:r>
              <w:rPr>
                <w:rFonts w:ascii="宋体" w:hAnsi="宋体" w:cs="宋体" w:eastAsia="宋体" w:hint="default"/>
                <w:sz w:val="21"/>
                <w:szCs w:val="21"/>
              </w:rPr>
              <w:t>港湾</w:t>
            </w:r>
            <w:r>
              <w:rPr>
                <w:rFonts w:ascii="宋体" w:hAnsi="宋体" w:cs="宋体" w:eastAsia="宋体" w:hint="default"/>
                <w:sz w:val="21"/>
                <w:szCs w:val="21"/>
              </w:rPr>
              <w:t>;</w:t>
            </w:r>
            <w:r>
              <w:rPr>
                <w:rFonts w:ascii="宋体" w:hAnsi="宋体" w:cs="宋体" w:eastAsia="宋体" w:hint="default"/>
                <w:sz w:val="21"/>
                <w:szCs w:val="21"/>
              </w:rPr>
              <w:t>锦宏投资</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z w:val="21"/>
                <w:szCs w:val="21"/>
              </w:rPr>
              <w:t>了解公司未来</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年发展重点</w:t>
            </w:r>
            <w:r>
              <w:rPr>
                <w:rFonts w:ascii="宋体" w:hAnsi="宋体" w:cs="宋体" w:eastAsia="宋体" w:hint="default"/>
                <w:w w:val="100"/>
                <w:sz w:val="21"/>
                <w:szCs w:val="21"/>
              </w:rPr>
              <w:t> </w:t>
            </w:r>
            <w:r>
              <w:rPr>
                <w:rFonts w:ascii="宋体" w:hAnsi="宋体" w:cs="宋体" w:eastAsia="宋体" w:hint="default"/>
                <w:sz w:val="21"/>
                <w:szCs w:val="21"/>
              </w:rPr>
              <w:t>及易购、乐购仕发展规划</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麦格理证券</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3"/>
              <w:jc w:val="left"/>
              <w:rPr>
                <w:rFonts w:ascii="宋体" w:hAnsi="宋体" w:cs="宋体" w:eastAsia="宋体" w:hint="default"/>
                <w:sz w:val="21"/>
                <w:szCs w:val="21"/>
              </w:rPr>
            </w:pPr>
            <w:r>
              <w:rPr>
                <w:rFonts w:ascii="宋体" w:hAnsi="宋体" w:cs="宋体" w:eastAsia="宋体" w:hint="default"/>
                <w:sz w:val="21"/>
                <w:szCs w:val="21"/>
              </w:rPr>
              <w:t>了解公司</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年店面开设情况</w:t>
            </w:r>
            <w:r>
              <w:rPr>
                <w:rFonts w:ascii="宋体" w:hAnsi="宋体" w:cs="宋体" w:eastAsia="宋体" w:hint="default"/>
                <w:w w:val="100"/>
                <w:sz w:val="21"/>
                <w:szCs w:val="21"/>
              </w:rPr>
              <w:t> </w:t>
            </w:r>
            <w:r>
              <w:rPr>
                <w:rFonts w:ascii="宋体" w:hAnsi="宋体" w:cs="宋体" w:eastAsia="宋体" w:hint="default"/>
                <w:sz w:val="21"/>
                <w:szCs w:val="21"/>
              </w:rPr>
              <w:t>及三四级市场未来布局规划</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上投摩根基金</w:t>
            </w:r>
            <w:r>
              <w:rPr>
                <w:rFonts w:ascii="宋体" w:hAnsi="宋体" w:cs="宋体" w:eastAsia="宋体" w:hint="default"/>
                <w:sz w:val="21"/>
                <w:szCs w:val="21"/>
              </w:rPr>
              <w:t>;</w:t>
            </w:r>
            <w:r>
              <w:rPr>
                <w:rFonts w:ascii="宋体" w:hAnsi="宋体" w:cs="宋体" w:eastAsia="宋体" w:hint="default"/>
                <w:sz w:val="21"/>
                <w:szCs w:val="21"/>
              </w:rPr>
              <w:t>易方</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了解公司经营发展的最新情况</w:t>
            </w:r>
          </w:p>
        </w:tc>
      </w:tr>
    </w:tbl>
    <w:p>
      <w:pPr>
        <w:spacing w:after="0" w:line="262" w:lineRule="exact"/>
        <w:jc w:val="left"/>
        <w:rPr>
          <w:rFonts w:ascii="宋体" w:hAnsi="宋体" w:cs="宋体" w:eastAsia="宋体" w:hint="default"/>
          <w:sz w:val="21"/>
          <w:szCs w:val="21"/>
        </w:rPr>
        <w:sectPr>
          <w:pgSz w:w="11910" w:h="16840"/>
          <w:pgMar w:header="877" w:footer="1340" w:top="1100" w:bottom="154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460.320007pt;margin-top:764.919983pt;width:135.0pt;height:77pt;mso-position-horizontal-relative:page;mso-position-vertical-relative:page;z-index:-1597552" type="#_x0000_t75" stroked="false">
            <v:imagedata r:id="rId10" o:title=""/>
          </v:shape>
        </w:pict>
      </w:r>
    </w:p>
    <w:tbl>
      <w:tblPr>
        <w:tblW w:w="0" w:type="auto"/>
        <w:jc w:val="left"/>
        <w:tblInd w:w="148" w:type="dxa"/>
        <w:tblLayout w:type="fixed"/>
        <w:tblCellMar>
          <w:top w:w="0" w:type="dxa"/>
          <w:left w:w="0" w:type="dxa"/>
          <w:bottom w:w="0" w:type="dxa"/>
          <w:right w:w="0" w:type="dxa"/>
        </w:tblCellMar>
        <w:tblLook w:val="01E0"/>
      </w:tblPr>
      <w:tblGrid>
        <w:gridCol w:w="1844"/>
        <w:gridCol w:w="1148"/>
        <w:gridCol w:w="979"/>
        <w:gridCol w:w="850"/>
        <w:gridCol w:w="1844"/>
        <w:gridCol w:w="2907"/>
      </w:tblGrid>
      <w:tr>
        <w:trPr>
          <w:trHeight w:val="1882"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z w:val="21"/>
                <w:szCs w:val="21"/>
              </w:rPr>
              <w:t>达基金</w:t>
            </w:r>
            <w:r>
              <w:rPr>
                <w:rFonts w:ascii="宋体" w:hAnsi="宋体" w:cs="宋体" w:eastAsia="宋体" w:hint="default"/>
                <w:sz w:val="21"/>
                <w:szCs w:val="21"/>
              </w:rPr>
              <w:t>;</w:t>
            </w:r>
            <w:r>
              <w:rPr>
                <w:rFonts w:ascii="宋体" w:hAnsi="宋体" w:cs="宋体" w:eastAsia="宋体" w:hint="default"/>
                <w:sz w:val="21"/>
                <w:szCs w:val="21"/>
              </w:rPr>
              <w:t>兴业基金</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景顺长城基金</w:t>
            </w:r>
            <w:r>
              <w:rPr>
                <w:rFonts w:ascii="宋体" w:hAnsi="宋体" w:cs="宋体" w:eastAsia="宋体" w:hint="default"/>
                <w:sz w:val="21"/>
                <w:szCs w:val="21"/>
              </w:rPr>
              <w:t>;</w:t>
            </w:r>
            <w:r>
              <w:rPr>
                <w:rFonts w:ascii="宋体" w:hAnsi="宋体" w:cs="宋体" w:eastAsia="宋体" w:hint="default"/>
                <w:sz w:val="21"/>
                <w:szCs w:val="21"/>
              </w:rPr>
              <w:t>华夏</w:t>
            </w:r>
            <w:r>
              <w:rPr>
                <w:rFonts w:ascii="宋体" w:hAnsi="宋体" w:cs="宋体" w:eastAsia="宋体" w:hint="default"/>
                <w:w w:val="100"/>
                <w:sz w:val="21"/>
                <w:szCs w:val="21"/>
              </w:rPr>
              <w:t> </w:t>
            </w:r>
            <w:r>
              <w:rPr>
                <w:rFonts w:ascii="宋体" w:hAnsi="宋体" w:cs="宋体" w:eastAsia="宋体" w:hint="default"/>
                <w:sz w:val="21"/>
                <w:szCs w:val="21"/>
              </w:rPr>
              <w:t>基金</w:t>
            </w:r>
            <w:r>
              <w:rPr>
                <w:rFonts w:ascii="宋体" w:hAnsi="宋体" w:cs="宋体" w:eastAsia="宋体" w:hint="default"/>
                <w:sz w:val="21"/>
                <w:szCs w:val="21"/>
              </w:rPr>
              <w:t>;</w:t>
            </w:r>
            <w:r>
              <w:rPr>
                <w:rFonts w:ascii="宋体" w:hAnsi="宋体" w:cs="宋体" w:eastAsia="宋体" w:hint="default"/>
                <w:sz w:val="21"/>
                <w:szCs w:val="21"/>
              </w:rPr>
              <w:t>富国基金</w:t>
            </w:r>
            <w:r>
              <w:rPr>
                <w:rFonts w:ascii="宋体" w:hAnsi="宋体" w:cs="宋体" w:eastAsia="宋体" w:hint="default"/>
                <w:sz w:val="21"/>
                <w:szCs w:val="21"/>
              </w:rPr>
              <w:t>;</w:t>
            </w: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安基金</w:t>
            </w:r>
            <w:r>
              <w:rPr>
                <w:rFonts w:ascii="宋体" w:hAnsi="宋体" w:cs="宋体" w:eastAsia="宋体" w:hint="default"/>
                <w:sz w:val="21"/>
                <w:szCs w:val="21"/>
              </w:rPr>
              <w:t>;</w:t>
            </w:r>
            <w:r>
              <w:rPr>
                <w:rFonts w:ascii="宋体" w:hAnsi="宋体" w:cs="宋体" w:eastAsia="宋体" w:hint="default"/>
                <w:sz w:val="21"/>
                <w:szCs w:val="21"/>
              </w:rPr>
              <w:t>中海基金</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长信基金</w:t>
            </w:r>
            <w:r>
              <w:rPr>
                <w:rFonts w:ascii="宋体" w:hAnsi="宋体" w:cs="宋体" w:eastAsia="宋体" w:hint="default"/>
                <w:sz w:val="21"/>
                <w:szCs w:val="21"/>
              </w:rPr>
              <w:t>;</w:t>
            </w:r>
            <w:r>
              <w:rPr>
                <w:rFonts w:ascii="宋体" w:hAnsi="宋体" w:cs="宋体" w:eastAsia="宋体" w:hint="default"/>
                <w:sz w:val="21"/>
                <w:szCs w:val="21"/>
              </w:rPr>
              <w:t>银华基</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w:t>
            </w:r>
            <w:r>
              <w:rPr>
                <w:rFonts w:ascii="宋体" w:hAnsi="宋体" w:cs="宋体" w:eastAsia="宋体" w:hint="default"/>
                <w:sz w:val="21"/>
                <w:szCs w:val="21"/>
              </w:rPr>
              <w:t>广发证券自营部</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及易购未来主要发展举措</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公司办公室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39"/>
              <w:jc w:val="left"/>
              <w:rPr>
                <w:rFonts w:ascii="宋体" w:hAnsi="宋体" w:cs="宋体" w:eastAsia="宋体" w:hint="default"/>
                <w:sz w:val="21"/>
                <w:szCs w:val="21"/>
              </w:rPr>
            </w:pPr>
            <w:r>
              <w:rPr>
                <w:rFonts w:ascii="宋体"/>
                <w:sz w:val="21"/>
              </w:rPr>
              <w:t>Indus</w:t>
            </w:r>
            <w:r>
              <w:rPr>
                <w:rFonts w:ascii="宋体"/>
                <w:spacing w:val="1"/>
                <w:sz w:val="21"/>
              </w:rPr>
              <w:t> </w:t>
            </w:r>
            <w:r>
              <w:rPr>
                <w:rFonts w:ascii="宋体"/>
                <w:sz w:val="21"/>
              </w:rPr>
              <w:t>Capital</w:t>
            </w:r>
            <w:r>
              <w:rPr>
                <w:rFonts w:ascii="宋体"/>
                <w:w w:val="100"/>
                <w:sz w:val="21"/>
              </w:rPr>
              <w:t> </w:t>
            </w:r>
            <w:r>
              <w:rPr>
                <w:rFonts w:ascii="宋体"/>
                <w:sz w:val="21"/>
              </w:rPr>
              <w:t>Partners LLC</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1"/>
              <w:jc w:val="left"/>
              <w:rPr>
                <w:rFonts w:ascii="宋体" w:hAnsi="宋体" w:cs="宋体" w:eastAsia="宋体" w:hint="default"/>
                <w:sz w:val="21"/>
                <w:szCs w:val="21"/>
              </w:rPr>
            </w:pPr>
            <w:r>
              <w:rPr>
                <w:rFonts w:ascii="宋体" w:hAnsi="宋体" w:cs="宋体" w:eastAsia="宋体" w:hint="default"/>
                <w:sz w:val="21"/>
                <w:szCs w:val="21"/>
              </w:rPr>
              <w:t>了解公司基本面情况及未来</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w w:val="100"/>
                <w:sz w:val="21"/>
                <w:szCs w:val="21"/>
              </w:rPr>
              <w:t> </w:t>
            </w:r>
            <w:r>
              <w:rPr>
                <w:rFonts w:ascii="宋体" w:hAnsi="宋体" w:cs="宋体" w:eastAsia="宋体" w:hint="default"/>
                <w:sz w:val="21"/>
                <w:szCs w:val="21"/>
              </w:rPr>
              <w:t>年发展规划</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大成基金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8"/>
                <w:w w:val="100"/>
                <w:sz w:val="21"/>
                <w:szCs w:val="21"/>
              </w:rPr>
              <w:t>了解公司乐购仕生活广场、易购</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未来发展规划</w:t>
            </w:r>
          </w:p>
        </w:tc>
      </w:tr>
      <w:tr>
        <w:trPr>
          <w:trHeight w:val="63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F&amp;C</w:t>
            </w:r>
            <w:r>
              <w:rPr>
                <w:rFonts w:ascii="宋体" w:hAnsi="宋体" w:cs="宋体" w:eastAsia="宋体" w:hint="default"/>
                <w:spacing w:val="-52"/>
                <w:sz w:val="21"/>
                <w:szCs w:val="21"/>
              </w:rPr>
              <w:t> </w:t>
            </w:r>
            <w:r>
              <w:rPr>
                <w:rFonts w:ascii="宋体" w:hAnsi="宋体" w:cs="宋体" w:eastAsia="宋体" w:hint="default"/>
                <w:sz w:val="21"/>
                <w:szCs w:val="21"/>
              </w:rPr>
              <w:t>投资集团</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了解南京地区主要店面销售及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当地发展情况</w:t>
            </w:r>
          </w:p>
        </w:tc>
      </w:tr>
      <w:tr>
        <w:trPr>
          <w:trHeight w:val="9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sz w:val="21"/>
              </w:rPr>
              <w:t>Kylin</w:t>
            </w:r>
            <w:r>
              <w:rPr>
                <w:rFonts w:ascii="宋体"/>
                <w:spacing w:val="3"/>
                <w:sz w:val="21"/>
              </w:rPr>
              <w:t> </w:t>
            </w:r>
            <w:r>
              <w:rPr>
                <w:rFonts w:ascii="宋体"/>
                <w:sz w:val="21"/>
              </w:rPr>
              <w:t>Fund</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3"/>
              <w:jc w:val="left"/>
              <w:rPr>
                <w:rFonts w:ascii="宋体" w:hAnsi="宋体" w:cs="宋体" w:eastAsia="宋体" w:hint="default"/>
                <w:sz w:val="21"/>
                <w:szCs w:val="21"/>
              </w:rPr>
            </w:pPr>
            <w:r>
              <w:rPr>
                <w:rFonts w:ascii="宋体" w:hAnsi="宋体" w:cs="宋体" w:eastAsia="宋体" w:hint="default"/>
                <w:sz w:val="21"/>
                <w:szCs w:val="21"/>
              </w:rPr>
              <w:t>了解以旧换新政策取消对公司</w:t>
            </w:r>
            <w:r>
              <w:rPr>
                <w:rFonts w:ascii="宋体" w:hAnsi="宋体" w:cs="宋体" w:eastAsia="宋体" w:hint="default"/>
                <w:w w:val="100"/>
                <w:sz w:val="21"/>
                <w:szCs w:val="21"/>
              </w:rPr>
              <w:t> </w:t>
            </w:r>
            <w:r>
              <w:rPr>
                <w:rFonts w:ascii="宋体" w:hAnsi="宋体" w:cs="宋体" w:eastAsia="宋体" w:hint="default"/>
                <w:sz w:val="21"/>
                <w:szCs w:val="21"/>
              </w:rPr>
              <w:t>销售的影响及</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年利润提升</w:t>
            </w:r>
            <w:r>
              <w:rPr>
                <w:rFonts w:ascii="宋体" w:hAnsi="宋体" w:cs="宋体" w:eastAsia="宋体" w:hint="default"/>
                <w:w w:val="100"/>
                <w:sz w:val="21"/>
                <w:szCs w:val="21"/>
              </w:rPr>
              <w:t> </w:t>
            </w:r>
            <w:r>
              <w:rPr>
                <w:rFonts w:ascii="宋体" w:hAnsi="宋体" w:cs="宋体" w:eastAsia="宋体" w:hint="default"/>
                <w:sz w:val="21"/>
                <w:szCs w:val="21"/>
              </w:rPr>
              <w:t>措施</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13"/>
                <w:w w:val="100"/>
                <w:sz w:val="21"/>
                <w:szCs w:val="21"/>
              </w:rPr>
              <w:t>加拿大鲍尔公司、里</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昂证券、景林资产</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8"/>
                <w:w w:val="100"/>
                <w:sz w:val="21"/>
                <w:szCs w:val="21"/>
              </w:rPr>
              <w:t>了解公司易购发展现状、未来规</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划及物流建设规划</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公司办公室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sz w:val="21"/>
              </w:rPr>
              <w:t>GSI</w:t>
            </w:r>
            <w:r>
              <w:rPr>
                <w:rFonts w:ascii="宋体"/>
                <w:spacing w:val="1"/>
                <w:sz w:val="21"/>
              </w:rPr>
              <w:t> </w:t>
            </w:r>
            <w:r>
              <w:rPr>
                <w:rFonts w:ascii="宋体"/>
                <w:sz w:val="21"/>
              </w:rPr>
              <w:t>Fund</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了解公司基本面情况及未来开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店规划</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30"/>
              <w:jc w:val="left"/>
              <w:rPr>
                <w:rFonts w:ascii="宋体" w:hAnsi="宋体" w:cs="宋体" w:eastAsia="宋体" w:hint="default"/>
                <w:sz w:val="21"/>
                <w:szCs w:val="21"/>
              </w:rPr>
            </w:pPr>
            <w:r>
              <w:rPr>
                <w:rFonts w:ascii="宋体" w:hAnsi="宋体" w:cs="宋体" w:eastAsia="宋体" w:hint="default"/>
                <w:sz w:val="21"/>
                <w:szCs w:val="21"/>
              </w:rPr>
              <w:t>JPMorgan</w:t>
            </w:r>
            <w:r>
              <w:rPr>
                <w:rFonts w:ascii="宋体" w:hAnsi="宋体" w:cs="宋体" w:eastAsia="宋体" w:hint="default"/>
                <w:sz w:val="21"/>
                <w:szCs w:val="21"/>
              </w:rPr>
              <w:t>、</w:t>
            </w:r>
            <w:r>
              <w:rPr>
                <w:rFonts w:ascii="宋体" w:hAnsi="宋体" w:cs="宋体" w:eastAsia="宋体" w:hint="default"/>
                <w:sz w:val="21"/>
                <w:szCs w:val="21"/>
              </w:rPr>
              <w:t>RCM</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Cathay</w:t>
            </w:r>
            <w:r>
              <w:rPr>
                <w:rFonts w:ascii="宋体" w:hAnsi="宋体" w:cs="宋体" w:eastAsia="宋体" w:hint="default"/>
                <w:sz w:val="21"/>
                <w:szCs w:val="21"/>
              </w:rPr>
              <w:t>、</w:t>
            </w:r>
            <w:r>
              <w:rPr>
                <w:rFonts w:ascii="宋体" w:hAnsi="宋体" w:cs="宋体" w:eastAsia="宋体" w:hint="default"/>
                <w:sz w:val="21"/>
                <w:szCs w:val="21"/>
              </w:rPr>
              <w:t>UBS</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了解深圳地区主要店面销售及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当地发展情况</w:t>
            </w:r>
          </w:p>
        </w:tc>
      </w:tr>
      <w:tr>
        <w:trPr>
          <w:trHeight w:val="9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德邦证券、恒泰证</w:t>
            </w:r>
            <w:r>
              <w:rPr>
                <w:rFonts w:ascii="宋体" w:hAnsi="宋体" w:cs="宋体" w:eastAsia="宋体" w:hint="default"/>
                <w:w w:val="100"/>
                <w:sz w:val="21"/>
                <w:szCs w:val="21"/>
              </w:rPr>
              <w:t> </w:t>
            </w:r>
            <w:r>
              <w:rPr>
                <w:rFonts w:ascii="宋体" w:hAnsi="宋体" w:cs="宋体" w:eastAsia="宋体" w:hint="default"/>
                <w:spacing w:val="-13"/>
                <w:sz w:val="21"/>
                <w:szCs w:val="21"/>
              </w:rPr>
              <w:t>券、天治基金、璟琦</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投资</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了解公司易购未来长远发展目</w:t>
            </w:r>
            <w:r>
              <w:rPr>
                <w:rFonts w:ascii="宋体" w:hAnsi="宋体" w:cs="宋体" w:eastAsia="宋体" w:hint="default"/>
                <w:w w:val="100"/>
                <w:sz w:val="21"/>
                <w:szCs w:val="21"/>
              </w:rPr>
              <w:t> </w:t>
            </w:r>
            <w:r>
              <w:rPr>
                <w:rFonts w:ascii="宋体" w:hAnsi="宋体" w:cs="宋体" w:eastAsia="宋体" w:hint="default"/>
                <w:spacing w:val="-8"/>
                <w:w w:val="100"/>
                <w:sz w:val="21"/>
                <w:szCs w:val="21"/>
              </w:rPr>
              <w:t>标、战略措施及二三线城市布局</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规划</w:t>
            </w:r>
          </w:p>
        </w:tc>
      </w:tr>
      <w:tr>
        <w:trPr>
          <w:trHeight w:val="63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汇添富基金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8"/>
                <w:w w:val="100"/>
                <w:sz w:val="21"/>
                <w:szCs w:val="21"/>
              </w:rPr>
              <w:t>了解公司未来发展模式、重要举</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措及易购发展具体措施</w:t>
            </w:r>
          </w:p>
        </w:tc>
      </w:tr>
      <w:tr>
        <w:trPr>
          <w:trHeight w:val="157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34"/>
              <w:jc w:val="left"/>
              <w:rPr>
                <w:rFonts w:ascii="宋体" w:hAnsi="宋体" w:cs="宋体" w:eastAsia="宋体" w:hint="default"/>
                <w:sz w:val="21"/>
                <w:szCs w:val="21"/>
              </w:rPr>
            </w:pPr>
            <w:r>
              <w:rPr>
                <w:rFonts w:ascii="宋体" w:hAnsi="宋体" w:cs="宋体" w:eastAsia="宋体" w:hint="default"/>
                <w:sz w:val="21"/>
                <w:szCs w:val="21"/>
              </w:rPr>
              <w:t>Manulife</w:t>
            </w:r>
            <w:r>
              <w:rPr>
                <w:rFonts w:ascii="宋体" w:hAnsi="宋体" w:cs="宋体" w:eastAsia="宋体" w:hint="default"/>
                <w:w w:val="100"/>
                <w:sz w:val="21"/>
                <w:szCs w:val="21"/>
              </w:rPr>
              <w:t> </w:t>
            </w:r>
            <w:r>
              <w:rPr>
                <w:rFonts w:ascii="宋体" w:hAnsi="宋体" w:cs="宋体" w:eastAsia="宋体" w:hint="default"/>
                <w:sz w:val="21"/>
                <w:szCs w:val="21"/>
              </w:rPr>
              <w:t>Financial;RCM;</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Invesco</w:t>
            </w:r>
            <w:r>
              <w:rPr>
                <w:rFonts w:ascii="宋体" w:hAnsi="宋体" w:cs="宋体" w:eastAsia="宋体" w:hint="default"/>
                <w:spacing w:val="-52"/>
                <w:sz w:val="21"/>
                <w:szCs w:val="21"/>
              </w:rPr>
              <w:t> </w:t>
            </w:r>
            <w:r>
              <w:rPr>
                <w:rFonts w:ascii="宋体" w:hAnsi="宋体" w:cs="宋体" w:eastAsia="宋体" w:hint="default"/>
                <w:sz w:val="21"/>
                <w:szCs w:val="21"/>
              </w:rPr>
              <w:t>投资</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Harvest</w:t>
            </w:r>
            <w:r>
              <w:rPr>
                <w:rFonts w:ascii="宋体" w:hAnsi="宋体" w:cs="宋体" w:eastAsia="宋体" w:hint="default"/>
                <w:w w:val="100"/>
                <w:sz w:val="21"/>
                <w:szCs w:val="21"/>
              </w:rPr>
              <w:t> </w:t>
            </w:r>
            <w:r>
              <w:rPr>
                <w:rFonts w:ascii="宋体" w:hAnsi="宋体" w:cs="宋体" w:eastAsia="宋体" w:hint="default"/>
                <w:sz w:val="21"/>
                <w:szCs w:val="21"/>
              </w:rPr>
              <w:t>Investment</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了解深圳地区主要店面销售及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当地发展情况</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z w:val="21"/>
                <w:szCs w:val="21"/>
              </w:rPr>
              <w:t>上海新泉投资</w:t>
            </w:r>
            <w:r>
              <w:rPr>
                <w:rFonts w:ascii="宋体" w:hAnsi="宋体" w:cs="宋体" w:eastAsia="宋体" w:hint="default"/>
                <w:sz w:val="21"/>
                <w:szCs w:val="21"/>
              </w:rPr>
              <w:t>;</w:t>
            </w:r>
            <w:r>
              <w:rPr>
                <w:rFonts w:ascii="宋体" w:hAnsi="宋体" w:cs="宋体" w:eastAsia="宋体" w:hint="default"/>
                <w:sz w:val="21"/>
                <w:szCs w:val="21"/>
              </w:rPr>
              <w:t>中信</w:t>
            </w:r>
            <w:r>
              <w:rPr>
                <w:rFonts w:ascii="宋体" w:hAnsi="宋体" w:cs="宋体" w:eastAsia="宋体" w:hint="default"/>
                <w:w w:val="100"/>
                <w:sz w:val="21"/>
                <w:szCs w:val="21"/>
              </w:rPr>
              <w:t> </w:t>
            </w:r>
            <w:r>
              <w:rPr>
                <w:rFonts w:ascii="宋体" w:hAnsi="宋体" w:cs="宋体" w:eastAsia="宋体" w:hint="default"/>
                <w:sz w:val="21"/>
                <w:szCs w:val="21"/>
              </w:rPr>
              <w:t>证券</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8"/>
                <w:w w:val="100"/>
                <w:sz w:val="21"/>
                <w:szCs w:val="21"/>
              </w:rPr>
              <w:t>了解公司易购销售现状、物流建</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设规划及费用控制措施</w:t>
            </w:r>
          </w:p>
        </w:tc>
      </w:tr>
      <w:tr>
        <w:trPr>
          <w:trHeight w:val="125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39"/>
              <w:jc w:val="left"/>
              <w:rPr>
                <w:rFonts w:ascii="宋体" w:hAnsi="宋体" w:cs="宋体" w:eastAsia="宋体" w:hint="default"/>
                <w:sz w:val="21"/>
                <w:szCs w:val="21"/>
              </w:rPr>
            </w:pPr>
            <w:r>
              <w:rPr>
                <w:rFonts w:ascii="宋体"/>
                <w:sz w:val="21"/>
              </w:rPr>
              <w:t>Government</w:t>
            </w:r>
            <w:r>
              <w:rPr>
                <w:rFonts w:ascii="宋体"/>
                <w:spacing w:val="1"/>
                <w:sz w:val="21"/>
              </w:rPr>
              <w:t> </w:t>
            </w:r>
            <w:r>
              <w:rPr>
                <w:rFonts w:ascii="宋体"/>
                <w:sz w:val="21"/>
              </w:rPr>
              <w:t>of</w:t>
            </w:r>
            <w:r>
              <w:rPr>
                <w:rFonts w:ascii="宋体"/>
                <w:w w:val="100"/>
                <w:sz w:val="21"/>
              </w:rPr>
              <w:t> </w:t>
            </w:r>
            <w:r>
              <w:rPr>
                <w:rFonts w:ascii="宋体"/>
                <w:sz w:val="21"/>
              </w:rPr>
              <w:t>Singapore</w:t>
            </w:r>
            <w:r>
              <w:rPr>
                <w:rFonts w:ascii="宋体"/>
                <w:spacing w:val="-103"/>
                <w:sz w:val="21"/>
              </w:rPr>
              <w:t> </w:t>
            </w:r>
            <w:r>
              <w:rPr>
                <w:rFonts w:ascii="宋体"/>
                <w:spacing w:val="-103"/>
                <w:sz w:val="21"/>
              </w:rPr>
            </w:r>
            <w:r>
              <w:rPr>
                <w:rFonts w:ascii="宋体"/>
                <w:sz w:val="21"/>
              </w:rPr>
              <w:t>Investment</w:t>
            </w:r>
            <w:r>
              <w:rPr>
                <w:rFonts w:ascii="宋体"/>
                <w:spacing w:val="-102"/>
                <w:sz w:val="21"/>
              </w:rPr>
              <w:t> </w:t>
            </w:r>
            <w:r>
              <w:rPr>
                <w:rFonts w:ascii="宋体"/>
                <w:spacing w:val="-102"/>
                <w:sz w:val="21"/>
              </w:rPr>
            </w:r>
            <w:r>
              <w:rPr>
                <w:rFonts w:ascii="宋体"/>
                <w:sz w:val="21"/>
              </w:rPr>
              <w:t>Corporation</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137"/>
              <w:jc w:val="both"/>
              <w:rPr>
                <w:rFonts w:ascii="宋体" w:hAnsi="宋体" w:cs="宋体" w:eastAsia="宋体" w:hint="default"/>
                <w:sz w:val="21"/>
                <w:szCs w:val="21"/>
              </w:rPr>
            </w:pPr>
            <w:r>
              <w:rPr>
                <w:rFonts w:ascii="宋体" w:hAnsi="宋体" w:cs="宋体" w:eastAsia="宋体" w:hint="default"/>
                <w:spacing w:val="-2"/>
                <w:sz w:val="21"/>
                <w:szCs w:val="21"/>
              </w:rPr>
              <w:t>了解国内各级家电市场发展前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景及公司未来应对行业竞争的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具体措施</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sz w:val="21"/>
              </w:rPr>
              <w:t>Henderson</w:t>
            </w:r>
            <w:r>
              <w:rPr>
                <w:rFonts w:ascii="宋体"/>
                <w:spacing w:val="1"/>
                <w:sz w:val="21"/>
              </w:rPr>
              <w:t> </w:t>
            </w:r>
            <w:r>
              <w:rPr>
                <w:rFonts w:ascii="宋体"/>
                <w:sz w:val="21"/>
              </w:rPr>
              <w:t>Global</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8"/>
                <w:w w:val="100"/>
                <w:sz w:val="21"/>
                <w:szCs w:val="21"/>
              </w:rPr>
              <w:t>了解广州、深圳地区主要店面销</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售及当地发展情况</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景顺投资公司</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了解深圳地区主要店面销售及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当地发展情况</w:t>
            </w:r>
          </w:p>
        </w:tc>
      </w:tr>
      <w:tr>
        <w:trPr>
          <w:trHeight w:val="94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z w:val="21"/>
                <w:szCs w:val="21"/>
              </w:rPr>
              <w:t>华夏基金</w:t>
            </w:r>
            <w:r>
              <w:rPr>
                <w:rFonts w:ascii="宋体" w:hAnsi="宋体" w:cs="宋体" w:eastAsia="宋体" w:hint="default"/>
                <w:sz w:val="21"/>
                <w:szCs w:val="21"/>
              </w:rPr>
              <w:t>;</w:t>
            </w:r>
            <w:r>
              <w:rPr>
                <w:rFonts w:ascii="宋体" w:hAnsi="宋体" w:cs="宋体" w:eastAsia="宋体" w:hint="default"/>
                <w:sz w:val="21"/>
                <w:szCs w:val="21"/>
              </w:rPr>
              <w:t>招商基</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w:t>
            </w:r>
            <w:r>
              <w:rPr>
                <w:rFonts w:ascii="宋体" w:hAnsi="宋体" w:cs="宋体" w:eastAsia="宋体" w:hint="default"/>
                <w:sz w:val="21"/>
                <w:szCs w:val="21"/>
              </w:rPr>
              <w:t>国泰基金</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pacing w:val="-3"/>
                <w:w w:val="100"/>
                <w:sz w:val="21"/>
                <w:szCs w:val="21"/>
              </w:rPr>
              <w:t> </w:t>
            </w:r>
            <w:r>
              <w:rPr>
                <w:rFonts w:ascii="宋体" w:hAnsi="宋体" w:cs="宋体" w:eastAsia="宋体" w:hint="default"/>
                <w:sz w:val="21"/>
                <w:szCs w:val="21"/>
              </w:rPr>
              <w:t>平安资产</w:t>
            </w:r>
            <w:r>
              <w:rPr>
                <w:rFonts w:ascii="宋体" w:hAnsi="宋体" w:cs="宋体" w:eastAsia="宋体" w:hint="default"/>
                <w:sz w:val="21"/>
                <w:szCs w:val="21"/>
              </w:rPr>
              <w:t>;</w:t>
            </w:r>
            <w:r>
              <w:rPr>
                <w:rFonts w:ascii="宋体" w:hAnsi="宋体" w:cs="宋体" w:eastAsia="宋体" w:hint="default"/>
                <w:sz w:val="21"/>
                <w:szCs w:val="21"/>
              </w:rPr>
              <w:t>慧恒投资</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了解公司易购发展现状及未来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规划、物流建设规划</w:t>
            </w:r>
          </w:p>
        </w:tc>
      </w:tr>
    </w:tbl>
    <w:p>
      <w:pPr>
        <w:spacing w:after="0" w:line="273" w:lineRule="auto"/>
        <w:jc w:val="left"/>
        <w:rPr>
          <w:rFonts w:ascii="宋体" w:hAnsi="宋体" w:cs="宋体" w:eastAsia="宋体" w:hint="default"/>
          <w:sz w:val="21"/>
          <w:szCs w:val="21"/>
        </w:rPr>
        <w:sectPr>
          <w:footerReference w:type="default" r:id="rId32"/>
          <w:pgSz w:w="11910" w:h="16840"/>
          <w:pgMar w:footer="980" w:header="877" w:top="1100" w:bottom="1160" w:left="980" w:right="0"/>
          <w:pgNumType w:start="48"/>
        </w:sectPr>
      </w:pPr>
    </w:p>
    <w:p>
      <w:pPr>
        <w:spacing w:line="240" w:lineRule="auto" w:before="11"/>
        <w:rPr>
          <w:rFonts w:ascii="Times New Roman" w:hAnsi="Times New Roman" w:cs="Times New Roman" w:eastAsia="Times New Roman" w:hint="default"/>
          <w:sz w:val="27"/>
          <w:szCs w:val="27"/>
        </w:rPr>
      </w:pPr>
      <w:r>
        <w:rPr/>
        <w:pict>
          <v:shape style="position:absolute;margin-left:460.320007pt;margin-top:764.919983pt;width:135.0pt;height:77pt;mso-position-horizontal-relative:page;mso-position-vertical-relative:page;z-index:-1597528" type="#_x0000_t75" stroked="false">
            <v:imagedata r:id="rId10" o:title=""/>
          </v:shape>
        </w:pict>
      </w:r>
    </w:p>
    <w:tbl>
      <w:tblPr>
        <w:tblW w:w="0" w:type="auto"/>
        <w:jc w:val="left"/>
        <w:tblInd w:w="148" w:type="dxa"/>
        <w:tblLayout w:type="fixed"/>
        <w:tblCellMar>
          <w:top w:w="0" w:type="dxa"/>
          <w:left w:w="0" w:type="dxa"/>
          <w:bottom w:w="0" w:type="dxa"/>
          <w:right w:w="0" w:type="dxa"/>
        </w:tblCellMar>
        <w:tblLook w:val="01E0"/>
      </w:tblPr>
      <w:tblGrid>
        <w:gridCol w:w="1844"/>
        <w:gridCol w:w="1148"/>
        <w:gridCol w:w="979"/>
        <w:gridCol w:w="850"/>
        <w:gridCol w:w="1844"/>
        <w:gridCol w:w="2907"/>
      </w:tblGrid>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z w:val="21"/>
                <w:szCs w:val="21"/>
              </w:rPr>
              <w:t>摩根资产管理公司</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美国</w:t>
            </w:r>
            <w:r>
              <w:rPr>
                <w:rFonts w:ascii="宋体" w:hAnsi="宋体" w:cs="宋体" w:eastAsia="宋体" w:hint="default"/>
                <w:spacing w:val="-50"/>
                <w:sz w:val="21"/>
                <w:szCs w:val="21"/>
              </w:rPr>
              <w:t> </w:t>
            </w:r>
            <w:r>
              <w:rPr>
                <w:rFonts w:ascii="宋体" w:hAnsi="宋体" w:cs="宋体" w:eastAsia="宋体" w:hint="default"/>
                <w:sz w:val="21"/>
                <w:szCs w:val="21"/>
              </w:rPr>
              <w:t>FPPA</w:t>
            </w:r>
            <w:r>
              <w:rPr>
                <w:rFonts w:ascii="宋体" w:hAnsi="宋体" w:cs="宋体" w:eastAsia="宋体" w:hint="default"/>
                <w:spacing w:val="-53"/>
                <w:sz w:val="21"/>
                <w:szCs w:val="21"/>
              </w:rPr>
              <w:t> </w:t>
            </w:r>
            <w:r>
              <w:rPr>
                <w:rFonts w:ascii="宋体" w:hAnsi="宋体" w:cs="宋体" w:eastAsia="宋体" w:hint="default"/>
                <w:sz w:val="21"/>
                <w:szCs w:val="21"/>
              </w:rPr>
              <w:t>公司</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了解青岛地区主要店面销售及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当地发展情况</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中国平安资产</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了解公司未来实体店布局规划</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及易购发展重点</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sz w:val="21"/>
              </w:rPr>
              <w:t>Walter</w:t>
            </w:r>
            <w:r>
              <w:rPr>
                <w:rFonts w:ascii="宋体"/>
                <w:spacing w:val="1"/>
                <w:sz w:val="21"/>
              </w:rPr>
              <w:t> </w:t>
            </w:r>
            <w:r>
              <w:rPr>
                <w:rFonts w:ascii="宋体"/>
                <w:sz w:val="21"/>
              </w:rPr>
              <w:t>Scott</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了解重庆地区主要店面销售及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当地发展情况</w:t>
            </w:r>
          </w:p>
        </w:tc>
      </w:tr>
      <w:tr>
        <w:trPr>
          <w:trHeight w:val="94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754"/>
              <w:jc w:val="left"/>
              <w:rPr>
                <w:rFonts w:ascii="宋体" w:hAnsi="宋体" w:cs="宋体" w:eastAsia="宋体" w:hint="default"/>
                <w:sz w:val="21"/>
                <w:szCs w:val="21"/>
              </w:rPr>
            </w:pPr>
            <w:r>
              <w:rPr>
                <w:rFonts w:ascii="宋体"/>
                <w:sz w:val="21"/>
              </w:rPr>
              <w:t>Atlantis</w:t>
            </w:r>
            <w:r>
              <w:rPr>
                <w:rFonts w:ascii="宋体"/>
                <w:w w:val="100"/>
                <w:sz w:val="21"/>
              </w:rPr>
              <w:t> </w:t>
            </w:r>
            <w:r>
              <w:rPr>
                <w:rFonts w:ascii="宋体"/>
                <w:sz w:val="21"/>
              </w:rPr>
              <w:t>Investment</w:t>
            </w:r>
            <w:r>
              <w:rPr>
                <w:rFonts w:ascii="宋体"/>
                <w:spacing w:val="-102"/>
                <w:sz w:val="21"/>
              </w:rPr>
              <w:t> </w:t>
            </w:r>
            <w:r>
              <w:rPr>
                <w:rFonts w:ascii="宋体"/>
                <w:spacing w:val="-102"/>
                <w:sz w:val="21"/>
              </w:rPr>
            </w:r>
            <w:r>
              <w:rPr>
                <w:rFonts w:ascii="宋体"/>
                <w:sz w:val="21"/>
              </w:rPr>
              <w:t>Management</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了解杭州地区主要店面销售及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当地发展情况</w:t>
            </w:r>
          </w:p>
        </w:tc>
      </w:tr>
      <w:tr>
        <w:trPr>
          <w:trHeight w:val="9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博时基金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both"/>
              <w:rPr>
                <w:rFonts w:ascii="宋体" w:hAnsi="宋体" w:cs="宋体" w:eastAsia="宋体" w:hint="default"/>
                <w:sz w:val="21"/>
                <w:szCs w:val="21"/>
              </w:rPr>
            </w:pPr>
            <w:r>
              <w:rPr>
                <w:rFonts w:ascii="宋体" w:hAnsi="宋体" w:cs="宋体" w:eastAsia="宋体" w:hint="default"/>
                <w:spacing w:val="-2"/>
                <w:sz w:val="21"/>
                <w:szCs w:val="21"/>
              </w:rPr>
              <w:t>了解公司未来线上线下业务共</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同发展布局规划及物流建设情</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况</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宋体" w:hAnsi="宋体" w:cs="宋体" w:eastAsia="宋体" w:hint="default"/>
                <w:sz w:val="21"/>
                <w:szCs w:val="21"/>
              </w:rPr>
            </w:pPr>
            <w:r>
              <w:rPr>
                <w:rFonts w:ascii="宋体" w:hAnsi="宋体" w:cs="宋体" w:eastAsia="宋体" w:hint="default"/>
                <w:sz w:val="21"/>
                <w:szCs w:val="21"/>
              </w:rPr>
              <w:t>韩国大信证券</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了解上海地区主要店面销售及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当地发展情况</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39"/>
              <w:jc w:val="left"/>
              <w:rPr>
                <w:rFonts w:ascii="宋体" w:hAnsi="宋体" w:cs="宋体" w:eastAsia="宋体" w:hint="default"/>
                <w:sz w:val="21"/>
                <w:szCs w:val="21"/>
              </w:rPr>
            </w:pPr>
            <w:r>
              <w:rPr>
                <w:rFonts w:ascii="宋体"/>
                <w:sz w:val="21"/>
              </w:rPr>
              <w:t>Genesis</w:t>
            </w:r>
            <w:r>
              <w:rPr>
                <w:rFonts w:ascii="宋体"/>
                <w:spacing w:val="1"/>
                <w:sz w:val="21"/>
              </w:rPr>
              <w:t> </w:t>
            </w:r>
            <w:r>
              <w:rPr>
                <w:rFonts w:ascii="宋体"/>
                <w:sz w:val="21"/>
              </w:rPr>
              <w:t>Asset</w:t>
            </w:r>
            <w:r>
              <w:rPr>
                <w:rFonts w:ascii="宋体"/>
                <w:w w:val="100"/>
                <w:sz w:val="21"/>
              </w:rPr>
              <w:t> </w:t>
            </w:r>
            <w:r>
              <w:rPr>
                <w:rFonts w:ascii="宋体"/>
                <w:sz w:val="21"/>
              </w:rPr>
              <w:t>Management</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3"/>
              <w:jc w:val="left"/>
              <w:rPr>
                <w:rFonts w:ascii="宋体" w:hAnsi="宋体" w:cs="宋体" w:eastAsia="宋体" w:hint="default"/>
                <w:sz w:val="21"/>
                <w:szCs w:val="21"/>
              </w:rPr>
            </w:pPr>
            <w:r>
              <w:rPr>
                <w:rFonts w:ascii="宋体" w:hAnsi="宋体" w:cs="宋体" w:eastAsia="宋体" w:hint="default"/>
                <w:sz w:val="21"/>
                <w:szCs w:val="21"/>
              </w:rPr>
              <w:t>了解公司易购</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年目标及盈</w:t>
            </w:r>
            <w:r>
              <w:rPr>
                <w:rFonts w:ascii="宋体" w:hAnsi="宋体" w:cs="宋体" w:eastAsia="宋体" w:hint="default"/>
                <w:w w:val="100"/>
                <w:sz w:val="21"/>
                <w:szCs w:val="21"/>
              </w:rPr>
              <w:t> </w:t>
            </w:r>
            <w:r>
              <w:rPr>
                <w:rFonts w:ascii="宋体" w:hAnsi="宋体" w:cs="宋体" w:eastAsia="宋体" w:hint="default"/>
                <w:sz w:val="21"/>
                <w:szCs w:val="21"/>
              </w:rPr>
              <w:t>利提升措施</w:t>
            </w:r>
          </w:p>
        </w:tc>
      </w:tr>
      <w:tr>
        <w:trPr>
          <w:trHeight w:val="9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国海富兰克林基金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both"/>
              <w:rPr>
                <w:rFonts w:ascii="宋体" w:hAnsi="宋体" w:cs="宋体" w:eastAsia="宋体" w:hint="default"/>
                <w:sz w:val="21"/>
                <w:szCs w:val="21"/>
              </w:rPr>
            </w:pPr>
            <w:r>
              <w:rPr>
                <w:rFonts w:ascii="宋体" w:hAnsi="宋体" w:cs="宋体" w:eastAsia="宋体" w:hint="default"/>
                <w:spacing w:val="-2"/>
                <w:sz w:val="21"/>
                <w:szCs w:val="21"/>
              </w:rPr>
              <w:t>了解公司未来电子商务物流配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套建设规划及实体店三四级市</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场开店计划</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高瓴资本</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了解南京地区主要店面销售及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当地发展情况</w:t>
            </w:r>
          </w:p>
        </w:tc>
      </w:tr>
      <w:tr>
        <w:trPr>
          <w:trHeight w:val="63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sz w:val="21"/>
              </w:rPr>
              <w:t>HSBC Global</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了解深圳地区主要店面销售及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当地发展情况</w:t>
            </w:r>
          </w:p>
        </w:tc>
      </w:tr>
      <w:tr>
        <w:trPr>
          <w:trHeight w:val="9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34"/>
              <w:jc w:val="left"/>
              <w:rPr>
                <w:rFonts w:ascii="宋体" w:hAnsi="宋体" w:cs="宋体" w:eastAsia="宋体" w:hint="default"/>
                <w:sz w:val="21"/>
                <w:szCs w:val="21"/>
              </w:rPr>
            </w:pPr>
            <w:r>
              <w:rPr>
                <w:rFonts w:ascii="宋体"/>
                <w:sz w:val="21"/>
              </w:rPr>
              <w:t>Flowering</w:t>
            </w:r>
            <w:r>
              <w:rPr>
                <w:rFonts w:ascii="宋体"/>
                <w:spacing w:val="2"/>
                <w:sz w:val="21"/>
              </w:rPr>
              <w:t> </w:t>
            </w:r>
            <w:r>
              <w:rPr>
                <w:rFonts w:ascii="宋体"/>
                <w:sz w:val="21"/>
              </w:rPr>
              <w:t>Tree</w:t>
            </w:r>
            <w:r>
              <w:rPr>
                <w:rFonts w:ascii="宋体"/>
                <w:w w:val="100"/>
                <w:sz w:val="21"/>
              </w:rPr>
              <w:t> </w:t>
            </w:r>
            <w:r>
              <w:rPr>
                <w:rFonts w:ascii="宋体"/>
                <w:sz w:val="21"/>
              </w:rPr>
              <w:t>Investment</w:t>
            </w:r>
            <w:r>
              <w:rPr>
                <w:rFonts w:ascii="宋体"/>
                <w:spacing w:val="-102"/>
                <w:sz w:val="21"/>
              </w:rPr>
              <w:t> </w:t>
            </w:r>
            <w:r>
              <w:rPr>
                <w:rFonts w:ascii="宋体"/>
                <w:spacing w:val="-102"/>
                <w:sz w:val="21"/>
              </w:rPr>
            </w:r>
            <w:r>
              <w:rPr>
                <w:rFonts w:ascii="宋体"/>
                <w:sz w:val="21"/>
              </w:rPr>
              <w:t>Management</w:t>
            </w:r>
            <w:r>
              <w:rPr>
                <w:rFonts w:ascii="宋体"/>
                <w:spacing w:val="2"/>
                <w:sz w:val="21"/>
              </w:rPr>
              <w:t> </w:t>
            </w:r>
            <w:r>
              <w:rPr>
                <w:rFonts w:ascii="宋体"/>
                <w:sz w:val="21"/>
              </w:rPr>
              <w:t>Pte</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23" w:right="17"/>
              <w:jc w:val="left"/>
              <w:rPr>
                <w:rFonts w:ascii="宋体" w:hAnsi="宋体" w:cs="宋体" w:eastAsia="宋体" w:hint="default"/>
                <w:sz w:val="21"/>
                <w:szCs w:val="21"/>
              </w:rPr>
            </w:pPr>
            <w:r>
              <w:rPr>
                <w:rFonts w:ascii="宋体" w:hAnsi="宋体" w:cs="宋体" w:eastAsia="宋体" w:hint="default"/>
                <w:spacing w:val="-8"/>
                <w:w w:val="100"/>
                <w:sz w:val="21"/>
                <w:szCs w:val="21"/>
              </w:rPr>
              <w:t>了解公司未来开店规划、发展重</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点及易购未来发展规划</w:t>
            </w:r>
          </w:p>
        </w:tc>
      </w:tr>
      <w:tr>
        <w:trPr>
          <w:trHeight w:val="188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分公司物流</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z w:val="21"/>
                <w:szCs w:val="21"/>
              </w:rPr>
              <w:t>凯思博资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sz w:val="21"/>
                <w:szCs w:val="21"/>
              </w:rPr>
              <w:t>;Azentus;UG</w:t>
            </w:r>
            <w:r>
              <w:rPr>
                <w:rFonts w:ascii="宋体" w:hAnsi="宋体" w:cs="宋体" w:eastAsia="宋体" w:hint="default"/>
                <w:w w:val="100"/>
                <w:sz w:val="21"/>
                <w:szCs w:val="21"/>
              </w:rPr>
              <w:t> </w:t>
            </w:r>
            <w:r>
              <w:rPr>
                <w:rFonts w:ascii="宋体" w:hAnsi="宋体" w:cs="宋体" w:eastAsia="宋体" w:hint="default"/>
                <w:sz w:val="21"/>
                <w:szCs w:val="21"/>
              </w:rPr>
              <w:t>Investment;Comges</w:t>
            </w:r>
            <w:r>
              <w:rPr>
                <w:rFonts w:ascii="宋体" w:hAnsi="宋体" w:cs="宋体" w:eastAsia="宋体" w:hint="default"/>
                <w:w w:val="100"/>
                <w:sz w:val="21"/>
                <w:szCs w:val="21"/>
              </w:rPr>
              <w:t> </w:t>
            </w:r>
            <w:r>
              <w:rPr>
                <w:rFonts w:ascii="宋体" w:hAnsi="宋体" w:cs="宋体" w:eastAsia="宋体" w:hint="default"/>
                <w:sz w:val="21"/>
                <w:szCs w:val="21"/>
              </w:rPr>
              <w:t>t Asset</w:t>
            </w:r>
            <w:r>
              <w:rPr>
                <w:rFonts w:ascii="宋体" w:hAnsi="宋体" w:cs="宋体" w:eastAsia="宋体" w:hint="default"/>
                <w:w w:val="100"/>
                <w:sz w:val="21"/>
                <w:szCs w:val="21"/>
              </w:rPr>
              <w:t> </w:t>
            </w:r>
            <w:r>
              <w:rPr>
                <w:rFonts w:ascii="宋体" w:hAnsi="宋体" w:cs="宋体" w:eastAsia="宋体" w:hint="default"/>
                <w:sz w:val="21"/>
                <w:szCs w:val="21"/>
              </w:rPr>
              <w:t>Management;Norges</w:t>
            </w:r>
            <w:r>
              <w:rPr>
                <w:rFonts w:ascii="宋体" w:hAnsi="宋体" w:cs="宋体" w:eastAsia="宋体" w:hint="default"/>
                <w:w w:val="100"/>
                <w:sz w:val="21"/>
                <w:szCs w:val="21"/>
              </w:rPr>
              <w:t> </w:t>
            </w:r>
            <w:r>
              <w:rPr>
                <w:rFonts w:ascii="宋体" w:hAnsi="宋体" w:cs="宋体" w:eastAsia="宋体" w:hint="default"/>
                <w:sz w:val="21"/>
                <w:szCs w:val="21"/>
              </w:rPr>
              <w:t>Bank</w:t>
            </w:r>
            <w:r>
              <w:rPr>
                <w:rFonts w:ascii="宋体" w:hAnsi="宋体" w:cs="宋体" w:eastAsia="宋体" w:hint="default"/>
                <w:spacing w:val="-1"/>
                <w:sz w:val="21"/>
                <w:szCs w:val="21"/>
              </w:rPr>
              <w:t> </w:t>
            </w:r>
            <w:r>
              <w:rPr>
                <w:rFonts w:ascii="宋体" w:hAnsi="宋体" w:cs="宋体" w:eastAsia="宋体" w:hint="default"/>
                <w:sz w:val="21"/>
                <w:szCs w:val="21"/>
              </w:rPr>
              <w:t>Investment</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8"/>
                <w:w w:val="100"/>
                <w:sz w:val="21"/>
                <w:szCs w:val="21"/>
              </w:rPr>
              <w:t>了解整体物流网络规划、运作情</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况及南京自动化仓库运营以来</w:t>
            </w:r>
            <w:r>
              <w:rPr>
                <w:rFonts w:ascii="宋体" w:hAnsi="宋体" w:cs="宋体" w:eastAsia="宋体" w:hint="default"/>
                <w:w w:val="100"/>
                <w:sz w:val="21"/>
                <w:szCs w:val="21"/>
              </w:rPr>
              <w:t> </w:t>
            </w:r>
            <w:r>
              <w:rPr>
                <w:rFonts w:ascii="宋体" w:hAnsi="宋体" w:cs="宋体" w:eastAsia="宋体" w:hint="default"/>
                <w:sz w:val="21"/>
                <w:szCs w:val="21"/>
              </w:rPr>
              <w:t>仓储配送效率提升情况</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sz w:val="21"/>
              </w:rPr>
              <w:t>UG</w:t>
            </w:r>
            <w:r>
              <w:rPr>
                <w:rFonts w:ascii="宋体"/>
                <w:spacing w:val="1"/>
                <w:sz w:val="21"/>
              </w:rPr>
              <w:t> </w:t>
            </w:r>
            <w:r>
              <w:rPr>
                <w:rFonts w:ascii="宋体"/>
                <w:sz w:val="21"/>
              </w:rPr>
              <w:t>Investment</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8"/>
                <w:sz w:val="21"/>
                <w:szCs w:val="21"/>
              </w:rPr>
              <w:t>了解北京、上海、广州地区主要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店面销售及当地发展情况</w:t>
            </w:r>
          </w:p>
        </w:tc>
      </w:tr>
      <w:tr>
        <w:trPr>
          <w:trHeight w:val="313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z w:val="21"/>
                <w:szCs w:val="21"/>
              </w:rPr>
              <w:t>韩国金融控股公司</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国民年金</w:t>
            </w:r>
            <w:r>
              <w:rPr>
                <w:rFonts w:ascii="宋体" w:hAnsi="宋体" w:cs="宋体" w:eastAsia="宋体" w:hint="default"/>
                <w:sz w:val="21"/>
                <w:szCs w:val="21"/>
              </w:rPr>
              <w:t>;</w:t>
            </w:r>
            <w:r>
              <w:rPr>
                <w:rFonts w:ascii="宋体" w:hAnsi="宋体" w:cs="宋体" w:eastAsia="宋体" w:hint="default"/>
                <w:sz w:val="21"/>
                <w:szCs w:val="21"/>
              </w:rPr>
              <w:t>军人年</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w:t>
            </w:r>
            <w:r>
              <w:rPr>
                <w:rFonts w:ascii="宋体" w:hAnsi="宋体" w:cs="宋体" w:eastAsia="宋体" w:hint="default"/>
                <w:sz w:val="21"/>
                <w:szCs w:val="21"/>
              </w:rPr>
              <w:t>三星基金</w:t>
            </w:r>
            <w:r>
              <w:rPr>
                <w:rFonts w:ascii="宋体" w:hAnsi="宋体" w:cs="宋体" w:eastAsia="宋体" w:hint="default"/>
                <w:sz w:val="21"/>
                <w:szCs w:val="21"/>
              </w:rPr>
              <w:t>;</w:t>
            </w:r>
            <w:r>
              <w:rPr>
                <w:rFonts w:ascii="宋体" w:hAnsi="宋体" w:cs="宋体" w:eastAsia="宋体" w:hint="default"/>
                <w:sz w:val="21"/>
                <w:szCs w:val="21"/>
              </w:rPr>
              <w:t>信荣</w:t>
            </w:r>
            <w:r>
              <w:rPr>
                <w:rFonts w:ascii="宋体" w:hAnsi="宋体" w:cs="宋体" w:eastAsia="宋体" w:hint="default"/>
                <w:spacing w:val="-3"/>
                <w:w w:val="100"/>
                <w:sz w:val="21"/>
                <w:szCs w:val="21"/>
              </w:rPr>
              <w:t> </w:t>
            </w:r>
            <w:r>
              <w:rPr>
                <w:rFonts w:ascii="宋体" w:hAnsi="宋体" w:cs="宋体" w:eastAsia="宋体" w:hint="default"/>
                <w:sz w:val="21"/>
                <w:szCs w:val="21"/>
              </w:rPr>
              <w:t>基金</w:t>
            </w:r>
            <w:r>
              <w:rPr>
                <w:rFonts w:ascii="宋体" w:hAnsi="宋体" w:cs="宋体" w:eastAsia="宋体" w:hint="default"/>
                <w:sz w:val="21"/>
                <w:szCs w:val="21"/>
              </w:rPr>
              <w:t>;</w:t>
            </w:r>
            <w:r>
              <w:rPr>
                <w:rFonts w:ascii="宋体" w:hAnsi="宋体" w:cs="宋体" w:eastAsia="宋体" w:hint="default"/>
                <w:sz w:val="21"/>
                <w:szCs w:val="21"/>
              </w:rPr>
              <w:t>韩国价值投资</w:t>
            </w:r>
            <w:r>
              <w:rPr>
                <w:rFonts w:ascii="宋体" w:hAnsi="宋体" w:cs="宋体" w:eastAsia="宋体" w:hint="default"/>
                <w:w w:val="100"/>
                <w:sz w:val="21"/>
                <w:szCs w:val="21"/>
              </w:rPr>
              <w:t> </w:t>
            </w:r>
            <w:r>
              <w:rPr>
                <w:rFonts w:ascii="宋体" w:hAnsi="宋体" w:cs="宋体" w:eastAsia="宋体" w:hint="default"/>
                <w:sz w:val="21"/>
                <w:szCs w:val="21"/>
              </w:rPr>
              <w:t>基金</w:t>
            </w:r>
            <w:r>
              <w:rPr>
                <w:rFonts w:ascii="宋体" w:hAnsi="宋体" w:cs="宋体" w:eastAsia="宋体" w:hint="default"/>
                <w:sz w:val="21"/>
                <w:szCs w:val="21"/>
              </w:rPr>
              <w:t>;</w:t>
            </w:r>
            <w:r>
              <w:rPr>
                <w:rFonts w:ascii="宋体" w:hAnsi="宋体" w:cs="宋体" w:eastAsia="宋体" w:hint="default"/>
                <w:sz w:val="21"/>
                <w:szCs w:val="21"/>
              </w:rPr>
              <w:t>诚信基金</w:t>
            </w:r>
            <w:r>
              <w:rPr>
                <w:rFonts w:ascii="宋体" w:hAnsi="宋体" w:cs="宋体" w:eastAsia="宋体" w:hint="default"/>
                <w:sz w:val="21"/>
                <w:szCs w:val="21"/>
              </w:rPr>
              <w:t>;</w:t>
            </w:r>
            <w:r>
              <w:rPr>
                <w:rFonts w:ascii="宋体" w:hAnsi="宋体" w:cs="宋体" w:eastAsia="宋体" w:hint="default"/>
                <w:sz w:val="21"/>
                <w:szCs w:val="21"/>
              </w:rPr>
              <w:t>阿</w:t>
            </w:r>
            <w:r>
              <w:rPr>
                <w:rFonts w:ascii="宋体" w:hAnsi="宋体" w:cs="宋体" w:eastAsia="宋体" w:hint="default"/>
                <w:w w:val="100"/>
                <w:sz w:val="21"/>
                <w:szCs w:val="21"/>
              </w:rPr>
              <w:t> </w:t>
            </w:r>
            <w:r>
              <w:rPr>
                <w:rFonts w:ascii="宋体" w:hAnsi="宋体" w:cs="宋体" w:eastAsia="宋体" w:hint="default"/>
                <w:sz w:val="21"/>
                <w:szCs w:val="21"/>
              </w:rPr>
              <w:t>尔巴特罗斯投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z w:val="21"/>
                <w:szCs w:val="21"/>
              </w:rPr>
              <w:t>;Lazard</w:t>
            </w:r>
            <w:r>
              <w:rPr>
                <w:rFonts w:ascii="宋体" w:hAnsi="宋体" w:cs="宋体" w:eastAsia="宋体" w:hint="default"/>
                <w:spacing w:val="-55"/>
                <w:sz w:val="21"/>
                <w:szCs w:val="21"/>
              </w:rPr>
              <w:t> </w:t>
            </w:r>
            <w:r>
              <w:rPr>
                <w:rFonts w:ascii="宋体" w:hAnsi="宋体" w:cs="宋体" w:eastAsia="宋体" w:hint="default"/>
                <w:sz w:val="21"/>
                <w:szCs w:val="21"/>
              </w:rPr>
              <w:t>投资咨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询</w:t>
            </w:r>
            <w:r>
              <w:rPr>
                <w:rFonts w:ascii="宋体" w:hAnsi="宋体" w:cs="宋体" w:eastAsia="宋体" w:hint="default"/>
                <w:sz w:val="21"/>
                <w:szCs w:val="21"/>
              </w:rPr>
              <w:t>;</w:t>
            </w:r>
            <w:r>
              <w:rPr>
                <w:rFonts w:ascii="宋体" w:hAnsi="宋体" w:cs="宋体" w:eastAsia="宋体" w:hint="default"/>
                <w:sz w:val="21"/>
                <w:szCs w:val="21"/>
              </w:rPr>
              <w:t>雷奥投资咨</w:t>
            </w:r>
            <w:r>
              <w:rPr>
                <w:rFonts w:ascii="宋体" w:hAnsi="宋体" w:cs="宋体" w:eastAsia="宋体" w:hint="default"/>
                <w:w w:val="100"/>
                <w:sz w:val="21"/>
                <w:szCs w:val="21"/>
              </w:rPr>
              <w:t> </w:t>
            </w:r>
            <w:r>
              <w:rPr>
                <w:rFonts w:ascii="宋体" w:hAnsi="宋体" w:cs="宋体" w:eastAsia="宋体" w:hint="default"/>
                <w:sz w:val="21"/>
                <w:szCs w:val="21"/>
              </w:rPr>
              <w:t>询</w:t>
            </w:r>
            <w:r>
              <w:rPr>
                <w:rFonts w:ascii="宋体" w:hAnsi="宋体" w:cs="宋体" w:eastAsia="宋体" w:hint="default"/>
                <w:sz w:val="21"/>
                <w:szCs w:val="21"/>
              </w:rPr>
              <w:t>;U-RICH</w:t>
            </w:r>
            <w:r>
              <w:rPr>
                <w:rFonts w:ascii="宋体" w:hAnsi="宋体" w:cs="宋体" w:eastAsia="宋体" w:hint="default"/>
                <w:spacing w:val="-55"/>
                <w:sz w:val="21"/>
                <w:szCs w:val="21"/>
              </w:rPr>
              <w:t> </w:t>
            </w:r>
            <w:r>
              <w:rPr>
                <w:rFonts w:ascii="宋体" w:hAnsi="宋体" w:cs="宋体" w:eastAsia="宋体" w:hint="default"/>
                <w:sz w:val="21"/>
                <w:szCs w:val="21"/>
              </w:rPr>
              <w:t>投资咨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询</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了解南京地区主要店面销售及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当地发展情况</w:t>
            </w:r>
          </w:p>
        </w:tc>
      </w:tr>
    </w:tbl>
    <w:p>
      <w:pPr>
        <w:spacing w:after="0" w:line="273" w:lineRule="auto"/>
        <w:jc w:val="left"/>
        <w:rPr>
          <w:rFonts w:ascii="宋体" w:hAnsi="宋体" w:cs="宋体" w:eastAsia="宋体" w:hint="default"/>
          <w:sz w:val="21"/>
          <w:szCs w:val="21"/>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460.320007pt;margin-top:764.919983pt;width:135.0pt;height:77pt;mso-position-horizontal-relative:page;mso-position-vertical-relative:page;z-index:1672" type="#_x0000_t75" stroked="false">
            <v:imagedata r:id="rId10" o:title=""/>
          </v:shape>
        </w:pict>
      </w:r>
    </w:p>
    <w:tbl>
      <w:tblPr>
        <w:tblW w:w="0" w:type="auto"/>
        <w:jc w:val="left"/>
        <w:tblInd w:w="148" w:type="dxa"/>
        <w:tblLayout w:type="fixed"/>
        <w:tblCellMar>
          <w:top w:w="0" w:type="dxa"/>
          <w:left w:w="0" w:type="dxa"/>
          <w:bottom w:w="0" w:type="dxa"/>
          <w:right w:w="0" w:type="dxa"/>
        </w:tblCellMar>
        <w:tblLook w:val="01E0"/>
      </w:tblPr>
      <w:tblGrid>
        <w:gridCol w:w="1844"/>
        <w:gridCol w:w="1148"/>
        <w:gridCol w:w="979"/>
        <w:gridCol w:w="850"/>
        <w:gridCol w:w="1844"/>
        <w:gridCol w:w="2907"/>
      </w:tblGrid>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宋体" w:hAnsi="宋体" w:cs="宋体" w:eastAsia="宋体" w:hint="default"/>
                <w:sz w:val="21"/>
                <w:szCs w:val="21"/>
              </w:rPr>
            </w:pPr>
            <w:r>
              <w:rPr>
                <w:rFonts w:ascii="宋体" w:hAnsi="宋体" w:cs="宋体" w:eastAsia="宋体" w:hint="default"/>
                <w:sz w:val="21"/>
                <w:szCs w:val="21"/>
              </w:rPr>
              <w:t>润晖投资</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8"/>
                <w:w w:val="100"/>
                <w:sz w:val="21"/>
                <w:szCs w:val="21"/>
              </w:rPr>
              <w:t>了解公司易购物流配送情况、客</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户体验情况及提升措施</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25"/>
              <w:jc w:val="left"/>
              <w:rPr>
                <w:rFonts w:ascii="宋体" w:hAnsi="宋体" w:cs="宋体" w:eastAsia="宋体" w:hint="default"/>
                <w:sz w:val="21"/>
                <w:szCs w:val="21"/>
              </w:rPr>
            </w:pPr>
            <w:r>
              <w:rPr>
                <w:rFonts w:ascii="宋体" w:hAnsi="宋体" w:cs="宋体" w:eastAsia="宋体" w:hint="default"/>
                <w:sz w:val="21"/>
                <w:szCs w:val="21"/>
              </w:rPr>
              <w:t>索恩伯格投资管理</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了解公司基本面情况及与竞争</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对手的竞争优势</w:t>
            </w:r>
          </w:p>
        </w:tc>
      </w:tr>
      <w:tr>
        <w:trPr>
          <w:trHeight w:val="656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34"/>
              <w:jc w:val="center"/>
              <w:rPr>
                <w:rFonts w:ascii="宋体" w:hAnsi="宋体" w:cs="宋体" w:eastAsia="宋体" w:hint="default"/>
                <w:sz w:val="21"/>
                <w:szCs w:val="21"/>
              </w:rPr>
            </w:pPr>
            <w:r>
              <w:rPr>
                <w:rFonts w:ascii="宋体" w:hAnsi="宋体" w:cs="宋体" w:eastAsia="宋体" w:hint="default"/>
                <w:sz w:val="21"/>
                <w:szCs w:val="21"/>
              </w:rPr>
              <w:t>分公司物流</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sz w:val="21"/>
              </w:rPr>
              <w:t>Neptune;Baillie</w:t>
            </w:r>
            <w:r>
              <w:rPr>
                <w:rFonts w:ascii="宋体"/>
                <w:w w:val="100"/>
                <w:sz w:val="21"/>
              </w:rPr>
              <w:t> </w:t>
            </w:r>
            <w:r>
              <w:rPr>
                <w:rFonts w:ascii="宋体"/>
                <w:sz w:val="21"/>
              </w:rPr>
              <w:t>Gifford;BOCI</w:t>
            </w:r>
            <w:r>
              <w:rPr>
                <w:rFonts w:ascii="宋体"/>
                <w:w w:val="100"/>
                <w:sz w:val="21"/>
              </w:rPr>
              <w:t> </w:t>
            </w:r>
            <w:r>
              <w:rPr>
                <w:rFonts w:ascii="宋体"/>
                <w:sz w:val="21"/>
              </w:rPr>
              <w:t>Prudential;JO</w:t>
            </w:r>
            <w:r>
              <w:rPr>
                <w:rFonts w:ascii="宋体"/>
                <w:w w:val="100"/>
                <w:sz w:val="21"/>
              </w:rPr>
              <w:t> </w:t>
            </w:r>
            <w:r>
              <w:rPr>
                <w:rFonts w:ascii="宋体"/>
                <w:sz w:val="21"/>
              </w:rPr>
              <w:t>Hambro;Artisan</w:t>
            </w:r>
            <w:r>
              <w:rPr>
                <w:rFonts w:ascii="宋体"/>
                <w:spacing w:val="-103"/>
                <w:sz w:val="21"/>
              </w:rPr>
              <w:t> </w:t>
            </w:r>
            <w:r>
              <w:rPr>
                <w:rFonts w:ascii="宋体"/>
                <w:spacing w:val="-103"/>
                <w:sz w:val="21"/>
              </w:rPr>
            </w:r>
            <w:r>
              <w:rPr>
                <w:rFonts w:ascii="宋体"/>
                <w:sz w:val="21"/>
              </w:rPr>
              <w:t>Partners;Pictet;H</w:t>
            </w:r>
            <w:r>
              <w:rPr>
                <w:rFonts w:ascii="宋体"/>
                <w:w w:val="100"/>
                <w:sz w:val="21"/>
              </w:rPr>
              <w:t> </w:t>
            </w:r>
            <w:r>
              <w:rPr>
                <w:rFonts w:ascii="宋体"/>
                <w:sz w:val="21"/>
              </w:rPr>
              <w:t>ansberger;China</w:t>
            </w:r>
            <w:r>
              <w:rPr>
                <w:rFonts w:ascii="宋体"/>
                <w:w w:val="100"/>
                <w:sz w:val="21"/>
              </w:rPr>
              <w:t> </w:t>
            </w:r>
            <w:r>
              <w:rPr>
                <w:rFonts w:ascii="宋体"/>
                <w:sz w:val="21"/>
              </w:rPr>
              <w:t>Asset</w:t>
            </w:r>
            <w:r>
              <w:rPr>
                <w:rFonts w:ascii="宋体"/>
                <w:spacing w:val="-102"/>
                <w:sz w:val="21"/>
              </w:rPr>
              <w:t> </w:t>
            </w:r>
            <w:r>
              <w:rPr>
                <w:rFonts w:ascii="宋体"/>
                <w:sz w:val="21"/>
              </w:rPr>
              <w:t>Management;BDT</w:t>
            </w:r>
            <w:r>
              <w:rPr>
                <w:rFonts w:ascii="宋体"/>
                <w:spacing w:val="-103"/>
                <w:sz w:val="21"/>
              </w:rPr>
              <w:t> </w:t>
            </w:r>
            <w:r>
              <w:rPr>
                <w:rFonts w:ascii="宋体"/>
                <w:spacing w:val="-103"/>
                <w:sz w:val="21"/>
              </w:rPr>
            </w:r>
            <w:r>
              <w:rPr>
                <w:rFonts w:ascii="宋体"/>
                <w:sz w:val="21"/>
              </w:rPr>
              <w:t>Invest;FIL;JP</w:t>
            </w:r>
            <w:r>
              <w:rPr>
                <w:rFonts w:ascii="宋体"/>
                <w:w w:val="100"/>
                <w:sz w:val="21"/>
              </w:rPr>
              <w:t> </w:t>
            </w:r>
            <w:r>
              <w:rPr>
                <w:rFonts w:ascii="宋体"/>
                <w:sz w:val="21"/>
              </w:rPr>
              <w:t>organ;Pictet</w:t>
            </w:r>
            <w:r>
              <w:rPr>
                <w:rFonts w:ascii="宋体"/>
                <w:w w:val="100"/>
                <w:sz w:val="21"/>
              </w:rPr>
              <w:t> </w:t>
            </w:r>
            <w:r>
              <w:rPr>
                <w:rFonts w:ascii="宋体"/>
                <w:sz w:val="21"/>
              </w:rPr>
              <w:t>Asset</w:t>
            </w:r>
            <w:r>
              <w:rPr>
                <w:rFonts w:ascii="宋体"/>
                <w:spacing w:val="-102"/>
                <w:sz w:val="21"/>
              </w:rPr>
              <w:t> </w:t>
            </w:r>
            <w:r>
              <w:rPr>
                <w:rFonts w:ascii="宋体"/>
                <w:sz w:val="21"/>
              </w:rPr>
              <w:t>Management;Legal</w:t>
            </w:r>
            <w:r>
              <w:rPr>
                <w:rFonts w:ascii="宋体"/>
                <w:w w:val="100"/>
                <w:sz w:val="21"/>
              </w:rPr>
              <w:t> </w:t>
            </w:r>
            <w:r>
              <w:rPr>
                <w:rFonts w:ascii="宋体"/>
                <w:sz w:val="21"/>
              </w:rPr>
              <w:t>&amp; General;ING</w:t>
            </w:r>
            <w:r>
              <w:rPr>
                <w:rFonts w:ascii="宋体"/>
                <w:w w:val="100"/>
                <w:sz w:val="21"/>
              </w:rPr>
              <w:t> </w:t>
            </w:r>
            <w:r>
              <w:rPr>
                <w:rFonts w:ascii="宋体"/>
                <w:sz w:val="21"/>
              </w:rPr>
              <w:t>Investment;Indus</w:t>
            </w:r>
            <w:r>
              <w:rPr>
                <w:rFonts w:ascii="宋体"/>
                <w:w w:val="100"/>
                <w:sz w:val="21"/>
              </w:rPr>
              <w:t> </w:t>
            </w:r>
            <w:r>
              <w:rPr>
                <w:rFonts w:ascii="宋体"/>
                <w:sz w:val="21"/>
              </w:rPr>
              <w:t>Capital;Mirae</w:t>
            </w:r>
            <w:r>
              <w:rPr>
                <w:rFonts w:ascii="宋体"/>
                <w:w w:val="100"/>
                <w:sz w:val="21"/>
              </w:rPr>
              <w:t> </w:t>
            </w:r>
            <w:r>
              <w:rPr>
                <w:rFonts w:ascii="宋体"/>
                <w:sz w:val="21"/>
              </w:rPr>
              <w:t>Asset</w:t>
            </w:r>
            <w:r>
              <w:rPr>
                <w:rFonts w:ascii="宋体"/>
                <w:spacing w:val="-2"/>
                <w:sz w:val="21"/>
              </w:rPr>
              <w:t> </w:t>
            </w:r>
            <w:r>
              <w:rPr>
                <w:rFonts w:ascii="宋体"/>
                <w:sz w:val="21"/>
              </w:rPr>
              <w:t>Global;CR</w:t>
            </w:r>
            <w:r>
              <w:rPr>
                <w:rFonts w:ascii="宋体"/>
                <w:w w:val="100"/>
                <w:sz w:val="21"/>
              </w:rPr>
              <w:t> </w:t>
            </w:r>
            <w:r>
              <w:rPr>
                <w:rFonts w:ascii="宋体"/>
                <w:sz w:val="21"/>
              </w:rPr>
              <w:t>Intrinsic;Edmond</w:t>
            </w:r>
            <w:r>
              <w:rPr>
                <w:rFonts w:ascii="宋体"/>
                <w:w w:val="100"/>
                <w:sz w:val="21"/>
              </w:rPr>
              <w:t> </w:t>
            </w:r>
            <w:r>
              <w:rPr>
                <w:rFonts w:ascii="宋体"/>
                <w:sz w:val="21"/>
              </w:rPr>
              <w:t>De Rothschild</w:t>
            </w:r>
            <w:r>
              <w:rPr>
                <w:rFonts w:ascii="宋体"/>
                <w:w w:val="100"/>
                <w:sz w:val="21"/>
              </w:rPr>
              <w:t> </w:t>
            </w:r>
            <w:r>
              <w:rPr>
                <w:rFonts w:ascii="宋体"/>
                <w:sz w:val="21"/>
              </w:rPr>
              <w:t>Asset;Tiger</w:t>
            </w:r>
            <w:r>
              <w:rPr>
                <w:rFonts w:ascii="宋体"/>
                <w:w w:val="100"/>
                <w:sz w:val="21"/>
              </w:rPr>
              <w:t> </w:t>
            </w:r>
            <w:r>
              <w:rPr>
                <w:rFonts w:ascii="宋体"/>
                <w:sz w:val="21"/>
              </w:rPr>
              <w:t>Global;Daiwa</w:t>
            </w:r>
            <w:r>
              <w:rPr>
                <w:rFonts w:ascii="宋体"/>
                <w:w w:val="100"/>
                <w:sz w:val="21"/>
              </w:rPr>
              <w:t> </w:t>
            </w:r>
            <w:r>
              <w:rPr>
                <w:rFonts w:ascii="宋体"/>
                <w:sz w:val="21"/>
              </w:rPr>
              <w:t>Asset</w:t>
            </w:r>
            <w:r>
              <w:rPr>
                <w:rFonts w:ascii="宋体"/>
                <w:spacing w:val="1"/>
                <w:sz w:val="21"/>
              </w:rPr>
              <w:t> </w:t>
            </w:r>
            <w:r>
              <w:rPr>
                <w:rFonts w:ascii="宋体"/>
                <w:sz w:val="21"/>
              </w:rPr>
              <w:t>Management</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了解公司目前物流建设情况及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未来战略规划</w:t>
            </w:r>
          </w:p>
        </w:tc>
      </w:tr>
      <w:tr>
        <w:trPr>
          <w:trHeight w:val="63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璟亿投资</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了解南京地区主要店面销售及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当地发展情况</w:t>
            </w:r>
          </w:p>
        </w:tc>
      </w:tr>
      <w:tr>
        <w:trPr>
          <w:trHeight w:val="50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sz w:val="21"/>
              </w:rPr>
              <w:t>Standard</w:t>
            </w:r>
            <w:r>
              <w:rPr>
                <w:rFonts w:ascii="宋体"/>
                <w:w w:val="100"/>
                <w:sz w:val="21"/>
              </w:rPr>
              <w:t> </w:t>
            </w:r>
            <w:r>
              <w:rPr>
                <w:rFonts w:ascii="宋体"/>
                <w:sz w:val="21"/>
              </w:rPr>
              <w:t>Life;Harvest Fund</w:t>
            </w:r>
            <w:r>
              <w:rPr>
                <w:rFonts w:ascii="宋体"/>
                <w:w w:val="100"/>
                <w:sz w:val="21"/>
              </w:rPr>
              <w:t> </w:t>
            </w:r>
            <w:r>
              <w:rPr>
                <w:rFonts w:ascii="宋体"/>
                <w:sz w:val="21"/>
              </w:rPr>
              <w:t>Mgmt;CR Intrinsic</w:t>
            </w:r>
            <w:r>
              <w:rPr>
                <w:rFonts w:ascii="宋体"/>
                <w:w w:val="100"/>
                <w:sz w:val="21"/>
              </w:rPr>
              <w:t> </w:t>
            </w:r>
            <w:r>
              <w:rPr>
                <w:rFonts w:ascii="宋体"/>
                <w:sz w:val="21"/>
              </w:rPr>
              <w:t>Investors;Changsh</w:t>
            </w:r>
            <w:r>
              <w:rPr>
                <w:rFonts w:ascii="宋体"/>
                <w:w w:val="100"/>
                <w:sz w:val="21"/>
              </w:rPr>
              <w:t> </w:t>
            </w:r>
            <w:r>
              <w:rPr>
                <w:rFonts w:ascii="宋体"/>
                <w:sz w:val="21"/>
              </w:rPr>
              <w:t>eng Fund;Da Cheng</w:t>
            </w:r>
            <w:r>
              <w:rPr>
                <w:rFonts w:ascii="宋体"/>
                <w:w w:val="100"/>
                <w:sz w:val="21"/>
              </w:rPr>
              <w:t> </w:t>
            </w:r>
            <w:r>
              <w:rPr>
                <w:rFonts w:ascii="宋体"/>
                <w:sz w:val="21"/>
              </w:rPr>
              <w:t>fund;Citics</w:t>
            </w:r>
            <w:r>
              <w:rPr>
                <w:rFonts w:ascii="宋体"/>
                <w:w w:val="100"/>
                <w:sz w:val="21"/>
              </w:rPr>
              <w:t> </w:t>
            </w:r>
            <w:r>
              <w:rPr>
                <w:rFonts w:ascii="宋体"/>
                <w:sz w:val="21"/>
              </w:rPr>
              <w:t>Prop;Mount</w:t>
            </w:r>
            <w:r>
              <w:rPr>
                <w:rFonts w:ascii="宋体"/>
                <w:spacing w:val="-102"/>
                <w:sz w:val="21"/>
              </w:rPr>
              <w:t> </w:t>
            </w:r>
            <w:r>
              <w:rPr>
                <w:rFonts w:ascii="宋体"/>
                <w:spacing w:val="-102"/>
                <w:sz w:val="21"/>
              </w:rPr>
            </w:r>
            <w:r>
              <w:rPr>
                <w:rFonts w:ascii="宋体"/>
                <w:sz w:val="21"/>
              </w:rPr>
              <w:t>Kellett;SPARX</w:t>
            </w:r>
            <w:r>
              <w:rPr>
                <w:rFonts w:ascii="宋体"/>
                <w:w w:val="100"/>
                <w:sz w:val="21"/>
              </w:rPr>
              <w:t> </w:t>
            </w:r>
            <w:r>
              <w:rPr>
                <w:rFonts w:ascii="宋体"/>
                <w:sz w:val="21"/>
              </w:rPr>
              <w:t>Asia;Sumitomo</w:t>
            </w:r>
            <w:r>
              <w:rPr>
                <w:rFonts w:ascii="宋体"/>
                <w:w w:val="100"/>
                <w:sz w:val="21"/>
              </w:rPr>
              <w:t> </w:t>
            </w:r>
            <w:r>
              <w:rPr>
                <w:rFonts w:ascii="宋体"/>
                <w:sz w:val="21"/>
              </w:rPr>
              <w:t>Mitsui</w:t>
            </w:r>
            <w:r>
              <w:rPr>
                <w:rFonts w:ascii="宋体"/>
                <w:spacing w:val="1"/>
                <w:sz w:val="21"/>
              </w:rPr>
              <w:t> </w:t>
            </w:r>
            <w:r>
              <w:rPr>
                <w:rFonts w:ascii="宋体"/>
                <w:sz w:val="21"/>
              </w:rPr>
              <w:t>AM;Harmony</w:t>
            </w:r>
            <w:r>
              <w:rPr>
                <w:rFonts w:ascii="宋体"/>
                <w:w w:val="100"/>
                <w:sz w:val="21"/>
              </w:rPr>
              <w:t> </w:t>
            </w:r>
            <w:r>
              <w:rPr>
                <w:rFonts w:ascii="宋体"/>
                <w:sz w:val="21"/>
              </w:rPr>
              <w:t>Fund;Prudential</w:t>
            </w:r>
            <w:r>
              <w:rPr>
                <w:rFonts w:ascii="宋体"/>
                <w:w w:val="100"/>
                <w:sz w:val="21"/>
              </w:rPr>
              <w:t> </w:t>
            </w:r>
            <w:r>
              <w:rPr>
                <w:rFonts w:ascii="宋体"/>
                <w:sz w:val="21"/>
              </w:rPr>
              <w:t>Financial</w:t>
            </w:r>
            <w:r>
              <w:rPr>
                <w:rFonts w:ascii="宋体"/>
                <w:spacing w:val="-103"/>
                <w:sz w:val="21"/>
              </w:rPr>
              <w:t> </w:t>
            </w:r>
            <w:r>
              <w:rPr>
                <w:rFonts w:ascii="宋体"/>
                <w:spacing w:val="-103"/>
                <w:sz w:val="21"/>
              </w:rPr>
            </w:r>
            <w:r>
              <w:rPr>
                <w:rFonts w:ascii="宋体"/>
                <w:sz w:val="21"/>
              </w:rPr>
              <w:t>SITE;Delta</w:t>
            </w:r>
            <w:r>
              <w:rPr>
                <w:rFonts w:ascii="宋体"/>
                <w:spacing w:val="-102"/>
                <w:sz w:val="21"/>
              </w:rPr>
              <w:t> </w:t>
            </w:r>
            <w:r>
              <w:rPr>
                <w:rFonts w:ascii="宋体"/>
                <w:spacing w:val="-102"/>
                <w:sz w:val="21"/>
              </w:rPr>
            </w:r>
            <w:r>
              <w:rPr>
                <w:rFonts w:ascii="宋体"/>
                <w:sz w:val="21"/>
              </w:rPr>
              <w:t>Lloyd;Harding</w:t>
            </w:r>
            <w:r>
              <w:rPr>
                <w:rFonts w:ascii="宋体"/>
                <w:w w:val="100"/>
                <w:sz w:val="21"/>
              </w:rPr>
              <w:t> </w:t>
            </w:r>
            <w:r>
              <w:rPr>
                <w:rFonts w:ascii="宋体"/>
                <w:sz w:val="21"/>
              </w:rPr>
              <w:t>Loevner;China</w:t>
            </w:r>
            <w:r>
              <w:rPr>
                <w:rFonts w:ascii="宋体"/>
                <w:w w:val="100"/>
                <w:sz w:val="21"/>
              </w:rPr>
              <w:t> </w:t>
            </w:r>
            <w:r>
              <w:rPr>
                <w:rFonts w:ascii="宋体"/>
                <w:sz w:val="21"/>
              </w:rPr>
              <w:t>Orient</w:t>
            </w:r>
            <w:r>
              <w:rPr>
                <w:rFonts w:ascii="宋体"/>
                <w:spacing w:val="1"/>
                <w:sz w:val="21"/>
              </w:rPr>
              <w:t> </w:t>
            </w:r>
            <w:r>
              <w:rPr>
                <w:rFonts w:ascii="宋体"/>
                <w:sz w:val="21"/>
              </w:rPr>
              <w:t>Asset</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5"/>
              <w:ind w:left="23" w:right="137"/>
              <w:jc w:val="both"/>
              <w:rPr>
                <w:rFonts w:ascii="宋体" w:hAnsi="宋体" w:cs="宋体" w:eastAsia="宋体" w:hint="default"/>
                <w:sz w:val="21"/>
                <w:szCs w:val="21"/>
              </w:rPr>
            </w:pPr>
            <w:r>
              <w:rPr>
                <w:rFonts w:ascii="宋体" w:hAnsi="宋体" w:cs="宋体" w:eastAsia="宋体" w:hint="default"/>
                <w:spacing w:val="-2"/>
                <w:sz w:val="21"/>
                <w:szCs w:val="21"/>
              </w:rPr>
              <w:t>了解公司线上线下业务未来发</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展中的市场竞争策略及物流建</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设规划</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Baring</w:t>
            </w:r>
            <w:r>
              <w:rPr>
                <w:rFonts w:ascii="宋体"/>
                <w:spacing w:val="1"/>
                <w:sz w:val="21"/>
              </w:rPr>
              <w:t> </w:t>
            </w:r>
            <w:r>
              <w:rPr>
                <w:rFonts w:ascii="宋体"/>
                <w:sz w:val="21"/>
              </w:rPr>
              <w:t>Asset</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了解南京地区主要店面销售及</w:t>
            </w:r>
          </w:p>
        </w:tc>
      </w:tr>
    </w:tbl>
    <w:p>
      <w:pPr>
        <w:spacing w:after="0" w:line="262" w:lineRule="exact"/>
        <w:jc w:val="left"/>
        <w:rPr>
          <w:rFonts w:ascii="宋体" w:hAnsi="宋体" w:cs="宋体" w:eastAsia="宋体" w:hint="default"/>
          <w:sz w:val="21"/>
          <w:szCs w:val="21"/>
        </w:rPr>
        <w:sectPr>
          <w:pgSz w:w="11910" w:h="16840"/>
          <w:pgMar w:header="877" w:footer="980" w:top="110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4.919983pt;width:135.0pt;height:77pt;mso-position-horizontal-relative:page;mso-position-vertical-relative:page;z-index:1696" type="#_x0000_t75" stroked="false">
            <v:imagedata r:id="rId10" o:title=""/>
          </v:shape>
        </w:pict>
      </w:r>
      <w:r>
        <w:rPr/>
        <w:pict>
          <v:shape style="position:absolute;margin-left:56.400002pt;margin-top:71.999985pt;width:479.3pt;height:694.55pt;mso-position-horizontal-relative:page;mso-position-vertical-relative:page;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4"/>
                    <w:gridCol w:w="1148"/>
                    <w:gridCol w:w="979"/>
                    <w:gridCol w:w="850"/>
                    <w:gridCol w:w="1844"/>
                    <w:gridCol w:w="2907"/>
                  </w:tblGrid>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Management</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当地发展情况</w:t>
                        </w:r>
                      </w:p>
                    </w:tc>
                  </w:tr>
                  <w:tr>
                    <w:trPr>
                      <w:trHeight w:val="9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z w:val="21"/>
                            <w:szCs w:val="21"/>
                          </w:rPr>
                          <w:t>国泰投信</w:t>
                        </w:r>
                        <w:r>
                          <w:rPr>
                            <w:rFonts w:ascii="宋体" w:hAnsi="宋体" w:cs="宋体" w:eastAsia="宋体" w:hint="default"/>
                            <w:sz w:val="21"/>
                            <w:szCs w:val="21"/>
                          </w:rPr>
                          <w:t>;</w:t>
                        </w:r>
                        <w:r>
                          <w:rPr>
                            <w:rFonts w:ascii="宋体" w:hAnsi="宋体" w:cs="宋体" w:eastAsia="宋体" w:hint="default"/>
                            <w:sz w:val="21"/>
                            <w:szCs w:val="21"/>
                          </w:rPr>
                          <w:t>第一金投</w:t>
                        </w:r>
                        <w:r>
                          <w:rPr>
                            <w:rFonts w:ascii="宋体" w:hAnsi="宋体" w:cs="宋体" w:eastAsia="宋体" w:hint="default"/>
                            <w:w w:val="100"/>
                            <w:sz w:val="21"/>
                            <w:szCs w:val="21"/>
                          </w:rPr>
                          <w:t> </w:t>
                        </w:r>
                        <w:r>
                          <w:rPr>
                            <w:rFonts w:ascii="宋体" w:hAnsi="宋体" w:cs="宋体" w:eastAsia="宋体" w:hint="default"/>
                            <w:sz w:val="21"/>
                            <w:szCs w:val="21"/>
                          </w:rPr>
                          <w:t>信</w:t>
                        </w:r>
                        <w:r>
                          <w:rPr>
                            <w:rFonts w:ascii="宋体" w:hAnsi="宋体" w:cs="宋体" w:eastAsia="宋体" w:hint="default"/>
                            <w:sz w:val="21"/>
                            <w:szCs w:val="21"/>
                          </w:rPr>
                          <w:t>;</w:t>
                        </w:r>
                        <w:r>
                          <w:rPr>
                            <w:rFonts w:ascii="宋体" w:hAnsi="宋体" w:cs="宋体" w:eastAsia="宋体" w:hint="default"/>
                            <w:sz w:val="21"/>
                            <w:szCs w:val="21"/>
                          </w:rPr>
                          <w:t>复华投信</w:t>
                        </w:r>
                        <w:r>
                          <w:rPr>
                            <w:rFonts w:ascii="宋体" w:hAnsi="宋体" w:cs="宋体" w:eastAsia="宋体" w:hint="default"/>
                            <w:sz w:val="21"/>
                            <w:szCs w:val="21"/>
                          </w:rPr>
                          <w:t>;</w:t>
                        </w:r>
                        <w:r>
                          <w:rPr>
                            <w:rFonts w:ascii="宋体" w:hAnsi="宋体" w:cs="宋体" w:eastAsia="宋体" w:hint="default"/>
                            <w:sz w:val="21"/>
                            <w:szCs w:val="21"/>
                          </w:rPr>
                          <w:t>富邦</w:t>
                        </w:r>
                        <w:r>
                          <w:rPr>
                            <w:rFonts w:ascii="宋体" w:hAnsi="宋体" w:cs="宋体" w:eastAsia="宋体" w:hint="default"/>
                            <w:spacing w:val="-3"/>
                            <w:w w:val="100"/>
                            <w:sz w:val="21"/>
                            <w:szCs w:val="21"/>
                          </w:rPr>
                          <w:t> </w:t>
                        </w:r>
                        <w:r>
                          <w:rPr>
                            <w:rFonts w:ascii="宋体" w:hAnsi="宋体" w:cs="宋体" w:eastAsia="宋体" w:hint="default"/>
                            <w:sz w:val="21"/>
                            <w:szCs w:val="21"/>
                          </w:rPr>
                          <w:t>证券</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了解南京地区主要店面销售及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当地发展情况</w:t>
                        </w:r>
                      </w:p>
                    </w:tc>
                  </w:tr>
                  <w:tr>
                    <w:trPr>
                      <w:trHeight w:val="9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华夏基金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both"/>
                          <w:rPr>
                            <w:rFonts w:ascii="宋体" w:hAnsi="宋体" w:cs="宋体" w:eastAsia="宋体" w:hint="default"/>
                            <w:sz w:val="21"/>
                            <w:szCs w:val="21"/>
                          </w:rPr>
                        </w:pPr>
                        <w:r>
                          <w:rPr>
                            <w:rFonts w:ascii="宋体" w:hAnsi="宋体" w:cs="宋体" w:eastAsia="宋体" w:hint="default"/>
                            <w:spacing w:val="-2"/>
                            <w:sz w:val="21"/>
                            <w:szCs w:val="21"/>
                          </w:rPr>
                          <w:t>了解公司最近两年三四线城市</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新店销售情况及乐购仕门店销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售情况</w:t>
                        </w:r>
                      </w:p>
                    </w:tc>
                  </w:tr>
                  <w:tr>
                    <w:trPr>
                      <w:trHeight w:val="63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建信基金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了解北京地区主要店面销售及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当地发展情况</w:t>
                        </w:r>
                      </w:p>
                    </w:tc>
                  </w:tr>
                  <w:tr>
                    <w:trPr>
                      <w:trHeight w:val="9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易方达基金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both"/>
                          <w:rPr>
                            <w:rFonts w:ascii="宋体" w:hAnsi="宋体" w:cs="宋体" w:eastAsia="宋体" w:hint="default"/>
                            <w:sz w:val="21"/>
                            <w:szCs w:val="21"/>
                          </w:rPr>
                        </w:pPr>
                        <w:r>
                          <w:rPr>
                            <w:rFonts w:ascii="宋体" w:hAnsi="宋体" w:cs="宋体" w:eastAsia="宋体" w:hint="default"/>
                            <w:spacing w:val="-2"/>
                            <w:sz w:val="21"/>
                            <w:szCs w:val="21"/>
                          </w:rPr>
                          <w:t>了解公司电子商务物流配套建</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设规划及电子商务市场竞争情</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况</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宋体" w:hAnsi="宋体" w:cs="宋体" w:eastAsia="宋体" w:hint="default"/>
                            <w:sz w:val="21"/>
                            <w:szCs w:val="21"/>
                          </w:rPr>
                        </w:pPr>
                        <w:r>
                          <w:rPr>
                            <w:rFonts w:ascii="宋体"/>
                            <w:sz w:val="21"/>
                          </w:rPr>
                          <w:t>DWS</w:t>
                        </w:r>
                        <w:r>
                          <w:rPr>
                            <w:rFonts w:ascii="宋体"/>
                            <w:spacing w:val="-52"/>
                            <w:sz w:val="21"/>
                          </w:rPr>
                          <w:t> </w:t>
                        </w:r>
                        <w:r>
                          <w:rPr>
                            <w:rFonts w:ascii="宋体"/>
                            <w:sz w:val="21"/>
                          </w:rPr>
                          <w:t>Investment</w:t>
                        </w:r>
                        <w:r>
                          <w:rPr>
                            <w:rFonts w:ascii="宋体"/>
                            <w:spacing w:val="-52"/>
                            <w:sz w:val="21"/>
                          </w:rPr>
                          <w:t> </w:t>
                        </w:r>
                        <w:r>
                          <w:rPr>
                            <w:rFonts w:ascii="宋体"/>
                            <w:sz w:val="21"/>
                          </w:rPr>
                          <w:t>S.A</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了解成都地区主要店面销售及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当地发展情况</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公司办公室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麒麟资产</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了解公司家电节能补贴政策实</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施情况及二三级市场拓展规划</w:t>
                        </w:r>
                      </w:p>
                    </w:tc>
                  </w:tr>
                  <w:tr>
                    <w:trPr>
                      <w:trHeight w:val="9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sz w:val="21"/>
                          </w:rPr>
                          <w:t>T. Rowe Price</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了解公司电子商务方面的整体</w:t>
                        </w:r>
                        <w:r>
                          <w:rPr>
                            <w:rFonts w:ascii="宋体" w:hAnsi="宋体" w:cs="宋体" w:eastAsia="宋体" w:hint="default"/>
                            <w:w w:val="100"/>
                            <w:sz w:val="21"/>
                            <w:szCs w:val="21"/>
                          </w:rPr>
                          <w:t> </w:t>
                        </w:r>
                        <w:r>
                          <w:rPr>
                            <w:rFonts w:ascii="宋体" w:hAnsi="宋体" w:cs="宋体" w:eastAsia="宋体" w:hint="default"/>
                            <w:spacing w:val="-8"/>
                            <w:w w:val="100"/>
                            <w:sz w:val="21"/>
                            <w:szCs w:val="21"/>
                          </w:rPr>
                          <w:t>战略及目标、线上线下业务的未</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来发展定位</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财富里昂证券</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了解公司第二季度的业务发展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情况及对各级市场的未来策略</w:t>
                        </w:r>
                      </w:p>
                    </w:tc>
                  </w:tr>
                  <w:tr>
                    <w:trPr>
                      <w:trHeight w:val="63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4"/>
                          <w:jc w:val="center"/>
                          <w:rPr>
                            <w:rFonts w:ascii="宋体" w:hAnsi="宋体" w:cs="宋体" w:eastAsia="宋体" w:hint="default"/>
                            <w:sz w:val="21"/>
                            <w:szCs w:val="21"/>
                          </w:rPr>
                        </w:pPr>
                        <w:r>
                          <w:rPr>
                            <w:rFonts w:ascii="宋体" w:hAnsi="宋体" w:cs="宋体" w:eastAsia="宋体" w:hint="default"/>
                            <w:sz w:val="21"/>
                            <w:szCs w:val="21"/>
                          </w:rPr>
                          <w:t>公司办公室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新光投信资产管理</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了解公司未来控制费用的措施</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及最近两年开店计划</w:t>
                        </w:r>
                      </w:p>
                    </w:tc>
                  </w:tr>
                  <w:tr>
                    <w:trPr>
                      <w:trHeight w:val="9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光大永明资产</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6"/>
                          <w:jc w:val="both"/>
                          <w:rPr>
                            <w:rFonts w:ascii="宋体" w:hAnsi="宋体" w:cs="宋体" w:eastAsia="宋体" w:hint="default"/>
                            <w:sz w:val="21"/>
                            <w:szCs w:val="21"/>
                          </w:rPr>
                        </w:pPr>
                        <w:r>
                          <w:rPr>
                            <w:rFonts w:ascii="宋体" w:hAnsi="宋体" w:cs="宋体" w:eastAsia="宋体" w:hint="default"/>
                            <w:sz w:val="21"/>
                            <w:szCs w:val="21"/>
                          </w:rPr>
                          <w:t>了解目前</w:t>
                        </w:r>
                        <w:r>
                          <w:rPr>
                            <w:rFonts w:ascii="宋体" w:hAnsi="宋体" w:cs="宋体" w:eastAsia="宋体" w:hint="default"/>
                            <w:spacing w:val="-53"/>
                            <w:sz w:val="21"/>
                            <w:szCs w:val="21"/>
                          </w:rPr>
                          <w:t> </w:t>
                        </w:r>
                        <w:r>
                          <w:rPr>
                            <w:rFonts w:ascii="宋体" w:hAnsi="宋体" w:cs="宋体" w:eastAsia="宋体" w:hint="default"/>
                            <w:sz w:val="21"/>
                            <w:szCs w:val="21"/>
                          </w:rPr>
                          <w:t>B2C</w:t>
                        </w:r>
                        <w:r>
                          <w:rPr>
                            <w:rFonts w:ascii="宋体" w:hAnsi="宋体" w:cs="宋体" w:eastAsia="宋体" w:hint="default"/>
                            <w:spacing w:val="-52"/>
                            <w:sz w:val="21"/>
                            <w:szCs w:val="21"/>
                          </w:rPr>
                          <w:t> </w:t>
                        </w:r>
                        <w:r>
                          <w:rPr>
                            <w:rFonts w:ascii="宋体" w:hAnsi="宋体" w:cs="宋体" w:eastAsia="宋体" w:hint="default"/>
                            <w:sz w:val="21"/>
                            <w:szCs w:val="21"/>
                          </w:rPr>
                          <w:t>市场的竞争格局</w:t>
                        </w:r>
                        <w:r>
                          <w:rPr>
                            <w:rFonts w:ascii="宋体" w:hAnsi="宋体" w:cs="宋体" w:eastAsia="宋体" w:hint="default"/>
                            <w:w w:val="100"/>
                            <w:sz w:val="21"/>
                            <w:szCs w:val="21"/>
                          </w:rPr>
                          <w:t> </w:t>
                        </w:r>
                        <w:r>
                          <w:rPr>
                            <w:rFonts w:ascii="宋体" w:hAnsi="宋体" w:cs="宋体" w:eastAsia="宋体" w:hint="default"/>
                            <w:spacing w:val="-2"/>
                            <w:sz w:val="21"/>
                            <w:szCs w:val="21"/>
                          </w:rPr>
                          <w:t>及公司电子商务未来的经营规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划尤其是产品拓展规划</w:t>
                        </w:r>
                      </w:p>
                    </w:tc>
                  </w:tr>
                  <w:tr>
                    <w:trPr>
                      <w:trHeight w:val="125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富达基金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8"/>
                            <w:w w:val="100"/>
                            <w:sz w:val="21"/>
                            <w:szCs w:val="21"/>
                          </w:rPr>
                          <w:t>了解公司提升利润、降低成本的</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措施、公司线上业务销售目标</w:t>
                        </w:r>
                        <w:r>
                          <w:rPr>
                            <w:rFonts w:ascii="宋体" w:hAnsi="宋体" w:cs="宋体" w:eastAsia="宋体" w:hint="default"/>
                            <w:w w:val="100"/>
                            <w:sz w:val="21"/>
                            <w:szCs w:val="21"/>
                          </w:rPr>
                          <w:t> </w:t>
                        </w:r>
                        <w:r>
                          <w:rPr>
                            <w:rFonts w:ascii="宋体" w:hAnsi="宋体" w:cs="宋体" w:eastAsia="宋体" w:hint="default"/>
                            <w:sz w:val="21"/>
                            <w:szCs w:val="21"/>
                          </w:rPr>
                          <w:t>目前发展状况以及物流基地建</w:t>
                        </w:r>
                        <w:r>
                          <w:rPr>
                            <w:rFonts w:ascii="宋体" w:hAnsi="宋体" w:cs="宋体" w:eastAsia="宋体" w:hint="default"/>
                            <w:w w:val="100"/>
                            <w:sz w:val="21"/>
                            <w:szCs w:val="21"/>
                          </w:rPr>
                          <w:t> </w:t>
                        </w:r>
                        <w:r>
                          <w:rPr>
                            <w:rFonts w:ascii="宋体" w:hAnsi="宋体" w:cs="宋体" w:eastAsia="宋体" w:hint="default"/>
                            <w:sz w:val="21"/>
                            <w:szCs w:val="21"/>
                          </w:rPr>
                          <w:t>设情况</w:t>
                        </w:r>
                      </w:p>
                    </w:tc>
                  </w:tr>
                  <w:tr>
                    <w:trPr>
                      <w:trHeight w:val="125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海角资产管理公司</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了解南宁朝阳路店总体运营情</w:t>
                        </w:r>
                        <w:r>
                          <w:rPr>
                            <w:rFonts w:ascii="宋体" w:hAnsi="宋体" w:cs="宋体" w:eastAsia="宋体" w:hint="default"/>
                            <w:w w:val="100"/>
                            <w:sz w:val="21"/>
                            <w:szCs w:val="21"/>
                          </w:rPr>
                          <w:t> </w:t>
                        </w:r>
                        <w:r>
                          <w:rPr>
                            <w:rFonts w:ascii="宋体" w:hAnsi="宋体" w:cs="宋体" w:eastAsia="宋体" w:hint="default"/>
                            <w:spacing w:val="-8"/>
                            <w:sz w:val="21"/>
                            <w:szCs w:val="21"/>
                          </w:rPr>
                          <w:t>况，开店以来调整升级过程，岗</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位人员配置情况及各品类销售</w:t>
                        </w:r>
                        <w:r>
                          <w:rPr>
                            <w:rFonts w:ascii="宋体" w:hAnsi="宋体" w:cs="宋体" w:eastAsia="宋体" w:hint="default"/>
                            <w:w w:val="100"/>
                            <w:sz w:val="21"/>
                            <w:szCs w:val="21"/>
                          </w:rPr>
                          <w:t> </w:t>
                        </w:r>
                        <w:r>
                          <w:rPr>
                            <w:rFonts w:ascii="宋体" w:hAnsi="宋体" w:cs="宋体" w:eastAsia="宋体" w:hint="default"/>
                            <w:sz w:val="21"/>
                            <w:szCs w:val="21"/>
                          </w:rPr>
                          <w:t>占比情况</w:t>
                        </w:r>
                      </w:p>
                    </w:tc>
                  </w:tr>
                  <w:tr>
                    <w:trPr>
                      <w:trHeight w:val="250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z w:val="21"/>
                            <w:szCs w:val="21"/>
                          </w:rPr>
                          <w:t>兴业全球基金</w:t>
                        </w:r>
                        <w:r>
                          <w:rPr>
                            <w:rFonts w:ascii="宋体" w:hAnsi="宋体" w:cs="宋体" w:eastAsia="宋体" w:hint="default"/>
                            <w:sz w:val="21"/>
                            <w:szCs w:val="21"/>
                          </w:rPr>
                          <w:t>;</w:t>
                        </w:r>
                        <w:r>
                          <w:rPr>
                            <w:rFonts w:ascii="宋体" w:hAnsi="宋体" w:cs="宋体" w:eastAsia="宋体" w:hint="default"/>
                            <w:sz w:val="21"/>
                            <w:szCs w:val="21"/>
                          </w:rPr>
                          <w:t>广发</w:t>
                        </w:r>
                        <w:r>
                          <w:rPr>
                            <w:rFonts w:ascii="宋体" w:hAnsi="宋体" w:cs="宋体" w:eastAsia="宋体" w:hint="default"/>
                            <w:w w:val="100"/>
                            <w:sz w:val="21"/>
                            <w:szCs w:val="21"/>
                          </w:rPr>
                          <w:t> </w:t>
                        </w:r>
                        <w:r>
                          <w:rPr>
                            <w:rFonts w:ascii="宋体" w:hAnsi="宋体" w:cs="宋体" w:eastAsia="宋体" w:hint="default"/>
                            <w:sz w:val="21"/>
                            <w:szCs w:val="21"/>
                          </w:rPr>
                          <w:t>基金</w:t>
                        </w:r>
                        <w:r>
                          <w:rPr>
                            <w:rFonts w:ascii="宋体" w:hAnsi="宋体" w:cs="宋体" w:eastAsia="宋体" w:hint="default"/>
                            <w:sz w:val="21"/>
                            <w:szCs w:val="21"/>
                          </w:rPr>
                          <w:t>;</w:t>
                        </w:r>
                        <w:r>
                          <w:rPr>
                            <w:rFonts w:ascii="宋体" w:hAnsi="宋体" w:cs="宋体" w:eastAsia="宋体" w:hint="default"/>
                            <w:sz w:val="21"/>
                            <w:szCs w:val="21"/>
                          </w:rPr>
                          <w:t>华安基金</w:t>
                        </w:r>
                        <w:r>
                          <w:rPr>
                            <w:rFonts w:ascii="宋体" w:hAnsi="宋体" w:cs="宋体" w:eastAsia="宋体" w:hint="default"/>
                            <w:sz w:val="21"/>
                            <w:szCs w:val="21"/>
                          </w:rPr>
                          <w:t>;</w:t>
                        </w:r>
                        <w:r>
                          <w:rPr>
                            <w:rFonts w:ascii="宋体" w:hAnsi="宋体" w:cs="宋体" w:eastAsia="宋体" w:hint="default"/>
                            <w:sz w:val="21"/>
                            <w:szCs w:val="21"/>
                          </w:rPr>
                          <w:t>光</w:t>
                        </w:r>
                        <w:r>
                          <w:rPr>
                            <w:rFonts w:ascii="宋体" w:hAnsi="宋体" w:cs="宋体" w:eastAsia="宋体" w:hint="default"/>
                            <w:w w:val="100"/>
                            <w:sz w:val="21"/>
                            <w:szCs w:val="21"/>
                          </w:rPr>
                          <w:t> </w:t>
                        </w:r>
                        <w:r>
                          <w:rPr>
                            <w:rFonts w:ascii="宋体" w:hAnsi="宋体" w:cs="宋体" w:eastAsia="宋体" w:hint="default"/>
                            <w:sz w:val="21"/>
                            <w:szCs w:val="21"/>
                          </w:rPr>
                          <w:t>大保德信基金</w:t>
                        </w:r>
                        <w:r>
                          <w:rPr>
                            <w:rFonts w:ascii="宋体" w:hAnsi="宋体" w:cs="宋体" w:eastAsia="宋体" w:hint="default"/>
                            <w:sz w:val="21"/>
                            <w:szCs w:val="21"/>
                          </w:rPr>
                          <w:t>;</w:t>
                        </w:r>
                        <w:r>
                          <w:rPr>
                            <w:rFonts w:ascii="宋体" w:hAnsi="宋体" w:cs="宋体" w:eastAsia="宋体" w:hint="default"/>
                            <w:sz w:val="21"/>
                            <w:szCs w:val="21"/>
                          </w:rPr>
                          <w:t>申万</w:t>
                        </w:r>
                        <w:r>
                          <w:rPr>
                            <w:rFonts w:ascii="宋体" w:hAnsi="宋体" w:cs="宋体" w:eastAsia="宋体" w:hint="default"/>
                            <w:w w:val="100"/>
                            <w:sz w:val="21"/>
                            <w:szCs w:val="21"/>
                          </w:rPr>
                          <w:t> </w:t>
                        </w:r>
                        <w:r>
                          <w:rPr>
                            <w:rFonts w:ascii="宋体" w:hAnsi="宋体" w:cs="宋体" w:eastAsia="宋体" w:hint="default"/>
                            <w:sz w:val="21"/>
                            <w:szCs w:val="21"/>
                          </w:rPr>
                          <w:t>菱信基金</w:t>
                        </w:r>
                        <w:r>
                          <w:rPr>
                            <w:rFonts w:ascii="宋体" w:hAnsi="宋体" w:cs="宋体" w:eastAsia="宋体" w:hint="default"/>
                            <w:sz w:val="21"/>
                            <w:szCs w:val="21"/>
                          </w:rPr>
                          <w:t>;</w:t>
                        </w:r>
                        <w:r>
                          <w:rPr>
                            <w:rFonts w:ascii="宋体" w:hAnsi="宋体" w:cs="宋体" w:eastAsia="宋体" w:hint="default"/>
                            <w:sz w:val="21"/>
                            <w:szCs w:val="21"/>
                          </w:rPr>
                          <w:t>国泰基</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w:t>
                        </w:r>
                        <w:r>
                          <w:rPr>
                            <w:rFonts w:ascii="宋体" w:hAnsi="宋体" w:cs="宋体" w:eastAsia="宋体" w:hint="default"/>
                            <w:sz w:val="21"/>
                            <w:szCs w:val="21"/>
                          </w:rPr>
                          <w:t>光大证券自营</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sz w:val="21"/>
                            <w:szCs w:val="21"/>
                          </w:rPr>
                          <w:t>;</w:t>
                        </w:r>
                        <w:r>
                          <w:rPr>
                            <w:rFonts w:ascii="宋体" w:hAnsi="宋体" w:cs="宋体" w:eastAsia="宋体" w:hint="default"/>
                            <w:sz w:val="21"/>
                            <w:szCs w:val="21"/>
                          </w:rPr>
                          <w:t>人保资产</w:t>
                        </w:r>
                        <w:r>
                          <w:rPr>
                            <w:rFonts w:ascii="宋体" w:hAnsi="宋体" w:cs="宋体" w:eastAsia="宋体" w:hint="default"/>
                            <w:sz w:val="21"/>
                            <w:szCs w:val="21"/>
                          </w:rPr>
                          <w:t>;</w:t>
                        </w:r>
                        <w:r>
                          <w:rPr>
                            <w:rFonts w:ascii="宋体" w:hAnsi="宋体" w:cs="宋体" w:eastAsia="宋体" w:hint="default"/>
                            <w:sz w:val="21"/>
                            <w:szCs w:val="21"/>
                          </w:rPr>
                          <w:t>合众</w:t>
                        </w:r>
                        <w:r>
                          <w:rPr>
                            <w:rFonts w:ascii="宋体" w:hAnsi="宋体" w:cs="宋体" w:eastAsia="宋体" w:hint="default"/>
                            <w:spacing w:val="-3"/>
                            <w:w w:val="100"/>
                            <w:sz w:val="21"/>
                            <w:szCs w:val="21"/>
                          </w:rPr>
                          <w:t> </w:t>
                        </w:r>
                        <w:r>
                          <w:rPr>
                            <w:rFonts w:ascii="宋体" w:hAnsi="宋体" w:cs="宋体" w:eastAsia="宋体" w:hint="default"/>
                            <w:sz w:val="21"/>
                            <w:szCs w:val="21"/>
                          </w:rPr>
                          <w:t>人寿</w:t>
                        </w:r>
                        <w:r>
                          <w:rPr>
                            <w:rFonts w:ascii="宋体" w:hAnsi="宋体" w:cs="宋体" w:eastAsia="宋体" w:hint="default"/>
                            <w:sz w:val="21"/>
                            <w:szCs w:val="21"/>
                          </w:rPr>
                          <w:t>;</w:t>
                        </w:r>
                        <w:r>
                          <w:rPr>
                            <w:rFonts w:ascii="宋体" w:hAnsi="宋体" w:cs="宋体" w:eastAsia="宋体" w:hint="default"/>
                            <w:sz w:val="21"/>
                            <w:szCs w:val="21"/>
                          </w:rPr>
                          <w:t>新思哲投资</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中投证券</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了解目前公司物流的建设情况</w:t>
                        </w:r>
                        <w:r>
                          <w:rPr>
                            <w:rFonts w:ascii="宋体" w:hAnsi="宋体" w:cs="宋体" w:eastAsia="宋体" w:hint="default"/>
                            <w:w w:val="100"/>
                            <w:sz w:val="21"/>
                            <w:szCs w:val="21"/>
                          </w:rPr>
                          <w:t> </w:t>
                        </w:r>
                        <w:r>
                          <w:rPr>
                            <w:rFonts w:ascii="宋体" w:hAnsi="宋体" w:cs="宋体" w:eastAsia="宋体" w:hint="default"/>
                            <w:spacing w:val="-8"/>
                            <w:w w:val="100"/>
                            <w:sz w:val="21"/>
                            <w:szCs w:val="21"/>
                          </w:rPr>
                          <w:t>及后续发展战略，了解公司上半</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年连锁店发展情况及乐购仕的</w:t>
                        </w:r>
                        <w:r>
                          <w:rPr>
                            <w:rFonts w:ascii="宋体" w:hAnsi="宋体" w:cs="宋体" w:eastAsia="宋体" w:hint="default"/>
                            <w:w w:val="100"/>
                            <w:sz w:val="21"/>
                            <w:szCs w:val="21"/>
                          </w:rPr>
                          <w:t> </w:t>
                        </w:r>
                        <w:r>
                          <w:rPr>
                            <w:rFonts w:ascii="宋体" w:hAnsi="宋体" w:cs="宋体" w:eastAsia="宋体" w:hint="default"/>
                            <w:sz w:val="21"/>
                            <w:szCs w:val="21"/>
                          </w:rPr>
                          <w:t>发展规划</w:t>
                        </w:r>
                      </w:p>
                    </w:tc>
                  </w:tr>
                  <w:tr>
                    <w:trPr>
                      <w:trHeight w:val="63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中信证券</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8"/>
                            <w:w w:val="100"/>
                            <w:sz w:val="21"/>
                            <w:szCs w:val="21"/>
                          </w:rPr>
                          <w:t>了解易购下半年的收入、利润提</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升措施及开放平台未来发展计</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pStyle w:val="BodyText"/>
        <w:spacing w:line="240" w:lineRule="auto" w:before="36"/>
        <w:ind w:left="0" w:right="1133"/>
        <w:jc w:val="right"/>
      </w:pPr>
      <w:r>
        <w:rPr>
          <w:w w:val="100"/>
        </w:rPr>
        <w:t>、</w:t>
      </w:r>
    </w:p>
    <w:p>
      <w:pPr>
        <w:spacing w:after="0" w:line="240" w:lineRule="auto"/>
        <w:jc w:val="right"/>
        <w:sectPr>
          <w:pgSz w:w="11910" w:h="16840"/>
          <w:pgMar w:header="877" w:footer="980" w:top="1100" w:bottom="1160" w:left="98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1744" type="#_x0000_t75" stroked="false">
            <v:imagedata r:id="rId10" o:title=""/>
          </v:shape>
        </w:pict>
      </w:r>
      <w:r>
        <w:rPr/>
        <w:pict>
          <v:shape style="position:absolute;margin-left:56.400002pt;margin-top:71.999985pt;width:479.3pt;height:692.5pt;mso-position-horizontal-relative:page;mso-position-vertical-relative:page;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4"/>
                    <w:gridCol w:w="1148"/>
                    <w:gridCol w:w="979"/>
                    <w:gridCol w:w="850"/>
                    <w:gridCol w:w="1844"/>
                    <w:gridCol w:w="2907"/>
                  </w:tblGrid>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划</w:t>
                        </w:r>
                      </w:p>
                    </w:tc>
                  </w:tr>
                  <w:tr>
                    <w:trPr>
                      <w:trHeight w:val="9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财通证券研究所</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both"/>
                          <w:rPr>
                            <w:rFonts w:ascii="宋体" w:hAnsi="宋体" w:cs="宋体" w:eastAsia="宋体" w:hint="default"/>
                            <w:sz w:val="21"/>
                            <w:szCs w:val="21"/>
                          </w:rPr>
                        </w:pPr>
                        <w:r>
                          <w:rPr>
                            <w:rFonts w:ascii="宋体" w:hAnsi="宋体" w:cs="宋体" w:eastAsia="宋体" w:hint="default"/>
                            <w:spacing w:val="-8"/>
                            <w:w w:val="100"/>
                            <w:sz w:val="21"/>
                            <w:szCs w:val="21"/>
                          </w:rPr>
                          <w:t>了解公司物流建设情况，了解易</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购进一步丰富</w:t>
                        </w:r>
                        <w:r>
                          <w:rPr>
                            <w:rFonts w:ascii="宋体" w:hAnsi="宋体" w:cs="宋体" w:eastAsia="宋体" w:hint="default"/>
                            <w:spacing w:val="-41"/>
                            <w:sz w:val="21"/>
                            <w:szCs w:val="21"/>
                          </w:rPr>
                          <w:t> </w:t>
                        </w:r>
                        <w:r>
                          <w:rPr>
                            <w:rFonts w:ascii="宋体" w:hAnsi="宋体" w:cs="宋体" w:eastAsia="宋体" w:hint="default"/>
                            <w:spacing w:val="-6"/>
                            <w:sz w:val="21"/>
                            <w:szCs w:val="21"/>
                          </w:rPr>
                          <w:t>SKU</w:t>
                        </w:r>
                        <w:r>
                          <w:rPr>
                            <w:rFonts w:ascii="宋体" w:hAnsi="宋体" w:cs="宋体" w:eastAsia="宋体" w:hint="default"/>
                            <w:spacing w:val="-6"/>
                            <w:sz w:val="21"/>
                            <w:szCs w:val="21"/>
                          </w:rPr>
                          <w:t>、提升用户体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验、提高盈利水平的具体措施</w:t>
                        </w:r>
                      </w:p>
                    </w:tc>
                  </w:tr>
                  <w:tr>
                    <w:trPr>
                      <w:trHeight w:val="125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GCIC</w:t>
                        </w:r>
                        <w:r>
                          <w:rPr>
                            <w:rFonts w:ascii="宋体"/>
                            <w:spacing w:val="1"/>
                            <w:sz w:val="21"/>
                          </w:rPr>
                          <w:t> </w:t>
                        </w:r>
                        <w:r>
                          <w:rPr>
                            <w:rFonts w:ascii="宋体"/>
                            <w:sz w:val="21"/>
                          </w:rPr>
                          <w:t>Ltd</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了解南京淮海路店总体运营情</w:t>
                        </w:r>
                        <w:r>
                          <w:rPr>
                            <w:rFonts w:ascii="宋体" w:hAnsi="宋体" w:cs="宋体" w:eastAsia="宋体" w:hint="default"/>
                            <w:w w:val="100"/>
                            <w:sz w:val="21"/>
                            <w:szCs w:val="21"/>
                          </w:rPr>
                          <w:t> </w:t>
                        </w:r>
                        <w:r>
                          <w:rPr>
                            <w:rFonts w:ascii="宋体" w:hAnsi="宋体" w:cs="宋体" w:eastAsia="宋体" w:hint="default"/>
                            <w:spacing w:val="-8"/>
                            <w:sz w:val="21"/>
                            <w:szCs w:val="21"/>
                          </w:rPr>
                          <w:t>况，开店以来调整升级过程，岗</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位人员配置情况及各品类销售</w:t>
                        </w:r>
                        <w:r>
                          <w:rPr>
                            <w:rFonts w:ascii="宋体" w:hAnsi="宋体" w:cs="宋体" w:eastAsia="宋体" w:hint="default"/>
                            <w:w w:val="100"/>
                            <w:sz w:val="21"/>
                            <w:szCs w:val="21"/>
                          </w:rPr>
                          <w:t> </w:t>
                        </w:r>
                        <w:r>
                          <w:rPr>
                            <w:rFonts w:ascii="宋体" w:hAnsi="宋体" w:cs="宋体" w:eastAsia="宋体" w:hint="default"/>
                            <w:sz w:val="21"/>
                            <w:szCs w:val="21"/>
                          </w:rPr>
                          <w:t>占比情况</w:t>
                        </w:r>
                      </w:p>
                    </w:tc>
                  </w:tr>
                  <w:tr>
                    <w:trPr>
                      <w:trHeight w:val="126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Soros</w:t>
                        </w:r>
                        <w:r>
                          <w:rPr>
                            <w:rFonts w:ascii="宋体"/>
                            <w:spacing w:val="3"/>
                            <w:sz w:val="21"/>
                          </w:rPr>
                          <w:t> </w:t>
                        </w:r>
                        <w:r>
                          <w:rPr>
                            <w:rFonts w:ascii="宋体"/>
                            <w:sz w:val="21"/>
                          </w:rPr>
                          <w:t>Fund</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both"/>
                          <w:rPr>
                            <w:rFonts w:ascii="宋体" w:hAnsi="宋体" w:cs="宋体" w:eastAsia="宋体" w:hint="default"/>
                            <w:sz w:val="21"/>
                            <w:szCs w:val="21"/>
                          </w:rPr>
                        </w:pPr>
                        <w:r>
                          <w:rPr>
                            <w:rFonts w:ascii="宋体" w:hAnsi="宋体" w:cs="宋体" w:eastAsia="宋体" w:hint="default"/>
                            <w:spacing w:val="-8"/>
                            <w:w w:val="100"/>
                            <w:sz w:val="21"/>
                            <w:szCs w:val="21"/>
                          </w:rPr>
                          <w:t>了解北京朝阳路店运营情况，业</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8"/>
                            <w:w w:val="100"/>
                            <w:sz w:val="21"/>
                            <w:szCs w:val="21"/>
                          </w:rPr>
                          <w:t>绩增长情况，以及未来对产品结</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8"/>
                            <w:w w:val="100"/>
                            <w:sz w:val="21"/>
                            <w:szCs w:val="21"/>
                          </w:rPr>
                          <w:t>构、人员结构进一步优化的具体</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措施</w:t>
                        </w:r>
                      </w:p>
                    </w:tc>
                  </w:tr>
                  <w:tr>
                    <w:trPr>
                      <w:trHeight w:val="125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韩国投资证券公司</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both"/>
                          <w:rPr>
                            <w:rFonts w:ascii="宋体" w:hAnsi="宋体" w:cs="宋体" w:eastAsia="宋体" w:hint="default"/>
                            <w:sz w:val="21"/>
                            <w:szCs w:val="21"/>
                          </w:rPr>
                        </w:pPr>
                        <w:r>
                          <w:rPr>
                            <w:rFonts w:ascii="宋体" w:hAnsi="宋体" w:cs="宋体" w:eastAsia="宋体" w:hint="default"/>
                            <w:sz w:val="21"/>
                            <w:szCs w:val="21"/>
                          </w:rPr>
                          <w:t>了解南京淮海路店自</w:t>
                        </w:r>
                        <w:r>
                          <w:rPr>
                            <w:rFonts w:ascii="宋体" w:hAnsi="宋体" w:cs="宋体" w:eastAsia="宋体" w:hint="default"/>
                            <w:spacing w:val="-52"/>
                            <w:sz w:val="21"/>
                            <w:szCs w:val="21"/>
                          </w:rPr>
                          <w:t> </w:t>
                        </w:r>
                        <w:r>
                          <w:rPr>
                            <w:rFonts w:ascii="宋体" w:hAnsi="宋体" w:cs="宋体" w:eastAsia="宋体" w:hint="default"/>
                            <w:sz w:val="21"/>
                            <w:szCs w:val="21"/>
                          </w:rPr>
                          <w:t>1999</w:t>
                        </w:r>
                        <w:r>
                          <w:rPr>
                            <w:rFonts w:ascii="宋体" w:hAnsi="宋体" w:cs="宋体" w:eastAsia="宋体" w:hint="default"/>
                            <w:spacing w:val="-55"/>
                            <w:sz w:val="21"/>
                            <w:szCs w:val="21"/>
                          </w:rPr>
                          <w:t> </w:t>
                        </w:r>
                        <w:r>
                          <w:rPr>
                            <w:rFonts w:ascii="宋体" w:hAnsi="宋体" w:cs="宋体" w:eastAsia="宋体" w:hint="default"/>
                            <w:sz w:val="21"/>
                            <w:szCs w:val="21"/>
                          </w:rPr>
                          <w:t>年开</w:t>
                        </w:r>
                        <w:r>
                          <w:rPr>
                            <w:rFonts w:ascii="宋体" w:hAnsi="宋体" w:cs="宋体" w:eastAsia="宋体" w:hint="default"/>
                            <w:w w:val="100"/>
                            <w:sz w:val="21"/>
                            <w:szCs w:val="21"/>
                          </w:rPr>
                          <w:t> </w:t>
                        </w:r>
                        <w:r>
                          <w:rPr>
                            <w:rFonts w:ascii="宋体" w:hAnsi="宋体" w:cs="宋体" w:eastAsia="宋体" w:hint="default"/>
                            <w:spacing w:val="-8"/>
                            <w:w w:val="100"/>
                            <w:sz w:val="21"/>
                            <w:szCs w:val="21"/>
                          </w:rPr>
                          <w:t>业以来的发展历程，近期门店销</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8"/>
                            <w:sz w:val="21"/>
                            <w:szCs w:val="21"/>
                          </w:rPr>
                          <w:t>售情况，自主品牌销售情况，以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及未来店面优化调整的规划</w:t>
                        </w:r>
                      </w:p>
                    </w:tc>
                  </w:tr>
                  <w:tr>
                    <w:trPr>
                      <w:trHeight w:val="125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公司办公室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Farallon Capital</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了解公司二季度销售收入增长</w:t>
                        </w:r>
                        <w:r>
                          <w:rPr>
                            <w:rFonts w:ascii="宋体" w:hAnsi="宋体" w:cs="宋体" w:eastAsia="宋体" w:hint="default"/>
                            <w:w w:val="100"/>
                            <w:sz w:val="21"/>
                            <w:szCs w:val="21"/>
                          </w:rPr>
                          <w:t> </w:t>
                        </w:r>
                        <w:r>
                          <w:rPr>
                            <w:rFonts w:ascii="宋体" w:hAnsi="宋体" w:cs="宋体" w:eastAsia="宋体" w:hint="default"/>
                            <w:sz w:val="21"/>
                            <w:szCs w:val="21"/>
                          </w:rPr>
                          <w:t>情况及目前品类销售占比及增</w:t>
                        </w:r>
                        <w:r>
                          <w:rPr>
                            <w:rFonts w:ascii="宋体" w:hAnsi="宋体" w:cs="宋体" w:eastAsia="宋体" w:hint="default"/>
                            <w:w w:val="100"/>
                            <w:sz w:val="21"/>
                            <w:szCs w:val="21"/>
                          </w:rPr>
                          <w:t> </w:t>
                        </w:r>
                        <w:r>
                          <w:rPr>
                            <w:rFonts w:ascii="宋体" w:hAnsi="宋体" w:cs="宋体" w:eastAsia="宋体" w:hint="default"/>
                            <w:spacing w:val="-8"/>
                            <w:w w:val="100"/>
                            <w:sz w:val="21"/>
                            <w:szCs w:val="21"/>
                          </w:rPr>
                          <w:t>长情况；了解易购二季度销售情</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况及未来发展规划</w:t>
                        </w:r>
                      </w:p>
                    </w:tc>
                  </w:tr>
                  <w:tr>
                    <w:trPr>
                      <w:trHeight w:val="188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z w:val="21"/>
                            <w:szCs w:val="21"/>
                          </w:rPr>
                          <w:t>富国基金</w:t>
                        </w:r>
                        <w:r>
                          <w:rPr>
                            <w:rFonts w:ascii="宋体" w:hAnsi="宋体" w:cs="宋体" w:eastAsia="宋体" w:hint="default"/>
                            <w:sz w:val="21"/>
                            <w:szCs w:val="21"/>
                          </w:rPr>
                          <w:t>;</w:t>
                        </w:r>
                        <w:r>
                          <w:rPr>
                            <w:rFonts w:ascii="宋体" w:hAnsi="宋体" w:cs="宋体" w:eastAsia="宋体" w:hint="default"/>
                            <w:sz w:val="21"/>
                            <w:szCs w:val="21"/>
                          </w:rPr>
                          <w:t>上投摩根</w:t>
                        </w:r>
                        <w:r>
                          <w:rPr>
                            <w:rFonts w:ascii="宋体" w:hAnsi="宋体" w:cs="宋体" w:eastAsia="宋体" w:hint="default"/>
                            <w:w w:val="100"/>
                            <w:sz w:val="21"/>
                            <w:szCs w:val="21"/>
                          </w:rPr>
                          <w:t> </w:t>
                        </w:r>
                        <w:r>
                          <w:rPr>
                            <w:rFonts w:ascii="宋体" w:hAnsi="宋体" w:cs="宋体" w:eastAsia="宋体" w:hint="default"/>
                            <w:sz w:val="21"/>
                            <w:szCs w:val="21"/>
                          </w:rPr>
                          <w:t>基金</w:t>
                        </w:r>
                        <w:r>
                          <w:rPr>
                            <w:rFonts w:ascii="宋体" w:hAnsi="宋体" w:cs="宋体" w:eastAsia="宋体" w:hint="default"/>
                            <w:sz w:val="21"/>
                            <w:szCs w:val="21"/>
                          </w:rPr>
                          <w:t>;</w:t>
                        </w:r>
                        <w:r>
                          <w:rPr>
                            <w:rFonts w:ascii="宋体" w:hAnsi="宋体" w:cs="宋体" w:eastAsia="宋体" w:hint="default"/>
                            <w:sz w:val="21"/>
                            <w:szCs w:val="21"/>
                          </w:rPr>
                          <w:t>嘉实基金</w:t>
                        </w:r>
                        <w:r>
                          <w:rPr>
                            <w:rFonts w:ascii="宋体" w:hAnsi="宋体" w:cs="宋体" w:eastAsia="宋体" w:hint="default"/>
                            <w:sz w:val="21"/>
                            <w:szCs w:val="21"/>
                          </w:rPr>
                          <w:t>;</w:t>
                        </w: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夏基金</w:t>
                        </w:r>
                        <w:r>
                          <w:rPr>
                            <w:rFonts w:ascii="宋体" w:hAnsi="宋体" w:cs="宋体" w:eastAsia="宋体" w:hint="default"/>
                            <w:sz w:val="21"/>
                            <w:szCs w:val="21"/>
                          </w:rPr>
                          <w:t>;</w:t>
                        </w:r>
                        <w:r>
                          <w:rPr>
                            <w:rFonts w:ascii="宋体" w:hAnsi="宋体" w:cs="宋体" w:eastAsia="宋体" w:hint="default"/>
                            <w:sz w:val="21"/>
                            <w:szCs w:val="21"/>
                          </w:rPr>
                          <w:t>国泰君安资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管部</w:t>
                        </w:r>
                        <w:r>
                          <w:rPr>
                            <w:rFonts w:ascii="宋体" w:hAnsi="宋体" w:cs="宋体" w:eastAsia="宋体" w:hint="default"/>
                            <w:sz w:val="21"/>
                            <w:szCs w:val="21"/>
                          </w:rPr>
                          <w:t>;</w:t>
                        </w:r>
                        <w:r>
                          <w:rPr>
                            <w:rFonts w:ascii="宋体" w:hAnsi="宋体" w:cs="宋体" w:eastAsia="宋体" w:hint="default"/>
                            <w:sz w:val="21"/>
                            <w:szCs w:val="21"/>
                          </w:rPr>
                          <w:t>中金资管部</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云南信托</w:t>
                        </w:r>
                        <w:r>
                          <w:rPr>
                            <w:rFonts w:ascii="宋体" w:hAnsi="宋体" w:cs="宋体" w:eastAsia="宋体" w:hint="default"/>
                            <w:sz w:val="21"/>
                            <w:szCs w:val="21"/>
                          </w:rPr>
                          <w:t>;</w:t>
                        </w:r>
                        <w:r>
                          <w:rPr>
                            <w:rFonts w:ascii="宋体" w:hAnsi="宋体" w:cs="宋体" w:eastAsia="宋体" w:hint="default"/>
                            <w:sz w:val="21"/>
                            <w:szCs w:val="21"/>
                          </w:rPr>
                          <w:t>日信证</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sz w:val="21"/>
                            <w:szCs w:val="21"/>
                          </w:rPr>
                          <w:t>;</w:t>
                        </w:r>
                        <w:r>
                          <w:rPr>
                            <w:rFonts w:ascii="宋体" w:hAnsi="宋体" w:cs="宋体" w:eastAsia="宋体" w:hint="default"/>
                            <w:sz w:val="21"/>
                            <w:szCs w:val="21"/>
                          </w:rPr>
                          <w:t>高华证券</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了解南京不同类型门店的经营</w:t>
                        </w:r>
                        <w:r>
                          <w:rPr>
                            <w:rFonts w:ascii="宋体" w:hAnsi="宋体" w:cs="宋体" w:eastAsia="宋体" w:hint="default"/>
                            <w:w w:val="100"/>
                            <w:sz w:val="21"/>
                            <w:szCs w:val="21"/>
                          </w:rPr>
                          <w:t> </w:t>
                        </w:r>
                        <w:r>
                          <w:rPr>
                            <w:rFonts w:ascii="宋体" w:hAnsi="宋体" w:cs="宋体" w:eastAsia="宋体" w:hint="default"/>
                            <w:spacing w:val="-8"/>
                            <w:sz w:val="21"/>
                            <w:szCs w:val="21"/>
                          </w:rPr>
                          <w:t>状况，各品类销售情况，未来线</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8"/>
                            <w:w w:val="100"/>
                            <w:sz w:val="21"/>
                            <w:szCs w:val="21"/>
                          </w:rPr>
                          <w:t>上线下融合战略举措，以及未来</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店面优化调整的规划</w:t>
                        </w:r>
                      </w:p>
                    </w:tc>
                  </w:tr>
                  <w:tr>
                    <w:trPr>
                      <w:trHeight w:val="313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sz w:val="21"/>
                          </w:rPr>
                          <w:t>Fidelity</w:t>
                        </w:r>
                        <w:r>
                          <w:rPr>
                            <w:rFonts w:ascii="宋体"/>
                            <w:w w:val="100"/>
                            <w:sz w:val="21"/>
                          </w:rPr>
                          <w:t> </w:t>
                        </w:r>
                        <w:r>
                          <w:rPr>
                            <w:rFonts w:ascii="宋体"/>
                            <w:sz w:val="21"/>
                          </w:rPr>
                          <w:t>Management &amp;</w:t>
                        </w:r>
                        <w:r>
                          <w:rPr>
                            <w:rFonts w:ascii="宋体"/>
                            <w:spacing w:val="-104"/>
                            <w:sz w:val="21"/>
                          </w:rPr>
                          <w:t> </w:t>
                        </w:r>
                        <w:r>
                          <w:rPr>
                            <w:rFonts w:ascii="宋体"/>
                            <w:spacing w:val="-104"/>
                            <w:sz w:val="21"/>
                          </w:rPr>
                        </w:r>
                        <w:r>
                          <w:rPr>
                            <w:rFonts w:ascii="宋体"/>
                            <w:sz w:val="21"/>
                          </w:rPr>
                          <w:t>Research;Invus</w:t>
                        </w:r>
                        <w:r>
                          <w:rPr>
                            <w:rFonts w:ascii="宋体"/>
                            <w:spacing w:val="-103"/>
                            <w:sz w:val="21"/>
                          </w:rPr>
                          <w:t> </w:t>
                        </w:r>
                        <w:r>
                          <w:rPr>
                            <w:rFonts w:ascii="宋体"/>
                            <w:spacing w:val="-103"/>
                            <w:sz w:val="21"/>
                          </w:rPr>
                        </w:r>
                        <w:r>
                          <w:rPr>
                            <w:rFonts w:ascii="宋体"/>
                            <w:sz w:val="21"/>
                          </w:rPr>
                          <w:t>Capital;Lion</w:t>
                        </w:r>
                        <w:r>
                          <w:rPr>
                            <w:rFonts w:ascii="宋体"/>
                            <w:w w:val="100"/>
                            <w:sz w:val="21"/>
                          </w:rPr>
                          <w:t> </w:t>
                        </w:r>
                        <w:r>
                          <w:rPr>
                            <w:rFonts w:ascii="宋体"/>
                            <w:sz w:val="21"/>
                          </w:rPr>
                          <w:t>Global;Neuberger</w:t>
                        </w:r>
                        <w:r>
                          <w:rPr>
                            <w:rFonts w:ascii="宋体"/>
                            <w:w w:val="100"/>
                            <w:sz w:val="21"/>
                          </w:rPr>
                          <w:t> </w:t>
                        </w:r>
                        <w:r>
                          <w:rPr>
                            <w:rFonts w:ascii="宋体"/>
                            <w:sz w:val="21"/>
                          </w:rPr>
                          <w:t>Berman;Sands</w:t>
                        </w:r>
                        <w:r>
                          <w:rPr>
                            <w:rFonts w:ascii="宋体"/>
                            <w:w w:val="100"/>
                            <w:sz w:val="21"/>
                          </w:rPr>
                          <w:t> </w:t>
                        </w:r>
                        <w:r>
                          <w:rPr>
                            <w:rFonts w:ascii="宋体"/>
                            <w:sz w:val="21"/>
                          </w:rPr>
                          <w:t>Capital</w:t>
                        </w:r>
                        <w:r>
                          <w:rPr>
                            <w:rFonts w:ascii="宋体"/>
                            <w:w w:val="100"/>
                            <w:sz w:val="21"/>
                          </w:rPr>
                          <w:t> </w:t>
                        </w:r>
                        <w:r>
                          <w:rPr>
                            <w:rFonts w:ascii="宋体"/>
                            <w:sz w:val="21"/>
                          </w:rPr>
                          <w:t>Management;Rkylin</w:t>
                        </w:r>
                      </w:p>
                      <w:p>
                        <w:pPr>
                          <w:pStyle w:val="TableParagraph"/>
                          <w:spacing w:line="273" w:lineRule="auto" w:before="7"/>
                          <w:ind w:left="23" w:right="19"/>
                          <w:jc w:val="left"/>
                          <w:rPr>
                            <w:rFonts w:ascii="宋体" w:hAnsi="宋体" w:cs="宋体" w:eastAsia="宋体" w:hint="default"/>
                            <w:sz w:val="21"/>
                            <w:szCs w:val="21"/>
                          </w:rPr>
                        </w:pPr>
                        <w:r>
                          <w:rPr>
                            <w:rFonts w:ascii="宋体"/>
                            <w:sz w:val="21"/>
                          </w:rPr>
                          <w:t>;Schroders;Tencen</w:t>
                        </w:r>
                        <w:r>
                          <w:rPr>
                            <w:rFonts w:ascii="宋体"/>
                            <w:w w:val="100"/>
                            <w:sz w:val="21"/>
                          </w:rPr>
                          <w:t> </w:t>
                        </w:r>
                        <w:r>
                          <w:rPr>
                            <w:rFonts w:ascii="宋体"/>
                            <w:sz w:val="21"/>
                          </w:rPr>
                          <w:t>t</w:t>
                        </w:r>
                        <w:r>
                          <w:rPr>
                            <w:rFonts w:ascii="宋体"/>
                            <w:spacing w:val="1"/>
                            <w:sz w:val="21"/>
                          </w:rPr>
                          <w:t> </w:t>
                        </w:r>
                        <w:r>
                          <w:rPr>
                            <w:rFonts w:ascii="宋体"/>
                            <w:sz w:val="21"/>
                          </w:rPr>
                          <w:t>VC</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了解苏宁易购的发展现状及各</w:t>
                        </w:r>
                        <w:r>
                          <w:rPr>
                            <w:rFonts w:ascii="宋体" w:hAnsi="宋体" w:cs="宋体" w:eastAsia="宋体" w:hint="default"/>
                            <w:w w:val="100"/>
                            <w:sz w:val="21"/>
                            <w:szCs w:val="21"/>
                          </w:rPr>
                          <w:t> </w:t>
                        </w:r>
                        <w:r>
                          <w:rPr>
                            <w:rFonts w:ascii="宋体" w:hAnsi="宋体" w:cs="宋体" w:eastAsia="宋体" w:hint="default"/>
                            <w:spacing w:val="-8"/>
                            <w:w w:val="100"/>
                            <w:sz w:val="21"/>
                            <w:szCs w:val="21"/>
                          </w:rPr>
                          <w:t>品类经营情况，了解公司目前店</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面调整情况</w:t>
                        </w:r>
                      </w:p>
                    </w:tc>
                  </w:tr>
                  <w:tr>
                    <w:trPr>
                      <w:trHeight w:val="125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华夏基金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了解北京联想桥店的日常经营</w:t>
                        </w:r>
                        <w:r>
                          <w:rPr>
                            <w:rFonts w:ascii="宋体" w:hAnsi="宋体" w:cs="宋体" w:eastAsia="宋体" w:hint="default"/>
                            <w:w w:val="100"/>
                            <w:sz w:val="21"/>
                            <w:szCs w:val="21"/>
                          </w:rPr>
                          <w:t> </w:t>
                        </w:r>
                        <w:r>
                          <w:rPr>
                            <w:rFonts w:ascii="宋体" w:hAnsi="宋体" w:cs="宋体" w:eastAsia="宋体" w:hint="default"/>
                            <w:sz w:val="21"/>
                            <w:szCs w:val="21"/>
                          </w:rPr>
                          <w:t>情况，超级店与常规门店的区</w:t>
                        </w:r>
                        <w:r>
                          <w:rPr>
                            <w:rFonts w:ascii="宋体" w:hAnsi="宋体" w:cs="宋体" w:eastAsia="宋体" w:hint="default"/>
                            <w:w w:val="100"/>
                            <w:sz w:val="21"/>
                            <w:szCs w:val="21"/>
                          </w:rPr>
                          <w:t> </w:t>
                        </w:r>
                        <w:r>
                          <w:rPr>
                            <w:rFonts w:ascii="宋体" w:hAnsi="宋体" w:cs="宋体" w:eastAsia="宋体" w:hint="default"/>
                            <w:spacing w:val="-8"/>
                            <w:w w:val="100"/>
                            <w:sz w:val="21"/>
                            <w:szCs w:val="21"/>
                          </w:rPr>
                          <w:t>别，以及超级店未来的定位与目</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标</w:t>
                        </w:r>
                      </w:p>
                    </w:tc>
                  </w:tr>
                  <w:tr>
                    <w:trPr>
                      <w:trHeight w:val="94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凯基证券</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了解南京淮海路店的经营情况</w:t>
                        </w:r>
                        <w:r>
                          <w:rPr>
                            <w:rFonts w:ascii="宋体" w:hAnsi="宋体" w:cs="宋体" w:eastAsia="宋体" w:hint="default"/>
                            <w:w w:val="100"/>
                            <w:sz w:val="21"/>
                            <w:szCs w:val="21"/>
                          </w:rPr>
                          <w:t> </w:t>
                        </w:r>
                        <w:r>
                          <w:rPr>
                            <w:rFonts w:ascii="宋体" w:hAnsi="宋体" w:cs="宋体" w:eastAsia="宋体" w:hint="default"/>
                            <w:spacing w:val="-8"/>
                            <w:w w:val="100"/>
                            <w:sz w:val="21"/>
                            <w:szCs w:val="21"/>
                          </w:rPr>
                          <w:t>各品类及自主品牌销售情况，以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及店面优化调整的规划</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行健资产管理</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了解公司未来新开店的主要分</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36"/>
        <w:ind w:left="0" w:right="1133"/>
        <w:jc w:val="right"/>
      </w:pPr>
      <w:r>
        <w:rPr>
          <w:w w:val="100"/>
        </w:rPr>
        <w:t>，</w:t>
      </w:r>
    </w:p>
    <w:p>
      <w:pPr>
        <w:spacing w:after="0" w:line="240" w:lineRule="auto"/>
        <w:jc w:val="right"/>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83.230011pt;margin-top:104.18998pt;width:151.7pt;height:187.25pt;mso-position-horizontal-relative:page;mso-position-vertical-relative:page;z-index:-1597360"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p>
                  <w:pPr>
                    <w:pStyle w:val="BodyText"/>
                    <w:spacing w:line="240" w:lineRule="auto" w:before="0"/>
                    <w:ind w:left="0" w:right="0"/>
                    <w:jc w:val="left"/>
                  </w:pPr>
                  <w:r>
                    <w:rPr>
                      <w:w w:val="100"/>
                    </w:rPr>
                    <w:t>；</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844"/>
        <w:gridCol w:w="1148"/>
        <w:gridCol w:w="979"/>
        <w:gridCol w:w="850"/>
        <w:gridCol w:w="1844"/>
        <w:gridCol w:w="2907"/>
      </w:tblGrid>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8"/>
                <w:w w:val="100"/>
                <w:sz w:val="21"/>
                <w:szCs w:val="21"/>
              </w:rPr>
              <w:t>布规划、品类拓展规划以及毛利</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率变化趋势</w:t>
            </w:r>
          </w:p>
        </w:tc>
      </w:tr>
      <w:tr>
        <w:trPr>
          <w:trHeight w:val="874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GIC</w:t>
            </w:r>
            <w:r>
              <w:rPr>
                <w:rFonts w:ascii="宋体" w:hAnsi="宋体" w:cs="宋体" w:eastAsia="宋体" w:hint="default"/>
                <w:sz w:val="21"/>
                <w:szCs w:val="21"/>
              </w:rPr>
              <w:t>；</w:t>
            </w:r>
            <w:r>
              <w:rPr>
                <w:rFonts w:ascii="宋体" w:hAnsi="宋体" w:cs="宋体" w:eastAsia="宋体" w:hint="default"/>
                <w:sz w:val="21"/>
                <w:szCs w:val="21"/>
              </w:rPr>
              <w:t>Trivest</w:t>
            </w:r>
            <w:r>
              <w:rPr>
                <w:rFonts w:ascii="宋体" w:hAnsi="宋体" w:cs="宋体" w:eastAsia="宋体" w:hint="default"/>
                <w:w w:val="100"/>
                <w:sz w:val="21"/>
                <w:szCs w:val="21"/>
              </w:rPr>
              <w:t> </w:t>
            </w:r>
            <w:r>
              <w:rPr>
                <w:rFonts w:ascii="宋体" w:hAnsi="宋体" w:cs="宋体" w:eastAsia="宋体" w:hint="default"/>
                <w:sz w:val="21"/>
                <w:szCs w:val="21"/>
              </w:rPr>
              <w:t>Advisors;CR</w:t>
            </w:r>
            <w:r>
              <w:rPr>
                <w:rFonts w:ascii="宋体" w:hAnsi="宋体" w:cs="宋体" w:eastAsia="宋体" w:hint="default"/>
                <w:w w:val="100"/>
                <w:sz w:val="21"/>
                <w:szCs w:val="21"/>
              </w:rPr>
              <w:t> </w:t>
            </w:r>
            <w:r>
              <w:rPr>
                <w:rFonts w:ascii="宋体" w:hAnsi="宋体" w:cs="宋体" w:eastAsia="宋体" w:hint="default"/>
                <w:sz w:val="21"/>
                <w:szCs w:val="21"/>
              </w:rPr>
              <w:t>Intrinsic</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w w:val="100"/>
                <w:sz w:val="21"/>
                <w:szCs w:val="21"/>
              </w:rPr>
              <w:t>Investments</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Mount</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Kellett</w:t>
            </w:r>
            <w:r>
              <w:rPr>
                <w:rFonts w:ascii="宋体" w:hAnsi="宋体" w:cs="宋体" w:eastAsia="宋体" w:hint="default"/>
                <w:spacing w:val="-1"/>
                <w:sz w:val="21"/>
                <w:szCs w:val="21"/>
              </w:rPr>
              <w:t> </w:t>
            </w:r>
            <w:r>
              <w:rPr>
                <w:rFonts w:ascii="宋体" w:hAnsi="宋体" w:cs="宋体" w:eastAsia="宋体" w:hint="default"/>
                <w:sz w:val="21"/>
                <w:szCs w:val="21"/>
              </w:rPr>
              <w:t>Capital</w:t>
            </w:r>
            <w:r>
              <w:rPr>
                <w:rFonts w:ascii="宋体" w:hAnsi="宋体" w:cs="宋体" w:eastAsia="宋体" w:hint="default"/>
                <w:w w:val="100"/>
                <w:sz w:val="21"/>
                <w:szCs w:val="21"/>
              </w:rPr>
              <w:t> </w:t>
            </w:r>
            <w:r>
              <w:rPr>
                <w:rFonts w:ascii="宋体" w:hAnsi="宋体" w:cs="宋体" w:eastAsia="宋体" w:hint="default"/>
                <w:sz w:val="21"/>
                <w:szCs w:val="21"/>
              </w:rPr>
              <w:t>Management;Myriad</w:t>
            </w:r>
            <w:r>
              <w:rPr>
                <w:rFonts w:ascii="宋体" w:hAnsi="宋体" w:cs="宋体" w:eastAsia="宋体" w:hint="default"/>
                <w:w w:val="100"/>
                <w:sz w:val="21"/>
                <w:szCs w:val="21"/>
              </w:rPr>
              <w:t> </w:t>
            </w:r>
            <w:r>
              <w:rPr>
                <w:rFonts w:ascii="宋体" w:hAnsi="宋体" w:cs="宋体" w:eastAsia="宋体" w:hint="default"/>
                <w:sz w:val="21"/>
                <w:szCs w:val="21"/>
              </w:rPr>
              <w:t>Asset</w:t>
            </w:r>
            <w:r>
              <w:rPr>
                <w:rFonts w:ascii="宋体" w:hAnsi="宋体" w:cs="宋体" w:eastAsia="宋体" w:hint="default"/>
                <w:spacing w:val="-1"/>
                <w:sz w:val="21"/>
                <w:szCs w:val="21"/>
              </w:rPr>
              <w:t> </w:t>
            </w:r>
            <w:r>
              <w:rPr>
                <w:rFonts w:ascii="宋体" w:hAnsi="宋体" w:cs="宋体" w:eastAsia="宋体" w:hint="default"/>
                <w:sz w:val="21"/>
                <w:szCs w:val="21"/>
              </w:rPr>
              <w:t>Management</w:t>
            </w:r>
            <w:r>
              <w:rPr>
                <w:rFonts w:ascii="宋体" w:hAnsi="宋体" w:cs="宋体" w:eastAsia="宋体" w:hint="default"/>
                <w:w w:val="100"/>
                <w:sz w:val="21"/>
                <w:szCs w:val="21"/>
              </w:rPr>
              <w:t> </w:t>
            </w:r>
            <w:r>
              <w:rPr>
                <w:rFonts w:ascii="宋体" w:hAnsi="宋体" w:cs="宋体" w:eastAsia="宋体" w:hint="default"/>
                <w:sz w:val="21"/>
                <w:szCs w:val="21"/>
              </w:rPr>
              <w:t>Ariose</w:t>
            </w:r>
            <w:r>
              <w:rPr>
                <w:rFonts w:ascii="宋体" w:hAnsi="宋体" w:cs="宋体" w:eastAsia="宋体" w:hint="default"/>
                <w:spacing w:val="-102"/>
                <w:sz w:val="21"/>
                <w:szCs w:val="21"/>
              </w:rPr>
              <w:t> </w:t>
            </w:r>
            <w:r>
              <w:rPr>
                <w:rFonts w:ascii="宋体" w:hAnsi="宋体" w:cs="宋体" w:eastAsia="宋体" w:hint="default"/>
                <w:sz w:val="21"/>
                <w:szCs w:val="21"/>
              </w:rPr>
              <w:t>Capital;Neuberger</w:t>
            </w:r>
            <w:r>
              <w:rPr>
                <w:rFonts w:ascii="宋体" w:hAnsi="宋体" w:cs="宋体" w:eastAsia="宋体" w:hint="default"/>
                <w:w w:val="100"/>
                <w:sz w:val="21"/>
                <w:szCs w:val="21"/>
              </w:rPr>
              <w:t> </w:t>
            </w:r>
            <w:r>
              <w:rPr>
                <w:rFonts w:ascii="宋体" w:hAnsi="宋体" w:cs="宋体" w:eastAsia="宋体" w:hint="default"/>
                <w:sz w:val="21"/>
                <w:szCs w:val="21"/>
              </w:rPr>
              <w:t>Berman</w:t>
            </w:r>
            <w:r>
              <w:rPr>
                <w:rFonts w:ascii="宋体" w:hAnsi="宋体" w:cs="宋体" w:eastAsia="宋体" w:hint="default"/>
                <w:sz w:val="21"/>
                <w:szCs w:val="21"/>
              </w:rPr>
              <w:t>；</w:t>
            </w:r>
            <w:r>
              <w:rPr>
                <w:rFonts w:ascii="宋体" w:hAnsi="宋体" w:cs="宋体" w:eastAsia="宋体" w:hint="default"/>
                <w:sz w:val="21"/>
                <w:szCs w:val="21"/>
              </w:rPr>
              <w:t>Keywise</w:t>
            </w:r>
            <w:r>
              <w:rPr>
                <w:rFonts w:ascii="宋体" w:hAnsi="宋体" w:cs="宋体" w:eastAsia="宋体" w:hint="default"/>
                <w:w w:val="100"/>
                <w:sz w:val="21"/>
                <w:szCs w:val="21"/>
              </w:rPr>
              <w:t> </w:t>
            </w:r>
            <w:r>
              <w:rPr>
                <w:rFonts w:ascii="宋体" w:hAnsi="宋体" w:cs="宋体" w:eastAsia="宋体" w:hint="default"/>
                <w:sz w:val="21"/>
                <w:szCs w:val="21"/>
              </w:rPr>
              <w:t>Capital;Standard</w:t>
            </w:r>
            <w:r>
              <w:rPr>
                <w:rFonts w:ascii="宋体" w:hAnsi="宋体" w:cs="宋体" w:eastAsia="宋体" w:hint="default"/>
                <w:w w:val="100"/>
                <w:sz w:val="21"/>
                <w:szCs w:val="21"/>
              </w:rPr>
              <w:t> </w:t>
            </w:r>
            <w:r>
              <w:rPr>
                <w:rFonts w:ascii="宋体" w:hAnsi="宋体" w:cs="宋体" w:eastAsia="宋体" w:hint="default"/>
                <w:sz w:val="21"/>
                <w:szCs w:val="21"/>
              </w:rPr>
              <w:t>Pacific Capital</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Harvest Fund</w:t>
            </w:r>
            <w:r>
              <w:rPr>
                <w:rFonts w:ascii="宋体" w:hAnsi="宋体" w:cs="宋体" w:eastAsia="宋体" w:hint="default"/>
                <w:w w:val="100"/>
                <w:sz w:val="21"/>
                <w:szCs w:val="21"/>
              </w:rPr>
              <w:t> </w:t>
            </w:r>
            <w:r>
              <w:rPr>
                <w:rFonts w:ascii="宋体" w:hAnsi="宋体" w:cs="宋体" w:eastAsia="宋体" w:hint="default"/>
                <w:sz w:val="21"/>
                <w:szCs w:val="21"/>
              </w:rPr>
              <w:t>Management;Apg</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w w:val="100"/>
                <w:sz w:val="21"/>
                <w:szCs w:val="21"/>
              </w:rPr>
              <w:t>Investments</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China</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Investment</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Corporation</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Goldman Sachs</w:t>
            </w:r>
            <w:r>
              <w:rPr>
                <w:rFonts w:ascii="宋体" w:hAnsi="宋体" w:cs="宋体" w:eastAsia="宋体" w:hint="default"/>
                <w:w w:val="100"/>
                <w:sz w:val="21"/>
                <w:szCs w:val="21"/>
              </w:rPr>
              <w:t> </w:t>
            </w:r>
            <w:r>
              <w:rPr>
                <w:rFonts w:ascii="宋体" w:hAnsi="宋体" w:cs="宋体" w:eastAsia="宋体" w:hint="default"/>
                <w:sz w:val="21"/>
                <w:szCs w:val="21"/>
              </w:rPr>
              <w:t>Asset</w:t>
            </w:r>
            <w:r>
              <w:rPr>
                <w:rFonts w:ascii="宋体" w:hAnsi="宋体" w:cs="宋体" w:eastAsia="宋体" w:hint="default"/>
                <w:spacing w:val="-102"/>
                <w:sz w:val="21"/>
                <w:szCs w:val="21"/>
              </w:rPr>
              <w:t> </w:t>
            </w:r>
            <w:r>
              <w:rPr>
                <w:rFonts w:ascii="宋体" w:hAnsi="宋体" w:cs="宋体" w:eastAsia="宋体" w:hint="default"/>
                <w:sz w:val="21"/>
                <w:szCs w:val="21"/>
              </w:rPr>
              <w:t>Mmanagement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Judico</w:t>
            </w:r>
            <w:r>
              <w:rPr>
                <w:rFonts w:ascii="宋体" w:hAnsi="宋体" w:cs="宋体" w:eastAsia="宋体" w:hint="default"/>
                <w:spacing w:val="-45"/>
                <w:sz w:val="21"/>
                <w:szCs w:val="21"/>
              </w:rPr>
              <w:t> </w:t>
            </w:r>
            <w:r>
              <w:rPr>
                <w:rFonts w:ascii="宋体" w:hAnsi="宋体" w:cs="宋体" w:eastAsia="宋体" w:hint="default"/>
                <w:spacing w:val="-6"/>
                <w:sz w:val="21"/>
                <w:szCs w:val="21"/>
              </w:rPr>
              <w:t>Capital</w:t>
            </w:r>
            <w:r>
              <w:rPr>
                <w:rFonts w:ascii="宋体" w:hAnsi="宋体" w:cs="宋体" w:eastAsia="宋体" w:hint="default"/>
                <w:spacing w:val="-6"/>
                <w:sz w:val="21"/>
                <w:szCs w:val="21"/>
              </w:rPr>
              <w:t>；</w:t>
            </w:r>
            <w:r>
              <w:rPr>
                <w:rFonts w:ascii="宋体" w:hAnsi="宋体" w:cs="宋体" w:eastAsia="宋体" w:hint="default"/>
                <w:spacing w:val="-6"/>
                <w:sz w:val="21"/>
                <w:szCs w:val="21"/>
              </w:rPr>
              <w:t>UG</w:t>
            </w:r>
            <w:r>
              <w:rPr>
                <w:rFonts w:ascii="宋体" w:hAnsi="宋体" w:cs="宋体" w:eastAsia="宋体" w:hint="default"/>
                <w:spacing w:val="-102"/>
                <w:sz w:val="21"/>
                <w:szCs w:val="21"/>
              </w:rPr>
              <w:t> </w:t>
            </w:r>
            <w:r>
              <w:rPr>
                <w:rFonts w:ascii="宋体" w:hAnsi="宋体" w:cs="宋体" w:eastAsia="宋体" w:hint="default"/>
                <w:sz w:val="21"/>
                <w:szCs w:val="21"/>
              </w:rPr>
              <w:t>Investment</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Advisors</w:t>
            </w:r>
            <w:r>
              <w:rPr>
                <w:rFonts w:ascii="宋体" w:hAnsi="宋体" w:cs="宋体" w:eastAsia="宋体" w:hint="default"/>
                <w:sz w:val="21"/>
                <w:szCs w:val="21"/>
              </w:rPr>
              <w:t>；</w:t>
            </w:r>
            <w:r>
              <w:rPr>
                <w:rFonts w:ascii="宋体" w:hAnsi="宋体" w:cs="宋体" w:eastAsia="宋体" w:hint="default"/>
                <w:sz w:val="21"/>
                <w:szCs w:val="21"/>
              </w:rPr>
              <w:t>JP</w:t>
            </w:r>
            <w:r>
              <w:rPr>
                <w:rFonts w:ascii="宋体" w:hAnsi="宋体" w:cs="宋体" w:eastAsia="宋体" w:hint="default"/>
                <w:w w:val="100"/>
                <w:sz w:val="21"/>
                <w:szCs w:val="21"/>
              </w:rPr>
              <w:t> </w:t>
            </w:r>
            <w:r>
              <w:rPr>
                <w:rFonts w:ascii="宋体" w:hAnsi="宋体" w:cs="宋体" w:eastAsia="宋体" w:hint="default"/>
                <w:sz w:val="21"/>
                <w:szCs w:val="21"/>
              </w:rPr>
              <w:t>Morgan Asset</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Management</w:t>
            </w:r>
            <w:r>
              <w:rPr>
                <w:rFonts w:ascii="宋体" w:hAnsi="宋体" w:cs="宋体" w:eastAsia="宋体" w:hint="default"/>
                <w:sz w:val="21"/>
                <w:szCs w:val="21"/>
              </w:rPr>
              <w:t>；</w:t>
            </w:r>
            <w:r>
              <w:rPr>
                <w:rFonts w:ascii="宋体" w:hAnsi="宋体" w:cs="宋体" w:eastAsia="宋体" w:hint="default"/>
                <w:sz w:val="21"/>
                <w:szCs w:val="21"/>
              </w:rPr>
              <w:t>Moon</w:t>
            </w:r>
            <w:r>
              <w:rPr>
                <w:rFonts w:ascii="宋体" w:hAnsi="宋体" w:cs="宋体" w:eastAsia="宋体" w:hint="default"/>
                <w:w w:val="100"/>
                <w:sz w:val="21"/>
                <w:szCs w:val="21"/>
              </w:rPr>
              <w:t> </w:t>
            </w:r>
            <w:r>
              <w:rPr>
                <w:rFonts w:ascii="宋体" w:hAnsi="宋体" w:cs="宋体" w:eastAsia="宋体" w:hint="default"/>
                <w:sz w:val="21"/>
                <w:szCs w:val="21"/>
              </w:rPr>
              <w:t>Capital</w:t>
            </w:r>
            <w:r>
              <w:rPr>
                <w:rFonts w:ascii="宋体" w:hAnsi="宋体" w:cs="宋体" w:eastAsia="宋体" w:hint="default"/>
                <w:w w:val="100"/>
                <w:sz w:val="21"/>
                <w:szCs w:val="21"/>
              </w:rPr>
              <w:t> </w:t>
            </w:r>
            <w:r>
              <w:rPr>
                <w:rFonts w:ascii="宋体" w:hAnsi="宋体" w:cs="宋体" w:eastAsia="宋体" w:hint="default"/>
                <w:sz w:val="21"/>
                <w:szCs w:val="21"/>
              </w:rPr>
              <w:t>Comgest;Lone Pine</w:t>
            </w:r>
            <w:r>
              <w:rPr>
                <w:rFonts w:ascii="宋体" w:hAnsi="宋体" w:cs="宋体" w:eastAsia="宋体" w:hint="default"/>
                <w:w w:val="100"/>
                <w:sz w:val="21"/>
                <w:szCs w:val="21"/>
              </w:rPr>
              <w:t> </w:t>
            </w:r>
            <w:r>
              <w:rPr>
                <w:rFonts w:ascii="宋体" w:hAnsi="宋体" w:cs="宋体" w:eastAsia="宋体" w:hint="default"/>
                <w:sz w:val="21"/>
                <w:szCs w:val="21"/>
              </w:rPr>
              <w:t>Capital</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744"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4"/>
                <w:sz w:val="20"/>
                <w:szCs w:val="20"/>
              </w:rPr>
              <w:pict>
                <v:group style="width:144.75pt;height:187.25pt;mso-position-horizontal-relative:char;mso-position-vertical-relative:line" coordorigin="0,0" coordsize="2895,3745">
                  <v:group style="position:absolute;left:0;top:0;width:2895;height:3745" coordorigin="0,0" coordsize="2895,3745">
                    <v:shape style="position:absolute;left:0;top:0;width:2895;height:3745" coordorigin="0,0" coordsize="2895,3745" path="m0,3744l2895,3744,2895,0,0,0,0,3744xe" filled="true" fillcolor="#ffffff" stroked="false">
                      <v:path arrowok="t"/>
                      <v:fill type="solid"/>
                    </v:shape>
                  </v:group>
                </v:group>
              </w:pict>
            </w:r>
            <w:r>
              <w:rPr>
                <w:rFonts w:ascii="Times New Roman" w:hAnsi="Times New Roman" w:cs="Times New Roman" w:eastAsia="Times New Roman" w:hint="default"/>
                <w:position w:val="-74"/>
                <w:sz w:val="20"/>
                <w:szCs w:val="20"/>
              </w:rPr>
            </w:r>
          </w:p>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了解上海长宁店作为超级店与</w:t>
            </w:r>
            <w:r>
              <w:rPr>
                <w:rFonts w:ascii="宋体" w:hAnsi="宋体" w:cs="宋体" w:eastAsia="宋体" w:hint="default"/>
                <w:w w:val="100"/>
                <w:sz w:val="21"/>
                <w:szCs w:val="21"/>
              </w:rPr>
              <w:t> </w:t>
            </w:r>
            <w:r>
              <w:rPr>
                <w:rFonts w:ascii="宋体" w:hAnsi="宋体" w:cs="宋体" w:eastAsia="宋体" w:hint="default"/>
                <w:spacing w:val="-8"/>
                <w:w w:val="100"/>
                <w:sz w:val="21"/>
                <w:szCs w:val="21"/>
              </w:rPr>
              <w:t>常规店的区别、各品类产品销售</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情况以及</w:t>
            </w:r>
            <w:r>
              <w:rPr>
                <w:rFonts w:ascii="宋体" w:hAnsi="宋体" w:cs="宋体" w:eastAsia="宋体" w:hint="default"/>
                <w:spacing w:val="-53"/>
                <w:sz w:val="21"/>
                <w:szCs w:val="21"/>
              </w:rPr>
              <w:t> </w:t>
            </w:r>
            <w:r>
              <w:rPr>
                <w:rFonts w:ascii="宋体" w:hAnsi="宋体" w:cs="宋体" w:eastAsia="宋体" w:hint="default"/>
                <w:sz w:val="21"/>
                <w:szCs w:val="21"/>
              </w:rPr>
              <w:t>Surface</w:t>
            </w:r>
            <w:r>
              <w:rPr>
                <w:rFonts w:ascii="宋体" w:hAnsi="宋体" w:cs="宋体" w:eastAsia="宋体" w:hint="default"/>
                <w:spacing w:val="-52"/>
                <w:sz w:val="21"/>
                <w:szCs w:val="21"/>
              </w:rPr>
              <w:t> </w:t>
            </w:r>
            <w:r>
              <w:rPr>
                <w:rFonts w:ascii="宋体" w:hAnsi="宋体" w:cs="宋体" w:eastAsia="宋体" w:hint="default"/>
                <w:sz w:val="21"/>
                <w:szCs w:val="21"/>
              </w:rPr>
              <w:t>首发的市场</w:t>
            </w:r>
            <w:r>
              <w:rPr>
                <w:rFonts w:ascii="宋体" w:hAnsi="宋体" w:cs="宋体" w:eastAsia="宋体" w:hint="default"/>
                <w:w w:val="100"/>
                <w:sz w:val="21"/>
                <w:szCs w:val="21"/>
              </w:rPr>
              <w:t> </w:t>
            </w:r>
            <w:r>
              <w:rPr>
                <w:rFonts w:ascii="宋体" w:hAnsi="宋体" w:cs="宋体" w:eastAsia="宋体" w:hint="default"/>
                <w:sz w:val="21"/>
                <w:szCs w:val="21"/>
              </w:rPr>
              <w:t>反应情况</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tc>
      </w:tr>
      <w:tr>
        <w:trPr>
          <w:trHeight w:val="125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sz w:val="21"/>
              </w:rPr>
              <w:t>T. Rowe Price</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了解南京商茂店改造升级成为</w:t>
            </w:r>
            <w:r>
              <w:rPr>
                <w:rFonts w:ascii="宋体" w:hAnsi="宋体" w:cs="宋体" w:eastAsia="宋体" w:hint="default"/>
                <w:w w:val="100"/>
                <w:sz w:val="21"/>
                <w:szCs w:val="21"/>
              </w:rPr>
              <w:t> </w:t>
            </w:r>
            <w:r>
              <w:rPr>
                <w:rFonts w:ascii="宋体" w:hAnsi="宋体" w:cs="宋体" w:eastAsia="宋体" w:hint="default"/>
                <w:sz w:val="21"/>
                <w:szCs w:val="21"/>
              </w:rPr>
              <w:t>超级店后的陈设布局、及</w:t>
            </w:r>
            <w:r>
              <w:rPr>
                <w:rFonts w:ascii="宋体" w:hAnsi="宋体" w:cs="宋体" w:eastAsia="宋体" w:hint="default"/>
                <w:spacing w:val="-55"/>
                <w:sz w:val="21"/>
                <w:szCs w:val="21"/>
              </w:rPr>
              <w:t> </w:t>
            </w:r>
            <w:r>
              <w:rPr>
                <w:rFonts w:ascii="宋体" w:hAnsi="宋体" w:cs="宋体" w:eastAsia="宋体" w:hint="default"/>
                <w:sz w:val="21"/>
                <w:szCs w:val="21"/>
              </w:rPr>
              <w:t>OEM</w:t>
            </w:r>
            <w:r>
              <w:rPr>
                <w:rFonts w:ascii="宋体" w:hAnsi="宋体" w:cs="宋体" w:eastAsia="宋体" w:hint="default"/>
                <w:w w:val="100"/>
                <w:sz w:val="21"/>
                <w:szCs w:val="21"/>
              </w:rPr>
              <w:t> </w:t>
            </w:r>
            <w:r>
              <w:rPr>
                <w:rFonts w:ascii="宋体" w:hAnsi="宋体" w:cs="宋体" w:eastAsia="宋体" w:hint="default"/>
                <w:spacing w:val="-8"/>
                <w:w w:val="100"/>
                <w:sz w:val="21"/>
                <w:szCs w:val="21"/>
              </w:rPr>
              <w:t>产品的销售状况、店面人员管理</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情况</w:t>
            </w:r>
          </w:p>
        </w:tc>
      </w:tr>
      <w:tr>
        <w:trPr>
          <w:trHeight w:val="126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贝莱德投资管理</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了解公司线上线下商品的定价</w:t>
            </w:r>
            <w:r>
              <w:rPr>
                <w:rFonts w:ascii="宋体" w:hAnsi="宋体" w:cs="宋体" w:eastAsia="宋体" w:hint="default"/>
                <w:w w:val="100"/>
                <w:sz w:val="21"/>
                <w:szCs w:val="21"/>
              </w:rPr>
              <w:t> </w:t>
            </w:r>
            <w:r>
              <w:rPr>
                <w:rFonts w:ascii="宋体" w:hAnsi="宋体" w:cs="宋体" w:eastAsia="宋体" w:hint="default"/>
                <w:spacing w:val="-8"/>
                <w:w w:val="100"/>
                <w:sz w:val="21"/>
                <w:szCs w:val="21"/>
              </w:rPr>
              <w:t>策略、进一步提升易购服务水平</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的具体措施以及未来实体门店</w:t>
            </w:r>
            <w:r>
              <w:rPr>
                <w:rFonts w:ascii="宋体" w:hAnsi="宋体" w:cs="宋体" w:eastAsia="宋体" w:hint="default"/>
                <w:w w:val="100"/>
                <w:sz w:val="21"/>
                <w:szCs w:val="21"/>
              </w:rPr>
              <w:t> </w:t>
            </w:r>
            <w:r>
              <w:rPr>
                <w:rFonts w:ascii="宋体" w:hAnsi="宋体" w:cs="宋体" w:eastAsia="宋体" w:hint="default"/>
                <w:sz w:val="21"/>
                <w:szCs w:val="21"/>
              </w:rPr>
              <w:t>的开店关店计划</w:t>
            </w:r>
          </w:p>
        </w:tc>
      </w:tr>
      <w:tr>
        <w:trPr>
          <w:trHeight w:val="157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34"/>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23" w:right="0"/>
              <w:jc w:val="left"/>
              <w:rPr>
                <w:rFonts w:ascii="宋体" w:hAnsi="宋体" w:cs="宋体" w:eastAsia="宋体" w:hint="default"/>
                <w:sz w:val="21"/>
                <w:szCs w:val="21"/>
              </w:rPr>
            </w:pPr>
            <w:r>
              <w:rPr>
                <w:rFonts w:ascii="宋体" w:hAnsi="宋体" w:cs="宋体" w:eastAsia="宋体" w:hint="default"/>
                <w:sz w:val="21"/>
                <w:szCs w:val="21"/>
              </w:rPr>
              <w:t>Azentus</w:t>
            </w:r>
            <w:r>
              <w:rPr>
                <w:rFonts w:ascii="宋体" w:hAnsi="宋体" w:cs="宋体" w:eastAsia="宋体" w:hint="default"/>
                <w:spacing w:val="-52"/>
                <w:sz w:val="21"/>
                <w:szCs w:val="21"/>
              </w:rPr>
              <w:t> </w:t>
            </w:r>
            <w:r>
              <w:rPr>
                <w:rFonts w:ascii="宋体" w:hAnsi="宋体" w:cs="宋体" w:eastAsia="宋体" w:hint="default"/>
                <w:sz w:val="21"/>
                <w:szCs w:val="21"/>
              </w:rPr>
              <w:t>资产管理</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了解南京商茂广场店</w:t>
            </w:r>
            <w:r>
              <w:rPr>
                <w:rFonts w:ascii="宋体" w:hAnsi="宋体" w:cs="宋体" w:eastAsia="宋体" w:hint="default"/>
                <w:spacing w:val="-52"/>
                <w:sz w:val="21"/>
                <w:szCs w:val="21"/>
              </w:rPr>
              <w:t> </w:t>
            </w:r>
            <w:r>
              <w:rPr>
                <w:rFonts w:ascii="宋体" w:hAnsi="宋体" w:cs="宋体" w:eastAsia="宋体" w:hint="default"/>
                <w:sz w:val="21"/>
                <w:szCs w:val="21"/>
              </w:rPr>
              <w:t>3C</w:t>
            </w:r>
            <w:r>
              <w:rPr>
                <w:rFonts w:ascii="宋体" w:hAnsi="宋体" w:cs="宋体" w:eastAsia="宋体" w:hint="default"/>
                <w:spacing w:val="-55"/>
                <w:sz w:val="21"/>
                <w:szCs w:val="21"/>
              </w:rPr>
              <w:t> </w:t>
            </w:r>
            <w:r>
              <w:rPr>
                <w:rFonts w:ascii="宋体" w:hAnsi="宋体" w:cs="宋体" w:eastAsia="宋体" w:hint="default"/>
                <w:sz w:val="21"/>
                <w:szCs w:val="21"/>
              </w:rPr>
              <w:t>品类销</w:t>
            </w:r>
            <w:r>
              <w:rPr>
                <w:rFonts w:ascii="宋体" w:hAnsi="宋体" w:cs="宋体" w:eastAsia="宋体" w:hint="default"/>
                <w:w w:val="100"/>
                <w:sz w:val="21"/>
                <w:szCs w:val="21"/>
              </w:rPr>
              <w:t> </w:t>
            </w:r>
            <w:r>
              <w:rPr>
                <w:rFonts w:ascii="宋体" w:hAnsi="宋体" w:cs="宋体" w:eastAsia="宋体" w:hint="default"/>
                <w:spacing w:val="-8"/>
                <w:w w:val="100"/>
                <w:sz w:val="21"/>
                <w:szCs w:val="21"/>
              </w:rPr>
              <w:t>售增长的整体概况、人员组成结</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8"/>
                <w:w w:val="100"/>
                <w:sz w:val="21"/>
                <w:szCs w:val="21"/>
              </w:rPr>
              <w:t>构、自主品牌销售状况及国际知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名品牌家电近两年的销售增长</w:t>
            </w:r>
            <w:r>
              <w:rPr>
                <w:rFonts w:ascii="宋体" w:hAnsi="宋体" w:cs="宋体" w:eastAsia="宋体" w:hint="default"/>
                <w:w w:val="100"/>
                <w:sz w:val="21"/>
                <w:szCs w:val="21"/>
              </w:rPr>
              <w:t> </w:t>
            </w:r>
            <w:r>
              <w:rPr>
                <w:rFonts w:ascii="宋体" w:hAnsi="宋体" w:cs="宋体" w:eastAsia="宋体" w:hint="default"/>
                <w:sz w:val="21"/>
                <w:szCs w:val="21"/>
              </w:rPr>
              <w:t>情况</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4"/>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台湾人寿</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了解</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的</w:t>
            </w:r>
            <w:r>
              <w:rPr>
                <w:rFonts w:ascii="宋体" w:hAnsi="宋体" w:cs="宋体" w:eastAsia="宋体" w:hint="default"/>
                <w:w w:val="100"/>
                <w:sz w:val="21"/>
                <w:szCs w:val="21"/>
              </w:rPr>
              <w:t>发</w:t>
            </w:r>
            <w:r>
              <w:rPr>
                <w:rFonts w:ascii="宋体" w:hAnsi="宋体" w:cs="宋体" w:eastAsia="宋体" w:hint="default"/>
                <w:spacing w:val="-3"/>
                <w:w w:val="100"/>
                <w:sz w:val="21"/>
                <w:szCs w:val="21"/>
              </w:rPr>
              <w:t>展</w:t>
            </w:r>
            <w:r>
              <w:rPr>
                <w:rFonts w:ascii="宋体" w:hAnsi="宋体" w:cs="宋体" w:eastAsia="宋体" w:hint="default"/>
                <w:w w:val="100"/>
                <w:sz w:val="21"/>
                <w:szCs w:val="21"/>
              </w:rPr>
              <w:t>历史</w:t>
            </w:r>
            <w:r>
              <w:rPr>
                <w:rFonts w:ascii="宋体" w:hAnsi="宋体" w:cs="宋体" w:eastAsia="宋体" w:hint="default"/>
                <w:spacing w:val="-94"/>
                <w:w w:val="100"/>
                <w:sz w:val="21"/>
                <w:szCs w:val="21"/>
              </w:rPr>
              <w:t>、</w:t>
            </w:r>
            <w:r>
              <w:rPr>
                <w:rFonts w:ascii="宋体" w:hAnsi="宋体" w:cs="宋体" w:eastAsia="宋体" w:hint="default"/>
                <w:w w:val="100"/>
                <w:sz w:val="21"/>
                <w:szCs w:val="21"/>
              </w:rPr>
              <w:t>产</w:t>
            </w:r>
            <w:r>
              <w:rPr>
                <w:rFonts w:ascii="宋体" w:hAnsi="宋体" w:cs="宋体" w:eastAsia="宋体" w:hint="default"/>
                <w:spacing w:val="-3"/>
                <w:w w:val="100"/>
                <w:sz w:val="21"/>
                <w:szCs w:val="21"/>
              </w:rPr>
              <w:t>品</w:t>
            </w:r>
            <w:r>
              <w:rPr>
                <w:rFonts w:ascii="宋体" w:hAnsi="宋体" w:cs="宋体" w:eastAsia="宋体" w:hint="default"/>
                <w:w w:val="100"/>
                <w:sz w:val="21"/>
                <w:szCs w:val="21"/>
              </w:rPr>
              <w:t>经销</w:t>
            </w:r>
          </w:p>
        </w:tc>
      </w:tr>
    </w:tbl>
    <w:p>
      <w:pPr>
        <w:spacing w:after="0" w:line="262" w:lineRule="exact"/>
        <w:jc w:val="left"/>
        <w:rPr>
          <w:rFonts w:ascii="宋体" w:hAnsi="宋体" w:cs="宋体" w:eastAsia="宋体" w:hint="default"/>
          <w:sz w:val="21"/>
          <w:szCs w:val="21"/>
        </w:rPr>
        <w:sectPr>
          <w:footerReference w:type="default" r:id="rId33"/>
          <w:pgSz w:w="11910" w:h="16840"/>
          <w:pgMar w:footer="1265" w:header="877" w:top="1100" w:bottom="1460" w:left="980" w:right="0"/>
          <w:pgNumType w:start="53"/>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844"/>
        <w:gridCol w:w="1148"/>
        <w:gridCol w:w="979"/>
        <w:gridCol w:w="850"/>
        <w:gridCol w:w="1844"/>
        <w:gridCol w:w="2907"/>
      </w:tblGrid>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7"/>
              <w:jc w:val="left"/>
              <w:rPr>
                <w:rFonts w:ascii="宋体" w:hAnsi="宋体" w:cs="宋体" w:eastAsia="宋体" w:hint="default"/>
                <w:sz w:val="21"/>
                <w:szCs w:val="21"/>
              </w:rPr>
            </w:pPr>
            <w:r>
              <w:rPr>
                <w:rFonts w:ascii="宋体" w:hAnsi="宋体" w:cs="宋体" w:eastAsia="宋体" w:hint="default"/>
                <w:spacing w:val="-2"/>
                <w:sz w:val="21"/>
                <w:szCs w:val="21"/>
              </w:rPr>
              <w:t>和代销的比例以及开放平台供</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应商的收费方式</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p>
      <w:pPr>
        <w:pStyle w:val="Heading1"/>
        <w:spacing w:line="240" w:lineRule="auto"/>
        <w:ind w:right="3266"/>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2"/>
        <w:jc w:val="left"/>
        <w:rPr>
          <w:b w:val="0"/>
          <w:bCs w:val="0"/>
        </w:rPr>
      </w:pPr>
      <w:r>
        <w:rPr/>
        <w:t>一、重大诉讼仲裁事项</w:t>
      </w:r>
      <w:r>
        <w:rPr>
          <w:b w:val="0"/>
          <w:bCs w:val="0"/>
        </w:rPr>
      </w:r>
    </w:p>
    <w:p>
      <w:pPr>
        <w:spacing w:line="240" w:lineRule="auto" w:before="9"/>
        <w:rPr>
          <w:rFonts w:ascii="宋体" w:hAnsi="宋体" w:cs="宋体" w:eastAsia="宋体" w:hint="default"/>
          <w:b/>
          <w:bCs/>
          <w:sz w:val="24"/>
          <w:szCs w:val="24"/>
        </w:rPr>
      </w:pPr>
    </w:p>
    <w:p>
      <w:pPr>
        <w:pStyle w:val="BodyText"/>
        <w:spacing w:line="302" w:lineRule="auto" w:before="0"/>
        <w:ind w:right="6306"/>
        <w:jc w:val="left"/>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5"/>
          <w:sz w:val="18"/>
          <w:szCs w:val="18"/>
        </w:rPr>
        <w:t> </w:t>
      </w:r>
      <w:r>
        <w:rPr/>
        <w:t>适用</w:t>
      </w:r>
      <w:r>
        <w:rPr>
          <w:spacing w:val="-2"/>
        </w:rPr>
        <w:t> </w:t>
      </w:r>
      <w:r>
        <w:rPr/>
        <w:t>√ 不适用</w:t>
      </w:r>
      <w:r>
        <w:rPr>
          <w:spacing w:val="-102"/>
        </w:rPr>
        <w:t> </w:t>
      </w:r>
      <w:r>
        <w:rPr>
          <w:spacing w:val="-102"/>
        </w:rPr>
      </w:r>
      <w:r>
        <w:rPr>
          <w:spacing w:val="-2"/>
        </w:rPr>
        <w:t>本年度公司不适用重大诉讼、仲裁事项。</w:t>
      </w:r>
      <w:r>
        <w:rPr>
          <w:spacing w:val="-69"/>
        </w:rPr>
        <w:t> </w:t>
      </w:r>
      <w:r>
        <w:rPr>
          <w:spacing w:val="-69"/>
        </w:rPr>
      </w:r>
      <w:r>
        <w:rPr/>
        <w:t>媒体质疑情况</w:t>
      </w:r>
    </w:p>
    <w:p>
      <w:pPr>
        <w:pStyle w:val="BodyText"/>
        <w:spacing w:line="307" w:lineRule="auto" w:before="24"/>
        <w:ind w:right="6306"/>
        <w:jc w:val="left"/>
      </w:pPr>
      <w:r>
        <w:rPr/>
        <w:t>□ 适用 √</w:t>
      </w:r>
      <w:r>
        <w:rPr>
          <w:spacing w:val="-1"/>
        </w:rPr>
        <w:t> </w:t>
      </w:r>
      <w:r>
        <w:rPr/>
        <w:t>不适用</w:t>
      </w:r>
      <w:r>
        <w:rPr>
          <w:w w:val="100"/>
        </w:rPr>
        <w:t> </w:t>
      </w:r>
      <w:r>
        <w:rPr>
          <w:spacing w:val="-2"/>
        </w:rPr>
        <w:t>本年度公司无媒体质疑事项。</w:t>
      </w:r>
    </w:p>
    <w:p>
      <w:pPr>
        <w:spacing w:line="240" w:lineRule="auto" w:before="2"/>
        <w:rPr>
          <w:rFonts w:ascii="宋体" w:hAnsi="宋体" w:cs="宋体" w:eastAsia="宋体" w:hint="default"/>
          <w:sz w:val="19"/>
          <w:szCs w:val="19"/>
        </w:rPr>
      </w:pPr>
    </w:p>
    <w:p>
      <w:pPr>
        <w:pStyle w:val="Heading2"/>
        <w:spacing w:line="240" w:lineRule="auto"/>
        <w:ind w:right="982"/>
        <w:jc w:val="left"/>
        <w:rPr>
          <w:b w:val="0"/>
          <w:bCs w:val="0"/>
        </w:rPr>
      </w:pPr>
      <w:r>
        <w:rPr/>
        <w:t>二、上市公司发生控股股东及其关联方非经营性占用资金情况</w:t>
      </w:r>
      <w:r>
        <w:rPr>
          <w:b w:val="0"/>
          <w:bCs w:val="0"/>
        </w:rPr>
      </w:r>
    </w:p>
    <w:p>
      <w:pPr>
        <w:spacing w:line="240" w:lineRule="auto" w:before="12"/>
        <w:rPr>
          <w:rFonts w:ascii="宋体" w:hAnsi="宋体" w:cs="宋体" w:eastAsia="宋体" w:hint="default"/>
          <w:b/>
          <w:bCs/>
          <w:sz w:val="24"/>
          <w:szCs w:val="24"/>
        </w:rPr>
      </w:pPr>
    </w:p>
    <w:p>
      <w:pPr>
        <w:spacing w:line="504" w:lineRule="auto" w:before="0"/>
        <w:ind w:left="152" w:right="8345" w:firstLine="0"/>
        <w:jc w:val="left"/>
        <w:rPr>
          <w:rFonts w:ascii="宋体" w:hAnsi="宋体" w:cs="宋体" w:eastAsia="宋体" w:hint="default"/>
          <w:sz w:val="24"/>
          <w:szCs w:val="24"/>
        </w:rPr>
      </w:pP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宋体" w:hAnsi="宋体" w:cs="宋体" w:eastAsia="宋体" w:hint="default"/>
          <w:b/>
          <w:bCs/>
          <w:sz w:val="24"/>
          <w:szCs w:val="24"/>
        </w:rPr>
        <w:t>三、破产重整相关事项</w:t>
      </w:r>
      <w:r>
        <w:rPr>
          <w:rFonts w:ascii="宋体" w:hAnsi="宋体" w:cs="宋体" w:eastAsia="宋体" w:hint="default"/>
          <w:b/>
          <w:bCs/>
          <w:w w:val="99"/>
          <w:sz w:val="24"/>
          <w:szCs w:val="24"/>
        </w:rPr>
        <w:t> </w:t>
      </w: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宋体" w:hAnsi="宋体" w:cs="宋体" w:eastAsia="宋体" w:hint="default"/>
          <w:b/>
          <w:bCs/>
          <w:sz w:val="24"/>
          <w:szCs w:val="24"/>
        </w:rPr>
        <w:t>四、资产交易事项</w:t>
      </w:r>
      <w:r>
        <w:rPr>
          <w:rFonts w:ascii="宋体" w:hAnsi="宋体" w:cs="宋体" w:eastAsia="宋体" w:hint="default"/>
          <w:sz w:val="24"/>
          <w:szCs w:val="24"/>
        </w:rPr>
      </w:r>
    </w:p>
    <w:p>
      <w:pPr>
        <w:pStyle w:val="BodyText"/>
        <w:spacing w:line="240" w:lineRule="auto" w:before="59"/>
        <w:ind w:right="982"/>
        <w:jc w:val="left"/>
      </w:pPr>
      <w:r>
        <w:rPr/>
        <w:t>公司收购及出售资产、吸收合并情况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408" w:lineRule="auto" w:before="0"/>
        <w:ind w:right="1126" w:firstLine="420"/>
        <w:jc w:val="both"/>
      </w:pPr>
      <w:r>
        <w:rPr>
          <w:rFonts w:ascii="宋体" w:hAnsi="宋体" w:cs="宋体" w:eastAsia="宋体" w:hint="default"/>
        </w:rPr>
        <w:t>2012</w:t>
      </w:r>
      <w:r>
        <w:rPr>
          <w:rFonts w:ascii="宋体" w:hAnsi="宋体" w:cs="宋体" w:eastAsia="宋体" w:hint="default"/>
          <w:spacing w:val="-48"/>
        </w:rPr>
        <w:t> </w:t>
      </w:r>
      <w:r>
        <w:rPr/>
        <w:t>年</w:t>
      </w:r>
      <w:r>
        <w:rPr>
          <w:spacing w:val="-48"/>
        </w:rPr>
        <w:t> </w:t>
      </w:r>
      <w:r>
        <w:rPr>
          <w:rFonts w:ascii="宋体" w:hAnsi="宋体" w:cs="宋体" w:eastAsia="宋体" w:hint="default"/>
        </w:rPr>
        <w:t>9</w:t>
      </w:r>
      <w:r>
        <w:rPr>
          <w:rFonts w:ascii="宋体" w:hAnsi="宋体" w:cs="宋体" w:eastAsia="宋体" w:hint="default"/>
          <w:spacing w:val="-48"/>
        </w:rPr>
        <w:t> </w:t>
      </w:r>
      <w:r>
        <w:rPr/>
        <w:t>月</w:t>
      </w:r>
      <w:r>
        <w:rPr>
          <w:spacing w:val="-48"/>
        </w:rPr>
        <w:t> </w:t>
      </w:r>
      <w:r>
        <w:rPr>
          <w:rFonts w:ascii="宋体" w:hAnsi="宋体" w:cs="宋体" w:eastAsia="宋体" w:hint="default"/>
        </w:rPr>
        <w:t>24</w:t>
      </w:r>
      <w:r>
        <w:rPr>
          <w:rFonts w:ascii="宋体" w:hAnsi="宋体" w:cs="宋体" w:eastAsia="宋体" w:hint="default"/>
          <w:spacing w:val="-48"/>
        </w:rPr>
        <w:t> </w:t>
      </w:r>
      <w:r>
        <w:rPr/>
        <w:t>日，公司与天津红孩子商贸有限公司、北京红孩子视线广告有限公司、天津宏品物流</w:t>
      </w:r>
      <w:r>
        <w:rPr>
          <w:w w:val="100"/>
        </w:rPr>
        <w:t> </w:t>
      </w:r>
      <w:r>
        <w:rPr>
          <w:spacing w:val="-2"/>
          <w:w w:val="100"/>
        </w:rPr>
        <w:t>有限公司、北京红孩子信息技术有限公司、北京红孩子互联科技有限公司（以上合称“红孩子公司”）及</w:t>
      </w:r>
      <w:r>
        <w:rPr>
          <w:spacing w:val="-94"/>
          <w:w w:val="100"/>
        </w:rPr>
        <w:t> </w:t>
      </w:r>
      <w:r>
        <w:rPr>
          <w:spacing w:val="-94"/>
          <w:w w:val="100"/>
        </w:rPr>
      </w:r>
      <w:r>
        <w:rPr>
          <w:rFonts w:ascii="宋体" w:hAnsi="宋体" w:cs="宋体" w:eastAsia="宋体" w:hint="default"/>
        </w:rPr>
        <w:t>CHINA</w:t>
      </w:r>
      <w:r>
        <w:rPr>
          <w:rFonts w:ascii="宋体" w:hAnsi="宋体" w:cs="宋体" w:eastAsia="宋体" w:hint="default"/>
          <w:spacing w:val="22"/>
        </w:rPr>
        <w:t> </w:t>
      </w:r>
      <w:r>
        <w:rPr>
          <w:rFonts w:ascii="宋体" w:hAnsi="宋体" w:cs="宋体" w:eastAsia="宋体" w:hint="default"/>
        </w:rPr>
        <w:t>COMMERCE</w:t>
      </w:r>
      <w:r>
        <w:rPr>
          <w:rFonts w:ascii="宋体" w:hAnsi="宋体" w:cs="宋体" w:eastAsia="宋体" w:hint="default"/>
          <w:spacing w:val="22"/>
        </w:rPr>
        <w:t> </w:t>
      </w:r>
      <w:r>
        <w:rPr>
          <w:rFonts w:ascii="宋体" w:hAnsi="宋体" w:cs="宋体" w:eastAsia="宋体" w:hint="default"/>
        </w:rPr>
        <w:t>SERVICES</w:t>
      </w:r>
      <w:r>
        <w:rPr>
          <w:rFonts w:ascii="宋体" w:hAnsi="宋体" w:cs="宋体" w:eastAsia="宋体" w:hint="default"/>
          <w:spacing w:val="23"/>
        </w:rPr>
        <w:t> </w:t>
      </w:r>
      <w:r>
        <w:rPr>
          <w:rFonts w:ascii="宋体" w:hAnsi="宋体" w:cs="宋体" w:eastAsia="宋体" w:hint="default"/>
        </w:rPr>
        <w:t>LIMITED</w:t>
      </w:r>
      <w:r>
        <w:rPr/>
        <w:t>（一家在英属开曼群岛成立和存续的股份有限公司，以下简称“开曼</w:t>
      </w:r>
      <w:r>
        <w:rPr>
          <w:spacing w:val="-100"/>
        </w:rPr>
        <w:t> </w:t>
      </w:r>
      <w:r>
        <w:rPr>
          <w:spacing w:val="-100"/>
        </w:rPr>
      </w:r>
      <w:r>
        <w:rPr>
          <w:spacing w:val="-14"/>
          <w:w w:val="100"/>
        </w:rPr>
        <w:t>公司”）签署《收购协议》，以基准对价</w:t>
      </w:r>
      <w:r>
        <w:rPr>
          <w:spacing w:val="-43"/>
          <w:w w:val="100"/>
        </w:rPr>
        <w:t> </w:t>
      </w:r>
      <w:r>
        <w:rPr>
          <w:rFonts w:ascii="宋体" w:hAnsi="宋体" w:cs="宋体" w:eastAsia="宋体" w:hint="default"/>
          <w:spacing w:val="-1"/>
          <w:w w:val="100"/>
        </w:rPr>
        <w:t>6,600</w:t>
      </w:r>
      <w:r>
        <w:rPr>
          <w:rFonts w:ascii="宋体" w:hAnsi="宋体" w:cs="宋体" w:eastAsia="宋体" w:hint="default"/>
          <w:spacing w:val="-44"/>
          <w:w w:val="100"/>
        </w:rPr>
        <w:t> </w:t>
      </w:r>
      <w:r>
        <w:rPr>
          <w:spacing w:val="-10"/>
          <w:w w:val="100"/>
        </w:rPr>
        <w:t>万美元收购红孩子公司在中国国内以“红孩子”、“缤购”等</w:t>
      </w:r>
    </w:p>
    <w:p>
      <w:pPr>
        <w:pStyle w:val="BodyText"/>
        <w:spacing w:line="240" w:lineRule="auto"/>
        <w:ind w:right="982"/>
        <w:jc w:val="left"/>
      </w:pPr>
      <w:r>
        <w:rPr/>
        <w:t>品牌开展的母婴、化妆用品等产品的销售业务、品牌与相关资产。截止</w:t>
      </w:r>
      <w:r>
        <w:rPr>
          <w:spacing w:val="-40"/>
        </w:rPr>
        <w:t> </w:t>
      </w:r>
      <w:r>
        <w:rPr>
          <w:rFonts w:ascii="宋体" w:hAnsi="宋体" w:cs="宋体" w:eastAsia="宋体" w:hint="default"/>
        </w:rPr>
        <w:t>2012</w:t>
      </w:r>
      <w:r>
        <w:rPr>
          <w:rFonts w:ascii="宋体" w:hAnsi="宋体" w:cs="宋体" w:eastAsia="宋体" w:hint="default"/>
          <w:spacing w:val="-43"/>
        </w:rPr>
        <w:t> </w:t>
      </w:r>
      <w:r>
        <w:rPr/>
        <w:t>年</w:t>
      </w:r>
      <w:r>
        <w:rPr>
          <w:spacing w:val="-40"/>
        </w:rPr>
        <w:t> </w:t>
      </w:r>
      <w:r>
        <w:rPr>
          <w:rFonts w:ascii="宋体" w:hAnsi="宋体" w:cs="宋体" w:eastAsia="宋体" w:hint="default"/>
        </w:rPr>
        <w:t>12</w:t>
      </w:r>
      <w:r>
        <w:rPr>
          <w:rFonts w:ascii="宋体" w:hAnsi="宋体" w:cs="宋体" w:eastAsia="宋体" w:hint="default"/>
          <w:spacing w:val="-43"/>
        </w:rPr>
        <w:t> </w:t>
      </w:r>
      <w:r>
        <w:rPr/>
        <w:t>月</w:t>
      </w:r>
      <w:r>
        <w:rPr>
          <w:spacing w:val="-40"/>
        </w:rPr>
        <w:t> </w:t>
      </w:r>
      <w:r>
        <w:rPr>
          <w:rFonts w:ascii="宋体" w:hAnsi="宋体" w:cs="宋体" w:eastAsia="宋体" w:hint="default"/>
        </w:rPr>
        <w:t>31</w:t>
      </w:r>
      <w:r>
        <w:rPr>
          <w:rFonts w:ascii="宋体" w:hAnsi="宋体" w:cs="宋体" w:eastAsia="宋体" w:hint="default"/>
          <w:spacing w:val="-43"/>
        </w:rPr>
        <w:t> </w:t>
      </w:r>
      <w:r>
        <w:rPr/>
        <w:t>日本次收购事项</w:t>
      </w:r>
    </w:p>
    <w:p>
      <w:pPr>
        <w:spacing w:line="240" w:lineRule="auto" w:before="11"/>
        <w:rPr>
          <w:rFonts w:ascii="宋体" w:hAnsi="宋体" w:cs="宋体" w:eastAsia="宋体" w:hint="default"/>
          <w:sz w:val="14"/>
          <w:szCs w:val="14"/>
        </w:rPr>
      </w:pPr>
    </w:p>
    <w:p>
      <w:pPr>
        <w:pStyle w:val="BodyText"/>
        <w:spacing w:line="240" w:lineRule="auto" w:before="0"/>
        <w:ind w:right="982"/>
        <w:jc w:val="left"/>
      </w:pPr>
      <w:r>
        <w:rPr>
          <w:w w:val="100"/>
        </w:rPr>
        <w:t>在履</w:t>
      </w:r>
      <w:r>
        <w:rPr>
          <w:spacing w:val="-3"/>
          <w:w w:val="100"/>
        </w:rPr>
        <w:t>行</w:t>
      </w:r>
      <w:r>
        <w:rPr>
          <w:w w:val="100"/>
        </w:rPr>
        <w:t>商</w:t>
      </w:r>
      <w:r>
        <w:rPr>
          <w:spacing w:val="-3"/>
          <w:w w:val="100"/>
        </w:rPr>
        <w:t>务</w:t>
      </w:r>
      <w:r>
        <w:rPr>
          <w:w w:val="100"/>
        </w:rPr>
        <w:t>部</w:t>
      </w:r>
      <w:r>
        <w:rPr>
          <w:spacing w:val="-3"/>
          <w:w w:val="100"/>
        </w:rPr>
        <w:t>反</w:t>
      </w:r>
      <w:r>
        <w:rPr>
          <w:w w:val="100"/>
        </w:rPr>
        <w:t>垄</w:t>
      </w:r>
      <w:r>
        <w:rPr>
          <w:spacing w:val="-3"/>
          <w:w w:val="100"/>
        </w:rPr>
        <w:t>断</w:t>
      </w:r>
      <w:r>
        <w:rPr>
          <w:w w:val="100"/>
        </w:rPr>
        <w:t>审</w:t>
      </w:r>
      <w:r>
        <w:rPr>
          <w:spacing w:val="-3"/>
          <w:w w:val="100"/>
        </w:rPr>
        <w:t>查</w:t>
      </w:r>
      <w:r>
        <w:rPr>
          <w:w w:val="100"/>
        </w:rPr>
        <w:t>程序</w:t>
      </w:r>
      <w:r>
        <w:rPr>
          <w:spacing w:val="-3"/>
          <w:w w:val="100"/>
        </w:rPr>
        <w:t>，</w:t>
      </w:r>
      <w:r>
        <w:rPr>
          <w:w w:val="100"/>
        </w:rPr>
        <w:t>按</w:t>
      </w:r>
      <w:r>
        <w:rPr>
          <w:spacing w:val="-3"/>
          <w:w w:val="100"/>
        </w:rPr>
        <w:t>计</w:t>
      </w:r>
      <w:r>
        <w:rPr>
          <w:w w:val="100"/>
        </w:rPr>
        <w:t>划</w:t>
      </w:r>
      <w:r>
        <w:rPr>
          <w:spacing w:val="-3"/>
          <w:w w:val="100"/>
        </w:rPr>
        <w:t>推</w:t>
      </w:r>
      <w:r>
        <w:rPr>
          <w:w w:val="100"/>
        </w:rPr>
        <w:t>进</w:t>
      </w:r>
      <w:r>
        <w:rPr>
          <w:spacing w:val="-3"/>
          <w:w w:val="100"/>
        </w:rPr>
        <w:t>，</w:t>
      </w:r>
      <w:r>
        <w:rPr>
          <w:w w:val="100"/>
        </w:rPr>
        <w:t>公</w:t>
      </w:r>
      <w:r>
        <w:rPr>
          <w:spacing w:val="-3"/>
          <w:w w:val="100"/>
        </w:rPr>
        <w:t>司</w:t>
      </w:r>
      <w:r>
        <w:rPr>
          <w:w w:val="100"/>
        </w:rPr>
        <w:t>支付</w:t>
      </w:r>
      <w:r>
        <w:rPr>
          <w:spacing w:val="-3"/>
          <w:w w:val="100"/>
        </w:rPr>
        <w:t>收</w:t>
      </w:r>
      <w:r>
        <w:rPr>
          <w:w w:val="100"/>
        </w:rPr>
        <w:t>购</w:t>
      </w:r>
      <w:r>
        <w:rPr>
          <w:spacing w:val="-3"/>
          <w:w w:val="100"/>
        </w:rPr>
        <w:t>款</w:t>
      </w:r>
      <w:r>
        <w:rPr>
          <w:w w:val="100"/>
        </w:rPr>
        <w:t>人</w:t>
      </w:r>
      <w:r>
        <w:rPr>
          <w:spacing w:val="-3"/>
          <w:w w:val="100"/>
        </w:rPr>
        <w:t>民</w:t>
      </w:r>
      <w:r>
        <w:rPr>
          <w:w w:val="100"/>
        </w:rPr>
        <w:t>币</w:t>
      </w:r>
      <w:r>
        <w:rPr>
          <w:spacing w:val="-52"/>
        </w:rPr>
        <w:t> </w:t>
      </w:r>
      <w:r>
        <w:rPr>
          <w:rFonts w:ascii="宋体" w:hAnsi="宋体" w:cs="宋体" w:eastAsia="宋体" w:hint="default"/>
          <w:spacing w:val="-3"/>
          <w:w w:val="100"/>
        </w:rPr>
        <w:t>6</w:t>
      </w:r>
      <w:r>
        <w:rPr>
          <w:rFonts w:ascii="宋体" w:hAnsi="宋体" w:cs="宋体" w:eastAsia="宋体" w:hint="default"/>
          <w:w w:val="100"/>
        </w:rPr>
        <w:t>,278</w:t>
      </w:r>
      <w:r>
        <w:rPr>
          <w:rFonts w:ascii="宋体" w:hAnsi="宋体" w:cs="宋体" w:eastAsia="宋体" w:hint="default"/>
          <w:spacing w:val="-55"/>
        </w:rPr>
        <w:t> </w:t>
      </w:r>
      <w:r>
        <w:rPr>
          <w:w w:val="100"/>
        </w:rPr>
        <w:t>万元</w:t>
      </w:r>
      <w:r>
        <w:rPr>
          <w:spacing w:val="-3"/>
          <w:w w:val="100"/>
        </w:rPr>
        <w:t>（等</w:t>
      </w:r>
      <w:r>
        <w:rPr>
          <w:w w:val="100"/>
        </w:rPr>
        <w:t>值</w:t>
      </w:r>
      <w:r>
        <w:rPr>
          <w:spacing w:val="-52"/>
        </w:rPr>
        <w:t> </w:t>
      </w:r>
      <w:r>
        <w:rPr>
          <w:rFonts w:ascii="宋体" w:hAnsi="宋体" w:cs="宋体" w:eastAsia="宋体" w:hint="default"/>
          <w:w w:val="100"/>
        </w:rPr>
        <w:t>990</w:t>
      </w:r>
      <w:r>
        <w:rPr>
          <w:rFonts w:ascii="宋体" w:hAnsi="宋体" w:cs="宋体" w:eastAsia="宋体" w:hint="default"/>
          <w:spacing w:val="-55"/>
        </w:rPr>
        <w:t> </w:t>
      </w:r>
      <w:r>
        <w:rPr>
          <w:w w:val="100"/>
        </w:rPr>
        <w:t>万</w:t>
      </w:r>
      <w:r>
        <w:rPr>
          <w:spacing w:val="-3"/>
          <w:w w:val="100"/>
        </w:rPr>
        <w:t>美</w:t>
      </w:r>
      <w:r>
        <w:rPr>
          <w:w w:val="100"/>
        </w:rPr>
        <w:t>元</w:t>
      </w:r>
      <w:r>
        <w:rPr>
          <w:spacing w:val="-108"/>
          <w:w w:val="100"/>
        </w:rPr>
        <w:t>）</w:t>
      </w:r>
      <w:r>
        <w:rPr>
          <w:w w:val="100"/>
        </w:rPr>
        <w:t>。</w:t>
      </w:r>
    </w:p>
    <w:p>
      <w:pPr>
        <w:spacing w:after="0" w:line="240" w:lineRule="auto"/>
        <w:jc w:val="left"/>
        <w:sectPr>
          <w:pgSz w:w="11910" w:h="16840"/>
          <w:pgMar w:header="877" w:footer="1265" w:top="1100" w:bottom="1540" w:left="980" w:right="0"/>
        </w:sectPr>
      </w:pPr>
    </w:p>
    <w:p>
      <w:pPr>
        <w:spacing w:line="240" w:lineRule="auto" w:before="8"/>
        <w:rPr>
          <w:rFonts w:ascii="宋体" w:hAnsi="宋体" w:cs="宋体" w:eastAsia="宋体" w:hint="default"/>
          <w:sz w:val="24"/>
          <w:szCs w:val="24"/>
        </w:rPr>
      </w:pPr>
      <w:r>
        <w:rPr/>
        <w:pict>
          <v:shape style="position:absolute;margin-left:288.773834pt;margin-top:166.099976pt;width:72.05pt;height:15.6pt;mso-position-horizontal-relative:page;mso-position-vertical-relative:page;z-index:-1597336" type="#_x0000_t202" filled="false" stroked="false">
            <v:textbox inset="0,0,0,0">
              <w:txbxContent>
                <w:p>
                  <w:pPr>
                    <w:pStyle w:val="BodyText"/>
                    <w:spacing w:line="262" w:lineRule="exact" w:before="0"/>
                    <w:ind w:left="0" w:right="0"/>
                    <w:jc w:val="left"/>
                  </w:pPr>
                  <w:r>
                    <w:rPr/>
                    <w:t>万元）</w:t>
                  </w:r>
                </w:p>
              </w:txbxContent>
            </v:textbox>
            <w10:wrap type="none"/>
          </v:shape>
        </w:pict>
      </w:r>
    </w:p>
    <w:tbl>
      <w:tblPr>
        <w:tblW w:w="0" w:type="auto"/>
        <w:jc w:val="left"/>
        <w:tblInd w:w="119" w:type="dxa"/>
        <w:tblLayout w:type="fixed"/>
        <w:tblCellMar>
          <w:top w:w="0" w:type="dxa"/>
          <w:left w:w="0" w:type="dxa"/>
          <w:bottom w:w="0" w:type="dxa"/>
          <w:right w:w="0" w:type="dxa"/>
        </w:tblCellMar>
        <w:tblLook w:val="01E0"/>
      </w:tblPr>
      <w:tblGrid>
        <w:gridCol w:w="687"/>
        <w:gridCol w:w="1202"/>
        <w:gridCol w:w="836"/>
        <w:gridCol w:w="1550"/>
        <w:gridCol w:w="948"/>
        <w:gridCol w:w="914"/>
        <w:gridCol w:w="590"/>
        <w:gridCol w:w="684"/>
        <w:gridCol w:w="881"/>
        <w:gridCol w:w="686"/>
        <w:gridCol w:w="943"/>
      </w:tblGrid>
      <w:tr>
        <w:trPr>
          <w:trHeight w:val="3754" w:hRule="exact"/>
        </w:trPr>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127" w:right="125"/>
              <w:jc w:val="both"/>
              <w:rPr>
                <w:rFonts w:ascii="宋体" w:hAnsi="宋体" w:cs="宋体" w:eastAsia="宋体" w:hint="default"/>
                <w:sz w:val="21"/>
                <w:szCs w:val="21"/>
              </w:rPr>
            </w:pP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对方</w:t>
            </w:r>
            <w:r>
              <w:rPr>
                <w:rFonts w:ascii="宋体" w:hAnsi="宋体" w:cs="宋体" w:eastAsia="宋体" w:hint="default"/>
                <w:spacing w:val="-103"/>
                <w:sz w:val="21"/>
                <w:szCs w:val="21"/>
              </w:rPr>
              <w:t> </w:t>
            </w:r>
            <w:r>
              <w:rPr>
                <w:rFonts w:ascii="宋体" w:hAnsi="宋体" w:cs="宋体" w:eastAsia="宋体" w:hint="default"/>
                <w:sz w:val="21"/>
                <w:szCs w:val="21"/>
              </w:rPr>
              <w:t>或最</w:t>
            </w:r>
            <w:r>
              <w:rPr>
                <w:rFonts w:ascii="宋体" w:hAnsi="宋体" w:cs="宋体" w:eastAsia="宋体" w:hint="default"/>
                <w:spacing w:val="-103"/>
                <w:sz w:val="21"/>
                <w:szCs w:val="21"/>
              </w:rPr>
              <w:t> </w:t>
            </w:r>
            <w:r>
              <w:rPr>
                <w:rFonts w:ascii="宋体" w:hAnsi="宋体" w:cs="宋体" w:eastAsia="宋体" w:hint="default"/>
                <w:sz w:val="21"/>
                <w:szCs w:val="21"/>
              </w:rPr>
              <w:t>终控</w:t>
            </w:r>
            <w:r>
              <w:rPr>
                <w:rFonts w:ascii="宋体" w:hAnsi="宋体" w:cs="宋体" w:eastAsia="宋体" w:hint="default"/>
                <w:spacing w:val="-103"/>
                <w:sz w:val="21"/>
                <w:szCs w:val="21"/>
              </w:rPr>
              <w:t> </w:t>
            </w:r>
            <w:r>
              <w:rPr>
                <w:rFonts w:ascii="宋体" w:hAnsi="宋体" w:cs="宋体" w:eastAsia="宋体" w:hint="default"/>
                <w:sz w:val="21"/>
                <w:szCs w:val="21"/>
              </w:rPr>
              <w:t>制方</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auto"/>
              <w:ind w:left="280" w:right="65" w:hanging="209"/>
              <w:jc w:val="left"/>
              <w:rPr>
                <w:rFonts w:ascii="宋体" w:hAnsi="宋体" w:cs="宋体" w:eastAsia="宋体" w:hint="default"/>
                <w:sz w:val="21"/>
                <w:szCs w:val="21"/>
              </w:rPr>
            </w:pPr>
            <w:r>
              <w:rPr>
                <w:rFonts w:ascii="宋体" w:hAnsi="宋体" w:cs="宋体" w:eastAsia="宋体" w:hint="default"/>
                <w:sz w:val="21"/>
                <w:szCs w:val="21"/>
              </w:rPr>
              <w:t>被收购或置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入资产</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98" w:right="92"/>
              <w:jc w:val="both"/>
              <w:rPr>
                <w:rFonts w:ascii="宋体" w:hAnsi="宋体" w:cs="宋体" w:eastAsia="宋体" w:hint="default"/>
                <w:sz w:val="21"/>
                <w:szCs w:val="21"/>
              </w:rPr>
            </w:pPr>
            <w:r>
              <w:rPr>
                <w:rFonts w:ascii="宋体" w:hAnsi="宋体" w:cs="宋体" w:eastAsia="宋体" w:hint="default"/>
                <w:sz w:val="21"/>
                <w:szCs w:val="21"/>
              </w:rPr>
              <w:t>交易价</w:t>
            </w:r>
            <w:r>
              <w:rPr>
                <w:rFonts w:ascii="宋体" w:hAnsi="宋体" w:cs="宋体" w:eastAsia="宋体" w:hint="default"/>
                <w:spacing w:val="-102"/>
                <w:sz w:val="21"/>
                <w:szCs w:val="21"/>
              </w:rPr>
              <w:t> </w:t>
            </w:r>
            <w:r>
              <w:rPr>
                <w:rFonts w:ascii="宋体" w:hAnsi="宋体" w:cs="宋体" w:eastAsia="宋体" w:hint="default"/>
                <w:sz w:val="21"/>
                <w:szCs w:val="21"/>
              </w:rPr>
              <w:t>格（万</w:t>
            </w:r>
            <w:r>
              <w:rPr>
                <w:rFonts w:ascii="宋体" w:hAnsi="宋体" w:cs="宋体" w:eastAsia="宋体" w:hint="default"/>
                <w:spacing w:val="-102"/>
                <w:sz w:val="21"/>
                <w:szCs w:val="21"/>
              </w:rPr>
              <w:t> </w:t>
            </w:r>
            <w:r>
              <w:rPr>
                <w:rFonts w:ascii="宋体" w:hAnsi="宋体" w:cs="宋体" w:eastAsia="宋体" w:hint="default"/>
                <w:sz w:val="21"/>
                <w:szCs w:val="21"/>
              </w:rPr>
              <w:t>元）</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350" w:right="0"/>
              <w:jc w:val="left"/>
              <w:rPr>
                <w:rFonts w:ascii="宋体" w:hAnsi="宋体" w:cs="宋体" w:eastAsia="宋体" w:hint="default"/>
                <w:sz w:val="21"/>
                <w:szCs w:val="21"/>
              </w:rPr>
            </w:pPr>
            <w:r>
              <w:rPr>
                <w:rFonts w:ascii="宋体" w:hAnsi="宋体" w:cs="宋体" w:eastAsia="宋体" w:hint="default"/>
                <w:sz w:val="21"/>
                <w:szCs w:val="21"/>
              </w:rPr>
              <w:t>进展情况</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3" w:right="43" w:firstLine="26"/>
              <w:jc w:val="both"/>
              <w:rPr>
                <w:rFonts w:ascii="宋体" w:hAnsi="宋体" w:cs="宋体" w:eastAsia="宋体" w:hint="default"/>
                <w:sz w:val="21"/>
                <w:szCs w:val="21"/>
              </w:rPr>
            </w:pPr>
            <w:r>
              <w:rPr>
                <w:rFonts w:ascii="宋体" w:hAnsi="宋体" w:cs="宋体" w:eastAsia="宋体" w:hint="default"/>
                <w:sz w:val="21"/>
                <w:szCs w:val="21"/>
              </w:rPr>
              <w:t>自购买日</w:t>
            </w:r>
            <w:r>
              <w:rPr>
                <w:rFonts w:ascii="宋体" w:hAnsi="宋体" w:cs="宋体" w:eastAsia="宋体" w:hint="default"/>
                <w:w w:val="100"/>
                <w:sz w:val="21"/>
                <w:szCs w:val="21"/>
              </w:rPr>
              <w:t> </w:t>
            </w:r>
            <w:r>
              <w:rPr>
                <w:rFonts w:ascii="宋体" w:hAnsi="宋体" w:cs="宋体" w:eastAsia="宋体" w:hint="default"/>
                <w:sz w:val="21"/>
                <w:szCs w:val="21"/>
              </w:rPr>
              <w:t>起至报告</w:t>
            </w:r>
            <w:r>
              <w:rPr>
                <w:rFonts w:ascii="宋体" w:hAnsi="宋体" w:cs="宋体" w:eastAsia="宋体" w:hint="default"/>
                <w:w w:val="100"/>
                <w:sz w:val="21"/>
                <w:szCs w:val="21"/>
              </w:rPr>
              <w:t> </w:t>
            </w:r>
            <w:r>
              <w:rPr>
                <w:rFonts w:ascii="宋体" w:hAnsi="宋体" w:cs="宋体" w:eastAsia="宋体" w:hint="default"/>
                <w:sz w:val="21"/>
                <w:szCs w:val="21"/>
              </w:rPr>
              <w:t>期末为上</w:t>
            </w:r>
            <w:r>
              <w:rPr>
                <w:rFonts w:ascii="宋体" w:hAnsi="宋体" w:cs="宋体" w:eastAsia="宋体" w:hint="default"/>
                <w:w w:val="100"/>
                <w:sz w:val="21"/>
                <w:szCs w:val="21"/>
              </w:rPr>
              <w:t> </w:t>
            </w:r>
            <w:r>
              <w:rPr>
                <w:rFonts w:ascii="宋体" w:hAnsi="宋体" w:cs="宋体" w:eastAsia="宋体" w:hint="default"/>
                <w:sz w:val="21"/>
                <w:szCs w:val="21"/>
              </w:rPr>
              <w:t>市公司贡</w:t>
            </w:r>
            <w:r>
              <w:rPr>
                <w:rFonts w:ascii="宋体" w:hAnsi="宋体" w:cs="宋体" w:eastAsia="宋体" w:hint="default"/>
                <w:w w:val="100"/>
                <w:sz w:val="21"/>
                <w:szCs w:val="21"/>
              </w:rPr>
              <w:t> </w:t>
            </w:r>
            <w:r>
              <w:rPr>
                <w:rFonts w:ascii="宋体" w:hAnsi="宋体" w:cs="宋体" w:eastAsia="宋体" w:hint="default"/>
                <w:sz w:val="21"/>
                <w:szCs w:val="21"/>
              </w:rPr>
              <w:t>献的净利</w:t>
            </w:r>
            <w:r>
              <w:rPr>
                <w:rFonts w:ascii="宋体" w:hAnsi="宋体" w:cs="宋体" w:eastAsia="宋体" w:hint="default"/>
                <w:w w:val="100"/>
                <w:sz w:val="21"/>
                <w:szCs w:val="21"/>
              </w:rPr>
              <w:t> </w:t>
            </w:r>
            <w:r>
              <w:rPr>
                <w:rFonts w:ascii="宋体" w:hAnsi="宋体" w:cs="宋体" w:eastAsia="宋体" w:hint="default"/>
                <w:spacing w:val="-27"/>
                <w:sz w:val="21"/>
                <w:szCs w:val="21"/>
              </w:rPr>
              <w:t>润（</w:t>
            </w:r>
          </w:p>
          <w:p>
            <w:pPr>
              <w:pStyle w:val="TableParagraph"/>
              <w:spacing w:line="273" w:lineRule="auto" w:before="7"/>
              <w:ind w:left="50" w:right="43"/>
              <w:jc w:val="both"/>
              <w:rPr>
                <w:rFonts w:ascii="宋体" w:hAnsi="宋体" w:cs="宋体" w:eastAsia="宋体" w:hint="default"/>
                <w:sz w:val="21"/>
                <w:szCs w:val="21"/>
              </w:rPr>
            </w:pPr>
            <w:r>
              <w:rPr>
                <w:rFonts w:ascii="宋体" w:hAnsi="宋体" w:cs="宋体" w:eastAsia="宋体" w:hint="default"/>
                <w:sz w:val="21"/>
                <w:szCs w:val="21"/>
              </w:rPr>
              <w:t>（适用于</w:t>
            </w:r>
            <w:r>
              <w:rPr>
                <w:rFonts w:ascii="宋体" w:hAnsi="宋体" w:cs="宋体" w:eastAsia="宋体" w:hint="default"/>
                <w:w w:val="100"/>
                <w:sz w:val="21"/>
                <w:szCs w:val="21"/>
              </w:rPr>
              <w:t> </w:t>
            </w:r>
            <w:r>
              <w:rPr>
                <w:rFonts w:ascii="宋体" w:hAnsi="宋体" w:cs="宋体" w:eastAsia="宋体" w:hint="default"/>
                <w:sz w:val="21"/>
                <w:szCs w:val="21"/>
              </w:rPr>
              <w:t>非同一控</w:t>
            </w:r>
            <w:r>
              <w:rPr>
                <w:rFonts w:ascii="宋体" w:hAnsi="宋体" w:cs="宋体" w:eastAsia="宋体" w:hint="default"/>
                <w:w w:val="100"/>
                <w:sz w:val="21"/>
                <w:szCs w:val="21"/>
              </w:rPr>
              <w:t> </w:t>
            </w:r>
            <w:r>
              <w:rPr>
                <w:rFonts w:ascii="宋体" w:hAnsi="宋体" w:cs="宋体" w:eastAsia="宋体" w:hint="default"/>
                <w:sz w:val="21"/>
                <w:szCs w:val="21"/>
              </w:rPr>
              <w:t>制下的企</w:t>
            </w:r>
            <w:r>
              <w:rPr>
                <w:rFonts w:ascii="宋体" w:hAnsi="宋体" w:cs="宋体" w:eastAsia="宋体" w:hint="default"/>
                <w:w w:val="100"/>
                <w:sz w:val="21"/>
                <w:szCs w:val="21"/>
              </w:rPr>
              <w:t> </w:t>
            </w:r>
            <w:r>
              <w:rPr>
                <w:rFonts w:ascii="宋体" w:hAnsi="宋体" w:cs="宋体" w:eastAsia="宋体" w:hint="default"/>
                <w:sz w:val="21"/>
                <w:szCs w:val="21"/>
              </w:rPr>
              <w:t>业合并）</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3" w:right="26"/>
              <w:jc w:val="both"/>
              <w:rPr>
                <w:rFonts w:ascii="宋体" w:hAnsi="宋体" w:cs="宋体" w:eastAsia="宋体" w:hint="default"/>
                <w:sz w:val="21"/>
                <w:szCs w:val="21"/>
              </w:rPr>
            </w:pPr>
            <w:r>
              <w:rPr>
                <w:rFonts w:ascii="宋体" w:hAnsi="宋体" w:cs="宋体" w:eastAsia="宋体" w:hint="default"/>
                <w:sz w:val="21"/>
                <w:szCs w:val="21"/>
              </w:rPr>
              <w:t>自本期初</w:t>
            </w:r>
            <w:r>
              <w:rPr>
                <w:rFonts w:ascii="宋体" w:hAnsi="宋体" w:cs="宋体" w:eastAsia="宋体" w:hint="default"/>
                <w:w w:val="100"/>
                <w:sz w:val="21"/>
                <w:szCs w:val="21"/>
              </w:rPr>
              <w:t> </w:t>
            </w:r>
            <w:r>
              <w:rPr>
                <w:rFonts w:ascii="宋体" w:hAnsi="宋体" w:cs="宋体" w:eastAsia="宋体" w:hint="default"/>
                <w:sz w:val="21"/>
                <w:szCs w:val="21"/>
              </w:rPr>
              <w:t>至报告期</w:t>
            </w:r>
            <w:r>
              <w:rPr>
                <w:rFonts w:ascii="宋体" w:hAnsi="宋体" w:cs="宋体" w:eastAsia="宋体" w:hint="default"/>
                <w:w w:val="100"/>
                <w:sz w:val="21"/>
                <w:szCs w:val="21"/>
              </w:rPr>
              <w:t> </w:t>
            </w:r>
            <w:r>
              <w:rPr>
                <w:rFonts w:ascii="宋体" w:hAnsi="宋体" w:cs="宋体" w:eastAsia="宋体" w:hint="default"/>
                <w:sz w:val="21"/>
                <w:szCs w:val="21"/>
              </w:rPr>
              <w:t>末为上市</w:t>
            </w:r>
            <w:r>
              <w:rPr>
                <w:rFonts w:ascii="宋体" w:hAnsi="宋体" w:cs="宋体" w:eastAsia="宋体" w:hint="default"/>
                <w:w w:val="100"/>
                <w:sz w:val="21"/>
                <w:szCs w:val="21"/>
              </w:rPr>
              <w:t> </w:t>
            </w:r>
            <w:r>
              <w:rPr>
                <w:rFonts w:ascii="宋体" w:hAnsi="宋体" w:cs="宋体" w:eastAsia="宋体" w:hint="default"/>
                <w:sz w:val="21"/>
                <w:szCs w:val="21"/>
              </w:rPr>
              <w:t>公司贡献</w:t>
            </w:r>
            <w:r>
              <w:rPr>
                <w:rFonts w:ascii="宋体" w:hAnsi="宋体" w:cs="宋体" w:eastAsia="宋体" w:hint="default"/>
                <w:w w:val="100"/>
                <w:sz w:val="21"/>
                <w:szCs w:val="21"/>
              </w:rPr>
              <w:t> </w:t>
            </w:r>
            <w:r>
              <w:rPr>
                <w:rFonts w:ascii="宋体" w:hAnsi="宋体" w:cs="宋体" w:eastAsia="宋体" w:hint="default"/>
                <w:sz w:val="21"/>
                <w:szCs w:val="21"/>
              </w:rPr>
              <w:t>的净利润</w:t>
            </w:r>
          </w:p>
          <w:p>
            <w:pPr>
              <w:pStyle w:val="TableParagraph"/>
              <w:spacing w:line="240" w:lineRule="auto" w:before="7"/>
              <w:ind w:left="86" w:right="0"/>
              <w:jc w:val="both"/>
              <w:rPr>
                <w:rFonts w:ascii="宋体" w:hAnsi="宋体" w:cs="宋体" w:eastAsia="宋体" w:hint="default"/>
                <w:sz w:val="21"/>
                <w:szCs w:val="21"/>
              </w:rPr>
            </w:pP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pStyle w:val="TableParagraph"/>
              <w:spacing w:line="273" w:lineRule="auto" w:before="37"/>
              <w:ind w:left="33" w:right="26"/>
              <w:jc w:val="both"/>
              <w:rPr>
                <w:rFonts w:ascii="宋体" w:hAnsi="宋体" w:cs="宋体" w:eastAsia="宋体" w:hint="default"/>
                <w:sz w:val="21"/>
                <w:szCs w:val="21"/>
              </w:rPr>
            </w:pPr>
            <w:r>
              <w:rPr>
                <w:rFonts w:ascii="宋体" w:hAnsi="宋体" w:cs="宋体" w:eastAsia="宋体" w:hint="default"/>
                <w:sz w:val="21"/>
                <w:szCs w:val="21"/>
              </w:rPr>
              <w:t>（适用于</w:t>
            </w:r>
            <w:r>
              <w:rPr>
                <w:rFonts w:ascii="宋体" w:hAnsi="宋体" w:cs="宋体" w:eastAsia="宋体" w:hint="default"/>
                <w:w w:val="100"/>
                <w:sz w:val="21"/>
                <w:szCs w:val="21"/>
              </w:rPr>
              <w:t> </w:t>
            </w:r>
            <w:r>
              <w:rPr>
                <w:rFonts w:ascii="宋体" w:hAnsi="宋体" w:cs="宋体" w:eastAsia="宋体" w:hint="default"/>
                <w:sz w:val="21"/>
                <w:szCs w:val="21"/>
              </w:rPr>
              <w:t>同一控制</w:t>
            </w:r>
            <w:r>
              <w:rPr>
                <w:rFonts w:ascii="宋体" w:hAnsi="宋体" w:cs="宋体" w:eastAsia="宋体" w:hint="default"/>
                <w:w w:val="100"/>
                <w:sz w:val="21"/>
                <w:szCs w:val="21"/>
              </w:rPr>
              <w:t> </w:t>
            </w:r>
            <w:r>
              <w:rPr>
                <w:rFonts w:ascii="宋体" w:hAnsi="宋体" w:cs="宋体" w:eastAsia="宋体" w:hint="default"/>
                <w:sz w:val="21"/>
                <w:szCs w:val="21"/>
              </w:rPr>
              <w:t>下的企业</w:t>
            </w:r>
            <w:r>
              <w:rPr>
                <w:rFonts w:ascii="宋体" w:hAnsi="宋体" w:cs="宋体" w:eastAsia="宋体" w:hint="default"/>
                <w:w w:val="100"/>
                <w:sz w:val="21"/>
                <w:szCs w:val="21"/>
              </w:rPr>
              <w:t> </w:t>
            </w:r>
            <w:r>
              <w:rPr>
                <w:rFonts w:ascii="宋体" w:hAnsi="宋体" w:cs="宋体" w:eastAsia="宋体" w:hint="default"/>
                <w:sz w:val="21"/>
                <w:szCs w:val="21"/>
              </w:rPr>
              <w:t>合并）</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81" w:right="74"/>
              <w:jc w:val="both"/>
              <w:rPr>
                <w:rFonts w:ascii="宋体" w:hAnsi="宋体" w:cs="宋体" w:eastAsia="宋体" w:hint="default"/>
                <w:sz w:val="21"/>
                <w:szCs w:val="21"/>
              </w:rPr>
            </w:pPr>
            <w:r>
              <w:rPr>
                <w:rFonts w:ascii="宋体" w:hAnsi="宋体" w:cs="宋体" w:eastAsia="宋体" w:hint="default"/>
                <w:sz w:val="21"/>
                <w:szCs w:val="21"/>
              </w:rPr>
              <w:t>该资</w:t>
            </w:r>
            <w:r>
              <w:rPr>
                <w:rFonts w:ascii="宋体" w:hAnsi="宋体" w:cs="宋体" w:eastAsia="宋体" w:hint="default"/>
                <w:spacing w:val="-103"/>
                <w:sz w:val="21"/>
                <w:szCs w:val="21"/>
              </w:rPr>
              <w:t> </w:t>
            </w:r>
            <w:r>
              <w:rPr>
                <w:rFonts w:ascii="宋体" w:hAnsi="宋体" w:cs="宋体" w:eastAsia="宋体" w:hint="default"/>
                <w:sz w:val="21"/>
                <w:szCs w:val="21"/>
              </w:rPr>
              <w:t>产为</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贡献</w:t>
            </w:r>
            <w:r>
              <w:rPr>
                <w:rFonts w:ascii="宋体" w:hAnsi="宋体" w:cs="宋体" w:eastAsia="宋体" w:hint="default"/>
                <w:spacing w:val="-103"/>
                <w:sz w:val="21"/>
                <w:szCs w:val="21"/>
              </w:rPr>
              <w:t> </w:t>
            </w:r>
            <w:r>
              <w:rPr>
                <w:rFonts w:ascii="宋体" w:hAnsi="宋体" w:cs="宋体" w:eastAsia="宋体" w:hint="default"/>
                <w:sz w:val="21"/>
                <w:szCs w:val="21"/>
              </w:rPr>
              <w:t>的净</w:t>
            </w:r>
            <w:r>
              <w:rPr>
                <w:rFonts w:ascii="宋体" w:hAnsi="宋体" w:cs="宋体" w:eastAsia="宋体" w:hint="default"/>
                <w:spacing w:val="-103"/>
                <w:sz w:val="21"/>
                <w:szCs w:val="21"/>
              </w:rPr>
              <w:t> </w:t>
            </w:r>
            <w:r>
              <w:rPr>
                <w:rFonts w:ascii="宋体" w:hAnsi="宋体" w:cs="宋体" w:eastAsia="宋体" w:hint="default"/>
                <w:sz w:val="21"/>
                <w:szCs w:val="21"/>
              </w:rPr>
              <w:t>利润</w:t>
            </w:r>
            <w:r>
              <w:rPr>
                <w:rFonts w:ascii="宋体" w:hAnsi="宋体" w:cs="宋体" w:eastAsia="宋体" w:hint="default"/>
                <w:spacing w:val="-103"/>
                <w:sz w:val="21"/>
                <w:szCs w:val="21"/>
              </w:rPr>
              <w:t> </w:t>
            </w:r>
            <w:r>
              <w:rPr>
                <w:rFonts w:ascii="宋体" w:hAnsi="宋体" w:cs="宋体" w:eastAsia="宋体" w:hint="default"/>
                <w:sz w:val="21"/>
                <w:szCs w:val="21"/>
              </w:rPr>
              <w:t>占利</w:t>
            </w:r>
            <w:r>
              <w:rPr>
                <w:rFonts w:ascii="宋体" w:hAnsi="宋体" w:cs="宋体" w:eastAsia="宋体" w:hint="default"/>
                <w:spacing w:val="-103"/>
                <w:sz w:val="21"/>
                <w:szCs w:val="21"/>
              </w:rPr>
              <w:t> </w:t>
            </w:r>
            <w:r>
              <w:rPr>
                <w:rFonts w:ascii="宋体" w:hAnsi="宋体" w:cs="宋体" w:eastAsia="宋体" w:hint="default"/>
                <w:sz w:val="21"/>
                <w:szCs w:val="21"/>
              </w:rPr>
              <w:t>润总</w:t>
            </w:r>
            <w:r>
              <w:rPr>
                <w:rFonts w:ascii="宋体" w:hAnsi="宋体" w:cs="宋体" w:eastAsia="宋体" w:hint="default"/>
                <w:spacing w:val="-103"/>
                <w:sz w:val="21"/>
                <w:szCs w:val="21"/>
              </w:rPr>
              <w:t> </w:t>
            </w:r>
            <w:r>
              <w:rPr>
                <w:rFonts w:ascii="宋体" w:hAnsi="宋体" w:cs="宋体" w:eastAsia="宋体" w:hint="default"/>
                <w:sz w:val="21"/>
                <w:szCs w:val="21"/>
              </w:rPr>
              <w:t>额的</w:t>
            </w:r>
            <w:r>
              <w:rPr>
                <w:rFonts w:ascii="宋体" w:hAnsi="宋体" w:cs="宋体" w:eastAsia="宋体" w:hint="default"/>
                <w:spacing w:val="-103"/>
                <w:sz w:val="21"/>
                <w:szCs w:val="21"/>
              </w:rPr>
              <w:t> </w:t>
            </w:r>
            <w:r>
              <w:rPr>
                <w:rFonts w:ascii="宋体" w:hAnsi="宋体" w:cs="宋体" w:eastAsia="宋体" w:hint="default"/>
                <w:sz w:val="21"/>
                <w:szCs w:val="21"/>
              </w:rPr>
              <w:t>比率</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127" w:right="12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联交</w:t>
            </w:r>
            <w:r>
              <w:rPr>
                <w:rFonts w:ascii="宋体" w:hAnsi="宋体" w:cs="宋体" w:eastAsia="宋体" w:hint="default"/>
                <w:spacing w:val="-103"/>
                <w:sz w:val="21"/>
                <w:szCs w:val="21"/>
              </w:rPr>
              <w:t> </w:t>
            </w:r>
            <w:r>
              <w:rPr>
                <w:rFonts w:ascii="宋体" w:hAnsi="宋体" w:cs="宋体" w:eastAsia="宋体" w:hint="default"/>
                <w:sz w:val="21"/>
                <w:szCs w:val="21"/>
              </w:rPr>
              <w:t>易</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24" w:right="17" w:hanging="3"/>
              <w:jc w:val="center"/>
              <w:rPr>
                <w:rFonts w:ascii="宋体" w:hAnsi="宋体" w:cs="宋体" w:eastAsia="宋体" w:hint="default"/>
                <w:sz w:val="21"/>
                <w:szCs w:val="21"/>
              </w:rPr>
            </w:pPr>
            <w:r>
              <w:rPr>
                <w:rFonts w:ascii="宋体" w:hAnsi="宋体" w:cs="宋体" w:eastAsia="宋体" w:hint="default"/>
                <w:sz w:val="21"/>
                <w:szCs w:val="21"/>
              </w:rPr>
              <w:t>与交易</w:t>
            </w:r>
            <w:r>
              <w:rPr>
                <w:rFonts w:ascii="宋体" w:hAnsi="宋体" w:cs="宋体" w:eastAsia="宋体" w:hint="default"/>
                <w:w w:val="100"/>
                <w:sz w:val="21"/>
                <w:szCs w:val="21"/>
              </w:rPr>
              <w:t> </w:t>
            </w:r>
            <w:r>
              <w:rPr>
                <w:rFonts w:ascii="宋体" w:hAnsi="宋体" w:cs="宋体" w:eastAsia="宋体" w:hint="default"/>
                <w:sz w:val="21"/>
                <w:szCs w:val="21"/>
              </w:rPr>
              <w:t>对方的</w:t>
            </w:r>
            <w:r>
              <w:rPr>
                <w:rFonts w:ascii="宋体" w:hAnsi="宋体" w:cs="宋体" w:eastAsia="宋体" w:hint="default"/>
                <w:w w:val="100"/>
                <w:sz w:val="21"/>
                <w:szCs w:val="21"/>
              </w:rPr>
              <w:t> </w:t>
            </w:r>
            <w:r>
              <w:rPr>
                <w:rFonts w:ascii="宋体" w:hAnsi="宋体" w:cs="宋体" w:eastAsia="宋体" w:hint="default"/>
                <w:sz w:val="21"/>
                <w:szCs w:val="21"/>
              </w:rPr>
              <w:t>关联关</w:t>
            </w:r>
            <w:r>
              <w:rPr>
                <w:rFonts w:ascii="宋体" w:hAnsi="宋体" w:cs="宋体" w:eastAsia="宋体" w:hint="default"/>
                <w:w w:val="100"/>
                <w:sz w:val="21"/>
                <w:szCs w:val="21"/>
              </w:rPr>
              <w:t> </w:t>
            </w:r>
            <w:r>
              <w:rPr>
                <w:rFonts w:ascii="宋体" w:hAnsi="宋体" w:cs="宋体" w:eastAsia="宋体" w:hint="default"/>
                <w:spacing w:val="-5"/>
                <w:sz w:val="21"/>
                <w:szCs w:val="21"/>
              </w:rPr>
              <w:t>系（适用</w:t>
            </w:r>
            <w:r>
              <w:rPr>
                <w:rFonts w:ascii="宋体" w:hAnsi="宋体" w:cs="宋体" w:eastAsia="宋体" w:hint="default"/>
                <w:w w:val="100"/>
                <w:sz w:val="21"/>
                <w:szCs w:val="21"/>
              </w:rPr>
              <w:t> </w:t>
            </w:r>
            <w:r>
              <w:rPr>
                <w:rFonts w:ascii="宋体" w:hAnsi="宋体" w:cs="宋体" w:eastAsia="宋体" w:hint="default"/>
                <w:sz w:val="21"/>
                <w:szCs w:val="21"/>
              </w:rPr>
              <w:t>关联交</w:t>
            </w:r>
            <w:r>
              <w:rPr>
                <w:rFonts w:ascii="宋体" w:hAnsi="宋体" w:cs="宋体" w:eastAsia="宋体" w:hint="default"/>
                <w:w w:val="100"/>
                <w:sz w:val="21"/>
                <w:szCs w:val="21"/>
              </w:rPr>
              <w:t> </w:t>
            </w:r>
            <w:r>
              <w:rPr>
                <w:rFonts w:ascii="宋体" w:hAnsi="宋体" w:cs="宋体" w:eastAsia="宋体" w:hint="default"/>
                <w:sz w:val="21"/>
                <w:szCs w:val="21"/>
              </w:rPr>
              <w:t>易情形</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auto"/>
              <w:ind w:left="127" w:right="125"/>
              <w:jc w:val="left"/>
              <w:rPr>
                <w:rFonts w:ascii="宋体" w:hAnsi="宋体" w:cs="宋体" w:eastAsia="宋体" w:hint="default"/>
                <w:sz w:val="21"/>
                <w:szCs w:val="21"/>
              </w:rPr>
            </w:pPr>
            <w:r>
              <w:rPr>
                <w:rFonts w:ascii="宋体" w:hAnsi="宋体" w:cs="宋体" w:eastAsia="宋体" w:hint="default"/>
                <w:sz w:val="21"/>
                <w:szCs w:val="21"/>
              </w:rPr>
              <w:t>披露</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47"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3442"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24" w:right="123"/>
              <w:jc w:val="left"/>
              <w:rPr>
                <w:rFonts w:ascii="宋体" w:hAnsi="宋体" w:cs="宋体" w:eastAsia="宋体" w:hint="default"/>
                <w:sz w:val="21"/>
                <w:szCs w:val="21"/>
              </w:rPr>
            </w:pPr>
            <w:r>
              <w:rPr>
                <w:rFonts w:ascii="宋体" w:hAnsi="宋体" w:cs="宋体" w:eastAsia="宋体" w:hint="default"/>
                <w:sz w:val="21"/>
                <w:szCs w:val="21"/>
              </w:rPr>
              <w:t>红孩</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司及</w:t>
            </w:r>
            <w:r>
              <w:rPr>
                <w:rFonts w:ascii="宋体" w:hAnsi="宋体" w:cs="宋体" w:eastAsia="宋体" w:hint="default"/>
                <w:spacing w:val="-103"/>
                <w:sz w:val="21"/>
                <w:szCs w:val="21"/>
              </w:rPr>
              <w:t> </w:t>
            </w:r>
            <w:r>
              <w:rPr>
                <w:rFonts w:ascii="宋体" w:hAnsi="宋体" w:cs="宋体" w:eastAsia="宋体" w:hint="default"/>
                <w:sz w:val="21"/>
                <w:szCs w:val="21"/>
              </w:rPr>
              <w:t>China</w:t>
            </w:r>
            <w:r>
              <w:rPr>
                <w:rFonts w:ascii="宋体" w:hAnsi="宋体" w:cs="宋体" w:eastAsia="宋体" w:hint="default"/>
                <w:spacing w:val="-102"/>
                <w:sz w:val="21"/>
                <w:szCs w:val="21"/>
              </w:rPr>
              <w:t> </w:t>
            </w:r>
            <w:r>
              <w:rPr>
                <w:rFonts w:ascii="宋体" w:hAnsi="宋体" w:cs="宋体" w:eastAsia="宋体" w:hint="default"/>
                <w:sz w:val="21"/>
                <w:szCs w:val="21"/>
              </w:rPr>
              <w:t>Comme</w:t>
            </w:r>
            <w:r>
              <w:rPr>
                <w:rFonts w:ascii="宋体" w:hAnsi="宋体" w:cs="宋体" w:eastAsia="宋体" w:hint="default"/>
                <w:spacing w:val="-102"/>
                <w:sz w:val="21"/>
                <w:szCs w:val="21"/>
              </w:rPr>
              <w:t> </w:t>
            </w:r>
            <w:r>
              <w:rPr>
                <w:rFonts w:ascii="宋体" w:hAnsi="宋体" w:cs="宋体" w:eastAsia="宋体" w:hint="default"/>
                <w:sz w:val="21"/>
                <w:szCs w:val="21"/>
              </w:rPr>
              <w:t>rce</w:t>
            </w:r>
            <w:r>
              <w:rPr>
                <w:rFonts w:ascii="宋体" w:hAnsi="宋体" w:cs="宋体" w:eastAsia="宋体" w:hint="default"/>
                <w:w w:val="100"/>
                <w:sz w:val="21"/>
                <w:szCs w:val="21"/>
              </w:rPr>
              <w:t> </w:t>
            </w:r>
            <w:r>
              <w:rPr>
                <w:rFonts w:ascii="宋体" w:hAnsi="宋体" w:cs="宋体" w:eastAsia="宋体" w:hint="default"/>
                <w:sz w:val="21"/>
                <w:szCs w:val="21"/>
              </w:rPr>
              <w:t>Servi</w:t>
            </w:r>
            <w:r>
              <w:rPr>
                <w:rFonts w:ascii="宋体" w:hAnsi="宋体" w:cs="宋体" w:eastAsia="宋体" w:hint="default"/>
                <w:spacing w:val="-102"/>
                <w:sz w:val="21"/>
                <w:szCs w:val="21"/>
              </w:rPr>
              <w:t> </w:t>
            </w:r>
            <w:r>
              <w:rPr>
                <w:rFonts w:ascii="宋体" w:hAnsi="宋体" w:cs="宋体" w:eastAsia="宋体" w:hint="default"/>
                <w:sz w:val="21"/>
                <w:szCs w:val="21"/>
              </w:rPr>
              <w:t>ces</w:t>
            </w:r>
            <w:r>
              <w:rPr>
                <w:rFonts w:ascii="宋体" w:hAnsi="宋体" w:cs="宋体" w:eastAsia="宋体" w:hint="default"/>
                <w:w w:val="100"/>
                <w:sz w:val="21"/>
                <w:szCs w:val="21"/>
              </w:rPr>
              <w:t> </w:t>
            </w:r>
            <w:r>
              <w:rPr>
                <w:rFonts w:ascii="宋体" w:hAnsi="宋体" w:cs="宋体" w:eastAsia="宋体" w:hint="default"/>
                <w:sz w:val="21"/>
                <w:szCs w:val="21"/>
              </w:rPr>
              <w:t>Limit</w:t>
            </w:r>
            <w:r>
              <w:rPr>
                <w:rFonts w:ascii="宋体" w:hAnsi="宋体" w:cs="宋体" w:eastAsia="宋体" w:hint="default"/>
                <w:spacing w:val="-102"/>
                <w:sz w:val="21"/>
                <w:szCs w:val="21"/>
              </w:rPr>
              <w:t> </w:t>
            </w:r>
            <w:r>
              <w:rPr>
                <w:rFonts w:ascii="宋体" w:hAnsi="宋体" w:cs="宋体" w:eastAsia="宋体" w:hint="default"/>
                <w:sz w:val="21"/>
                <w:szCs w:val="21"/>
              </w:rPr>
              <w:t>ed</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7"/>
              <w:jc w:val="both"/>
              <w:rPr>
                <w:rFonts w:ascii="宋体" w:hAnsi="宋体" w:cs="宋体" w:eastAsia="宋体" w:hint="default"/>
                <w:sz w:val="21"/>
                <w:szCs w:val="21"/>
              </w:rPr>
            </w:pPr>
            <w:r>
              <w:rPr>
                <w:rFonts w:ascii="宋体" w:hAnsi="宋体" w:cs="宋体" w:eastAsia="宋体" w:hint="default"/>
                <w:sz w:val="21"/>
                <w:szCs w:val="21"/>
              </w:rPr>
              <w:t>全面收购红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孩子公司在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中国国内以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9"/>
                <w:w w:val="100"/>
                <w:sz w:val="21"/>
                <w:szCs w:val="21"/>
              </w:rPr>
              <w:t>“红孩子”、</w:t>
            </w:r>
          </w:p>
          <w:p>
            <w:pPr>
              <w:pStyle w:val="TableParagraph"/>
              <w:spacing w:line="273" w:lineRule="auto" w:before="7"/>
              <w:ind w:left="23" w:right="113"/>
              <w:jc w:val="left"/>
              <w:rPr>
                <w:rFonts w:ascii="宋体" w:hAnsi="宋体" w:cs="宋体" w:eastAsia="宋体" w:hint="default"/>
                <w:sz w:val="21"/>
                <w:szCs w:val="21"/>
              </w:rPr>
            </w:pPr>
            <w:r>
              <w:rPr>
                <w:rFonts w:ascii="宋体" w:hAnsi="宋体" w:cs="宋体" w:eastAsia="宋体" w:hint="default"/>
                <w:sz w:val="21"/>
                <w:szCs w:val="21"/>
              </w:rPr>
              <w:t>“缤购”等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品牌开展的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母婴、化妆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用品等产品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的销售业</w:t>
            </w:r>
            <w:r>
              <w:rPr>
                <w:rFonts w:ascii="宋体" w:hAnsi="宋体" w:cs="宋体" w:eastAsia="宋体" w:hint="default"/>
                <w:w w:val="100"/>
                <w:sz w:val="21"/>
                <w:szCs w:val="21"/>
              </w:rPr>
              <w:t> </w:t>
            </w:r>
            <w:r>
              <w:rPr>
                <w:rFonts w:ascii="宋体" w:hAnsi="宋体" w:cs="宋体" w:eastAsia="宋体" w:hint="default"/>
                <w:sz w:val="21"/>
                <w:szCs w:val="21"/>
              </w:rPr>
              <w:t>务、品牌与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相关资产</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基准对</w:t>
            </w:r>
          </w:p>
          <w:p>
            <w:pPr>
              <w:pStyle w:val="TableParagraph"/>
              <w:spacing w:line="273" w:lineRule="auto" w:before="37"/>
              <w:ind w:left="26" w:right="17" w:firstLine="357"/>
              <w:jc w:val="left"/>
              <w:rPr>
                <w:rFonts w:ascii="宋体" w:hAnsi="宋体" w:cs="宋体" w:eastAsia="宋体" w:hint="default"/>
                <w:sz w:val="21"/>
                <w:szCs w:val="21"/>
              </w:rPr>
            </w:pPr>
            <w:r>
              <w:rPr>
                <w:rFonts w:ascii="宋体" w:hAnsi="宋体" w:cs="宋体" w:eastAsia="宋体" w:hint="default"/>
                <w:sz w:val="21"/>
                <w:szCs w:val="21"/>
              </w:rPr>
              <w:t>价为</w:t>
            </w:r>
            <w:r>
              <w:rPr>
                <w:rFonts w:ascii="宋体" w:hAnsi="宋体" w:cs="宋体" w:eastAsia="宋体" w:hint="default"/>
                <w:w w:val="100"/>
                <w:sz w:val="21"/>
                <w:szCs w:val="21"/>
              </w:rPr>
              <w:t> </w:t>
            </w:r>
            <w:r>
              <w:rPr>
                <w:rFonts w:ascii="宋体" w:hAnsi="宋体" w:cs="宋体" w:eastAsia="宋体" w:hint="default"/>
                <w:sz w:val="21"/>
                <w:szCs w:val="21"/>
              </w:rPr>
              <w:t>6,600</w:t>
            </w:r>
            <w:r>
              <w:rPr>
                <w:rFonts w:ascii="宋体" w:hAnsi="宋体" w:cs="宋体" w:eastAsia="宋体" w:hint="default"/>
                <w:spacing w:val="-61"/>
                <w:sz w:val="21"/>
                <w:szCs w:val="21"/>
              </w:rPr>
              <w:t> </w:t>
            </w:r>
            <w:r>
              <w:rPr>
                <w:rFonts w:ascii="宋体" w:hAnsi="宋体" w:cs="宋体" w:eastAsia="宋体" w:hint="default"/>
                <w:sz w:val="21"/>
                <w:szCs w:val="21"/>
              </w:rPr>
              <w:t>万</w:t>
            </w:r>
          </w:p>
          <w:p>
            <w:pPr>
              <w:pStyle w:val="TableParagraph"/>
              <w:spacing w:line="273" w:lineRule="auto" w:before="7"/>
              <w:ind w:left="172" w:right="17" w:hanging="147"/>
              <w:jc w:val="both"/>
              <w:rPr>
                <w:rFonts w:ascii="宋体" w:hAnsi="宋体" w:cs="宋体" w:eastAsia="宋体" w:hint="default"/>
                <w:sz w:val="21"/>
                <w:szCs w:val="21"/>
              </w:rPr>
            </w:pPr>
            <w:r>
              <w:rPr>
                <w:rFonts w:ascii="宋体" w:hAnsi="宋体" w:cs="宋体" w:eastAsia="宋体" w:hint="default"/>
                <w:spacing w:val="-17"/>
                <w:sz w:val="21"/>
                <w:szCs w:val="21"/>
              </w:rPr>
              <w:t>美金（含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等值人</w:t>
            </w:r>
            <w:r>
              <w:rPr>
                <w:rFonts w:ascii="宋体" w:hAnsi="宋体" w:cs="宋体" w:eastAsia="宋体" w:hint="default"/>
                <w:w w:val="100"/>
                <w:sz w:val="21"/>
                <w:szCs w:val="21"/>
              </w:rPr>
              <w:t> </w:t>
            </w:r>
            <w:r>
              <w:rPr>
                <w:rFonts w:ascii="宋体" w:hAnsi="宋体" w:cs="宋体" w:eastAsia="宋体" w:hint="default"/>
                <w:sz w:val="21"/>
                <w:szCs w:val="21"/>
              </w:rPr>
              <w:t>民币）</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p>
          <w:p>
            <w:pPr>
              <w:pStyle w:val="TableParagraph"/>
              <w:spacing w:line="273" w:lineRule="auto" w:before="37"/>
              <w:ind w:left="23" w:right="17"/>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17"/>
                <w:sz w:val="21"/>
                <w:szCs w:val="21"/>
              </w:rPr>
              <w:t>日，本次收</w:t>
            </w:r>
            <w:r>
              <w:rPr>
                <w:rFonts w:ascii="宋体" w:hAnsi="宋体" w:cs="宋体" w:eastAsia="宋体" w:hint="default"/>
                <w:w w:val="100"/>
                <w:sz w:val="21"/>
                <w:szCs w:val="21"/>
              </w:rPr>
              <w:t> </w:t>
            </w:r>
            <w:r>
              <w:rPr>
                <w:rFonts w:ascii="宋体" w:hAnsi="宋体" w:cs="宋体" w:eastAsia="宋体" w:hint="default"/>
                <w:sz w:val="21"/>
                <w:szCs w:val="21"/>
              </w:rPr>
              <w:t>购事项正履行相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关审批程序；截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止本报告披露</w:t>
            </w:r>
            <w:r>
              <w:rPr>
                <w:rFonts w:ascii="宋体" w:hAnsi="宋体" w:cs="宋体" w:eastAsia="宋体" w:hint="default"/>
                <w:w w:val="100"/>
                <w:sz w:val="21"/>
                <w:szCs w:val="21"/>
              </w:rPr>
              <w:t> </w:t>
            </w:r>
            <w:r>
              <w:rPr>
                <w:rFonts w:ascii="宋体" w:hAnsi="宋体" w:cs="宋体" w:eastAsia="宋体" w:hint="default"/>
                <w:sz w:val="21"/>
                <w:szCs w:val="21"/>
              </w:rPr>
              <w:t>日，此次收购事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项已经履行完成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相关审批程序，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收购双方正在履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行相关资产交割</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程序。</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w w:val="100"/>
                <w:sz w:val="21"/>
              </w:rPr>
              <w:t>-</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w w:val="100"/>
                <w:sz w:val="21"/>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w w:val="100"/>
                <w:sz w:val="21"/>
              </w:rPr>
              <w:t>-</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09</w:t>
            </w:r>
          </w:p>
          <w:p>
            <w:pPr>
              <w:pStyle w:val="TableParagraph"/>
              <w:spacing w:line="273" w:lineRule="auto" w:before="37"/>
              <w:ind w:left="23" w:right="17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3" w:right="65"/>
              <w:jc w:val="left"/>
              <w:rPr>
                <w:rFonts w:ascii="宋体" w:hAnsi="宋体" w:cs="宋体" w:eastAsia="宋体" w:hint="default"/>
                <w:sz w:val="21"/>
                <w:szCs w:val="21"/>
              </w:rPr>
            </w:pPr>
            <w:r>
              <w:rPr>
                <w:rFonts w:ascii="宋体" w:hAnsi="宋体" w:cs="宋体" w:eastAsia="宋体" w:hint="default"/>
                <w:sz w:val="21"/>
                <w:szCs w:val="21"/>
              </w:rPr>
              <w:t>巨潮资讯</w:t>
            </w:r>
            <w:r>
              <w:rPr>
                <w:rFonts w:ascii="宋体" w:hAnsi="宋体" w:cs="宋体" w:eastAsia="宋体" w:hint="default"/>
                <w:w w:val="100"/>
                <w:sz w:val="21"/>
                <w:szCs w:val="21"/>
              </w:rPr>
              <w:t> </w:t>
            </w:r>
            <w:r>
              <w:rPr>
                <w:rFonts w:ascii="宋体" w:hAnsi="宋体" w:cs="宋体" w:eastAsia="宋体" w:hint="default"/>
                <w:sz w:val="21"/>
                <w:szCs w:val="21"/>
              </w:rPr>
              <w:t>网</w:t>
            </w:r>
            <w:r>
              <w:rPr>
                <w:rFonts w:ascii="宋体" w:hAnsi="宋体" w:cs="宋体" w:eastAsia="宋体" w:hint="default"/>
                <w:w w:val="100"/>
                <w:sz w:val="21"/>
                <w:szCs w:val="21"/>
              </w:rPr>
              <w:t> </w:t>
            </w:r>
            <w:r>
              <w:rPr>
                <w:rFonts w:ascii="宋体" w:hAnsi="宋体" w:cs="宋体" w:eastAsia="宋体" w:hint="default"/>
                <w:color w:val="0000FF"/>
                <w:w w:val="100"/>
                <w:sz w:val="21"/>
                <w:szCs w:val="21"/>
              </w:rPr>
            </w:r>
            <w:hyperlink r:id="rId13">
              <w:r>
                <w:rPr>
                  <w:rFonts w:ascii="宋体" w:hAnsi="宋体" w:cs="宋体" w:eastAsia="宋体" w:hint="default"/>
                  <w:color w:val="0000FF"/>
                  <w:sz w:val="21"/>
                  <w:szCs w:val="21"/>
                  <w:u w:val="single" w:color="0000FF"/>
                </w:rPr>
                <w:t>http://w</w:t>
              </w:r>
              <w:r>
                <w:rPr>
                  <w:rFonts w:ascii="宋体" w:hAnsi="宋体" w:cs="宋体" w:eastAsia="宋体" w:hint="default"/>
                  <w:color w:val="0000FF"/>
                  <w:w w:val="100"/>
                  <w:sz w:val="21"/>
                  <w:szCs w:val="21"/>
                </w:rPr>
              </w:r>
            </w:hyperlink>
            <w:r>
              <w:rPr>
                <w:rFonts w:ascii="宋体" w:hAnsi="宋体" w:cs="宋体" w:eastAsia="宋体" w:hint="default"/>
                <w:color w:val="0000FF"/>
                <w:w w:val="100"/>
                <w:sz w:val="21"/>
                <w:szCs w:val="21"/>
              </w:rPr>
              <w:t> </w:t>
            </w:r>
            <w:hyperlink r:id="rId13">
              <w:r>
                <w:rPr>
                  <w:rFonts w:ascii="宋体" w:hAnsi="宋体" w:cs="宋体" w:eastAsia="宋体" w:hint="default"/>
                  <w:color w:val="0000FF"/>
                  <w:w w:val="100"/>
                  <w:sz w:val="21"/>
                  <w:szCs w:val="21"/>
                </w:rPr>
              </w:r>
              <w:r>
                <w:rPr>
                  <w:rFonts w:ascii="宋体" w:hAnsi="宋体" w:cs="宋体" w:eastAsia="宋体" w:hint="default"/>
                  <w:color w:val="0000FF"/>
                  <w:sz w:val="21"/>
                  <w:szCs w:val="21"/>
                  <w:u w:val="single" w:color="0000FF"/>
                </w:rPr>
                <w:t>ww.cninf</w:t>
              </w:r>
              <w:r>
                <w:rPr>
                  <w:rFonts w:ascii="宋体" w:hAnsi="宋体" w:cs="宋体" w:eastAsia="宋体" w:hint="default"/>
                  <w:color w:val="0000FF"/>
                  <w:w w:val="100"/>
                  <w:sz w:val="21"/>
                  <w:szCs w:val="21"/>
                </w:rPr>
              </w:r>
            </w:hyperlink>
            <w:r>
              <w:rPr>
                <w:rFonts w:ascii="宋体" w:hAnsi="宋体" w:cs="宋体" w:eastAsia="宋体" w:hint="default"/>
                <w:color w:val="0000FF"/>
                <w:w w:val="100"/>
                <w:sz w:val="21"/>
                <w:szCs w:val="21"/>
              </w:rPr>
              <w:t> </w:t>
            </w:r>
            <w:hyperlink r:id="rId13">
              <w:r>
                <w:rPr>
                  <w:rFonts w:ascii="宋体" w:hAnsi="宋体" w:cs="宋体" w:eastAsia="宋体" w:hint="default"/>
                  <w:color w:val="0000FF"/>
                  <w:w w:val="100"/>
                  <w:sz w:val="21"/>
                  <w:szCs w:val="21"/>
                </w:rPr>
              </w:r>
              <w:r>
                <w:rPr>
                  <w:rFonts w:ascii="宋体" w:hAnsi="宋体" w:cs="宋体" w:eastAsia="宋体" w:hint="default"/>
                  <w:color w:val="0000FF"/>
                  <w:sz w:val="21"/>
                  <w:szCs w:val="21"/>
                  <w:u w:val="single" w:color="0000FF"/>
                </w:rPr>
                <w:t>o.com.cn</w:t>
              </w:r>
              <w:r>
                <w:rPr>
                  <w:rFonts w:ascii="宋体" w:hAnsi="宋体" w:cs="宋体" w:eastAsia="宋体" w:hint="default"/>
                  <w:color w:val="0000FF"/>
                  <w:w w:val="100"/>
                  <w:sz w:val="21"/>
                  <w:szCs w:val="21"/>
                </w:rPr>
              </w:r>
            </w:hyperlink>
            <w:r>
              <w:rPr>
                <w:rFonts w:ascii="宋体" w:hAnsi="宋体" w:cs="宋体" w:eastAsia="宋体" w:hint="default"/>
                <w:color w:val="0000FF"/>
                <w:w w:val="100"/>
                <w:sz w:val="21"/>
                <w:szCs w:val="21"/>
              </w:rPr>
              <w:t> </w:t>
            </w:r>
            <w:r>
              <w:rPr>
                <w:rFonts w:ascii="宋体" w:hAnsi="宋体" w:cs="宋体" w:eastAsia="宋体" w:hint="default"/>
                <w:sz w:val="21"/>
                <w:szCs w:val="21"/>
              </w:rPr>
              <w:t>2012-042</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号公告</w:t>
            </w:r>
          </w:p>
        </w:tc>
      </w:tr>
    </w:tbl>
    <w:p>
      <w:pPr>
        <w:pStyle w:val="BodyText"/>
        <w:spacing w:line="408" w:lineRule="auto" w:before="64"/>
        <w:ind w:left="573" w:right="2273"/>
        <w:jc w:val="left"/>
      </w:pPr>
      <w:r>
        <w:rPr/>
        <w:t>收购资产情况概述</w:t>
      </w:r>
      <w:r>
        <w:rPr>
          <w:w w:val="100"/>
        </w:rPr>
        <w:t> </w:t>
      </w:r>
      <w:r>
        <w:rPr>
          <w:spacing w:val="-2"/>
        </w:rPr>
        <w:t>报告期内，公司不存在其他应披露的重大收购及出售资产、吸收合并事项。</w:t>
      </w:r>
    </w:p>
    <w:p>
      <w:pPr>
        <w:spacing w:line="240" w:lineRule="auto" w:before="8"/>
        <w:rPr>
          <w:rFonts w:ascii="宋体" w:hAnsi="宋体" w:cs="宋体" w:eastAsia="宋体" w:hint="default"/>
          <w:sz w:val="18"/>
          <w:szCs w:val="18"/>
        </w:rPr>
      </w:pPr>
    </w:p>
    <w:p>
      <w:pPr>
        <w:pStyle w:val="Heading2"/>
        <w:spacing w:line="240" w:lineRule="auto"/>
        <w:ind w:right="982"/>
        <w:jc w:val="left"/>
        <w:rPr>
          <w:b w:val="0"/>
          <w:bCs w:val="0"/>
        </w:rPr>
      </w:pPr>
      <w:r>
        <w:rPr/>
        <w:t>五、公司股权激励的实施情况及其影响</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573" w:right="982"/>
        <w:jc w:val="left"/>
      </w:pPr>
      <w:r>
        <w:rPr>
          <w:rFonts w:ascii="宋体" w:hAnsi="宋体" w:cs="宋体" w:eastAsia="宋体" w:hint="default"/>
        </w:rPr>
        <w:t>1</w:t>
      </w:r>
      <w:r>
        <w:rPr/>
        <w:t>、股权激励计划简述</w:t>
      </w:r>
      <w:r>
        <w:rPr>
          <w:w w:val="100"/>
        </w:rPr>
        <w:t> </w:t>
      </w:r>
      <w:r>
        <w:rPr>
          <w:spacing w:val="-2"/>
        </w:rPr>
        <w:t>公司于</w:t>
      </w:r>
      <w:r>
        <w:rPr>
          <w:rFonts w:ascii="宋体" w:hAnsi="宋体" w:cs="宋体" w:eastAsia="宋体" w:hint="default"/>
          <w:spacing w:val="-2"/>
        </w:rPr>
        <w:t>2010</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25</w:t>
      </w:r>
      <w:r>
        <w:rPr>
          <w:spacing w:val="-2"/>
        </w:rPr>
        <w:t>日召开第四届董事会第二次会议审议通过了《苏宁电器股份有限公司</w:t>
      </w:r>
      <w:r>
        <w:rPr>
          <w:rFonts w:ascii="宋体" w:hAnsi="宋体" w:cs="宋体" w:eastAsia="宋体" w:hint="default"/>
          <w:spacing w:val="-2"/>
        </w:rPr>
        <w:t>2010</w:t>
      </w:r>
      <w:r>
        <w:rPr>
          <w:spacing w:val="-2"/>
        </w:rPr>
        <w:t>年股票</w:t>
      </w:r>
    </w:p>
    <w:p>
      <w:pPr>
        <w:pStyle w:val="BodyText"/>
        <w:spacing w:line="408" w:lineRule="auto"/>
        <w:ind w:right="982"/>
        <w:jc w:val="left"/>
      </w:pPr>
      <w:r>
        <w:rPr>
          <w:spacing w:val="-11"/>
          <w:w w:val="100"/>
        </w:rPr>
        <w:t>期权激励计划（草案）》（以下简称“本次期权激励计划草案”），并报中国证券监督管理委员会备案。本次</w:t>
      </w:r>
      <w:r>
        <w:rPr>
          <w:spacing w:val="-86"/>
          <w:w w:val="100"/>
        </w:rPr>
        <w:t> </w:t>
      </w:r>
      <w:r>
        <w:rPr>
          <w:spacing w:val="-86"/>
          <w:w w:val="100"/>
        </w:rPr>
      </w:r>
      <w:r>
        <w:rPr/>
        <w:t>期权激励计划草案获得中国证监会备案通过后，公司于</w:t>
      </w:r>
      <w:r>
        <w:rPr>
          <w:rFonts w:ascii="宋体" w:hAnsi="宋体" w:cs="宋体" w:eastAsia="宋体" w:hint="default"/>
        </w:rPr>
        <w:t>2010</w:t>
      </w:r>
      <w:r>
        <w:rPr/>
        <w:t>年</w:t>
      </w:r>
      <w:r>
        <w:rPr>
          <w:rFonts w:ascii="宋体" w:hAnsi="宋体" w:cs="宋体" w:eastAsia="宋体" w:hint="default"/>
        </w:rPr>
        <w:t>11</w:t>
      </w:r>
      <w:r>
        <w:rPr/>
        <w:t>月</w:t>
      </w:r>
      <w:r>
        <w:rPr>
          <w:rFonts w:ascii="宋体" w:hAnsi="宋体" w:cs="宋体" w:eastAsia="宋体" w:hint="default"/>
        </w:rPr>
        <w:t>6</w:t>
      </w:r>
      <w:r>
        <w:rPr/>
        <w:t>日发出召开</w:t>
      </w:r>
      <w:r>
        <w:rPr>
          <w:rFonts w:ascii="宋体" w:hAnsi="宋体" w:cs="宋体" w:eastAsia="宋体" w:hint="default"/>
        </w:rPr>
        <w:t>2010</w:t>
      </w:r>
      <w:r>
        <w:rPr/>
        <w:t>年第二次临时股东大</w:t>
      </w:r>
      <w:r>
        <w:rPr>
          <w:w w:val="100"/>
        </w:rPr>
        <w:t> </w:t>
      </w:r>
      <w:r>
        <w:rPr>
          <w:spacing w:val="-2"/>
        </w:rPr>
        <w:t>会通知，审议本次期权激励计划。</w:t>
      </w:r>
      <w:r>
        <w:rPr>
          <w:rFonts w:ascii="宋体" w:hAnsi="宋体" w:cs="宋体" w:eastAsia="宋体" w:hint="default"/>
          <w:spacing w:val="-2"/>
        </w:rPr>
        <w:t>2010</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24</w:t>
      </w:r>
      <w:r>
        <w:rPr>
          <w:spacing w:val="-2"/>
        </w:rPr>
        <w:t>日，公司</w:t>
      </w:r>
      <w:r>
        <w:rPr>
          <w:rFonts w:ascii="宋体" w:hAnsi="宋体" w:cs="宋体" w:eastAsia="宋体" w:hint="default"/>
          <w:spacing w:val="-2"/>
        </w:rPr>
        <w:t>2010</w:t>
      </w:r>
      <w:r>
        <w:rPr>
          <w:spacing w:val="-2"/>
        </w:rPr>
        <w:t>年第二次临时股东大会审议通过了《</w:t>
      </w:r>
      <w:r>
        <w:rPr>
          <w:rFonts w:ascii="宋体" w:hAnsi="宋体" w:cs="宋体" w:eastAsia="宋体" w:hint="default"/>
          <w:spacing w:val="-2"/>
        </w:rPr>
        <w:t>2010</w:t>
      </w:r>
      <w:r>
        <w:rPr>
          <w:spacing w:val="-2"/>
        </w:rPr>
        <w:t>年</w:t>
      </w:r>
      <w:r>
        <w:rPr>
          <w:spacing w:val="-34"/>
        </w:rPr>
        <w:t> </w:t>
      </w:r>
      <w:r>
        <w:rPr>
          <w:spacing w:val="-6"/>
          <w:w w:val="100"/>
        </w:rPr>
        <w:t>股票期权激励计划》，本次股票期权激励计划获得批准。</w:t>
      </w:r>
    </w:p>
    <w:p>
      <w:pPr>
        <w:pStyle w:val="BodyText"/>
        <w:spacing w:line="408" w:lineRule="auto"/>
        <w:ind w:right="1210" w:firstLine="420"/>
        <w:jc w:val="both"/>
      </w:pPr>
      <w:r>
        <w:rPr>
          <w:spacing w:val="-2"/>
        </w:rPr>
        <w:t>根据公司期权激励计划，公司授予激励对象</w:t>
      </w:r>
      <w:r>
        <w:rPr>
          <w:rFonts w:ascii="宋体" w:hAnsi="宋体" w:cs="宋体" w:eastAsia="宋体" w:hint="default"/>
          <w:spacing w:val="-2"/>
        </w:rPr>
        <w:t>8,469</w:t>
      </w:r>
      <w:r>
        <w:rPr>
          <w:spacing w:val="-2"/>
        </w:rPr>
        <w:t>万份期权，每份股票期权拥有在激励计划有效期内</w:t>
      </w:r>
      <w:r>
        <w:rPr>
          <w:w w:val="100"/>
        </w:rPr>
        <w:t> </w:t>
      </w:r>
      <w:r>
        <w:rPr>
          <w:spacing w:val="-2"/>
        </w:rPr>
        <w:t>的可行权日以行权价格和行权条件购买一股苏宁电器股票的权利。</w:t>
      </w:r>
      <w:r>
        <w:rPr>
          <w:rFonts w:ascii="宋体" w:hAnsi="宋体" w:cs="宋体" w:eastAsia="宋体" w:hint="default"/>
          <w:spacing w:val="-2"/>
        </w:rPr>
        <w:t>8,469</w:t>
      </w:r>
      <w:r>
        <w:rPr>
          <w:spacing w:val="-2"/>
        </w:rPr>
        <w:t>万份股票期权标的股票总数占本</w:t>
      </w:r>
      <w:r>
        <w:rPr>
          <w:spacing w:val="-17"/>
        </w:rPr>
        <w:t> </w:t>
      </w:r>
      <w:r>
        <w:rPr>
          <w:spacing w:val="-17"/>
        </w:rPr>
      </w:r>
      <w:r>
        <w:rPr/>
        <w:t>激励计划批准时公司股本总额的</w:t>
      </w:r>
      <w:r>
        <w:rPr>
          <w:rFonts w:ascii="宋体" w:hAnsi="宋体" w:cs="宋体" w:eastAsia="宋体" w:hint="default"/>
        </w:rPr>
        <w:t>1.21%</w:t>
      </w:r>
      <w:r>
        <w:rPr/>
        <w:t>。</w:t>
      </w:r>
    </w:p>
    <w:p>
      <w:pPr>
        <w:pStyle w:val="BodyText"/>
        <w:spacing w:line="240" w:lineRule="auto"/>
        <w:ind w:left="573" w:right="982"/>
        <w:jc w:val="left"/>
      </w:pPr>
      <w:r>
        <w:rPr>
          <w:rFonts w:ascii="宋体" w:hAnsi="宋体" w:cs="宋体" w:eastAsia="宋体" w:hint="default"/>
        </w:rPr>
        <w:t>2</w:t>
      </w:r>
      <w:r>
        <w:rPr/>
        <w:t>、股票期权的授予及行权情况</w:t>
      </w:r>
    </w:p>
    <w:p>
      <w:pPr>
        <w:spacing w:after="0" w:line="240" w:lineRule="auto"/>
        <w:jc w:val="left"/>
        <w:sectPr>
          <w:pgSz w:w="11910" w:h="16840"/>
          <w:pgMar w:header="877" w:footer="1265" w:top="1100" w:bottom="1540" w:left="980" w:right="0"/>
        </w:sectPr>
      </w:pPr>
    </w:p>
    <w:p>
      <w:pPr>
        <w:spacing w:line="240" w:lineRule="auto" w:before="9"/>
        <w:rPr>
          <w:rFonts w:ascii="宋体" w:hAnsi="宋体" w:cs="宋体" w:eastAsia="宋体" w:hint="default"/>
          <w:sz w:val="26"/>
          <w:szCs w:val="26"/>
        </w:rPr>
      </w:pPr>
    </w:p>
    <w:p>
      <w:pPr>
        <w:pStyle w:val="BodyText"/>
        <w:spacing w:line="408" w:lineRule="auto" w:before="36"/>
        <w:ind w:left="212" w:right="1021" w:firstLine="420"/>
        <w:jc w:val="left"/>
      </w:pPr>
      <w:r>
        <w:rPr>
          <w:spacing w:val="-2"/>
        </w:rPr>
        <w:t>经公司第四届董事会第六次会议审议，认为公司已符合《</w:t>
      </w:r>
      <w:r>
        <w:rPr>
          <w:rFonts w:ascii="宋体" w:hAnsi="宋体" w:cs="宋体" w:eastAsia="宋体" w:hint="default"/>
          <w:spacing w:val="-2"/>
        </w:rPr>
        <w:t>2010</w:t>
      </w:r>
      <w:r>
        <w:rPr>
          <w:spacing w:val="-2"/>
        </w:rPr>
        <w:t>年股票期权激励计划》规定的各项授权</w:t>
      </w:r>
      <w:r>
        <w:rPr>
          <w:w w:val="100"/>
        </w:rPr>
        <w:t> </w:t>
      </w:r>
      <w:r>
        <w:rPr>
          <w:spacing w:val="-6"/>
        </w:rPr>
        <w:t>条件，确定以</w:t>
      </w:r>
      <w:r>
        <w:rPr>
          <w:rFonts w:ascii="宋体" w:hAnsi="宋体" w:cs="宋体" w:eastAsia="宋体" w:hint="default"/>
          <w:spacing w:val="-6"/>
        </w:rPr>
        <w:t>2010</w:t>
      </w:r>
      <w:r>
        <w:rPr>
          <w:spacing w:val="-6"/>
        </w:rPr>
        <w:t>年</w:t>
      </w:r>
      <w:r>
        <w:rPr>
          <w:rFonts w:ascii="宋体" w:hAnsi="宋体" w:cs="宋体" w:eastAsia="宋体" w:hint="default"/>
          <w:spacing w:val="-6"/>
        </w:rPr>
        <w:t>11</w:t>
      </w:r>
      <w:r>
        <w:rPr>
          <w:spacing w:val="-6"/>
        </w:rPr>
        <w:t>月</w:t>
      </w:r>
      <w:r>
        <w:rPr>
          <w:rFonts w:ascii="宋体" w:hAnsi="宋体" w:cs="宋体" w:eastAsia="宋体" w:hint="default"/>
          <w:spacing w:val="-6"/>
        </w:rPr>
        <w:t>26</w:t>
      </w:r>
      <w:r>
        <w:rPr>
          <w:spacing w:val="-6"/>
        </w:rPr>
        <w:t>日作为本次股票期权的授权日，向</w:t>
      </w:r>
      <w:r>
        <w:rPr>
          <w:rFonts w:ascii="宋体" w:hAnsi="宋体" w:cs="宋体" w:eastAsia="宋体" w:hint="default"/>
          <w:spacing w:val="-6"/>
        </w:rPr>
        <w:t>248</w:t>
      </w:r>
      <w:r>
        <w:rPr>
          <w:spacing w:val="-6"/>
        </w:rPr>
        <w:t>位激励对象授予</w:t>
      </w:r>
      <w:r>
        <w:rPr>
          <w:rFonts w:ascii="宋体" w:hAnsi="宋体" w:cs="宋体" w:eastAsia="宋体" w:hint="default"/>
          <w:spacing w:val="-6"/>
        </w:rPr>
        <w:t>8,469</w:t>
      </w:r>
      <w:r>
        <w:rPr>
          <w:spacing w:val="-6"/>
        </w:rPr>
        <w:t>万份股票期权。</w:t>
      </w:r>
      <w:r>
        <w:rPr>
          <w:rFonts w:ascii="宋体" w:hAnsi="宋体" w:cs="宋体" w:eastAsia="宋体" w:hint="default"/>
          <w:spacing w:val="-6"/>
        </w:rPr>
        <w:t>2011</w:t>
      </w:r>
      <w:r>
        <w:rPr>
          <w:rFonts w:ascii="宋体" w:hAnsi="宋体" w:cs="宋体" w:eastAsia="宋体" w:hint="default"/>
          <w:spacing w:val="-8"/>
        </w:rPr>
        <w:t> </w:t>
      </w:r>
      <w:r>
        <w:rPr>
          <w:rFonts w:ascii="宋体" w:hAnsi="宋体" w:cs="宋体" w:eastAsia="宋体" w:hint="default"/>
          <w:spacing w:val="-8"/>
        </w:rPr>
      </w:r>
      <w:r>
        <w:rPr>
          <w:spacing w:val="-4"/>
          <w:w w:val="100"/>
        </w:rPr>
        <w:t>年</w:t>
      </w:r>
      <w:r>
        <w:rPr>
          <w:rFonts w:ascii="宋体" w:hAnsi="宋体" w:cs="宋体" w:eastAsia="宋体" w:hint="default"/>
          <w:spacing w:val="-4"/>
          <w:w w:val="100"/>
        </w:rPr>
        <w:t>4</w:t>
      </w:r>
      <w:r>
        <w:rPr>
          <w:spacing w:val="-4"/>
          <w:w w:val="100"/>
        </w:rPr>
        <w:t>月</w:t>
      </w:r>
      <w:r>
        <w:rPr>
          <w:rFonts w:ascii="宋体" w:hAnsi="宋体" w:cs="宋体" w:eastAsia="宋体" w:hint="default"/>
          <w:spacing w:val="-4"/>
          <w:w w:val="100"/>
        </w:rPr>
        <w:t>29</w:t>
      </w:r>
      <w:r>
        <w:rPr>
          <w:spacing w:val="-4"/>
          <w:w w:val="100"/>
        </w:rPr>
        <w:t>日，经公司第四届董事会第十二次会议审议，通过了《关于调整股权激励计划行权价格的议案》，</w:t>
      </w:r>
      <w:r>
        <w:rPr>
          <w:spacing w:val="-85"/>
          <w:w w:val="100"/>
        </w:rPr>
        <w:t> </w:t>
      </w:r>
      <w:r>
        <w:rPr>
          <w:spacing w:val="-85"/>
          <w:w w:val="100"/>
        </w:rPr>
      </w:r>
      <w:r>
        <w:rPr/>
        <w:t>调整后授予股票期权行权价格为</w:t>
      </w:r>
      <w:r>
        <w:rPr>
          <w:rFonts w:ascii="宋体" w:hAnsi="宋体" w:cs="宋体" w:eastAsia="宋体" w:hint="default"/>
        </w:rPr>
        <w:t>14.40</w:t>
      </w:r>
      <w:r>
        <w:rPr/>
        <w:t>元。截止报告期末，未有激励对象提出股票期权行权申请。此外，</w:t>
      </w:r>
      <w:r>
        <w:rPr>
          <w:w w:val="100"/>
        </w:rPr>
        <w:t> </w:t>
      </w:r>
      <w:r>
        <w:rPr>
          <w:spacing w:val="-2"/>
        </w:rPr>
        <w:t>由于部分激励对象离职，根据《股票期权激励计划》的有关规定，离职人员获授期权由公司收回并予以注</w:t>
      </w:r>
      <w:r>
        <w:rPr>
          <w:spacing w:val="-47"/>
        </w:rPr>
        <w:t> </w:t>
      </w:r>
      <w:r>
        <w:rPr>
          <w:spacing w:val="-47"/>
        </w:rPr>
      </w:r>
      <w:r>
        <w:rPr/>
        <w:t>销。截止报告期末，失效的权益数量总额为</w:t>
      </w:r>
      <w:r>
        <w:rPr>
          <w:rFonts w:ascii="宋体" w:hAnsi="宋体" w:cs="宋体" w:eastAsia="宋体" w:hint="default"/>
        </w:rPr>
        <w:t>903</w:t>
      </w:r>
      <w:r>
        <w:rPr/>
        <w:t>万股。</w:t>
      </w:r>
    </w:p>
    <w:p>
      <w:pPr>
        <w:pStyle w:val="BodyText"/>
        <w:spacing w:line="240" w:lineRule="auto"/>
        <w:ind w:left="633" w:right="1021"/>
        <w:jc w:val="left"/>
      </w:pPr>
      <w:r>
        <w:rPr>
          <w:rFonts w:ascii="宋体" w:hAnsi="宋体" w:cs="宋体" w:eastAsia="宋体" w:hint="default"/>
        </w:rPr>
        <w:t>3</w:t>
      </w:r>
      <w:r>
        <w:rPr/>
        <w:t>、公司股票期权的授予对公司本报告期及以后各年度财务状况和经营成果的影响</w:t>
      </w:r>
    </w:p>
    <w:p>
      <w:pPr>
        <w:spacing w:line="240" w:lineRule="auto" w:before="10"/>
        <w:rPr>
          <w:rFonts w:ascii="宋体" w:hAnsi="宋体" w:cs="宋体" w:eastAsia="宋体" w:hint="default"/>
          <w:sz w:val="14"/>
          <w:szCs w:val="14"/>
        </w:rPr>
      </w:pPr>
    </w:p>
    <w:p>
      <w:pPr>
        <w:pStyle w:val="BodyText"/>
        <w:spacing w:line="240" w:lineRule="auto" w:before="0"/>
        <w:ind w:left="633" w:right="1021"/>
        <w:jc w:val="left"/>
      </w:pPr>
      <w:r>
        <w:rPr/>
        <w:t>（</w:t>
      </w:r>
      <w:r>
        <w:rPr>
          <w:rFonts w:ascii="宋体" w:hAnsi="宋体" w:cs="宋体" w:eastAsia="宋体" w:hint="default"/>
        </w:rPr>
        <w:t>1</w:t>
      </w:r>
      <w:r>
        <w:rPr/>
        <w:t>）股票期权公允价值及预计摊销情况</w:t>
      </w:r>
    </w:p>
    <w:p>
      <w:pPr>
        <w:spacing w:line="240" w:lineRule="auto" w:before="11"/>
        <w:rPr>
          <w:rFonts w:ascii="宋体" w:hAnsi="宋体" w:cs="宋体" w:eastAsia="宋体" w:hint="default"/>
          <w:sz w:val="14"/>
          <w:szCs w:val="14"/>
        </w:rPr>
      </w:pPr>
    </w:p>
    <w:p>
      <w:pPr>
        <w:pStyle w:val="BodyText"/>
        <w:spacing w:line="408" w:lineRule="auto" w:before="0"/>
        <w:ind w:left="212" w:right="1210" w:firstLine="420"/>
        <w:jc w:val="both"/>
      </w:pPr>
      <w:r>
        <w:rPr>
          <w:spacing w:val="-2"/>
        </w:rPr>
        <w:t>根据《企业会计准则第</w:t>
      </w:r>
      <w:r>
        <w:rPr>
          <w:rFonts w:ascii="宋体" w:hAnsi="宋体" w:cs="宋体" w:eastAsia="宋体" w:hint="default"/>
          <w:spacing w:val="-2"/>
        </w:rPr>
        <w:t>22</w:t>
      </w:r>
      <w:r>
        <w:rPr>
          <w:spacing w:val="-2"/>
        </w:rPr>
        <w:t>号</w:t>
      </w:r>
      <w:r>
        <w:rPr>
          <w:rFonts w:ascii="宋体" w:hAnsi="宋体" w:cs="宋体" w:eastAsia="宋体" w:hint="default"/>
          <w:spacing w:val="-2"/>
        </w:rPr>
        <w:t>-</w:t>
      </w:r>
      <w:r>
        <w:rPr>
          <w:spacing w:val="-2"/>
        </w:rPr>
        <w:t>金融工具确认和计量》中关于公允价值确定的相关规定，公司选择布莱</w:t>
      </w:r>
      <w:r>
        <w:rPr>
          <w:w w:val="100"/>
        </w:rPr>
        <w:t> </w:t>
      </w:r>
      <w:r>
        <w:rPr>
          <w:spacing w:val="-2"/>
        </w:rPr>
        <w:t>特</w:t>
      </w:r>
      <w:r>
        <w:rPr>
          <w:rFonts w:ascii="宋体" w:hAnsi="宋体" w:cs="宋体" w:eastAsia="宋体" w:hint="default"/>
          <w:spacing w:val="-2"/>
        </w:rPr>
        <w:t>-</w:t>
      </w:r>
      <w:r>
        <w:rPr>
          <w:spacing w:val="-2"/>
        </w:rPr>
        <w:t>斯科尔斯期权定价模型，并以确定的授权日</w:t>
      </w:r>
      <w:r>
        <w:rPr>
          <w:rFonts w:ascii="宋体" w:hAnsi="宋体" w:cs="宋体" w:eastAsia="宋体" w:hint="default"/>
          <w:spacing w:val="-2"/>
        </w:rPr>
        <w:t>2010</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26</w:t>
      </w:r>
      <w:r>
        <w:rPr>
          <w:spacing w:val="-2"/>
        </w:rPr>
        <w:t>日的收盘价等数据为参数对公司的股票期权</w:t>
      </w:r>
      <w:r>
        <w:rPr>
          <w:spacing w:val="-13"/>
        </w:rPr>
        <w:t> </w:t>
      </w:r>
      <w:r>
        <w:rPr>
          <w:spacing w:val="-13"/>
        </w:rPr>
      </w:r>
      <w:r>
        <w:rPr/>
        <w:t>的公允价值进行了测算。</w:t>
      </w:r>
    </w:p>
    <w:p>
      <w:pPr>
        <w:pStyle w:val="BodyText"/>
        <w:spacing w:line="408" w:lineRule="auto"/>
        <w:ind w:left="212" w:right="1021" w:firstLine="420"/>
        <w:jc w:val="left"/>
      </w:pPr>
      <w:r>
        <w:rPr/>
        <w:t>公司激励计划的股票期权公允价值为</w:t>
      </w:r>
      <w:r>
        <w:rPr>
          <w:rFonts w:ascii="宋体" w:hAnsi="宋体" w:cs="宋体" w:eastAsia="宋体" w:hint="default"/>
        </w:rPr>
        <w:t>39,464.45</w:t>
      </w:r>
      <w:r>
        <w:rPr/>
        <w:t>万元，在授予日起的</w:t>
      </w:r>
      <w:r>
        <w:rPr>
          <w:rFonts w:ascii="宋体" w:hAnsi="宋体" w:cs="宋体" w:eastAsia="宋体" w:hint="default"/>
        </w:rPr>
        <w:t>48</w:t>
      </w:r>
      <w:r>
        <w:rPr/>
        <w:t>个月内摊销完毕。假设全部激</w:t>
      </w:r>
      <w:r>
        <w:rPr>
          <w:w w:val="100"/>
        </w:rPr>
        <w:t> </w:t>
      </w:r>
      <w:r>
        <w:rPr>
          <w:spacing w:val="-2"/>
        </w:rPr>
        <w:t>励对象均符合本计划规定的行权条件且在各行权期内全部行权，则每年的期权成本摊销情况以及对公司相</w:t>
      </w:r>
      <w:r>
        <w:rPr>
          <w:spacing w:val="-43"/>
        </w:rPr>
        <w:t> </w:t>
      </w:r>
      <w:r>
        <w:rPr>
          <w:spacing w:val="-43"/>
        </w:rPr>
      </w:r>
      <w:r>
        <w:rPr/>
        <w:t>关年度的财务指标影响如下：</w:t>
      </w:r>
    </w:p>
    <w:tbl>
      <w:tblPr>
        <w:tblW w:w="0" w:type="auto"/>
        <w:jc w:val="left"/>
        <w:tblInd w:w="100" w:type="dxa"/>
        <w:tblLayout w:type="fixed"/>
        <w:tblCellMar>
          <w:top w:w="0" w:type="dxa"/>
          <w:left w:w="0" w:type="dxa"/>
          <w:bottom w:w="0" w:type="dxa"/>
          <w:right w:w="0" w:type="dxa"/>
        </w:tblCellMar>
        <w:tblLook w:val="01E0"/>
      </w:tblPr>
      <w:tblGrid>
        <w:gridCol w:w="2146"/>
        <w:gridCol w:w="1316"/>
        <w:gridCol w:w="1622"/>
        <w:gridCol w:w="1704"/>
        <w:gridCol w:w="1493"/>
        <w:gridCol w:w="1574"/>
      </w:tblGrid>
      <w:tr>
        <w:trPr>
          <w:trHeight w:val="32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r>
      <w:tr>
        <w:trPr>
          <w:trHeight w:val="425"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3" w:right="-5"/>
              <w:jc w:val="left"/>
              <w:rPr>
                <w:rFonts w:ascii="宋体" w:hAnsi="宋体" w:cs="宋体" w:eastAsia="宋体" w:hint="default"/>
                <w:sz w:val="21"/>
                <w:szCs w:val="21"/>
              </w:rPr>
            </w:pPr>
            <w:r>
              <w:rPr>
                <w:rFonts w:ascii="宋体" w:hAnsi="宋体" w:cs="宋体" w:eastAsia="宋体" w:hint="default"/>
                <w:spacing w:val="-8"/>
                <w:sz w:val="21"/>
                <w:szCs w:val="21"/>
              </w:rPr>
              <w:t>期权成本摊销（万元）</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85" w:right="0"/>
              <w:jc w:val="left"/>
              <w:rPr>
                <w:rFonts w:ascii="Times New Roman" w:hAnsi="Times New Roman" w:cs="Times New Roman" w:eastAsia="Times New Roman" w:hint="default"/>
                <w:sz w:val="21"/>
                <w:szCs w:val="21"/>
              </w:rPr>
            </w:pPr>
            <w:r>
              <w:rPr>
                <w:rFonts w:ascii="Times New Roman"/>
                <w:sz w:val="21"/>
              </w:rPr>
              <w:t>1,454.25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 w:right="0"/>
              <w:jc w:val="center"/>
              <w:rPr>
                <w:rFonts w:ascii="Times New Roman" w:hAnsi="Times New Roman" w:cs="Times New Roman" w:eastAsia="Times New Roman" w:hint="default"/>
                <w:sz w:val="21"/>
                <w:szCs w:val="21"/>
              </w:rPr>
            </w:pPr>
            <w:r>
              <w:rPr>
                <w:rFonts w:ascii="Times New Roman"/>
                <w:sz w:val="21"/>
              </w:rPr>
              <w:t>16,966.55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Times New Roman" w:hAnsi="Times New Roman" w:cs="Times New Roman" w:eastAsia="Times New Roman" w:hint="default"/>
                <w:sz w:val="21"/>
                <w:szCs w:val="21"/>
              </w:rPr>
            </w:pPr>
            <w:r>
              <w:rPr>
                <w:rFonts w:ascii="Times New Roman"/>
                <w:sz w:val="21"/>
              </w:rPr>
              <w:t>11,256.52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74" w:right="0"/>
              <w:jc w:val="left"/>
              <w:rPr>
                <w:rFonts w:ascii="Times New Roman" w:hAnsi="Times New Roman" w:cs="Times New Roman" w:eastAsia="Times New Roman" w:hint="default"/>
                <w:sz w:val="21"/>
                <w:szCs w:val="21"/>
              </w:rPr>
            </w:pPr>
            <w:r>
              <w:rPr>
                <w:rFonts w:ascii="Times New Roman"/>
                <w:sz w:val="21"/>
              </w:rPr>
              <w:t>6,755.65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 w:right="0"/>
              <w:jc w:val="center"/>
              <w:rPr>
                <w:rFonts w:ascii="Times New Roman" w:hAnsi="Times New Roman" w:cs="Times New Roman" w:eastAsia="Times New Roman" w:hint="default"/>
                <w:sz w:val="21"/>
                <w:szCs w:val="21"/>
              </w:rPr>
            </w:pPr>
            <w:r>
              <w:rPr>
                <w:rFonts w:ascii="Times New Roman"/>
                <w:sz w:val="21"/>
              </w:rPr>
              <w:t>3,031.47</w:t>
            </w:r>
          </w:p>
        </w:tc>
      </w:tr>
    </w:tbl>
    <w:p>
      <w:pPr>
        <w:pStyle w:val="BodyText"/>
        <w:spacing w:line="408" w:lineRule="auto"/>
        <w:ind w:left="633" w:right="1021"/>
        <w:jc w:val="left"/>
      </w:pPr>
      <w:r>
        <w:rPr/>
        <w:t>（</w:t>
      </w:r>
      <w:r>
        <w:rPr>
          <w:rFonts w:ascii="宋体" w:hAnsi="宋体" w:cs="宋体" w:eastAsia="宋体" w:hint="default"/>
        </w:rPr>
        <w:t>2</w:t>
      </w:r>
      <w:r>
        <w:rPr/>
        <w:t>）报告期内期权成本摊销情况</w:t>
      </w:r>
      <w:r>
        <w:rPr>
          <w:w w:val="100"/>
        </w:rPr>
        <w:t> </w:t>
      </w:r>
      <w:r>
        <w:rPr>
          <w:spacing w:val="2"/>
        </w:rPr>
        <w:t>由于公司</w:t>
      </w:r>
      <w:r>
        <w:rPr>
          <w:rFonts w:ascii="宋体" w:hAnsi="宋体" w:cs="宋体" w:eastAsia="宋体" w:hint="default"/>
          <w:spacing w:val="2"/>
        </w:rPr>
        <w:t>2012</w:t>
      </w:r>
      <w:r>
        <w:rPr>
          <w:spacing w:val="2"/>
        </w:rPr>
        <w:t>年业绩条件无法满足第三个行权期的行权条件之一即</w:t>
      </w:r>
      <w:r>
        <w:rPr>
          <w:rFonts w:ascii="宋体" w:hAnsi="宋体" w:cs="宋体" w:eastAsia="宋体" w:hint="default"/>
          <w:spacing w:val="2"/>
        </w:rPr>
        <w:t>2012</w:t>
      </w:r>
      <w:r>
        <w:rPr>
          <w:spacing w:val="2"/>
        </w:rPr>
        <w:t>年度归属于上市公司股东的</w:t>
      </w:r>
    </w:p>
    <w:p>
      <w:pPr>
        <w:pStyle w:val="BodyText"/>
        <w:spacing w:line="408" w:lineRule="auto"/>
        <w:ind w:left="212" w:right="1021"/>
        <w:jc w:val="left"/>
      </w:pPr>
      <w:r>
        <w:rPr/>
        <w:t>净利润较</w:t>
      </w:r>
      <w:r>
        <w:rPr>
          <w:rFonts w:ascii="宋体" w:hAnsi="宋体" w:cs="宋体" w:eastAsia="宋体" w:hint="default"/>
        </w:rPr>
        <w:t>2009</w:t>
      </w:r>
      <w:r>
        <w:rPr/>
        <w:t>年度复合增长率不低于</w:t>
      </w:r>
      <w:r>
        <w:rPr>
          <w:rFonts w:ascii="宋体" w:hAnsi="宋体" w:cs="宋体" w:eastAsia="宋体" w:hint="default"/>
        </w:rPr>
        <w:t>25%</w:t>
      </w:r>
      <w:r>
        <w:rPr/>
        <w:t>，以及部分激励对象离职，公司在本报告期冲回了对应部分期权</w:t>
      </w:r>
      <w:r>
        <w:rPr>
          <w:spacing w:val="-27"/>
        </w:rPr>
        <w:t> </w:t>
      </w:r>
      <w:r>
        <w:rPr>
          <w:spacing w:val="-27"/>
        </w:rPr>
      </w:r>
      <w:r>
        <w:rPr/>
        <w:t>公允价值在以前年度摊销的金额。截至报告期末，公司股票期权价值累计摊销</w:t>
      </w:r>
      <w:r>
        <w:rPr>
          <w:rFonts w:ascii="宋体" w:hAnsi="宋体" w:cs="宋体" w:eastAsia="宋体" w:hint="default"/>
        </w:rPr>
        <w:t>13,976</w:t>
      </w:r>
      <w:r>
        <w:rPr/>
        <w:t>万元。</w:t>
      </w:r>
    </w:p>
    <w:p>
      <w:pPr>
        <w:spacing w:line="240" w:lineRule="auto" w:before="8"/>
        <w:rPr>
          <w:rFonts w:ascii="宋体" w:hAnsi="宋体" w:cs="宋体" w:eastAsia="宋体" w:hint="default"/>
          <w:sz w:val="18"/>
          <w:szCs w:val="18"/>
        </w:rPr>
      </w:pPr>
    </w:p>
    <w:p>
      <w:pPr>
        <w:pStyle w:val="Heading2"/>
        <w:spacing w:line="240" w:lineRule="auto"/>
        <w:ind w:left="212" w:right="1021"/>
        <w:jc w:val="left"/>
        <w:rPr>
          <w:b w:val="0"/>
          <w:bCs w:val="0"/>
        </w:rPr>
      </w:pPr>
      <w:r>
        <w:rPr/>
        <w:t>六、重大关联交易</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633" w:right="5650"/>
        <w:jc w:val="left"/>
      </w:pPr>
      <w:r>
        <w:rPr>
          <w:spacing w:val="-2"/>
        </w:rPr>
        <w:t>报告期内，公司重大关联交易履约情况：</w:t>
      </w:r>
      <w:r>
        <w:rPr>
          <w:spacing w:val="-69"/>
        </w:rPr>
        <w:t> </w:t>
      </w:r>
      <w:r>
        <w:rPr>
          <w:spacing w:val="-69"/>
        </w:rPr>
      </w:r>
      <w:r>
        <w:rPr>
          <w:rFonts w:ascii="宋体" w:hAnsi="宋体" w:cs="宋体" w:eastAsia="宋体" w:hint="default"/>
        </w:rPr>
        <w:t>1</w:t>
      </w:r>
      <w:r>
        <w:rPr/>
        <w:t>、商标使用许可协议</w:t>
      </w:r>
    </w:p>
    <w:p>
      <w:pPr>
        <w:pStyle w:val="BodyText"/>
        <w:spacing w:line="408" w:lineRule="auto"/>
        <w:ind w:left="212" w:right="1126" w:firstLine="420"/>
        <w:jc w:val="both"/>
      </w:pPr>
      <w:r>
        <w:rPr>
          <w:rFonts w:ascii="宋体" w:hAnsi="宋体" w:cs="宋体" w:eastAsia="宋体" w:hint="default"/>
        </w:rPr>
        <w:t>2008</w:t>
      </w:r>
      <w:r>
        <w:rPr/>
        <w:t>年</w:t>
      </w:r>
      <w:r>
        <w:rPr>
          <w:rFonts w:ascii="宋体" w:hAnsi="宋体" w:cs="宋体" w:eastAsia="宋体" w:hint="default"/>
        </w:rPr>
        <w:t>3</w:t>
      </w:r>
      <w:r>
        <w:rPr/>
        <w:t>月</w:t>
      </w:r>
      <w:r>
        <w:rPr>
          <w:rFonts w:ascii="宋体" w:hAnsi="宋体" w:cs="宋体" w:eastAsia="宋体" w:hint="default"/>
        </w:rPr>
        <w:t>20</w:t>
      </w:r>
      <w:r>
        <w:rPr/>
        <w:t>日，经公司</w:t>
      </w:r>
      <w:r>
        <w:rPr>
          <w:rFonts w:ascii="宋体" w:hAnsi="宋体" w:cs="宋体" w:eastAsia="宋体" w:hint="default"/>
        </w:rPr>
        <w:t>2007</w:t>
      </w:r>
      <w:r>
        <w:rPr/>
        <w:t>年年度股东大会审议通过了《关于商标使用许可的议案》，同意许可公</w:t>
      </w:r>
      <w:r>
        <w:rPr>
          <w:w w:val="100"/>
        </w:rPr>
        <w:t> </w:t>
      </w:r>
      <w:r>
        <w:rPr>
          <w:spacing w:val="-2"/>
        </w:rPr>
        <w:t>司第二大发起人股东苏宁电器集团有限公司及其全资、控股子公司和具有实际控制权的公司使用公司已注</w:t>
      </w:r>
      <w:r>
        <w:rPr>
          <w:spacing w:val="-43"/>
        </w:rPr>
        <w:t> </w:t>
      </w:r>
      <w:r>
        <w:rPr>
          <w:spacing w:val="-43"/>
        </w:rPr>
      </w:r>
      <w:r>
        <w:rPr>
          <w:spacing w:val="2"/>
        </w:rPr>
        <w:t>册的部分“蘇寧”系列注册商标以及部分“苏宁”及“NS”组合的系列注册商标。若在后期的经营活动</w:t>
      </w:r>
      <w:r>
        <w:rPr>
          <w:spacing w:val="-29"/>
        </w:rPr>
        <w:t> </w:t>
      </w:r>
      <w:r>
        <w:rPr>
          <w:spacing w:val="-29"/>
        </w:rPr>
      </w:r>
      <w:r>
        <w:rPr>
          <w:spacing w:val="-2"/>
        </w:rPr>
        <w:t>中，苏宁电器集团有限公司及其全资、控股子公司和具有实际控制权的公司需要使用许可使用商标的延申</w:t>
      </w:r>
      <w:r>
        <w:rPr>
          <w:spacing w:val="-44"/>
        </w:rPr>
        <w:t> </w:t>
      </w:r>
      <w:r>
        <w:rPr>
          <w:spacing w:val="-44"/>
        </w:rPr>
      </w:r>
      <w:r>
        <w:rPr/>
        <w:t>商标，公司可代为申请注册，并许可其使用。</w:t>
      </w:r>
    </w:p>
    <w:p>
      <w:pPr>
        <w:pStyle w:val="BodyText"/>
        <w:spacing w:line="240" w:lineRule="auto"/>
        <w:ind w:left="633" w:right="1021"/>
        <w:jc w:val="left"/>
      </w:pPr>
      <w:r>
        <w:rPr>
          <w:rFonts w:ascii="宋体" w:hAnsi="宋体" w:cs="宋体" w:eastAsia="宋体" w:hint="default"/>
        </w:rPr>
        <w:t>2009</w:t>
      </w:r>
      <w:r>
        <w:rPr/>
        <w:t>年</w:t>
      </w:r>
      <w:r>
        <w:rPr>
          <w:rFonts w:ascii="宋体" w:hAnsi="宋体" w:cs="宋体" w:eastAsia="宋体" w:hint="default"/>
        </w:rPr>
        <w:t>3</w:t>
      </w:r>
      <w:r>
        <w:rPr/>
        <w:t>月</w:t>
      </w:r>
      <w:r>
        <w:rPr>
          <w:rFonts w:ascii="宋体" w:hAnsi="宋体" w:cs="宋体" w:eastAsia="宋体" w:hint="default"/>
        </w:rPr>
        <w:t>31</w:t>
      </w:r>
      <w:r>
        <w:rPr/>
        <w:t>日，经公司</w:t>
      </w:r>
      <w:r>
        <w:rPr>
          <w:rFonts w:ascii="宋体" w:hAnsi="宋体" w:cs="宋体" w:eastAsia="宋体" w:hint="default"/>
        </w:rPr>
        <w:t>2008</w:t>
      </w:r>
      <w:r>
        <w:rPr/>
        <w:t>年年度股东大会审议通过了《关于商标使用许可的议案》，许可苏宁电</w:t>
      </w:r>
    </w:p>
    <w:p>
      <w:pPr>
        <w:spacing w:after="0" w:line="240" w:lineRule="auto"/>
        <w:jc w:val="left"/>
        <w:sectPr>
          <w:pgSz w:w="11910" w:h="16840"/>
          <w:pgMar w:header="877" w:footer="1265" w:top="1100" w:bottom="1540" w:left="920" w:right="0"/>
        </w:sectPr>
      </w:pPr>
    </w:p>
    <w:p>
      <w:pPr>
        <w:spacing w:line="240" w:lineRule="auto" w:before="9"/>
        <w:rPr>
          <w:rFonts w:ascii="宋体" w:hAnsi="宋体" w:cs="宋体" w:eastAsia="宋体" w:hint="default"/>
          <w:sz w:val="26"/>
          <w:szCs w:val="26"/>
        </w:rPr>
      </w:pPr>
    </w:p>
    <w:p>
      <w:pPr>
        <w:pStyle w:val="BodyText"/>
        <w:spacing w:line="408" w:lineRule="auto" w:before="36"/>
        <w:ind w:right="1128"/>
        <w:jc w:val="both"/>
      </w:pPr>
      <w:r>
        <w:rPr>
          <w:spacing w:val="-2"/>
        </w:rPr>
        <w:t>器集团有限公司及其直接或间接持有</w:t>
      </w:r>
      <w:r>
        <w:rPr>
          <w:rFonts w:ascii="宋体" w:hAnsi="宋体" w:cs="宋体" w:eastAsia="宋体" w:hint="default"/>
          <w:spacing w:val="-2"/>
        </w:rPr>
        <w:t>20%</w:t>
      </w:r>
      <w:r>
        <w:rPr>
          <w:spacing w:val="-2"/>
        </w:rPr>
        <w:t>以上（含</w:t>
      </w:r>
      <w:r>
        <w:rPr>
          <w:rFonts w:ascii="宋体" w:hAnsi="宋体" w:cs="宋体" w:eastAsia="宋体" w:hint="default"/>
          <w:spacing w:val="-2"/>
        </w:rPr>
        <w:t>20%</w:t>
      </w:r>
      <w:r>
        <w:rPr>
          <w:spacing w:val="-2"/>
        </w:rPr>
        <w:t>）股份的公司（以下简称“子公司”）使用公司已注</w:t>
      </w:r>
      <w:r>
        <w:rPr>
          <w:spacing w:val="-40"/>
        </w:rPr>
        <w:t> </w:t>
      </w:r>
      <w:r>
        <w:rPr>
          <w:spacing w:val="-40"/>
        </w:rPr>
      </w:r>
      <w:r>
        <w:rPr>
          <w:spacing w:val="-2"/>
        </w:rPr>
        <w:t>册的部分“苏宁”以及“苏宁”的汉语拼音“SUNING”系列商标。若在后期的经营活动中，苏宁电器集团</w:t>
      </w:r>
      <w:r>
        <w:rPr>
          <w:spacing w:val="-44"/>
        </w:rPr>
        <w:t> </w:t>
      </w:r>
      <w:r>
        <w:rPr>
          <w:spacing w:val="-44"/>
        </w:rPr>
      </w:r>
      <w:r>
        <w:rPr/>
        <w:t>有限公司及其子公司需要使用许可使用商标的延申商标，公司可代为申请注册，并许可其使用。</w:t>
      </w:r>
    </w:p>
    <w:p>
      <w:pPr>
        <w:pStyle w:val="BodyText"/>
        <w:spacing w:line="408" w:lineRule="auto"/>
        <w:ind w:left="573" w:right="1633"/>
        <w:jc w:val="left"/>
      </w:pPr>
      <w:r>
        <w:rPr>
          <w:spacing w:val="-2"/>
        </w:rPr>
        <w:t>报告期内，苏宁电器集团有限公司向公司支付了</w:t>
      </w:r>
      <w:r>
        <w:rPr>
          <w:rFonts w:ascii="宋体" w:hAnsi="宋体" w:cs="宋体" w:eastAsia="宋体" w:hint="default"/>
          <w:spacing w:val="-2"/>
        </w:rPr>
        <w:t>2012</w:t>
      </w:r>
      <w:r>
        <w:rPr>
          <w:spacing w:val="-2"/>
        </w:rPr>
        <w:t>年度商标使用许可费</w:t>
      </w:r>
      <w:r>
        <w:rPr>
          <w:rFonts w:ascii="宋体" w:hAnsi="宋体" w:cs="宋体" w:eastAsia="宋体" w:hint="default"/>
          <w:spacing w:val="-2"/>
        </w:rPr>
        <w:t>200</w:t>
      </w:r>
      <w:r>
        <w:rPr>
          <w:spacing w:val="-2"/>
        </w:rPr>
        <w:t>万元。</w:t>
      </w:r>
      <w:r>
        <w:rPr>
          <w:spacing w:val="-31"/>
        </w:rPr>
        <w:t> </w:t>
      </w:r>
      <w:r>
        <w:rPr>
          <w:rFonts w:ascii="宋体" w:hAnsi="宋体" w:cs="宋体" w:eastAsia="宋体" w:hint="default"/>
        </w:rPr>
        <w:t>2</w:t>
      </w:r>
      <w:r>
        <w:rPr/>
        <w:t>、接受劳务</w:t>
      </w:r>
    </w:p>
    <w:p>
      <w:pPr>
        <w:pStyle w:val="BodyText"/>
        <w:spacing w:line="408" w:lineRule="auto"/>
        <w:ind w:right="1107" w:firstLine="420"/>
        <w:jc w:val="both"/>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月，公司与江苏银河物业管理有限公司（以下简称“银河物业公司”）签署《苏宁电器</w:t>
      </w:r>
      <w:r>
        <w:rPr>
          <w:w w:val="100"/>
        </w:rPr>
        <w:t> </w:t>
      </w:r>
      <w:r>
        <w:rPr>
          <w:spacing w:val="-2"/>
        </w:rPr>
        <w:t>总部物业服务合同》，公司委托银河物业公司负责徐庄总部园区的物业管理服务，服务期限自</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rFonts w:ascii="宋体" w:hAnsi="宋体" w:cs="宋体" w:eastAsia="宋体" w:hint="default"/>
          <w:spacing w:val="-40"/>
        </w:rPr>
        <w:t> </w:t>
      </w:r>
      <w:r>
        <w:rPr>
          <w:spacing w:val="-2"/>
        </w:rPr>
        <w:t>日起至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日止，物业服务面积为东区物业面积</w:t>
      </w:r>
      <w:r>
        <w:rPr>
          <w:rFonts w:ascii="宋体" w:hAnsi="宋体" w:cs="宋体" w:eastAsia="宋体" w:hint="default"/>
          <w:spacing w:val="-2"/>
        </w:rPr>
        <w:t>178,057.96</w:t>
      </w:r>
      <w:r>
        <w:rPr>
          <w:spacing w:val="-2"/>
        </w:rPr>
        <w:t>平米、西区物业面积</w:t>
      </w:r>
      <w:r>
        <w:rPr>
          <w:rFonts w:ascii="宋体" w:hAnsi="宋体" w:cs="宋体" w:eastAsia="宋体" w:hint="default"/>
          <w:spacing w:val="-2"/>
        </w:rPr>
        <w:t>48,200.5</w:t>
      </w:r>
      <w:r>
        <w:rPr>
          <w:spacing w:val="-2"/>
        </w:rPr>
        <w:t>平米，</w:t>
      </w:r>
      <w:r>
        <w:rPr>
          <w:spacing w:val="2"/>
        </w:rPr>
        <w:t> </w:t>
      </w:r>
      <w:r>
        <w:rPr/>
        <w:t>分别按照东区</w:t>
      </w:r>
      <w:r>
        <w:rPr>
          <w:rFonts w:ascii="宋体" w:hAnsi="宋体" w:cs="宋体" w:eastAsia="宋体" w:hint="default"/>
        </w:rPr>
        <w:t>10</w:t>
      </w:r>
      <w:r>
        <w:rPr/>
        <w:t>元</w:t>
      </w:r>
      <w:r>
        <w:rPr>
          <w:rFonts w:ascii="宋体" w:hAnsi="宋体" w:cs="宋体" w:eastAsia="宋体" w:hint="default"/>
        </w:rPr>
        <w:t>/</w:t>
      </w:r>
      <w:r>
        <w:rPr/>
        <w:t>月•平方米，西区为</w:t>
      </w:r>
      <w:r>
        <w:rPr>
          <w:rFonts w:ascii="宋体" w:hAnsi="宋体" w:cs="宋体" w:eastAsia="宋体" w:hint="default"/>
        </w:rPr>
        <w:t>5</w:t>
      </w:r>
      <w:r>
        <w:rPr/>
        <w:t>元</w:t>
      </w:r>
      <w:r>
        <w:rPr>
          <w:rFonts w:ascii="宋体" w:hAnsi="宋体" w:cs="宋体" w:eastAsia="宋体" w:hint="default"/>
        </w:rPr>
        <w:t>/</w:t>
      </w:r>
      <w:r>
        <w:rPr/>
        <w:t>月•平方米的费用标准支付物业服务费，</w:t>
      </w:r>
      <w:r>
        <w:rPr>
          <w:rFonts w:ascii="宋体" w:hAnsi="宋体" w:cs="宋体" w:eastAsia="宋体" w:hint="default"/>
        </w:rPr>
        <w:t>2012</w:t>
      </w:r>
      <w:r>
        <w:rPr/>
        <w:t>年度公司应支付</w:t>
      </w:r>
      <w:r>
        <w:rPr>
          <w:spacing w:val="-23"/>
        </w:rPr>
        <w:t> </w:t>
      </w:r>
      <w:r>
        <w:rPr>
          <w:spacing w:val="-23"/>
        </w:rPr>
      </w:r>
      <w:r>
        <w:rPr/>
        <w:t>物业费用</w:t>
      </w:r>
      <w:r>
        <w:rPr>
          <w:rFonts w:ascii="宋体" w:hAnsi="宋体" w:cs="宋体" w:eastAsia="宋体" w:hint="default"/>
        </w:rPr>
        <w:t>2,425.90</w:t>
      </w:r>
      <w:r>
        <w:rPr/>
        <w:t>万元。</w:t>
      </w:r>
    </w:p>
    <w:p>
      <w:pPr>
        <w:pStyle w:val="BodyText"/>
        <w:spacing w:line="408" w:lineRule="auto"/>
        <w:ind w:right="1104" w:firstLine="420"/>
        <w:jc w:val="both"/>
      </w:pP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月，公司将位于南京市徐庄软件园内苏宁电器总部研发楼一至六层部分区域建筑面积为</w:t>
      </w:r>
      <w:r>
        <w:rPr>
          <w:rFonts w:ascii="宋体" w:hAnsi="宋体" w:cs="宋体" w:eastAsia="宋体" w:hint="default"/>
          <w:spacing w:val="-2"/>
        </w:rPr>
        <w:t>9,800</w:t>
      </w:r>
      <w:r>
        <w:rPr>
          <w:rFonts w:ascii="宋体" w:hAnsi="宋体" w:cs="宋体" w:eastAsia="宋体" w:hint="default"/>
          <w:w w:val="100"/>
        </w:rPr>
        <w:t> </w:t>
      </w:r>
      <w:r>
        <w:rPr>
          <w:spacing w:val="2"/>
        </w:rPr>
        <w:t>平方米以及苏宁电器总部</w:t>
      </w:r>
      <w:r>
        <w:rPr>
          <w:rFonts w:ascii="宋体" w:hAnsi="宋体" w:cs="宋体" w:eastAsia="宋体" w:hint="default"/>
          <w:spacing w:val="2"/>
        </w:rPr>
        <w:t>1</w:t>
      </w:r>
      <w:r>
        <w:rPr>
          <w:spacing w:val="2"/>
        </w:rPr>
        <w:t>号楼六至七层部分区域建筑面积为</w:t>
      </w:r>
      <w:r>
        <w:rPr>
          <w:rFonts w:ascii="宋体" w:hAnsi="宋体" w:cs="宋体" w:eastAsia="宋体" w:hint="default"/>
          <w:spacing w:val="2"/>
        </w:rPr>
        <w:t>7,042</w:t>
      </w:r>
      <w:r>
        <w:rPr>
          <w:spacing w:val="2"/>
        </w:rPr>
        <w:t>平方米的区域承租给公司控股子公司</w:t>
      </w:r>
      <w:r>
        <w:rPr>
          <w:spacing w:val="-26"/>
        </w:rPr>
        <w:t> </w:t>
      </w:r>
      <w:r>
        <w:rPr>
          <w:spacing w:val="-26"/>
        </w:rPr>
      </w:r>
      <w:r>
        <w:rPr>
          <w:spacing w:val="-2"/>
        </w:rPr>
        <w:t>南京苏宁易购物流有限公司（以下简称“苏宁易购物流公司”）用于办公。经公司、苏宁易购物流公司、</w:t>
      </w:r>
      <w:r>
        <w:rPr>
          <w:spacing w:val="-21"/>
        </w:rPr>
        <w:t> </w:t>
      </w:r>
      <w:r>
        <w:rPr>
          <w:spacing w:val="-21"/>
        </w:rPr>
      </w:r>
      <w:r>
        <w:rPr>
          <w:spacing w:val="-2"/>
        </w:rPr>
        <w:t>银河物业公司三方友好协商，由苏宁易购物流公司承担位于苏宁总部园区东部共计</w:t>
      </w:r>
      <w:r>
        <w:rPr>
          <w:rFonts w:ascii="宋体" w:hAnsi="宋体" w:cs="宋体" w:eastAsia="宋体" w:hint="default"/>
          <w:spacing w:val="-2"/>
        </w:rPr>
        <w:t>16,842</w:t>
      </w:r>
      <w:r>
        <w:rPr>
          <w:spacing w:val="-2"/>
        </w:rPr>
        <w:t>平方米物业服务</w:t>
      </w:r>
      <w:r>
        <w:rPr>
          <w:spacing w:val="-37"/>
        </w:rPr>
        <w:t> </w:t>
      </w:r>
      <w:r>
        <w:rPr>
          <w:spacing w:val="-37"/>
        </w:rPr>
      </w:r>
      <w:r>
        <w:rPr/>
        <w:t>费用，并于</w:t>
      </w:r>
      <w:r>
        <w:rPr>
          <w:rFonts w:ascii="宋体" w:hAnsi="宋体" w:cs="宋体" w:eastAsia="宋体" w:hint="default"/>
        </w:rPr>
        <w:t>2012</w:t>
      </w:r>
      <w:r>
        <w:rPr/>
        <w:t>年</w:t>
      </w:r>
      <w:r>
        <w:rPr>
          <w:rFonts w:ascii="宋体" w:hAnsi="宋体" w:cs="宋体" w:eastAsia="宋体" w:hint="default"/>
        </w:rPr>
        <w:t>4</w:t>
      </w:r>
      <w:r>
        <w:rPr/>
        <w:t>月与银河物业公司签订《易购总部楼物业服务合同》，公司将继续承担余下东区物业</w:t>
      </w:r>
      <w:r>
        <w:rPr>
          <w:spacing w:val="-27"/>
        </w:rPr>
        <w:t> </w:t>
      </w:r>
      <w:r>
        <w:rPr>
          <w:spacing w:val="-27"/>
        </w:rPr>
      </w:r>
      <w:r>
        <w:rPr/>
        <w:t>服务费用。</w:t>
      </w:r>
    </w:p>
    <w:p>
      <w:pPr>
        <w:pStyle w:val="BodyText"/>
        <w:spacing w:line="240" w:lineRule="auto"/>
        <w:ind w:left="573" w:right="982"/>
        <w:jc w:val="left"/>
      </w:pPr>
      <w:r>
        <w:rPr/>
        <w:t>报告期内，公司及子公司共计支付物业服务费用</w:t>
      </w:r>
      <w:r>
        <w:rPr>
          <w:rFonts w:ascii="宋体" w:hAnsi="宋体" w:cs="宋体" w:eastAsia="宋体" w:hint="default"/>
        </w:rPr>
        <w:t>2,425.90</w:t>
      </w:r>
      <w:r>
        <w:rPr/>
        <w:t>万元。</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月，公司与苏宁置业集团有限公司（以下简称“苏宁置业”）签署《苏宁电器股份有限</w:t>
      </w:r>
      <w:r>
        <w:rPr>
          <w:w w:val="100"/>
        </w:rPr>
        <w:t> </w:t>
      </w:r>
      <w:r>
        <w:rPr/>
        <w:t>公司</w:t>
      </w:r>
      <w:r>
        <w:rPr>
          <w:rFonts w:ascii="宋体" w:hAnsi="宋体" w:cs="宋体" w:eastAsia="宋体" w:hint="default"/>
        </w:rPr>
        <w:t>-</w:t>
      </w:r>
      <w:r>
        <w:rPr/>
        <w:t>工程建设项目代建合同》，公司及子公司委托苏宁置业及其子公司对公司自建店、物流基地等土建</w:t>
      </w:r>
      <w:r>
        <w:rPr>
          <w:spacing w:val="-25"/>
        </w:rPr>
        <w:t> </w:t>
      </w:r>
      <w:r>
        <w:rPr>
          <w:spacing w:val="-25"/>
        </w:rPr>
      </w:r>
      <w:r>
        <w:rPr/>
        <w:t>项目工程提供代建服务。本合同为委托代建总合同，合同期限为三年，从</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w:t>
      </w:r>
      <w:r>
        <w:rPr/>
        <w:t>日起至</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31</w:t>
      </w:r>
      <w:r>
        <w:rPr>
          <w:rFonts w:ascii="宋体" w:hAnsi="宋体" w:cs="宋体" w:eastAsia="宋体" w:hint="default"/>
          <w:spacing w:val="-30"/>
        </w:rPr>
        <w:t> </w:t>
      </w:r>
      <w:r>
        <w:rPr>
          <w:spacing w:val="-2"/>
        </w:rPr>
        <w:t>日止，其中各单项工程时间以单项工程合同约定的服务时间为准，但最迟不超过本合同届满日。代建费用</w:t>
      </w:r>
      <w:r>
        <w:rPr>
          <w:spacing w:val="-44"/>
        </w:rPr>
        <w:t> </w:t>
      </w:r>
      <w:r>
        <w:rPr>
          <w:spacing w:val="-44"/>
        </w:rPr>
      </w:r>
      <w:r>
        <w:rPr/>
        <w:t>三年累计发生额不超过</w:t>
      </w:r>
      <w:r>
        <w:rPr>
          <w:rFonts w:ascii="宋体" w:hAnsi="宋体" w:cs="宋体" w:eastAsia="宋体" w:hint="default"/>
        </w:rPr>
        <w:t>1.5</w:t>
      </w:r>
      <w:r>
        <w:rPr/>
        <w:t>亿元。自建连锁店项目按项目建设工程总投入（不含土地及相关税费）的</w:t>
      </w:r>
      <w:r>
        <w:rPr>
          <w:rFonts w:ascii="宋体" w:hAnsi="宋体" w:cs="宋体" w:eastAsia="宋体" w:hint="default"/>
        </w:rPr>
        <w:t>3%</w:t>
      </w:r>
      <w:r>
        <w:rPr/>
        <w:t>为</w:t>
      </w:r>
    </w:p>
    <w:p>
      <w:pPr>
        <w:pStyle w:val="BodyText"/>
        <w:spacing w:line="408" w:lineRule="auto"/>
        <w:ind w:left="0" w:right="1104"/>
        <w:jc w:val="right"/>
      </w:pPr>
      <w:r>
        <w:rPr>
          <w:spacing w:val="-2"/>
        </w:rPr>
        <w:t>收费标准，物流基地等其他自建项目按项目建设工程总投入（不含土地及相关税费）的</w:t>
      </w:r>
      <w:r>
        <w:rPr>
          <w:rFonts w:ascii="宋体" w:hAnsi="宋体" w:cs="宋体" w:eastAsia="宋体" w:hint="default"/>
          <w:spacing w:val="-2"/>
        </w:rPr>
        <w:t>1.2%</w:t>
      </w:r>
      <w:r>
        <w:rPr>
          <w:spacing w:val="-2"/>
        </w:rPr>
        <w:t>为收费标准。</w:t>
      </w:r>
      <w:r>
        <w:rPr>
          <w:spacing w:val="-37"/>
        </w:rPr>
        <w:t> </w:t>
      </w:r>
      <w:r>
        <w:rPr>
          <w:spacing w:val="-37"/>
        </w:rPr>
      </w:r>
      <w:r>
        <w:rPr>
          <w:spacing w:val="-2"/>
        </w:rPr>
        <w:t>费用支付为单项工程签订单项委托代建合同后，公司暂按工程建设预算投入额计算，支付首期工程项目代</w:t>
      </w:r>
      <w:r>
        <w:rPr>
          <w:spacing w:val="-89"/>
        </w:rPr>
        <w:t> </w:t>
      </w:r>
      <w:r>
        <w:rPr>
          <w:spacing w:val="-89"/>
        </w:rPr>
      </w:r>
      <w:r>
        <w:rPr/>
        <w:t>建费用的</w:t>
      </w:r>
      <w:r>
        <w:rPr>
          <w:rFonts w:ascii="宋体" w:hAnsi="宋体" w:cs="宋体" w:eastAsia="宋体" w:hint="default"/>
        </w:rPr>
        <w:t>30%</w:t>
      </w:r>
      <w:r>
        <w:rPr/>
        <w:t>；项目竣工验收时累计支付至单项工程代建费用的</w:t>
      </w:r>
      <w:r>
        <w:rPr>
          <w:rFonts w:ascii="宋体" w:hAnsi="宋体" w:cs="宋体" w:eastAsia="宋体" w:hint="default"/>
        </w:rPr>
        <w:t>70%</w:t>
      </w:r>
      <w:r>
        <w:rPr/>
        <w:t>；余款</w:t>
      </w:r>
      <w:r>
        <w:rPr>
          <w:rFonts w:ascii="宋体" w:hAnsi="宋体" w:cs="宋体" w:eastAsia="宋体" w:hint="default"/>
        </w:rPr>
        <w:t>30%</w:t>
      </w:r>
      <w:r>
        <w:rPr/>
        <w:t>在项目结束，苏宁置业及其</w:t>
      </w:r>
      <w:r>
        <w:rPr>
          <w:spacing w:val="-64"/>
        </w:rPr>
        <w:t> </w:t>
      </w:r>
      <w:r>
        <w:rPr>
          <w:spacing w:val="-64"/>
        </w:rPr>
      </w:r>
      <w:r>
        <w:rPr>
          <w:spacing w:val="-2"/>
        </w:rPr>
        <w:t>子公司将项目管理和使用权移交给公司及其子公司后六个月内支付，并根据工程项目决算金额予以确定。</w:t>
      </w:r>
      <w:r>
        <w:rPr>
          <w:spacing w:val="-49"/>
        </w:rPr>
        <w:t> </w:t>
      </w:r>
      <w:r>
        <w:rPr>
          <w:spacing w:val="-49"/>
        </w:rPr>
      </w:r>
      <w:r>
        <w:rPr>
          <w:spacing w:val="-2"/>
        </w:rPr>
        <w:t>报告期内，公司自建店、物流项目公司与苏宁置业集团有限公司及其子公司签订《工程项目委托代建</w:t>
      </w:r>
    </w:p>
    <w:p>
      <w:pPr>
        <w:pStyle w:val="BodyText"/>
        <w:spacing w:line="408" w:lineRule="auto"/>
        <w:ind w:left="573" w:right="6306" w:hanging="421"/>
        <w:jc w:val="left"/>
      </w:pPr>
      <w:r>
        <w:rPr>
          <w:spacing w:val="-2"/>
        </w:rPr>
        <w:t>合同》，共计支付代建工程款项</w:t>
      </w:r>
      <w:r>
        <w:rPr>
          <w:rFonts w:ascii="宋体" w:hAnsi="宋体" w:cs="宋体" w:eastAsia="宋体" w:hint="default"/>
          <w:spacing w:val="-2"/>
        </w:rPr>
        <w:t>4,141.80</w:t>
      </w:r>
      <w:r>
        <w:rPr>
          <w:spacing w:val="-2"/>
        </w:rPr>
        <w:t>万元。</w:t>
      </w:r>
      <w:r>
        <w:rPr>
          <w:spacing w:val="-56"/>
        </w:rPr>
        <w:t> </w:t>
      </w:r>
      <w:r>
        <w:rPr>
          <w:spacing w:val="-56"/>
        </w:rPr>
      </w:r>
      <w:r>
        <w:rPr>
          <w:rFonts w:ascii="宋体" w:hAnsi="宋体" w:cs="宋体" w:eastAsia="宋体" w:hint="default"/>
        </w:rPr>
        <w:t>3</w:t>
      </w:r>
      <w:r>
        <w:rPr/>
        <w:t>、与关联方共同投资</w:t>
      </w:r>
    </w:p>
    <w:p>
      <w:pPr>
        <w:pStyle w:val="BodyText"/>
        <w:spacing w:line="240" w:lineRule="auto"/>
        <w:ind w:left="0" w:right="1126"/>
        <w:jc w:val="right"/>
      </w:pPr>
      <w:r>
        <w:rPr>
          <w:spacing w:val="-2"/>
        </w:rPr>
        <w:t>经公司第四届董事会第三十二次会议审议通过，同意公司境外全资子公司香港苏宁电器有限公司（以</w:t>
      </w:r>
    </w:p>
    <w:p>
      <w:pPr>
        <w:spacing w:after="0" w:line="240" w:lineRule="auto"/>
        <w:jc w:val="right"/>
        <w:sectPr>
          <w:pgSz w:w="11910" w:h="16840"/>
          <w:pgMar w:header="877" w:footer="1265" w:top="1100" w:bottom="14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jc w:val="both"/>
      </w:pPr>
      <w:r>
        <w:rPr>
          <w:spacing w:val="-2"/>
        </w:rPr>
        <w:t>下简称“香港苏宁”）与关联方苏宁电器集团有限公司（以下简称“苏宁电器集团”）共同出资发起设立</w:t>
      </w:r>
      <w:r>
        <w:rPr>
          <w:spacing w:val="-43"/>
        </w:rPr>
        <w:t> </w:t>
      </w:r>
      <w:r>
        <w:rPr>
          <w:spacing w:val="-43"/>
        </w:rPr>
      </w:r>
      <w:r>
        <w:rPr>
          <w:spacing w:val="2"/>
        </w:rPr>
        <w:t>“重庆苏宁小额贷款有限公司”（以下简称“苏宁小贷公司”）。苏宁小贷公司注册资本拟定为人民币</w:t>
      </w:r>
      <w:r>
        <w:rPr>
          <w:spacing w:val="-23"/>
        </w:rPr>
        <w:t> </w:t>
      </w:r>
      <w:r>
        <w:rPr>
          <w:spacing w:val="-23"/>
        </w:rPr>
      </w:r>
      <w:r>
        <w:rPr>
          <w:rFonts w:ascii="宋体" w:hAnsi="宋体" w:cs="宋体" w:eastAsia="宋体" w:hint="default"/>
          <w:spacing w:val="-6"/>
        </w:rPr>
        <w:t>30,000</w:t>
      </w:r>
      <w:r>
        <w:rPr>
          <w:spacing w:val="-6"/>
        </w:rPr>
        <w:t>万元，其中香港苏宁出资人民币</w:t>
      </w:r>
      <w:r>
        <w:rPr>
          <w:rFonts w:ascii="宋体" w:hAnsi="宋体" w:cs="宋体" w:eastAsia="宋体" w:hint="default"/>
          <w:spacing w:val="-6"/>
        </w:rPr>
        <w:t>22,500</w:t>
      </w:r>
      <w:r>
        <w:rPr>
          <w:spacing w:val="-6"/>
        </w:rPr>
        <w:t>万元，占注册资本总额的</w:t>
      </w:r>
      <w:r>
        <w:rPr>
          <w:rFonts w:ascii="宋体" w:hAnsi="宋体" w:cs="宋体" w:eastAsia="宋体" w:hint="default"/>
          <w:spacing w:val="-6"/>
        </w:rPr>
        <w:t>75%</w:t>
      </w:r>
      <w:r>
        <w:rPr>
          <w:spacing w:val="-6"/>
        </w:rPr>
        <w:t>，苏宁电器集团出资人民币</w:t>
      </w:r>
      <w:r>
        <w:rPr>
          <w:rFonts w:ascii="宋体" w:hAnsi="宋体" w:cs="宋体" w:eastAsia="宋体" w:hint="default"/>
          <w:spacing w:val="-6"/>
        </w:rPr>
        <w:t>7,500 </w:t>
      </w:r>
      <w:r>
        <w:rPr/>
        <w:t>万元，占注册资本总额的</w:t>
      </w:r>
      <w:r>
        <w:rPr>
          <w:rFonts w:ascii="宋体" w:hAnsi="宋体" w:cs="宋体" w:eastAsia="宋体" w:hint="default"/>
        </w:rPr>
        <w:t>25%</w:t>
      </w:r>
      <w:r>
        <w:rPr/>
        <w:t>。于本次董事会后，香港苏宁与苏宁电器集团签署《中外合资经营重庆苏宁</w:t>
      </w:r>
      <w:r>
        <w:rPr>
          <w:spacing w:val="-27"/>
        </w:rPr>
        <w:t> </w:t>
      </w:r>
      <w:r>
        <w:rPr>
          <w:spacing w:val="-27"/>
        </w:rPr>
      </w:r>
      <w:r>
        <w:rPr>
          <w:spacing w:val="-2"/>
        </w:rPr>
        <w:t>小额贷款有限公司合同》，并于</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月取得重庆市金融工作办公室、重庆市外商投资主管机关审批同</w:t>
      </w:r>
      <w:r>
        <w:rPr>
          <w:spacing w:val="-39"/>
        </w:rPr>
        <w:t> </w:t>
      </w:r>
      <w:r>
        <w:rPr>
          <w:spacing w:val="-39"/>
        </w:rPr>
      </w:r>
      <w:r>
        <w:rPr/>
        <w:t>意，完成苏宁小贷公司工商注册登记手续。</w:t>
      </w:r>
    </w:p>
    <w:p>
      <w:pPr>
        <w:pStyle w:val="BodyText"/>
        <w:spacing w:line="240" w:lineRule="auto"/>
        <w:ind w:left="573" w:right="982"/>
        <w:jc w:val="left"/>
      </w:pPr>
      <w:r>
        <w:rPr>
          <w:rFonts w:ascii="宋体" w:hAnsi="宋体" w:cs="宋体" w:eastAsia="宋体" w:hint="default"/>
        </w:rPr>
        <w:t>4</w:t>
      </w:r>
      <w:r>
        <w:rPr/>
        <w:t>、物业租赁</w:t>
      </w:r>
    </w:p>
    <w:p>
      <w:pPr>
        <w:spacing w:line="240" w:lineRule="auto" w:before="10"/>
        <w:rPr>
          <w:rFonts w:ascii="宋体" w:hAnsi="宋体" w:cs="宋体" w:eastAsia="宋体" w:hint="default"/>
          <w:sz w:val="14"/>
          <w:szCs w:val="14"/>
        </w:rPr>
      </w:pPr>
    </w:p>
    <w:p>
      <w:pPr>
        <w:pStyle w:val="BodyText"/>
        <w:spacing w:line="408" w:lineRule="auto" w:before="0"/>
        <w:ind w:right="1124" w:firstLine="420"/>
        <w:jc w:val="both"/>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2007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4</w:t>
      </w:r>
      <w:r>
        <w:rPr>
          <w:spacing w:val="-2"/>
        </w:rPr>
        <w:t>日，公司与江苏苏宁银河国际购物广场有限公司（以下简称“苏宁银河国际”）签</w:t>
      </w:r>
      <w:r>
        <w:rPr>
          <w:spacing w:val="-8"/>
          <w:w w:val="100"/>
        </w:rPr>
        <w:t> </w:t>
      </w:r>
      <w:r>
        <w:rPr/>
        <w:t>订《备忘录》，一致同意因经营需要提前解除</w:t>
      </w:r>
      <w:r>
        <w:rPr>
          <w:rFonts w:ascii="宋体" w:hAnsi="宋体" w:cs="宋体" w:eastAsia="宋体" w:hint="default"/>
        </w:rPr>
        <w:t>2007</w:t>
      </w:r>
      <w:r>
        <w:rPr/>
        <w:t>年</w:t>
      </w:r>
      <w:r>
        <w:rPr>
          <w:rFonts w:ascii="宋体" w:hAnsi="宋体" w:cs="宋体" w:eastAsia="宋体" w:hint="default"/>
        </w:rPr>
        <w:t>4</w:t>
      </w:r>
      <w:r>
        <w:rPr/>
        <w:t>月</w:t>
      </w:r>
      <w:r>
        <w:rPr>
          <w:rFonts w:ascii="宋体" w:hAnsi="宋体" w:cs="宋体" w:eastAsia="宋体" w:hint="default"/>
        </w:rPr>
        <w:t>18</w:t>
      </w:r>
      <w:r>
        <w:rPr/>
        <w:t>日签订的《房屋租赁合同》，双方另行签订了</w:t>
      </w:r>
      <w:r>
        <w:rPr>
          <w:spacing w:val="-27"/>
        </w:rPr>
        <w:t> </w:t>
      </w:r>
      <w:r>
        <w:rPr>
          <w:spacing w:val="-27"/>
        </w:rPr>
      </w:r>
      <w:r>
        <w:rPr>
          <w:spacing w:val="-2"/>
        </w:rPr>
        <w:t>新的《房屋租赁合同》承租银河国际位于南京市中山南路</w:t>
      </w:r>
      <w:r>
        <w:rPr>
          <w:rFonts w:ascii="宋体" w:hAnsi="宋体" w:cs="宋体" w:eastAsia="宋体" w:hint="default"/>
          <w:spacing w:val="-2"/>
        </w:rPr>
        <w:t>49</w:t>
      </w:r>
      <w:r>
        <w:rPr>
          <w:spacing w:val="-2"/>
        </w:rPr>
        <w:t>号商茂世纪大厦一层至五层，共约</w:t>
      </w:r>
      <w:r>
        <w:rPr>
          <w:rFonts w:ascii="宋体" w:hAnsi="宋体" w:cs="宋体" w:eastAsia="宋体" w:hint="default"/>
          <w:spacing w:val="-2"/>
        </w:rPr>
        <w:t>17,600</w:t>
      </w:r>
      <w:r>
        <w:rPr>
          <w:spacing w:val="-2"/>
        </w:rPr>
        <w:t>平方</w:t>
      </w:r>
      <w:r>
        <w:rPr>
          <w:spacing w:val="-33"/>
        </w:rPr>
        <w:t> </w:t>
      </w:r>
      <w:r>
        <w:rPr/>
        <w:t>米的面积，租赁期限自</w:t>
      </w:r>
      <w:r>
        <w:rPr>
          <w:rFonts w:ascii="宋体" w:hAnsi="宋体" w:cs="宋体" w:eastAsia="宋体" w:hint="default"/>
        </w:rPr>
        <w:t>2007</w:t>
      </w:r>
      <w:r>
        <w:rPr/>
        <w:t>年</w:t>
      </w:r>
      <w:r>
        <w:rPr>
          <w:rFonts w:ascii="宋体" w:hAnsi="宋体" w:cs="宋体" w:eastAsia="宋体" w:hint="default"/>
        </w:rPr>
        <w:t>12</w:t>
      </w:r>
      <w:r>
        <w:rPr/>
        <w:t>月</w:t>
      </w:r>
      <w:r>
        <w:rPr>
          <w:rFonts w:ascii="宋体" w:hAnsi="宋体" w:cs="宋体" w:eastAsia="宋体" w:hint="default"/>
        </w:rPr>
        <w:t>23</w:t>
      </w:r>
      <w:r>
        <w:rPr/>
        <w:t>日起至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22</w:t>
      </w:r>
      <w:r>
        <w:rPr/>
        <w:t>日止，租赁费用为首年单价人民币</w:t>
      </w:r>
      <w:r>
        <w:rPr>
          <w:rFonts w:ascii="宋体" w:hAnsi="宋体" w:cs="宋体" w:eastAsia="宋体" w:hint="default"/>
        </w:rPr>
        <w:t>3.11</w:t>
      </w:r>
      <w:r>
        <w:rPr/>
        <w:t>元</w:t>
      </w:r>
      <w:r>
        <w:rPr>
          <w:rFonts w:ascii="宋体" w:hAnsi="宋体" w:cs="宋体" w:eastAsia="宋体" w:hint="default"/>
        </w:rPr>
        <w:t>/</w:t>
      </w:r>
      <w:r>
        <w:rPr/>
        <w:t>平方</w:t>
      </w:r>
      <w:r>
        <w:rPr>
          <w:spacing w:val="-22"/>
        </w:rPr>
        <w:t> </w:t>
      </w:r>
      <w:r>
        <w:rPr/>
        <w:t>米</w:t>
      </w:r>
      <w:r>
        <w:rPr>
          <w:rFonts w:ascii="宋体" w:hAnsi="宋体" w:cs="宋体" w:eastAsia="宋体" w:hint="default"/>
        </w:rPr>
        <w:t>/</w:t>
      </w:r>
      <w:r>
        <w:rPr/>
        <w:t>天，自第</w:t>
      </w:r>
      <w:r>
        <w:rPr>
          <w:rFonts w:ascii="宋体" w:hAnsi="宋体" w:cs="宋体" w:eastAsia="宋体" w:hint="default"/>
        </w:rPr>
        <w:t>2</w:t>
      </w:r>
      <w:r>
        <w:rPr/>
        <w:t>年起每</w:t>
      </w:r>
      <w:r>
        <w:rPr>
          <w:rFonts w:ascii="宋体" w:hAnsi="宋体" w:cs="宋体" w:eastAsia="宋体" w:hint="default"/>
        </w:rPr>
        <w:t>3</w:t>
      </w:r>
      <w:r>
        <w:rPr/>
        <w:t>年在上一年基础上递增</w:t>
      </w:r>
      <w:r>
        <w:rPr>
          <w:rFonts w:ascii="宋体" w:hAnsi="宋体" w:cs="宋体" w:eastAsia="宋体" w:hint="default"/>
        </w:rPr>
        <w:t>5%</w:t>
      </w:r>
      <w:r>
        <w:rPr/>
        <w:t>。公司成立全资子公司南京白下苏宁电器有限公司（以下</w:t>
      </w:r>
      <w:r>
        <w:rPr>
          <w:spacing w:val="-25"/>
        </w:rPr>
        <w:t> </w:t>
      </w:r>
      <w:r>
        <w:rPr>
          <w:spacing w:val="-25"/>
        </w:rPr>
      </w:r>
      <w:r>
        <w:rPr/>
        <w:t>简称“白下苏宁”）负责位于商茂世纪大厦连锁店的运营。</w:t>
      </w:r>
      <w:r>
        <w:rPr>
          <w:rFonts w:ascii="宋体" w:hAnsi="宋体" w:cs="宋体" w:eastAsia="宋体" w:hint="default"/>
        </w:rPr>
        <w:t>2010</w:t>
      </w:r>
      <w:r>
        <w:rPr/>
        <w:t>年</w:t>
      </w:r>
      <w:r>
        <w:rPr>
          <w:rFonts w:ascii="宋体" w:hAnsi="宋体" w:cs="宋体" w:eastAsia="宋体" w:hint="default"/>
        </w:rPr>
        <w:t>8</w:t>
      </w:r>
      <w:r>
        <w:rPr/>
        <w:t>月，公司、苏宁银河国际、白下苏宁</w:t>
      </w:r>
      <w:r>
        <w:rPr>
          <w:spacing w:val="-26"/>
        </w:rPr>
        <w:t> </w:t>
      </w:r>
      <w:r>
        <w:rPr>
          <w:spacing w:val="-26"/>
        </w:rPr>
      </w:r>
      <w:r>
        <w:rPr>
          <w:spacing w:val="-2"/>
        </w:rPr>
        <w:t>签署《合同主体变更三方协议》，同意由白下苏宁自</w:t>
      </w:r>
      <w:r>
        <w:rPr>
          <w:rFonts w:ascii="宋体" w:hAnsi="宋体" w:cs="宋体" w:eastAsia="宋体" w:hint="default"/>
          <w:spacing w:val="-2"/>
        </w:rPr>
        <w:t>2010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w:t>
      </w:r>
      <w:r>
        <w:rPr>
          <w:spacing w:val="-2"/>
        </w:rPr>
        <w:t>日起承接新《房屋租赁合同》中公司有关</w:t>
      </w:r>
      <w:r>
        <w:rPr>
          <w:spacing w:val="-36"/>
        </w:rPr>
        <w:t> </w:t>
      </w:r>
      <w:r>
        <w:rPr>
          <w:spacing w:val="-36"/>
        </w:rPr>
      </w:r>
      <w:r>
        <w:rPr/>
        <w:t>的各项权利义务，合同条款内容不变。</w:t>
      </w:r>
    </w:p>
    <w:p>
      <w:pPr>
        <w:pStyle w:val="BodyText"/>
        <w:spacing w:line="408" w:lineRule="auto"/>
        <w:ind w:right="982" w:firstLine="420"/>
        <w:jc w:val="left"/>
      </w:pPr>
      <w:r>
        <w:rPr>
          <w:spacing w:val="-9"/>
        </w:rPr>
        <w:t>（</w:t>
      </w:r>
      <w:r>
        <w:rPr>
          <w:rFonts w:ascii="宋体" w:hAnsi="宋体" w:cs="宋体" w:eastAsia="宋体" w:hint="default"/>
          <w:spacing w:val="-9"/>
        </w:rPr>
        <w:t>2</w:t>
      </w:r>
      <w:r>
        <w:rPr>
          <w:spacing w:val="-9"/>
        </w:rPr>
        <w:t>）</w:t>
      </w:r>
      <w:r>
        <w:rPr>
          <w:rFonts w:ascii="宋体" w:hAnsi="宋体" w:cs="宋体" w:eastAsia="宋体" w:hint="default"/>
          <w:spacing w:val="-9"/>
        </w:rPr>
        <w:t>2011</w:t>
      </w:r>
      <w:r>
        <w:rPr>
          <w:spacing w:val="-9"/>
        </w:rPr>
        <w:t>年</w:t>
      </w:r>
      <w:r>
        <w:rPr>
          <w:rFonts w:ascii="宋体" w:hAnsi="宋体" w:cs="宋体" w:eastAsia="宋体" w:hint="default"/>
          <w:spacing w:val="-9"/>
        </w:rPr>
        <w:t>1</w:t>
      </w:r>
      <w:r>
        <w:rPr>
          <w:spacing w:val="-9"/>
        </w:rPr>
        <w:t>月</w:t>
      </w:r>
      <w:r>
        <w:rPr>
          <w:rFonts w:ascii="宋体" w:hAnsi="宋体" w:cs="宋体" w:eastAsia="宋体" w:hint="default"/>
          <w:spacing w:val="-9"/>
        </w:rPr>
        <w:t>11</w:t>
      </w:r>
      <w:r>
        <w:rPr>
          <w:spacing w:val="-9"/>
        </w:rPr>
        <w:t>日，公司子公司四川苏宁电器有限公司（以下简称“四川苏宁”）签署《租赁合同》，</w:t>
      </w:r>
      <w:r>
        <w:rPr>
          <w:w w:val="100"/>
        </w:rPr>
        <w:t> </w:t>
      </w:r>
      <w:r>
        <w:rPr/>
        <w:t>承租成都鸿业置业有限公司（以下简称“成都鸿业置业”）位于成都市高新区南部园区天府大道北段</w:t>
      </w:r>
      <w:r>
        <w:rPr>
          <w:rFonts w:ascii="宋体" w:hAnsi="宋体" w:cs="宋体" w:eastAsia="宋体" w:hint="default"/>
        </w:rPr>
        <w:t>8</w:t>
      </w:r>
      <w:r>
        <w:rPr/>
        <w:t>号</w:t>
      </w:r>
      <w:r>
        <w:rPr>
          <w:spacing w:val="-21"/>
        </w:rPr>
        <w:t> </w:t>
      </w:r>
      <w:r>
        <w:rPr>
          <w:spacing w:val="-2"/>
        </w:rPr>
        <w:t>物业一到四层用于开设旗舰店（以下简称“成都天府立交店”），租赁面积共约</w:t>
      </w:r>
      <w:r>
        <w:rPr>
          <w:rFonts w:ascii="宋体" w:hAnsi="宋体" w:cs="宋体" w:eastAsia="宋体" w:hint="default"/>
          <w:spacing w:val="-2"/>
        </w:rPr>
        <w:t>10,973</w:t>
      </w:r>
      <w:r>
        <w:rPr>
          <w:spacing w:val="-2"/>
        </w:rPr>
        <w:t>平方米，租赁期自</w:t>
      </w:r>
      <w:r>
        <w:rPr>
          <w:spacing w:val="-41"/>
        </w:rPr>
        <w:t> </w:t>
      </w:r>
      <w:r>
        <w:rPr>
          <w:spacing w:val="-41"/>
        </w:rPr>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11</w:t>
      </w:r>
      <w:r>
        <w:rPr>
          <w:spacing w:val="-2"/>
        </w:rPr>
        <w:t>日起至</w:t>
      </w:r>
      <w:r>
        <w:rPr>
          <w:rFonts w:ascii="宋体" w:hAnsi="宋体" w:cs="宋体" w:eastAsia="宋体" w:hint="default"/>
          <w:spacing w:val="-2"/>
        </w:rPr>
        <w:t>2031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10</w:t>
      </w:r>
      <w:r>
        <w:rPr>
          <w:spacing w:val="-2"/>
        </w:rPr>
        <w:t>日止，租赁费采用“保底加提成”方式，每年度按含税销售总额的</w:t>
      </w:r>
      <w:r>
        <w:rPr>
          <w:rFonts w:ascii="宋体" w:hAnsi="宋体" w:cs="宋体" w:eastAsia="宋体" w:hint="default"/>
          <w:spacing w:val="-2"/>
        </w:rPr>
        <w:t>3.2%</w:t>
      </w:r>
      <w:r>
        <w:rPr>
          <w:spacing w:val="-2"/>
        </w:rPr>
        <w:t>支</w:t>
      </w:r>
      <w:r>
        <w:rPr>
          <w:spacing w:val="-29"/>
        </w:rPr>
        <w:t> </w:t>
      </w:r>
      <w:r>
        <w:rPr/>
        <w:t>付租赁费，但租金单价不低于</w:t>
      </w:r>
      <w:r>
        <w:rPr>
          <w:rFonts w:ascii="宋体" w:hAnsi="宋体" w:cs="宋体" w:eastAsia="宋体" w:hint="default"/>
        </w:rPr>
        <w:t>70</w:t>
      </w:r>
      <w:r>
        <w:rPr/>
        <w:t>元</w:t>
      </w:r>
      <w:r>
        <w:rPr>
          <w:rFonts w:ascii="宋体" w:hAnsi="宋体" w:cs="宋体" w:eastAsia="宋体" w:hint="default"/>
        </w:rPr>
        <w:t>/</w:t>
      </w:r>
      <w:r>
        <w:rPr/>
        <w:t>月，即年保底租赁费</w:t>
      </w:r>
      <w:r>
        <w:rPr>
          <w:rFonts w:ascii="宋体" w:hAnsi="宋体" w:cs="宋体" w:eastAsia="宋体" w:hint="default"/>
        </w:rPr>
        <w:t>921.732</w:t>
      </w:r>
      <w:r>
        <w:rPr/>
        <w:t>万元。</w:t>
      </w:r>
    </w:p>
    <w:p>
      <w:pPr>
        <w:pStyle w:val="BodyText"/>
        <w:spacing w:line="408" w:lineRule="auto"/>
        <w:ind w:right="982" w:firstLine="420"/>
        <w:jc w:val="left"/>
      </w:pP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月，公司支付</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11</w:t>
      </w:r>
      <w:r>
        <w:rPr>
          <w:spacing w:val="-2"/>
        </w:rPr>
        <w:t>日至</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10</w:t>
      </w:r>
      <w:r>
        <w:rPr>
          <w:spacing w:val="-2"/>
        </w:rPr>
        <w:t>日期间的保底租赁费用</w:t>
      </w:r>
      <w:r>
        <w:rPr>
          <w:rFonts w:ascii="宋体" w:hAnsi="宋体" w:cs="宋体" w:eastAsia="宋体" w:hint="default"/>
          <w:spacing w:val="-2"/>
        </w:rPr>
        <w:t>230.433</w:t>
      </w:r>
      <w:r>
        <w:rPr>
          <w:spacing w:val="-2"/>
        </w:rPr>
        <w:t>万元。</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spacing w:val="-3"/>
          <w:w w:val="100"/>
        </w:rPr>
        <w:t> </w:t>
      </w:r>
      <w:r>
        <w:rPr>
          <w:spacing w:val="-2"/>
        </w:rPr>
        <w:t>公司四川苏宁与成都鸿业置业经友好协商签署《补充协议》，公司提前支付</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11</w:t>
      </w:r>
      <w:r>
        <w:rPr>
          <w:spacing w:val="-2"/>
        </w:rPr>
        <w:t>日至</w:t>
      </w:r>
      <w:r>
        <w:rPr>
          <w:rFonts w:ascii="宋体" w:hAnsi="宋体" w:cs="宋体" w:eastAsia="宋体" w:hint="default"/>
          <w:spacing w:val="-2"/>
        </w:rPr>
        <w:t>2013</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10</w:t>
      </w:r>
      <w:r>
        <w:rPr>
          <w:rFonts w:ascii="宋体" w:hAnsi="宋体" w:cs="宋体" w:eastAsia="宋体" w:hint="default"/>
          <w:spacing w:val="-32"/>
        </w:rPr>
        <w:t> </w:t>
      </w:r>
      <w:r>
        <w:rPr/>
        <w:t>日期间的保底租赁费用，出租方成都鸿业置业给予公司该租赁年度保底租金</w:t>
      </w:r>
      <w:r>
        <w:rPr>
          <w:rFonts w:ascii="宋体" w:hAnsi="宋体" w:cs="宋体" w:eastAsia="宋体" w:hint="default"/>
        </w:rPr>
        <w:t>15%</w:t>
      </w:r>
      <w:r>
        <w:rPr/>
        <w:t>的折扣，公司实际需支付</w:t>
      </w:r>
      <w:r>
        <w:rPr>
          <w:spacing w:val="-24"/>
        </w:rPr>
        <w:t> </w:t>
      </w:r>
      <w:r>
        <w:rPr>
          <w:spacing w:val="-24"/>
        </w:rPr>
      </w:r>
      <w:r>
        <w:rPr/>
        <w:t>保底租赁费用</w:t>
      </w:r>
      <w:r>
        <w:rPr>
          <w:rFonts w:ascii="宋体" w:hAnsi="宋体" w:cs="宋体" w:eastAsia="宋体" w:hint="default"/>
        </w:rPr>
        <w:t>783.472</w:t>
      </w:r>
      <w:r>
        <w:rPr/>
        <w:t>万元。</w:t>
      </w:r>
    </w:p>
    <w:p>
      <w:pPr>
        <w:pStyle w:val="BodyText"/>
        <w:spacing w:line="408" w:lineRule="auto"/>
        <w:ind w:right="1025" w:firstLine="420"/>
        <w:jc w:val="left"/>
      </w:pPr>
      <w:r>
        <w:rPr/>
        <w:t>（</w:t>
      </w:r>
      <w:r>
        <w:rPr>
          <w:rFonts w:ascii="宋体" w:hAnsi="宋体" w:cs="宋体" w:eastAsia="宋体" w:hint="default"/>
        </w:rPr>
        <w:t>3</w:t>
      </w:r>
      <w:r>
        <w:rPr/>
        <w:t>）</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w:t>
      </w:r>
      <w:r>
        <w:rPr/>
        <w:t>日，公司与南京玄武苏宁置业有限公司（以下简称“玄武苏宁置业”）签订《房屋</w:t>
      </w:r>
      <w:r>
        <w:rPr>
          <w:w w:val="100"/>
        </w:rPr>
        <w:t> </w:t>
      </w:r>
      <w:r>
        <w:rPr/>
        <w:t>租赁合同》，公司向玄武苏宁置业出租位于南京市徐庄软件园内苏宁电器总部</w:t>
      </w:r>
      <w:r>
        <w:rPr>
          <w:rFonts w:ascii="宋体" w:hAnsi="宋体" w:cs="宋体" w:eastAsia="宋体" w:hint="default"/>
        </w:rPr>
        <w:t>7</w:t>
      </w:r>
      <w:r>
        <w:rPr/>
        <w:t>号、</w:t>
      </w:r>
      <w:r>
        <w:rPr>
          <w:rFonts w:ascii="宋体" w:hAnsi="宋体" w:cs="宋体" w:eastAsia="宋体" w:hint="default"/>
        </w:rPr>
        <w:t>8</w:t>
      </w:r>
      <w:r>
        <w:rPr/>
        <w:t>号楼</w:t>
      </w:r>
      <w:r>
        <w:rPr>
          <w:rFonts w:ascii="宋体" w:hAnsi="宋体" w:cs="宋体" w:eastAsia="宋体" w:hint="default"/>
        </w:rPr>
        <w:t>1-7</w:t>
      </w:r>
      <w:r>
        <w:rPr/>
        <w:t>层、地下夹</w:t>
      </w:r>
      <w:r>
        <w:rPr>
          <w:spacing w:val="-21"/>
        </w:rPr>
        <w:t> </w:t>
      </w:r>
      <w:r>
        <w:rPr>
          <w:spacing w:val="-21"/>
        </w:rPr>
      </w:r>
      <w:r>
        <w:rPr/>
        <w:t>层及负一层部分物业，同时免费提供建筑面积约为</w:t>
      </w:r>
      <w:r>
        <w:rPr>
          <w:rFonts w:ascii="宋体" w:hAnsi="宋体" w:cs="宋体" w:eastAsia="宋体" w:hint="default"/>
        </w:rPr>
        <w:t>1,963</w:t>
      </w:r>
      <w:r>
        <w:rPr/>
        <w:t>平米的地下停车场作为配套物业（以下简称“配</w:t>
      </w:r>
      <w:r>
        <w:rPr>
          <w:spacing w:val="-23"/>
        </w:rPr>
        <w:t> </w:t>
      </w:r>
      <w:r>
        <w:rPr>
          <w:spacing w:val="-23"/>
        </w:rPr>
      </w:r>
      <w:r>
        <w:rPr>
          <w:spacing w:val="-2"/>
        </w:rPr>
        <w:t>套物业”），用于其开展酒店经营业务。出租物业面积约为</w:t>
      </w:r>
      <w:r>
        <w:rPr>
          <w:rFonts w:ascii="宋体" w:hAnsi="宋体" w:cs="宋体" w:eastAsia="宋体" w:hint="default"/>
          <w:spacing w:val="-2"/>
        </w:rPr>
        <w:t>45,000</w:t>
      </w:r>
      <w:r>
        <w:rPr>
          <w:spacing w:val="-2"/>
        </w:rPr>
        <w:t>平米，另配套物业面积约为</w:t>
      </w:r>
      <w:r>
        <w:rPr>
          <w:rFonts w:ascii="宋体" w:hAnsi="宋体" w:cs="宋体" w:eastAsia="宋体" w:hint="default"/>
          <w:spacing w:val="-2"/>
        </w:rPr>
        <w:t>1,963</w:t>
      </w:r>
      <w:r>
        <w:rPr>
          <w:spacing w:val="-2"/>
        </w:rPr>
        <w:t>平米，</w:t>
      </w:r>
      <w:r>
        <w:rPr>
          <w:spacing w:val="-36"/>
        </w:rPr>
        <w:t> </w:t>
      </w:r>
      <w:r>
        <w:rPr>
          <w:spacing w:val="-36"/>
        </w:rPr>
      </w:r>
      <w:r>
        <w:rPr>
          <w:spacing w:val="-2"/>
        </w:rPr>
        <w:t>最终面积以竣工后测绘部门实测面积为准。租赁期限为十五年，自物业竣工验收之日起交付，租金费用按</w:t>
      </w:r>
    </w:p>
    <w:p>
      <w:pPr>
        <w:spacing w:after="0" w:line="408" w:lineRule="auto"/>
        <w:jc w:val="left"/>
        <w:sectPr>
          <w:footerReference w:type="default" r:id="rId34"/>
          <w:pgSz w:w="11910" w:h="16840"/>
          <w:pgMar w:footer="1496" w:header="877" w:top="1100" w:bottom="1680" w:left="980" w:right="0"/>
          <w:pgNumType w:start="58"/>
        </w:sectPr>
      </w:pPr>
    </w:p>
    <w:p>
      <w:pPr>
        <w:spacing w:line="240" w:lineRule="auto" w:before="9"/>
        <w:rPr>
          <w:rFonts w:ascii="宋体" w:hAnsi="宋体" w:cs="宋体" w:eastAsia="宋体" w:hint="default"/>
          <w:sz w:val="26"/>
          <w:szCs w:val="26"/>
        </w:rPr>
      </w:pPr>
      <w:r>
        <w:rPr/>
        <w:pict>
          <v:shape style="position:absolute;margin-left:460.320007pt;margin-top:764.919983pt;width:135.0pt;height:77pt;mso-position-horizontal-relative:page;mso-position-vertical-relative:page;z-index:-1597312" type="#_x0000_t75" stroked="false">
            <v:imagedata r:id="rId10" o:title=""/>
          </v:shape>
        </w:pict>
      </w:r>
    </w:p>
    <w:p>
      <w:pPr>
        <w:pStyle w:val="BodyText"/>
        <w:spacing w:line="408" w:lineRule="auto" w:before="36"/>
        <w:ind w:right="982"/>
        <w:jc w:val="left"/>
      </w:pPr>
      <w:r>
        <w:rPr/>
        <w:t>平米计算，即第一年至第五年租金为</w:t>
      </w:r>
      <w:r>
        <w:rPr>
          <w:rFonts w:ascii="宋体" w:hAnsi="宋体" w:cs="宋体" w:eastAsia="宋体" w:hint="default"/>
        </w:rPr>
        <w:t>1,971</w:t>
      </w:r>
      <w:r>
        <w:rPr/>
        <w:t>万元</w:t>
      </w:r>
      <w:r>
        <w:rPr>
          <w:rFonts w:ascii="宋体" w:hAnsi="宋体" w:cs="宋体" w:eastAsia="宋体" w:hint="default"/>
        </w:rPr>
        <w:t>/</w:t>
      </w:r>
      <w:r>
        <w:rPr/>
        <w:t>年，第六年至第七年为</w:t>
      </w:r>
      <w:r>
        <w:rPr>
          <w:rFonts w:ascii="宋体" w:hAnsi="宋体" w:cs="宋体" w:eastAsia="宋体" w:hint="default"/>
        </w:rPr>
        <w:t>2,069.55</w:t>
      </w:r>
      <w:r>
        <w:rPr/>
        <w:t>万元</w:t>
      </w:r>
      <w:r>
        <w:rPr>
          <w:rFonts w:ascii="宋体" w:hAnsi="宋体" w:cs="宋体" w:eastAsia="宋体" w:hint="default"/>
        </w:rPr>
        <w:t>/</w:t>
      </w:r>
      <w:r>
        <w:rPr/>
        <w:t>年，第八年至第九</w:t>
      </w:r>
      <w:r>
        <w:rPr>
          <w:spacing w:val="-26"/>
        </w:rPr>
        <w:t> </w:t>
      </w:r>
      <w:r>
        <w:rPr>
          <w:spacing w:val="-26"/>
        </w:rPr>
      </w:r>
      <w:r>
        <w:rPr>
          <w:spacing w:val="-2"/>
        </w:rPr>
        <w:t>年为</w:t>
      </w:r>
      <w:r>
        <w:rPr>
          <w:rFonts w:ascii="宋体" w:hAnsi="宋体" w:cs="宋体" w:eastAsia="宋体" w:hint="default"/>
          <w:spacing w:val="-2"/>
        </w:rPr>
        <w:t>2,173.03</w:t>
      </w:r>
      <w:r>
        <w:rPr>
          <w:spacing w:val="-2"/>
        </w:rPr>
        <w:t>万元</w:t>
      </w:r>
      <w:r>
        <w:rPr>
          <w:rFonts w:ascii="宋体" w:hAnsi="宋体" w:cs="宋体" w:eastAsia="宋体" w:hint="default"/>
          <w:spacing w:val="-2"/>
        </w:rPr>
        <w:t>/</w:t>
      </w:r>
      <w:r>
        <w:rPr>
          <w:spacing w:val="-2"/>
        </w:rPr>
        <w:t>年，第十年至第十一年为</w:t>
      </w:r>
      <w:r>
        <w:rPr>
          <w:rFonts w:ascii="宋体" w:hAnsi="宋体" w:cs="宋体" w:eastAsia="宋体" w:hint="default"/>
          <w:spacing w:val="-2"/>
        </w:rPr>
        <w:t>2,281.68</w:t>
      </w:r>
      <w:r>
        <w:rPr>
          <w:spacing w:val="-2"/>
        </w:rPr>
        <w:t>万元</w:t>
      </w:r>
      <w:r>
        <w:rPr>
          <w:rFonts w:ascii="宋体" w:hAnsi="宋体" w:cs="宋体" w:eastAsia="宋体" w:hint="default"/>
          <w:spacing w:val="-2"/>
        </w:rPr>
        <w:t>/</w:t>
      </w:r>
      <w:r>
        <w:rPr>
          <w:spacing w:val="-2"/>
        </w:rPr>
        <w:t>年，第十二年至第十三年为</w:t>
      </w:r>
      <w:r>
        <w:rPr>
          <w:rFonts w:ascii="宋体" w:hAnsi="宋体" w:cs="宋体" w:eastAsia="宋体" w:hint="default"/>
          <w:spacing w:val="-2"/>
        </w:rPr>
        <w:t>2,395.76</w:t>
      </w:r>
      <w:r>
        <w:rPr>
          <w:spacing w:val="-2"/>
        </w:rPr>
        <w:t>万元</w:t>
      </w:r>
      <w:r>
        <w:rPr>
          <w:rFonts w:ascii="宋体" w:hAnsi="宋体" w:cs="宋体" w:eastAsia="宋体" w:hint="default"/>
          <w:spacing w:val="-2"/>
        </w:rPr>
        <w:t>/</w:t>
      </w:r>
      <w:r>
        <w:rPr>
          <w:spacing w:val="-2"/>
        </w:rPr>
        <w:t>年，</w:t>
      </w:r>
      <w:r>
        <w:rPr>
          <w:spacing w:val="-26"/>
        </w:rPr>
        <w:t> </w:t>
      </w:r>
      <w:r>
        <w:rPr/>
        <w:t>第十四年至第十五年为</w:t>
      </w:r>
      <w:r>
        <w:rPr>
          <w:rFonts w:ascii="宋体" w:hAnsi="宋体" w:cs="宋体" w:eastAsia="宋体" w:hint="default"/>
        </w:rPr>
        <w:t>2,515.55</w:t>
      </w:r>
      <w:r>
        <w:rPr/>
        <w:t>万元</w:t>
      </w:r>
      <w:r>
        <w:rPr>
          <w:rFonts w:ascii="宋体" w:hAnsi="宋体" w:cs="宋体" w:eastAsia="宋体" w:hint="default"/>
        </w:rPr>
        <w:t>/</w:t>
      </w:r>
      <w:r>
        <w:rPr/>
        <w:t>年。鉴于物业从交付至装修开业需要一定时间，公司同意在上述租</w:t>
      </w:r>
      <w:r>
        <w:rPr>
          <w:spacing w:val="-25"/>
        </w:rPr>
        <w:t> </w:t>
      </w:r>
      <w:r>
        <w:rPr>
          <w:spacing w:val="-25"/>
        </w:rPr>
      </w:r>
      <w:r>
        <w:rPr>
          <w:spacing w:val="8"/>
        </w:rPr>
        <w:t>金的标准上给予玄武苏宁置业首年</w:t>
      </w:r>
      <w:r>
        <w:rPr>
          <w:rFonts w:ascii="宋体" w:hAnsi="宋体" w:cs="宋体" w:eastAsia="宋体" w:hint="default"/>
          <w:spacing w:val="8"/>
        </w:rPr>
        <w:t>90</w:t>
      </w:r>
      <w:r>
        <w:rPr>
          <w:spacing w:val="8"/>
        </w:rPr>
        <w:t>天的租金优惠，即第一年租金为</w:t>
      </w:r>
      <w:r>
        <w:rPr>
          <w:rFonts w:ascii="宋体" w:hAnsi="宋体" w:cs="宋体" w:eastAsia="宋体" w:hint="default"/>
          <w:spacing w:val="8"/>
        </w:rPr>
        <w:t>1,485</w:t>
      </w:r>
      <w:r>
        <w:rPr>
          <w:spacing w:val="8"/>
        </w:rPr>
        <w:t>万元，租赁期间总租金为</w:t>
      </w:r>
      <w:r>
        <w:rPr/>
        <w:t> </w:t>
      </w:r>
      <w:r>
        <w:rPr/>
      </w:r>
      <w:r>
        <w:rPr>
          <w:rFonts w:ascii="宋体" w:hAnsi="宋体" w:cs="宋体" w:eastAsia="宋体" w:hint="default"/>
          <w:spacing w:val="-2"/>
        </w:rPr>
        <w:t>32,240.14</w:t>
      </w:r>
      <w:r>
        <w:rPr>
          <w:spacing w:val="-2"/>
        </w:rPr>
        <w:t>万元。地下二层约</w:t>
      </w:r>
      <w:r>
        <w:rPr>
          <w:rFonts w:ascii="宋体" w:hAnsi="宋体" w:cs="宋体" w:eastAsia="宋体" w:hint="default"/>
          <w:spacing w:val="-2"/>
        </w:rPr>
        <w:t>1,963</w:t>
      </w:r>
      <w:r>
        <w:rPr>
          <w:spacing w:val="-2"/>
        </w:rPr>
        <w:t>平米的车库作为配套场所，公司免费提供玄武苏宁置业使用。另公司为</w:t>
      </w:r>
      <w:r>
        <w:rPr>
          <w:spacing w:val="-34"/>
        </w:rPr>
        <w:t> </w:t>
      </w:r>
      <w:r>
        <w:rPr>
          <w:spacing w:val="-34"/>
        </w:rPr>
      </w:r>
      <w:r>
        <w:rPr/>
        <w:t>玄武苏宁置业提供日常所需水电能源等配套物业服务。</w:t>
      </w:r>
    </w:p>
    <w:p>
      <w:pPr>
        <w:pStyle w:val="BodyText"/>
        <w:spacing w:line="408" w:lineRule="auto"/>
        <w:ind w:right="1125" w:firstLine="420"/>
        <w:jc w:val="both"/>
      </w:pPr>
      <w:r>
        <w:rPr>
          <w:spacing w:val="-2"/>
        </w:rPr>
        <w:t>（</w:t>
      </w:r>
      <w:r>
        <w:rPr>
          <w:rFonts w:ascii="宋体" w:hAnsi="宋体" w:cs="宋体" w:eastAsia="宋体" w:hint="default"/>
          <w:spacing w:val="-2"/>
        </w:rPr>
        <w:t>4</w:t>
      </w:r>
      <w:r>
        <w:rPr>
          <w:spacing w:val="-2"/>
        </w:rPr>
        <w:t>）</w:t>
      </w:r>
      <w:r>
        <w:rPr>
          <w:rFonts w:ascii="宋体" w:hAnsi="宋体" w:cs="宋体" w:eastAsia="宋体" w:hint="default"/>
          <w:spacing w:val="-2"/>
        </w:rPr>
        <w:t>2011</w:t>
      </w:r>
      <w:r>
        <w:rPr>
          <w:spacing w:val="-2"/>
        </w:rPr>
        <w:t>年</w:t>
      </w:r>
      <w:r>
        <w:rPr>
          <w:rFonts w:ascii="宋体" w:hAnsi="宋体" w:cs="宋体" w:eastAsia="宋体" w:hint="default"/>
          <w:spacing w:val="-2"/>
        </w:rPr>
        <w:t>4</w:t>
      </w:r>
      <w:r>
        <w:rPr>
          <w:spacing w:val="-2"/>
        </w:rPr>
        <w:t>月，公司子公司青岛鲁宁苏宁电器有限公司与青岛苏宁置业有限公司（以下简称“青岛</w:t>
      </w:r>
      <w:r>
        <w:rPr>
          <w:w w:val="100"/>
        </w:rPr>
        <w:t> </w:t>
      </w:r>
      <w:r>
        <w:rPr/>
        <w:t>苏宁置业”）签署《房屋租赁合同》，公司向其租赁位于青岛市李沧区京口路</w:t>
      </w:r>
      <w:r>
        <w:rPr>
          <w:rFonts w:ascii="宋体" w:hAnsi="宋体" w:cs="宋体" w:eastAsia="宋体" w:hint="default"/>
        </w:rPr>
        <w:t>22-42</w:t>
      </w:r>
      <w:r>
        <w:rPr/>
        <w:t>号、古镇路</w:t>
      </w:r>
      <w:r>
        <w:rPr>
          <w:rFonts w:ascii="宋体" w:hAnsi="宋体" w:cs="宋体" w:eastAsia="宋体" w:hint="default"/>
        </w:rPr>
        <w:t>1-29</w:t>
      </w:r>
      <w:r>
        <w:rPr/>
        <w:t>号、</w:t>
      </w:r>
      <w:r>
        <w:rPr>
          <w:spacing w:val="-22"/>
        </w:rPr>
        <w:t> </w:t>
      </w:r>
      <w:r>
        <w:rPr>
          <w:spacing w:val="-2"/>
        </w:rPr>
        <w:t>书院路</w:t>
      </w:r>
      <w:r>
        <w:rPr>
          <w:rFonts w:ascii="宋体" w:hAnsi="宋体" w:cs="宋体" w:eastAsia="宋体" w:hint="default"/>
          <w:spacing w:val="-2"/>
        </w:rPr>
        <w:t>1-11</w:t>
      </w:r>
      <w:r>
        <w:rPr>
          <w:spacing w:val="-2"/>
        </w:rPr>
        <w:t>号的物业一至三层用于开设</w:t>
      </w:r>
      <w:r>
        <w:rPr>
          <w:rFonts w:ascii="宋体" w:hAnsi="宋体" w:cs="宋体" w:eastAsia="宋体" w:hint="default"/>
          <w:spacing w:val="-2"/>
        </w:rPr>
        <w:t>EXPO</w:t>
      </w:r>
      <w:r>
        <w:rPr>
          <w:spacing w:val="-2"/>
        </w:rPr>
        <w:t>超级旗舰店（以下简称“青岛李村广场店”）。租赁物业建筑</w:t>
      </w:r>
      <w:r>
        <w:rPr>
          <w:spacing w:val="-34"/>
        </w:rPr>
        <w:t> </w:t>
      </w:r>
      <w:r>
        <w:rPr>
          <w:spacing w:val="-34"/>
        </w:rPr>
      </w:r>
      <w:r>
        <w:rPr>
          <w:spacing w:val="-2"/>
        </w:rPr>
        <w:t>面积合计约</w:t>
      </w:r>
      <w:r>
        <w:rPr>
          <w:rFonts w:ascii="宋体" w:hAnsi="宋体" w:cs="宋体" w:eastAsia="宋体" w:hint="default"/>
          <w:spacing w:val="-2"/>
        </w:rPr>
        <w:t>14,120</w:t>
      </w:r>
      <w:r>
        <w:rPr>
          <w:spacing w:val="-2"/>
        </w:rPr>
        <w:t>平米，租赁期自</w:t>
      </w:r>
      <w:r>
        <w:rPr>
          <w:rFonts w:ascii="宋体" w:hAnsi="宋体" w:cs="宋体" w:eastAsia="宋体" w:hint="default"/>
          <w:spacing w:val="-2"/>
        </w:rPr>
        <w:t>2011</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19</w:t>
      </w:r>
      <w:r>
        <w:rPr>
          <w:spacing w:val="-2"/>
        </w:rPr>
        <w:t>日到</w:t>
      </w:r>
      <w:r>
        <w:rPr>
          <w:rFonts w:ascii="宋体" w:hAnsi="宋体" w:cs="宋体" w:eastAsia="宋体" w:hint="default"/>
          <w:spacing w:val="-2"/>
        </w:rPr>
        <w:t>2021</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18</w:t>
      </w:r>
      <w:r>
        <w:rPr>
          <w:spacing w:val="-2"/>
        </w:rPr>
        <w:t>日，期限为</w:t>
      </w:r>
      <w:r>
        <w:rPr>
          <w:rFonts w:ascii="宋体" w:hAnsi="宋体" w:cs="宋体" w:eastAsia="宋体" w:hint="default"/>
          <w:spacing w:val="-2"/>
        </w:rPr>
        <w:t>10</w:t>
      </w:r>
      <w:r>
        <w:rPr>
          <w:spacing w:val="-2"/>
        </w:rPr>
        <w:t>年。租赁费用采用“保底加</w:t>
      </w:r>
      <w:r>
        <w:rPr>
          <w:spacing w:val="-24"/>
        </w:rPr>
        <w:t> </w:t>
      </w:r>
      <w:r>
        <w:rPr>
          <w:spacing w:val="-24"/>
        </w:rPr>
      </w:r>
      <w:r>
        <w:rPr>
          <w:spacing w:val="-2"/>
        </w:rPr>
        <w:t>提成”方式计算，按含税销售总额的</w:t>
      </w:r>
      <w:r>
        <w:rPr>
          <w:rFonts w:ascii="宋体" w:hAnsi="宋体" w:cs="宋体" w:eastAsia="宋体" w:hint="default"/>
          <w:spacing w:val="-2"/>
        </w:rPr>
        <w:t>3%</w:t>
      </w:r>
      <w:r>
        <w:rPr>
          <w:spacing w:val="-2"/>
        </w:rPr>
        <w:t>计算的金额作为租赁费用，但每平米单价不低于</w:t>
      </w:r>
      <w:r>
        <w:rPr>
          <w:rFonts w:ascii="宋体" w:hAnsi="宋体" w:cs="宋体" w:eastAsia="宋体" w:hint="default"/>
          <w:spacing w:val="-2"/>
        </w:rPr>
        <w:t>2.5</w:t>
      </w:r>
      <w:r>
        <w:rPr>
          <w:spacing w:val="-2"/>
        </w:rPr>
        <w:t>元</w:t>
      </w:r>
      <w:r>
        <w:rPr>
          <w:rFonts w:ascii="宋体" w:hAnsi="宋体" w:cs="宋体" w:eastAsia="宋体" w:hint="default"/>
          <w:spacing w:val="-2"/>
        </w:rPr>
        <w:t>/</w:t>
      </w:r>
      <w:r>
        <w:rPr>
          <w:spacing w:val="-2"/>
        </w:rPr>
        <w:t>天，年保底</w:t>
      </w:r>
      <w:r>
        <w:rPr>
          <w:spacing w:val="-39"/>
        </w:rPr>
        <w:t> </w:t>
      </w:r>
      <w:r>
        <w:rPr>
          <w:spacing w:val="-39"/>
        </w:rPr>
      </w:r>
      <w:r>
        <w:rPr/>
        <w:t>租赁费用为</w:t>
      </w:r>
      <w:r>
        <w:rPr>
          <w:rFonts w:ascii="宋体" w:hAnsi="宋体" w:cs="宋体" w:eastAsia="宋体" w:hint="default"/>
        </w:rPr>
        <w:t>1288.45</w:t>
      </w:r>
      <w:r>
        <w:rPr/>
        <w:t>万元。</w:t>
      </w:r>
    </w:p>
    <w:p>
      <w:pPr>
        <w:pStyle w:val="BodyText"/>
        <w:spacing w:line="408" w:lineRule="auto"/>
        <w:ind w:right="1126" w:firstLine="420"/>
        <w:jc w:val="both"/>
      </w:pP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月，公司子公司青岛鲁宁苏宁电器有限公司与青岛苏宁置业有限公司签署《补充协议》，因</w:t>
      </w:r>
      <w:r>
        <w:rPr>
          <w:w w:val="100"/>
        </w:rPr>
        <w:t> </w:t>
      </w:r>
      <w:r>
        <w:rPr>
          <w:spacing w:val="-2"/>
        </w:rPr>
        <w:t>公司门店在</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日期间停业装修，经双方友好协商，青岛苏宁置业同意免收公司</w:t>
      </w:r>
      <w:r>
        <w:rPr>
          <w:spacing w:val="-29"/>
        </w:rPr>
        <w:t> </w:t>
      </w:r>
      <w:r>
        <w:rPr>
          <w:spacing w:val="-29"/>
        </w:rPr>
      </w:r>
      <w:r>
        <w:rPr>
          <w:spacing w:val="-2"/>
        </w:rPr>
        <w:t>装修期间的租金。鉴于青岛苏宁已支付</w:t>
      </w:r>
      <w:r>
        <w:rPr>
          <w:rFonts w:ascii="宋体" w:hAnsi="宋体" w:cs="宋体" w:eastAsia="宋体" w:hint="default"/>
          <w:spacing w:val="-2"/>
        </w:rPr>
        <w:t>2011</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19</w:t>
      </w:r>
      <w:r>
        <w:rPr>
          <w:spacing w:val="-2"/>
        </w:rPr>
        <w:t>日至</w:t>
      </w: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18</w:t>
      </w:r>
      <w:r>
        <w:rPr>
          <w:spacing w:val="-2"/>
        </w:rPr>
        <w:t>日租金</w:t>
      </w:r>
      <w:r>
        <w:rPr>
          <w:rFonts w:ascii="宋体" w:hAnsi="宋体" w:cs="宋体" w:eastAsia="宋体" w:hint="default"/>
          <w:spacing w:val="-2"/>
        </w:rPr>
        <w:t>3,221,125</w:t>
      </w:r>
      <w:r>
        <w:rPr>
          <w:spacing w:val="-2"/>
        </w:rPr>
        <w:t>元，则在</w:t>
      </w:r>
      <w:r>
        <w:rPr>
          <w:rFonts w:ascii="宋体" w:hAnsi="宋体" w:cs="宋体" w:eastAsia="宋体" w:hint="default"/>
          <w:spacing w:val="-2"/>
        </w:rPr>
        <w:t>8</w:t>
      </w:r>
      <w:r>
        <w:rPr>
          <w:spacing w:val="-2"/>
        </w:rPr>
        <w:t>月</w:t>
      </w:r>
      <w:r>
        <w:rPr>
          <w:rFonts w:ascii="宋体" w:hAnsi="宋体" w:cs="宋体" w:eastAsia="宋体" w:hint="default"/>
          <w:spacing w:val="-2"/>
        </w:rPr>
        <w:t>1</w:t>
      </w:r>
      <w:r>
        <w:rPr>
          <w:spacing w:val="-2"/>
        </w:rPr>
        <w:t>日至</w:t>
      </w:r>
      <w:r>
        <w:rPr>
          <w:spacing w:val="-28"/>
        </w:rPr>
        <w:t> </w:t>
      </w:r>
      <w:r>
        <w:rPr>
          <w:rFonts w:ascii="宋体" w:hAnsi="宋体" w:cs="宋体" w:eastAsia="宋体" w:hint="default"/>
          <w:spacing w:val="-2"/>
        </w:rPr>
        <w:t>10</w:t>
      </w:r>
      <w:r>
        <w:rPr>
          <w:spacing w:val="-2"/>
        </w:rPr>
        <w:t>月</w:t>
      </w:r>
      <w:r>
        <w:rPr>
          <w:rFonts w:ascii="宋体" w:hAnsi="宋体" w:cs="宋体" w:eastAsia="宋体" w:hint="default"/>
          <w:spacing w:val="-2"/>
        </w:rPr>
        <w:t>18</w:t>
      </w:r>
      <w:r>
        <w:rPr>
          <w:spacing w:val="-2"/>
        </w:rPr>
        <w:t>日期间的租金费用抵减</w:t>
      </w:r>
      <w:r>
        <w:rPr>
          <w:rFonts w:ascii="宋体" w:hAnsi="宋体" w:cs="宋体" w:eastAsia="宋体" w:hint="default"/>
          <w:spacing w:val="-2"/>
        </w:rPr>
        <w:t>2012</w:t>
      </w:r>
      <w:r>
        <w:rPr>
          <w:spacing w:val="-2"/>
        </w:rPr>
        <w:t>年一季度部分租金，</w:t>
      </w: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19</w:t>
      </w:r>
      <w:r>
        <w:rPr>
          <w:spacing w:val="-2"/>
        </w:rPr>
        <w:t>日至</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日期间的租金予以</w:t>
      </w:r>
      <w:r>
        <w:rPr>
          <w:spacing w:val="-23"/>
        </w:rPr>
        <w:t> </w:t>
      </w:r>
      <w:r>
        <w:rPr>
          <w:spacing w:val="-23"/>
        </w:rPr>
      </w:r>
      <w:r>
        <w:rPr/>
        <w:t>减免。</w:t>
      </w:r>
    </w:p>
    <w:p>
      <w:pPr>
        <w:pStyle w:val="BodyText"/>
        <w:spacing w:line="408" w:lineRule="auto"/>
        <w:ind w:right="1128" w:firstLine="420"/>
        <w:jc w:val="both"/>
      </w:pPr>
      <w:r>
        <w:rPr/>
        <w:t>（</w:t>
      </w:r>
      <w:r>
        <w:rPr>
          <w:rFonts w:ascii="宋体" w:hAnsi="宋体" w:cs="宋体" w:eastAsia="宋体" w:hint="default"/>
        </w:rPr>
        <w:t>5</w:t>
      </w:r>
      <w:r>
        <w:rPr/>
        <w:t>）</w:t>
      </w:r>
      <w:r>
        <w:rPr>
          <w:rFonts w:ascii="宋体" w:hAnsi="宋体" w:cs="宋体" w:eastAsia="宋体" w:hint="default"/>
        </w:rPr>
        <w:t>2011</w:t>
      </w:r>
      <w:r>
        <w:rPr/>
        <w:t>年</w:t>
      </w:r>
      <w:r>
        <w:rPr>
          <w:rFonts w:ascii="宋体" w:hAnsi="宋体" w:cs="宋体" w:eastAsia="宋体" w:hint="default"/>
        </w:rPr>
        <w:t>10</w:t>
      </w:r>
      <w:r>
        <w:rPr/>
        <w:t>月，公司控股子公司乐购仕（南京）商贸有限公司（以下简称“乐购仕商贸”）与苏</w:t>
      </w:r>
      <w:r>
        <w:rPr>
          <w:w w:val="100"/>
        </w:rPr>
        <w:t> </w:t>
      </w:r>
      <w:r>
        <w:rPr>
          <w:spacing w:val="-5"/>
        </w:rPr>
        <w:t>宁电器集团有限公司签署《租赁合同》，乐购仕商贸向其租赁位于南京市山西路一号银河大厦裙楼部分</w:t>
      </w:r>
      <w:r>
        <w:rPr>
          <w:rFonts w:ascii="宋体" w:hAnsi="宋体" w:cs="宋体" w:eastAsia="宋体" w:hint="default"/>
          <w:spacing w:val="-5"/>
        </w:rPr>
        <w:t>1-5</w:t>
      </w:r>
      <w:r>
        <w:rPr>
          <w:rFonts w:ascii="宋体" w:hAnsi="宋体" w:cs="宋体" w:eastAsia="宋体" w:hint="default"/>
          <w:spacing w:val="-2"/>
        </w:rPr>
        <w:t> </w:t>
      </w:r>
      <w:r>
        <w:rPr>
          <w:rFonts w:ascii="宋体" w:hAnsi="宋体" w:cs="宋体" w:eastAsia="宋体" w:hint="default"/>
          <w:spacing w:val="-2"/>
        </w:rPr>
      </w:r>
      <w:r>
        <w:rPr/>
        <w:t>层用于乐购仕生活广场的经营业务。租赁物业面积共计</w:t>
      </w:r>
      <w:r>
        <w:rPr>
          <w:rFonts w:ascii="宋体" w:hAnsi="宋体" w:cs="宋体" w:eastAsia="宋体" w:hint="default"/>
        </w:rPr>
        <w:t>19,291</w:t>
      </w:r>
      <w:r>
        <w:rPr/>
        <w:t>平米，租赁期自</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1</w:t>
      </w:r>
      <w:r>
        <w:rPr/>
        <w:t>日起至</w:t>
      </w:r>
      <w:r>
        <w:rPr>
          <w:rFonts w:ascii="宋体" w:hAnsi="宋体" w:cs="宋体" w:eastAsia="宋体" w:hint="default"/>
        </w:rPr>
        <w:t>2021</w:t>
      </w:r>
      <w:r>
        <w:rPr/>
        <w:t>年</w:t>
      </w:r>
      <w:r>
        <w:rPr>
          <w:spacing w:val="-25"/>
        </w:rPr>
        <w:t> </w:t>
      </w:r>
      <w:r>
        <w:rPr>
          <w:rFonts w:ascii="宋体" w:hAnsi="宋体" w:cs="宋体" w:eastAsia="宋体" w:hint="default"/>
        </w:rPr>
        <w:t>12</w:t>
      </w:r>
      <w:r>
        <w:rPr/>
        <w:t>月</w:t>
      </w:r>
      <w:r>
        <w:rPr>
          <w:rFonts w:ascii="宋体" w:hAnsi="宋体" w:cs="宋体" w:eastAsia="宋体" w:hint="default"/>
        </w:rPr>
        <w:t>31</w:t>
      </w:r>
      <w:r>
        <w:rPr/>
        <w:t>日止，租金费用按照首个租赁年度</w:t>
      </w:r>
      <w:r>
        <w:rPr>
          <w:rFonts w:ascii="宋体" w:hAnsi="宋体" w:cs="宋体" w:eastAsia="宋体" w:hint="default"/>
        </w:rPr>
        <w:t>3.5</w:t>
      </w:r>
      <w:r>
        <w:rPr/>
        <w:t>元</w:t>
      </w:r>
      <w:r>
        <w:rPr>
          <w:rFonts w:ascii="宋体" w:hAnsi="宋体" w:cs="宋体" w:eastAsia="宋体" w:hint="default"/>
        </w:rPr>
        <w:t>/</w:t>
      </w:r>
      <w:r>
        <w:rPr/>
        <w:t>平方米</w:t>
      </w:r>
      <w:r>
        <w:rPr>
          <w:rFonts w:ascii="宋体" w:hAnsi="宋体" w:cs="宋体" w:eastAsia="宋体" w:hint="default"/>
        </w:rPr>
        <w:t>*</w:t>
      </w:r>
      <w:r>
        <w:rPr/>
        <w:t>日，自第三年起每两个租赁年度在上一年的基础</w:t>
      </w:r>
      <w:r>
        <w:rPr>
          <w:spacing w:val="-24"/>
        </w:rPr>
        <w:t> </w:t>
      </w:r>
      <w:r>
        <w:rPr>
          <w:spacing w:val="-24"/>
        </w:rPr>
      </w:r>
      <w:r>
        <w:rPr/>
        <w:t>上递增</w:t>
      </w:r>
      <w:r>
        <w:rPr>
          <w:rFonts w:ascii="宋体" w:hAnsi="宋体" w:cs="宋体" w:eastAsia="宋体" w:hint="default"/>
        </w:rPr>
        <w:t>3%</w:t>
      </w:r>
      <w:r>
        <w:rPr/>
        <w:t>。鉴于物业从交付至装修开业需要一定时间，双方约定首个租赁年度和第二年租金均为</w:t>
      </w:r>
      <w:r>
        <w:rPr>
          <w:rFonts w:ascii="宋体" w:hAnsi="宋体" w:cs="宋体" w:eastAsia="宋体" w:hint="default"/>
        </w:rPr>
        <w:t>2,464</w:t>
      </w:r>
      <w:r>
        <w:rPr/>
        <w:t>万</w:t>
      </w:r>
      <w:r>
        <w:rPr>
          <w:spacing w:val="-28"/>
        </w:rPr>
        <w:t> </w:t>
      </w:r>
      <w:r>
        <w:rPr>
          <w:spacing w:val="-2"/>
        </w:rPr>
        <w:t>元</w:t>
      </w:r>
      <w:r>
        <w:rPr>
          <w:rFonts w:ascii="宋体" w:hAnsi="宋体" w:cs="宋体" w:eastAsia="宋体" w:hint="default"/>
          <w:spacing w:val="-2"/>
        </w:rPr>
        <w:t>/</w:t>
      </w:r>
      <w:r>
        <w:rPr>
          <w:spacing w:val="-2"/>
        </w:rPr>
        <w:t>年，第三年至第四年为</w:t>
      </w:r>
      <w:r>
        <w:rPr>
          <w:rFonts w:ascii="宋体" w:hAnsi="宋体" w:cs="宋体" w:eastAsia="宋体" w:hint="default"/>
          <w:spacing w:val="-2"/>
        </w:rPr>
        <w:t>2,538</w:t>
      </w:r>
      <w:r>
        <w:rPr>
          <w:spacing w:val="-2"/>
        </w:rPr>
        <w:t>万元</w:t>
      </w:r>
      <w:r>
        <w:rPr>
          <w:rFonts w:ascii="宋体" w:hAnsi="宋体" w:cs="宋体" w:eastAsia="宋体" w:hint="default"/>
          <w:spacing w:val="-2"/>
        </w:rPr>
        <w:t>/</w:t>
      </w:r>
      <w:r>
        <w:rPr>
          <w:spacing w:val="-2"/>
        </w:rPr>
        <w:t>年，第五年至第六年为</w:t>
      </w:r>
      <w:r>
        <w:rPr>
          <w:rFonts w:ascii="宋体" w:hAnsi="宋体" w:cs="宋体" w:eastAsia="宋体" w:hint="default"/>
          <w:spacing w:val="-2"/>
        </w:rPr>
        <w:t>2,614</w:t>
      </w:r>
      <w:r>
        <w:rPr>
          <w:spacing w:val="-2"/>
        </w:rPr>
        <w:t>万元</w:t>
      </w:r>
      <w:r>
        <w:rPr>
          <w:rFonts w:ascii="宋体" w:hAnsi="宋体" w:cs="宋体" w:eastAsia="宋体" w:hint="default"/>
          <w:spacing w:val="-2"/>
        </w:rPr>
        <w:t>/</w:t>
      </w:r>
      <w:r>
        <w:rPr>
          <w:spacing w:val="-2"/>
        </w:rPr>
        <w:t>年，第七年至第八年为</w:t>
      </w:r>
      <w:r>
        <w:rPr>
          <w:rFonts w:ascii="宋体" w:hAnsi="宋体" w:cs="宋体" w:eastAsia="宋体" w:hint="default"/>
          <w:spacing w:val="-2"/>
        </w:rPr>
        <w:t>2,692</w:t>
      </w:r>
      <w:r>
        <w:rPr>
          <w:spacing w:val="-2"/>
        </w:rPr>
        <w:t>万元</w:t>
      </w:r>
      <w:r>
        <w:rPr/>
      </w:r>
    </w:p>
    <w:p>
      <w:pPr>
        <w:pStyle w:val="BodyText"/>
        <w:spacing w:line="240" w:lineRule="auto"/>
        <w:ind w:right="982"/>
        <w:jc w:val="left"/>
      </w:pPr>
      <w:r>
        <w:rPr>
          <w:rFonts w:ascii="宋体" w:hAnsi="宋体" w:cs="宋体" w:eastAsia="宋体" w:hint="default"/>
        </w:rPr>
        <w:t>/</w:t>
      </w:r>
      <w:r>
        <w:rPr/>
        <w:t>年，第九年至第十年为</w:t>
      </w:r>
      <w:r>
        <w:rPr>
          <w:rFonts w:ascii="宋体" w:hAnsi="宋体" w:cs="宋体" w:eastAsia="宋体" w:hint="default"/>
        </w:rPr>
        <w:t>2,773</w:t>
      </w:r>
      <w:r>
        <w:rPr/>
        <w:t>万元</w:t>
      </w:r>
      <w:r>
        <w:rPr>
          <w:rFonts w:ascii="宋体" w:hAnsi="宋体" w:cs="宋体" w:eastAsia="宋体" w:hint="default"/>
        </w:rPr>
        <w:t>/</w:t>
      </w:r>
      <w:r>
        <w:rPr/>
        <w:t>年，租赁期间租金总额为</w:t>
      </w:r>
      <w:r>
        <w:rPr>
          <w:rFonts w:ascii="宋体" w:hAnsi="宋体" w:cs="宋体" w:eastAsia="宋体" w:hint="default"/>
        </w:rPr>
        <w:t>26,162</w:t>
      </w:r>
      <w:r>
        <w:rPr/>
        <w:t>万元。</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spacing w:val="-2"/>
        </w:rPr>
        <w:t>（</w:t>
      </w:r>
      <w:r>
        <w:rPr>
          <w:rFonts w:ascii="宋体" w:hAnsi="宋体" w:cs="宋体" w:eastAsia="宋体" w:hint="default"/>
          <w:spacing w:val="-2"/>
        </w:rPr>
        <w:t>6</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月，公司子公司南京白下苏宁电器有限公司（以下简称“白下苏宁”）签署《房屋租赁</w:t>
      </w:r>
      <w:r>
        <w:rPr>
          <w:w w:val="100"/>
        </w:rPr>
        <w:t> </w:t>
      </w:r>
      <w:r>
        <w:rPr>
          <w:spacing w:val="-2"/>
        </w:rPr>
        <w:t>合同》，承租苏宁电器集团有限公司位于南京市淮海路</w:t>
      </w:r>
      <w:r>
        <w:rPr>
          <w:rFonts w:ascii="宋体" w:hAnsi="宋体" w:cs="宋体" w:eastAsia="宋体" w:hint="default"/>
          <w:spacing w:val="-2"/>
        </w:rPr>
        <w:t>68</w:t>
      </w:r>
      <w:r>
        <w:rPr>
          <w:spacing w:val="-2"/>
        </w:rPr>
        <w:t>号的苏宁电器大厦</w:t>
      </w:r>
      <w:r>
        <w:rPr>
          <w:rFonts w:ascii="宋体" w:hAnsi="宋体" w:cs="宋体" w:eastAsia="宋体" w:hint="default"/>
          <w:spacing w:val="-2"/>
        </w:rPr>
        <w:t>1-7</w:t>
      </w:r>
      <w:r>
        <w:rPr>
          <w:spacing w:val="-2"/>
        </w:rPr>
        <w:t>层物业共</w:t>
      </w:r>
      <w:r>
        <w:rPr>
          <w:rFonts w:ascii="宋体" w:hAnsi="宋体" w:cs="宋体" w:eastAsia="宋体" w:hint="default"/>
          <w:spacing w:val="-2"/>
        </w:rPr>
        <w:t>11,525.21</w:t>
      </w:r>
      <w:r>
        <w:rPr>
          <w:spacing w:val="-2"/>
        </w:rPr>
        <w:t>平米作</w:t>
      </w:r>
      <w:r>
        <w:rPr>
          <w:spacing w:val="-38"/>
        </w:rPr>
        <w:t> </w:t>
      </w:r>
      <w:r>
        <w:rPr>
          <w:spacing w:val="-2"/>
        </w:rPr>
        <w:t>为商场和办公用房，租赁期自</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2021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日，共计</w:t>
      </w:r>
      <w:r>
        <w:rPr>
          <w:rFonts w:ascii="宋体" w:hAnsi="宋体" w:cs="宋体" w:eastAsia="宋体" w:hint="default"/>
          <w:spacing w:val="-2"/>
        </w:rPr>
        <w:t>10</w:t>
      </w:r>
      <w:r>
        <w:rPr>
          <w:spacing w:val="-2"/>
        </w:rPr>
        <w:t>年。租赁费用单价按照首个租赁年</w:t>
      </w:r>
      <w:r>
        <w:rPr>
          <w:spacing w:val="-26"/>
        </w:rPr>
        <w:t> </w:t>
      </w:r>
      <w:r>
        <w:rPr>
          <w:spacing w:val="-26"/>
        </w:rPr>
      </w:r>
      <w:r>
        <w:rPr/>
        <w:t>度</w:t>
      </w:r>
      <w:r>
        <w:rPr>
          <w:rFonts w:ascii="宋体" w:hAnsi="宋体" w:cs="宋体" w:eastAsia="宋体" w:hint="default"/>
        </w:rPr>
        <w:t>4.5</w:t>
      </w:r>
      <w:r>
        <w:rPr/>
        <w:t>元</w:t>
      </w:r>
      <w:r>
        <w:rPr>
          <w:rFonts w:ascii="宋体" w:hAnsi="宋体" w:cs="宋体" w:eastAsia="宋体" w:hint="default"/>
        </w:rPr>
        <w:t>/</w:t>
      </w:r>
      <w:r>
        <w:rPr/>
        <w:t>平米</w:t>
      </w:r>
      <w:r>
        <w:rPr>
          <w:rFonts w:ascii="宋体" w:hAnsi="宋体" w:cs="宋体" w:eastAsia="宋体" w:hint="default"/>
        </w:rPr>
        <w:t>*</w:t>
      </w:r>
      <w:r>
        <w:rPr/>
        <w:t>日，自第三年起每两个租赁年度在上一年的基础上递增</w:t>
      </w:r>
      <w:r>
        <w:rPr>
          <w:rFonts w:ascii="宋体" w:hAnsi="宋体" w:cs="宋体" w:eastAsia="宋体" w:hint="default"/>
        </w:rPr>
        <w:t>3%</w:t>
      </w:r>
      <w:r>
        <w:rPr/>
        <w:t>，即第一年至第二年为</w:t>
      </w:r>
      <w:r>
        <w:rPr>
          <w:rFonts w:ascii="宋体" w:hAnsi="宋体" w:cs="宋体" w:eastAsia="宋体" w:hint="default"/>
        </w:rPr>
        <w:t>1,893.02</w:t>
      </w:r>
      <w:r>
        <w:rPr>
          <w:rFonts w:ascii="宋体" w:hAnsi="宋体" w:cs="宋体" w:eastAsia="宋体" w:hint="default"/>
          <w:spacing w:val="-24"/>
        </w:rPr>
        <w:t> </w:t>
      </w:r>
      <w:r>
        <w:rPr>
          <w:rFonts w:ascii="宋体" w:hAnsi="宋体" w:cs="宋体" w:eastAsia="宋体" w:hint="default"/>
          <w:spacing w:val="-24"/>
        </w:rPr>
      </w:r>
      <w:r>
        <w:rPr>
          <w:spacing w:val="5"/>
        </w:rPr>
        <w:t>万元</w:t>
      </w:r>
      <w:r>
        <w:rPr>
          <w:rFonts w:ascii="宋体" w:hAnsi="宋体" w:cs="宋体" w:eastAsia="宋体" w:hint="default"/>
          <w:spacing w:val="5"/>
        </w:rPr>
        <w:t>/</w:t>
      </w:r>
      <w:r>
        <w:rPr>
          <w:spacing w:val="5"/>
        </w:rPr>
        <w:t>年，第三年至第四年为</w:t>
      </w:r>
      <w:r>
        <w:rPr>
          <w:rFonts w:ascii="宋体" w:hAnsi="宋体" w:cs="宋体" w:eastAsia="宋体" w:hint="default"/>
          <w:spacing w:val="5"/>
        </w:rPr>
        <w:t>1,949.81</w:t>
      </w:r>
      <w:r>
        <w:rPr>
          <w:spacing w:val="5"/>
        </w:rPr>
        <w:t>万元，第五年至第六年为</w:t>
      </w:r>
      <w:r>
        <w:rPr>
          <w:rFonts w:ascii="宋体" w:hAnsi="宋体" w:cs="宋体" w:eastAsia="宋体" w:hint="default"/>
          <w:spacing w:val="5"/>
        </w:rPr>
        <w:t>2,008.30</w:t>
      </w:r>
      <w:r>
        <w:rPr>
          <w:spacing w:val="5"/>
        </w:rPr>
        <w:t>万元</w:t>
      </w:r>
      <w:r>
        <w:rPr>
          <w:rFonts w:ascii="宋体" w:hAnsi="宋体" w:cs="宋体" w:eastAsia="宋体" w:hint="default"/>
          <w:spacing w:val="5"/>
        </w:rPr>
        <w:t>/</w:t>
      </w:r>
      <w:r>
        <w:rPr>
          <w:spacing w:val="5"/>
        </w:rPr>
        <w:t>年，第七年至第八年为</w:t>
      </w:r>
      <w:r>
        <w:rPr>
          <w:spacing w:val="9"/>
        </w:rPr>
        <w:t> </w:t>
      </w:r>
      <w:r>
        <w:rPr>
          <w:spacing w:val="9"/>
        </w:rPr>
      </w:r>
      <w:r>
        <w:rPr>
          <w:rFonts w:ascii="宋体" w:hAnsi="宋体" w:cs="宋体" w:eastAsia="宋体" w:hint="default"/>
        </w:rPr>
        <w:t>2,068.35</w:t>
      </w:r>
      <w:r>
        <w:rPr/>
        <w:t>万元</w:t>
      </w:r>
      <w:r>
        <w:rPr>
          <w:rFonts w:ascii="宋体" w:hAnsi="宋体" w:cs="宋体" w:eastAsia="宋体" w:hint="default"/>
        </w:rPr>
        <w:t>/</w:t>
      </w:r>
      <w:r>
        <w:rPr/>
        <w:t>年，第九年至第十年为</w:t>
      </w:r>
      <w:r>
        <w:rPr>
          <w:rFonts w:ascii="宋体" w:hAnsi="宋体" w:cs="宋体" w:eastAsia="宋体" w:hint="default"/>
        </w:rPr>
        <w:t>2,130.61</w:t>
      </w:r>
      <w:r>
        <w:rPr/>
        <w:t>万元</w:t>
      </w:r>
      <w:r>
        <w:rPr>
          <w:rFonts w:ascii="宋体" w:hAnsi="宋体" w:cs="宋体" w:eastAsia="宋体" w:hint="default"/>
        </w:rPr>
        <w:t>/</w:t>
      </w:r>
      <w:r>
        <w:rPr/>
        <w:t>年，租赁期间租金总额为</w:t>
      </w:r>
      <w:r>
        <w:rPr>
          <w:rFonts w:ascii="宋体" w:hAnsi="宋体" w:cs="宋体" w:eastAsia="宋体" w:hint="default"/>
        </w:rPr>
        <w:t>20,100.58</w:t>
      </w:r>
      <w:r>
        <w:rPr/>
        <w:t>万元。</w:t>
      </w:r>
    </w:p>
    <w:p>
      <w:pPr>
        <w:spacing w:after="0" w:line="408" w:lineRule="auto"/>
        <w:jc w:val="both"/>
        <w:sectPr>
          <w:footerReference w:type="default" r:id="rId35"/>
          <w:pgSz w:w="11910" w:h="16840"/>
          <w:pgMar w:footer="980" w:header="877" w:top="1100" w:bottom="1160" w:left="980" w:right="0"/>
          <w:pgNumType w:start="59"/>
        </w:sectPr>
      </w:pPr>
    </w:p>
    <w:p>
      <w:pPr>
        <w:spacing w:line="240" w:lineRule="auto" w:before="9"/>
        <w:rPr>
          <w:rFonts w:ascii="宋体" w:hAnsi="宋体" w:cs="宋体" w:eastAsia="宋体" w:hint="default"/>
          <w:sz w:val="26"/>
          <w:szCs w:val="26"/>
        </w:rPr>
      </w:pPr>
      <w:r>
        <w:rPr/>
        <w:pict>
          <v:shape style="position:absolute;margin-left:460.320007pt;margin-top:764.919983pt;width:135.0pt;height:77pt;mso-position-horizontal-relative:page;mso-position-vertical-relative:page;z-index:1888" type="#_x0000_t75" stroked="false">
            <v:imagedata r:id="rId10" o:title=""/>
          </v:shape>
        </w:pict>
      </w:r>
    </w:p>
    <w:p>
      <w:pPr>
        <w:pStyle w:val="BodyText"/>
        <w:spacing w:line="408" w:lineRule="auto" w:before="36"/>
        <w:ind w:right="1126" w:firstLine="420"/>
        <w:jc w:val="both"/>
      </w:pP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月，公司计划对新街口</w:t>
      </w:r>
      <w:r>
        <w:rPr>
          <w:rFonts w:ascii="宋体" w:hAnsi="宋体" w:cs="宋体" w:eastAsia="宋体" w:hint="default"/>
          <w:spacing w:val="-2"/>
        </w:rPr>
        <w:t>EXPO</w:t>
      </w:r>
      <w:r>
        <w:rPr>
          <w:spacing w:val="-2"/>
        </w:rPr>
        <w:t>旗舰店进行全新升级，由于该物业无法满足店面升级的需要，故</w:t>
      </w:r>
      <w:r>
        <w:rPr>
          <w:w w:val="100"/>
        </w:rPr>
        <w:t> </w:t>
      </w:r>
      <w:r>
        <w:rPr>
          <w:spacing w:val="-7"/>
        </w:rPr>
        <w:t>公司调整租赁物业，向苏宁电器集团提出了提前终止租赁协议的申请，经过双方友好协商，一致同意自</w:t>
      </w:r>
      <w:r>
        <w:rPr>
          <w:rFonts w:ascii="宋体" w:hAnsi="宋体" w:cs="宋体" w:eastAsia="宋体" w:hint="default"/>
          <w:spacing w:val="-7"/>
        </w:rPr>
        <w:t>2013</w:t>
      </w:r>
      <w:r>
        <w:rPr>
          <w:rFonts w:ascii="宋体" w:hAnsi="宋体" w:cs="宋体" w:eastAsia="宋体" w:hint="default"/>
          <w:spacing w:val="-3"/>
        </w:rPr>
        <w:t> </w:t>
      </w:r>
      <w:r>
        <w:rPr>
          <w:rFonts w:ascii="宋体" w:hAnsi="宋体" w:cs="宋体" w:eastAsia="宋体" w:hint="default"/>
          <w:spacing w:val="-3"/>
        </w:rPr>
      </w:r>
      <w:r>
        <w:rPr/>
        <w:t>年</w:t>
      </w:r>
      <w:r>
        <w:rPr>
          <w:rFonts w:ascii="宋体" w:hAnsi="宋体" w:cs="宋体" w:eastAsia="宋体" w:hint="default"/>
        </w:rPr>
        <w:t>1</w:t>
      </w:r>
      <w:r>
        <w:rPr/>
        <w:t>月</w:t>
      </w:r>
      <w:r>
        <w:rPr>
          <w:rFonts w:ascii="宋体" w:hAnsi="宋体" w:cs="宋体" w:eastAsia="宋体" w:hint="default"/>
        </w:rPr>
        <w:t>1</w:t>
      </w:r>
      <w:r>
        <w:rPr/>
        <w:t>日起终止原租赁合同关系，南京白下苏宁无需就提前终止租赁合同事宜支付违约金等费用。</w:t>
      </w:r>
    </w:p>
    <w:p>
      <w:pPr>
        <w:pStyle w:val="BodyText"/>
        <w:spacing w:line="408" w:lineRule="auto"/>
        <w:ind w:right="1021" w:firstLine="420"/>
        <w:jc w:val="left"/>
      </w:pPr>
      <w:r>
        <w:rPr>
          <w:spacing w:val="-6"/>
        </w:rPr>
        <w:t>（</w:t>
      </w:r>
      <w:r>
        <w:rPr>
          <w:rFonts w:ascii="宋体" w:hAnsi="宋体" w:cs="宋体" w:eastAsia="宋体" w:hint="default"/>
          <w:spacing w:val="-6"/>
        </w:rPr>
        <w:t>7</w:t>
      </w:r>
      <w:r>
        <w:rPr>
          <w:spacing w:val="-6"/>
        </w:rPr>
        <w:t>）</w:t>
      </w:r>
      <w:r>
        <w:rPr>
          <w:rFonts w:ascii="宋体" w:hAnsi="宋体" w:cs="宋体" w:eastAsia="宋体" w:hint="default"/>
          <w:spacing w:val="-6"/>
        </w:rPr>
        <w:t>2012</w:t>
      </w:r>
      <w:r>
        <w:rPr>
          <w:spacing w:val="-6"/>
        </w:rPr>
        <w:t>年</w:t>
      </w:r>
      <w:r>
        <w:rPr>
          <w:rFonts w:ascii="宋体" w:hAnsi="宋体" w:cs="宋体" w:eastAsia="宋体" w:hint="default"/>
          <w:spacing w:val="-6"/>
        </w:rPr>
        <w:t>12</w:t>
      </w:r>
      <w:r>
        <w:rPr>
          <w:spacing w:val="-6"/>
        </w:rPr>
        <w:t>月，公司子公司南京白下苏宁电器有限公司与苏宁置业集团有限公司签署《租赁合同》，</w:t>
      </w:r>
      <w:r>
        <w:rPr>
          <w:w w:val="100"/>
        </w:rPr>
        <w:t> </w:t>
      </w:r>
      <w:r>
        <w:rPr/>
        <w:t>租赁其位于南京市淮海路</w:t>
      </w:r>
      <w:r>
        <w:rPr>
          <w:rFonts w:ascii="宋体" w:hAnsi="宋体" w:cs="宋体" w:eastAsia="宋体" w:hint="default"/>
        </w:rPr>
        <w:t>68</w:t>
      </w:r>
      <w:r>
        <w:rPr/>
        <w:t>号苏宁电器广场</w:t>
      </w:r>
      <w:r>
        <w:rPr>
          <w:rFonts w:ascii="宋体" w:hAnsi="宋体" w:cs="宋体" w:eastAsia="宋体" w:hint="default"/>
        </w:rPr>
        <w:t>1-6</w:t>
      </w:r>
      <w:r>
        <w:rPr/>
        <w:t>层部分物业，用于新街口</w:t>
      </w:r>
      <w:r>
        <w:rPr>
          <w:rFonts w:ascii="宋体" w:hAnsi="宋体" w:cs="宋体" w:eastAsia="宋体" w:hint="default"/>
        </w:rPr>
        <w:t>EXPO</w:t>
      </w:r>
      <w:r>
        <w:rPr/>
        <w:t>超级旗舰店的经营管理。租</w:t>
      </w:r>
      <w:r>
        <w:rPr>
          <w:spacing w:val="-26"/>
        </w:rPr>
        <w:t> </w:t>
      </w:r>
      <w:r>
        <w:rPr>
          <w:spacing w:val="-26"/>
        </w:rPr>
      </w:r>
      <w:r>
        <w:rPr>
          <w:spacing w:val="-2"/>
        </w:rPr>
        <w:t>赁物业建筑面积合计为</w:t>
      </w:r>
      <w:r>
        <w:rPr>
          <w:rFonts w:ascii="宋体" w:hAnsi="宋体" w:cs="宋体" w:eastAsia="宋体" w:hint="default"/>
          <w:spacing w:val="-2"/>
        </w:rPr>
        <w:t>18,611</w:t>
      </w:r>
      <w:r>
        <w:rPr>
          <w:spacing w:val="-2"/>
        </w:rPr>
        <w:t>平方米，租赁期限自</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28</w:t>
      </w:r>
      <w:r>
        <w:rPr>
          <w:spacing w:val="-2"/>
        </w:rPr>
        <w:t>日起至</w:t>
      </w:r>
      <w:r>
        <w:rPr>
          <w:rFonts w:ascii="宋体" w:hAnsi="宋体" w:cs="宋体" w:eastAsia="宋体" w:hint="default"/>
          <w:spacing w:val="-2"/>
        </w:rPr>
        <w:t>2022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27</w:t>
      </w:r>
      <w:r>
        <w:rPr>
          <w:spacing w:val="-2"/>
        </w:rPr>
        <w:t>日止，租金费用单价</w:t>
      </w:r>
      <w:r>
        <w:rPr>
          <w:spacing w:val="-23"/>
        </w:rPr>
        <w:t> </w:t>
      </w:r>
      <w:r>
        <w:rPr>
          <w:spacing w:val="-23"/>
        </w:rPr>
      </w:r>
      <w:r>
        <w:rPr/>
        <w:t>按照首个租赁年度</w:t>
      </w:r>
      <w:r>
        <w:rPr>
          <w:rFonts w:ascii="宋体" w:hAnsi="宋体" w:cs="宋体" w:eastAsia="宋体" w:hint="default"/>
        </w:rPr>
        <w:t>5.5</w:t>
      </w:r>
      <w:r>
        <w:rPr/>
        <w:t>元</w:t>
      </w:r>
      <w:r>
        <w:rPr>
          <w:rFonts w:ascii="宋体" w:hAnsi="宋体" w:cs="宋体" w:eastAsia="宋体" w:hint="default"/>
        </w:rPr>
        <w:t>/</w:t>
      </w:r>
      <w:r>
        <w:rPr/>
        <w:t>平方米</w:t>
      </w:r>
      <w:r>
        <w:rPr>
          <w:rFonts w:ascii="宋体" w:hAnsi="宋体" w:cs="宋体" w:eastAsia="宋体" w:hint="default"/>
        </w:rPr>
        <w:t>*</w:t>
      </w:r>
      <w:r>
        <w:rPr/>
        <w:t>日，自第三年起每两个租赁年度在上一年的基础上递增</w:t>
      </w:r>
      <w:r>
        <w:rPr>
          <w:rFonts w:ascii="宋体" w:hAnsi="宋体" w:cs="宋体" w:eastAsia="宋体" w:hint="default"/>
        </w:rPr>
        <w:t>3%</w:t>
      </w:r>
      <w:r>
        <w:rPr/>
        <w:t>，即第一年至</w:t>
      </w:r>
      <w:r>
        <w:rPr>
          <w:spacing w:val="-22"/>
        </w:rPr>
        <w:t> </w:t>
      </w:r>
      <w:r>
        <w:rPr>
          <w:spacing w:val="-22"/>
        </w:rPr>
      </w:r>
      <w:r>
        <w:rPr/>
        <w:t>第二年租金为</w:t>
      </w:r>
      <w:r>
        <w:rPr>
          <w:rFonts w:ascii="宋体" w:hAnsi="宋体" w:cs="宋体" w:eastAsia="宋体" w:hint="default"/>
        </w:rPr>
        <w:t>3,736.16</w:t>
      </w:r>
      <w:r>
        <w:rPr/>
        <w:t>万元</w:t>
      </w:r>
      <w:r>
        <w:rPr>
          <w:rFonts w:ascii="宋体" w:hAnsi="宋体" w:cs="宋体" w:eastAsia="宋体" w:hint="default"/>
        </w:rPr>
        <w:t>/</w:t>
      </w:r>
      <w:r>
        <w:rPr/>
        <w:t>年，第三年至第四年为</w:t>
      </w:r>
      <w:r>
        <w:rPr>
          <w:rFonts w:ascii="宋体" w:hAnsi="宋体" w:cs="宋体" w:eastAsia="宋体" w:hint="default"/>
        </w:rPr>
        <w:t>3,848.24</w:t>
      </w:r>
      <w:r>
        <w:rPr/>
        <w:t>万元</w:t>
      </w:r>
      <w:r>
        <w:rPr>
          <w:rFonts w:ascii="宋体" w:hAnsi="宋体" w:cs="宋体" w:eastAsia="宋体" w:hint="default"/>
        </w:rPr>
        <w:t>/</w:t>
      </w:r>
      <w:r>
        <w:rPr/>
        <w:t>年，第五年至第六年为</w:t>
      </w:r>
      <w:r>
        <w:rPr>
          <w:rFonts w:ascii="宋体" w:hAnsi="宋体" w:cs="宋体" w:eastAsia="宋体" w:hint="default"/>
        </w:rPr>
        <w:t>3,963.69</w:t>
      </w:r>
      <w:r>
        <w:rPr/>
        <w:t>万元</w:t>
      </w:r>
      <w:r>
        <w:rPr>
          <w:rFonts w:ascii="宋体" w:hAnsi="宋体" w:cs="宋体" w:eastAsia="宋体" w:hint="default"/>
        </w:rPr>
        <w:t>/</w:t>
      </w:r>
      <w:r>
        <w:rPr>
          <w:rFonts w:ascii="宋体" w:hAnsi="宋体" w:cs="宋体" w:eastAsia="宋体" w:hint="default"/>
          <w:spacing w:val="-22"/>
        </w:rPr>
        <w:t> </w:t>
      </w:r>
      <w:r>
        <w:rPr>
          <w:spacing w:val="5"/>
        </w:rPr>
        <w:t>年，第七年至第八年为</w:t>
      </w:r>
      <w:r>
        <w:rPr>
          <w:rFonts w:ascii="宋体" w:hAnsi="宋体" w:cs="宋体" w:eastAsia="宋体" w:hint="default"/>
          <w:spacing w:val="5"/>
        </w:rPr>
        <w:t>4,082.60</w:t>
      </w:r>
      <w:r>
        <w:rPr>
          <w:spacing w:val="5"/>
        </w:rPr>
        <w:t>万元</w:t>
      </w:r>
      <w:r>
        <w:rPr>
          <w:rFonts w:ascii="宋体" w:hAnsi="宋体" w:cs="宋体" w:eastAsia="宋体" w:hint="default"/>
          <w:spacing w:val="5"/>
        </w:rPr>
        <w:t>/</w:t>
      </w:r>
      <w:r>
        <w:rPr>
          <w:spacing w:val="5"/>
        </w:rPr>
        <w:t>年，第九年至第十年为</w:t>
      </w:r>
      <w:r>
        <w:rPr>
          <w:rFonts w:ascii="宋体" w:hAnsi="宋体" w:cs="宋体" w:eastAsia="宋体" w:hint="default"/>
          <w:spacing w:val="5"/>
        </w:rPr>
        <w:t>4,205.08</w:t>
      </w:r>
      <w:r>
        <w:rPr>
          <w:spacing w:val="5"/>
        </w:rPr>
        <w:t>万元</w:t>
      </w:r>
      <w:r>
        <w:rPr>
          <w:rFonts w:ascii="宋体" w:hAnsi="宋体" w:cs="宋体" w:eastAsia="宋体" w:hint="default"/>
          <w:spacing w:val="5"/>
        </w:rPr>
        <w:t>/</w:t>
      </w:r>
      <w:r>
        <w:rPr>
          <w:spacing w:val="5"/>
        </w:rPr>
        <w:t>年，租赁期间租金总额为</w:t>
      </w:r>
      <w:r>
        <w:rPr>
          <w:spacing w:val="8"/>
        </w:rPr>
        <w:t> </w:t>
      </w:r>
      <w:r>
        <w:rPr>
          <w:spacing w:val="8"/>
        </w:rPr>
      </w:r>
      <w:r>
        <w:rPr>
          <w:rFonts w:ascii="宋体" w:hAnsi="宋体" w:cs="宋体" w:eastAsia="宋体" w:hint="default"/>
        </w:rPr>
        <w:t>39,671.54</w:t>
      </w:r>
      <w:r>
        <w:rPr/>
        <w:t>万元。</w:t>
      </w:r>
    </w:p>
    <w:p>
      <w:pPr>
        <w:pStyle w:val="BodyText"/>
        <w:spacing w:line="408" w:lineRule="auto"/>
        <w:ind w:right="982" w:firstLine="420"/>
        <w:jc w:val="left"/>
      </w:pPr>
      <w:r>
        <w:rPr>
          <w:spacing w:val="-2"/>
        </w:rPr>
        <w:t>综上，</w:t>
      </w:r>
      <w:r>
        <w:rPr>
          <w:rFonts w:ascii="宋体" w:hAnsi="宋体" w:cs="宋体" w:eastAsia="宋体" w:hint="default"/>
          <w:spacing w:val="-2"/>
        </w:rPr>
        <w:t>2012</w:t>
      </w:r>
      <w:r>
        <w:rPr>
          <w:spacing w:val="-2"/>
        </w:rPr>
        <w:t>年</w:t>
      </w:r>
      <w:r>
        <w:rPr>
          <w:rFonts w:ascii="宋体" w:hAnsi="宋体" w:cs="宋体" w:eastAsia="宋体" w:hint="default"/>
          <w:spacing w:val="-2"/>
        </w:rPr>
        <w:t>1-12</w:t>
      </w:r>
      <w:r>
        <w:rPr>
          <w:spacing w:val="-2"/>
        </w:rPr>
        <w:t>月，公司向关联方支付的租赁费用及向关联方收取的租赁收入情况如下：（单位：</w:t>
      </w:r>
      <w:r>
        <w:rPr>
          <w:w w:val="100"/>
        </w:rPr>
        <w:t> </w:t>
      </w:r>
      <w:r>
        <w:rPr/>
        <w:t>万元）</w:t>
      </w:r>
    </w:p>
    <w:tbl>
      <w:tblPr>
        <w:tblW w:w="0" w:type="auto"/>
        <w:jc w:val="left"/>
        <w:tblInd w:w="128" w:type="dxa"/>
        <w:tblLayout w:type="fixed"/>
        <w:tblCellMar>
          <w:top w:w="0" w:type="dxa"/>
          <w:left w:w="0" w:type="dxa"/>
          <w:bottom w:w="0" w:type="dxa"/>
          <w:right w:w="0" w:type="dxa"/>
        </w:tblCellMar>
        <w:tblLook w:val="01E0"/>
      </w:tblPr>
      <w:tblGrid>
        <w:gridCol w:w="4256"/>
        <w:gridCol w:w="2719"/>
        <w:gridCol w:w="2699"/>
      </w:tblGrid>
      <w:tr>
        <w:trPr>
          <w:trHeight w:val="353" w:hRule="exact"/>
        </w:trPr>
        <w:tc>
          <w:tcPr>
            <w:tcW w:w="4256"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448"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719" w:type="dxa"/>
            <w:tcBorders>
              <w:top w:val="single" w:sz="8" w:space="0" w:color="000000"/>
              <w:left w:val="nil" w:sz="6" w:space="0" w:color="auto"/>
              <w:bottom w:val="single" w:sz="8" w:space="0" w:color="000000"/>
              <w:right w:val="nil" w:sz="6" w:space="0" w:color="auto"/>
            </w:tcBorders>
          </w:tcPr>
          <w:p>
            <w:pPr>
              <w:pStyle w:val="TableParagraph"/>
              <w:spacing w:line="254" w:lineRule="exact"/>
              <w:ind w:right="1007"/>
              <w:jc w:val="right"/>
              <w:rPr>
                <w:rFonts w:ascii="宋体" w:hAnsi="宋体" w:cs="宋体" w:eastAsia="宋体" w:hint="default"/>
                <w:sz w:val="21"/>
                <w:szCs w:val="21"/>
              </w:rPr>
            </w:pPr>
            <w:r>
              <w:rPr>
                <w:rFonts w:ascii="宋体" w:hAnsi="宋体" w:cs="宋体" w:eastAsia="宋体" w:hint="default"/>
                <w:spacing w:val="-1"/>
                <w:sz w:val="21"/>
                <w:szCs w:val="21"/>
              </w:rPr>
              <w:t>租赁收入</w:t>
            </w:r>
          </w:p>
        </w:tc>
        <w:tc>
          <w:tcPr>
            <w:tcW w:w="2699"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1009" w:right="0"/>
              <w:jc w:val="left"/>
              <w:rPr>
                <w:rFonts w:ascii="宋体" w:hAnsi="宋体" w:cs="宋体" w:eastAsia="宋体" w:hint="default"/>
                <w:sz w:val="21"/>
                <w:szCs w:val="21"/>
              </w:rPr>
            </w:pPr>
            <w:r>
              <w:rPr>
                <w:rFonts w:ascii="宋体" w:hAnsi="宋体" w:cs="宋体" w:eastAsia="宋体" w:hint="default"/>
                <w:sz w:val="21"/>
                <w:szCs w:val="21"/>
              </w:rPr>
              <w:t>租赁费用</w:t>
            </w:r>
          </w:p>
        </w:tc>
      </w:tr>
      <w:tr>
        <w:trPr>
          <w:trHeight w:val="350" w:hRule="exact"/>
        </w:trPr>
        <w:tc>
          <w:tcPr>
            <w:tcW w:w="4256"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24" w:right="0"/>
              <w:jc w:val="left"/>
              <w:rPr>
                <w:rFonts w:ascii="宋体" w:hAnsi="宋体" w:cs="宋体" w:eastAsia="宋体" w:hint="default"/>
                <w:sz w:val="21"/>
                <w:szCs w:val="21"/>
              </w:rPr>
            </w:pPr>
            <w:r>
              <w:rPr>
                <w:rFonts w:ascii="宋体" w:hAnsi="宋体" w:cs="宋体" w:eastAsia="宋体" w:hint="default"/>
                <w:sz w:val="21"/>
                <w:szCs w:val="21"/>
              </w:rPr>
              <w:t>苏宁电器集团有限公司</w:t>
            </w:r>
          </w:p>
        </w:tc>
        <w:tc>
          <w:tcPr>
            <w:tcW w:w="2719" w:type="dxa"/>
            <w:tcBorders>
              <w:top w:val="single" w:sz="8" w:space="0" w:color="000000"/>
              <w:left w:val="nil" w:sz="6" w:space="0" w:color="auto"/>
              <w:bottom w:val="single" w:sz="8" w:space="0" w:color="000000"/>
              <w:right w:val="nil" w:sz="6" w:space="0" w:color="auto"/>
            </w:tcBorders>
          </w:tcPr>
          <w:p>
            <w:pPr/>
          </w:p>
        </w:tc>
        <w:tc>
          <w:tcPr>
            <w:tcW w:w="2699"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1028" w:right="0"/>
              <w:jc w:val="left"/>
              <w:rPr>
                <w:rFonts w:ascii="Times New Roman" w:hAnsi="Times New Roman" w:cs="Times New Roman" w:eastAsia="Times New Roman" w:hint="default"/>
                <w:sz w:val="21"/>
                <w:szCs w:val="21"/>
              </w:rPr>
            </w:pPr>
            <w:r>
              <w:rPr>
                <w:rFonts w:ascii="Times New Roman"/>
                <w:sz w:val="21"/>
              </w:rPr>
              <w:t>3,741.02</w:t>
            </w:r>
          </w:p>
        </w:tc>
      </w:tr>
      <w:tr>
        <w:trPr>
          <w:trHeight w:val="353" w:hRule="exact"/>
        </w:trPr>
        <w:tc>
          <w:tcPr>
            <w:tcW w:w="4256"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江苏苏宁银河国际购物广场有限公司</w:t>
            </w:r>
          </w:p>
        </w:tc>
        <w:tc>
          <w:tcPr>
            <w:tcW w:w="2719" w:type="dxa"/>
            <w:tcBorders>
              <w:top w:val="single" w:sz="8" w:space="0" w:color="000000"/>
              <w:left w:val="nil" w:sz="6" w:space="0" w:color="auto"/>
              <w:bottom w:val="single" w:sz="8" w:space="0" w:color="000000"/>
              <w:right w:val="nil" w:sz="6" w:space="0" w:color="auto"/>
            </w:tcBorders>
          </w:tcPr>
          <w:p>
            <w:pPr/>
          </w:p>
        </w:tc>
        <w:tc>
          <w:tcPr>
            <w:tcW w:w="2699"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left="1028" w:right="0"/>
              <w:jc w:val="left"/>
              <w:rPr>
                <w:rFonts w:ascii="Times New Roman" w:hAnsi="Times New Roman" w:cs="Times New Roman" w:eastAsia="Times New Roman" w:hint="default"/>
                <w:sz w:val="21"/>
                <w:szCs w:val="21"/>
              </w:rPr>
            </w:pPr>
            <w:r>
              <w:rPr>
                <w:rFonts w:ascii="Times New Roman"/>
                <w:sz w:val="21"/>
              </w:rPr>
              <w:t>2,205.00</w:t>
            </w:r>
          </w:p>
        </w:tc>
      </w:tr>
      <w:tr>
        <w:trPr>
          <w:trHeight w:val="353" w:hRule="exact"/>
        </w:trPr>
        <w:tc>
          <w:tcPr>
            <w:tcW w:w="4256"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24" w:right="0"/>
              <w:jc w:val="left"/>
              <w:rPr>
                <w:rFonts w:ascii="宋体" w:hAnsi="宋体" w:cs="宋体" w:eastAsia="宋体" w:hint="default"/>
                <w:sz w:val="21"/>
                <w:szCs w:val="21"/>
              </w:rPr>
            </w:pPr>
            <w:r>
              <w:rPr>
                <w:rFonts w:ascii="宋体" w:hAnsi="宋体" w:cs="宋体" w:eastAsia="宋体" w:hint="default"/>
                <w:sz w:val="21"/>
                <w:szCs w:val="21"/>
              </w:rPr>
              <w:t>青岛苏宁置业有限公司</w:t>
            </w:r>
          </w:p>
        </w:tc>
        <w:tc>
          <w:tcPr>
            <w:tcW w:w="2719" w:type="dxa"/>
            <w:tcBorders>
              <w:top w:val="single" w:sz="8" w:space="0" w:color="000000"/>
              <w:left w:val="nil" w:sz="6" w:space="0" w:color="auto"/>
              <w:bottom w:val="single" w:sz="8" w:space="0" w:color="000000"/>
              <w:right w:val="nil" w:sz="6" w:space="0" w:color="auto"/>
            </w:tcBorders>
          </w:tcPr>
          <w:p>
            <w:pPr/>
          </w:p>
        </w:tc>
        <w:tc>
          <w:tcPr>
            <w:tcW w:w="2699"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1028" w:right="0"/>
              <w:jc w:val="left"/>
              <w:rPr>
                <w:rFonts w:ascii="Times New Roman" w:hAnsi="Times New Roman" w:cs="Times New Roman" w:eastAsia="Times New Roman" w:hint="default"/>
                <w:sz w:val="21"/>
                <w:szCs w:val="21"/>
              </w:rPr>
            </w:pPr>
            <w:r>
              <w:rPr>
                <w:rFonts w:ascii="Times New Roman"/>
                <w:sz w:val="21"/>
              </w:rPr>
              <w:t>1,149.40</w:t>
            </w:r>
          </w:p>
        </w:tc>
      </w:tr>
      <w:tr>
        <w:trPr>
          <w:trHeight w:val="350" w:hRule="exact"/>
        </w:trPr>
        <w:tc>
          <w:tcPr>
            <w:tcW w:w="4256" w:type="dxa"/>
            <w:tcBorders>
              <w:top w:val="single" w:sz="8" w:space="0" w:color="000000"/>
              <w:left w:val="nil" w:sz="6" w:space="0" w:color="auto"/>
              <w:bottom w:val="single" w:sz="8" w:space="0" w:color="000000"/>
              <w:right w:val="nil" w:sz="6" w:space="0" w:color="auto"/>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成都鸿业置业有限公司（注</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2719" w:type="dxa"/>
            <w:tcBorders>
              <w:top w:val="single" w:sz="8" w:space="0" w:color="000000"/>
              <w:left w:val="nil" w:sz="6" w:space="0" w:color="auto"/>
              <w:bottom w:val="single" w:sz="8" w:space="0" w:color="000000"/>
              <w:right w:val="nil" w:sz="6" w:space="0" w:color="auto"/>
            </w:tcBorders>
          </w:tcPr>
          <w:p>
            <w:pPr/>
          </w:p>
        </w:tc>
        <w:tc>
          <w:tcPr>
            <w:tcW w:w="2699"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1028" w:right="0"/>
              <w:jc w:val="left"/>
              <w:rPr>
                <w:rFonts w:ascii="Times New Roman" w:hAnsi="Times New Roman" w:cs="Times New Roman" w:eastAsia="Times New Roman" w:hint="default"/>
                <w:sz w:val="21"/>
                <w:szCs w:val="21"/>
              </w:rPr>
            </w:pPr>
            <w:r>
              <w:rPr>
                <w:rFonts w:ascii="Times New Roman"/>
                <w:sz w:val="21"/>
              </w:rPr>
              <w:t>1,214.90</w:t>
            </w:r>
          </w:p>
        </w:tc>
      </w:tr>
      <w:tr>
        <w:trPr>
          <w:trHeight w:val="353" w:hRule="exact"/>
        </w:trPr>
        <w:tc>
          <w:tcPr>
            <w:tcW w:w="4256" w:type="dxa"/>
            <w:tcBorders>
              <w:top w:val="single" w:sz="8" w:space="0" w:color="000000"/>
              <w:left w:val="nil" w:sz="6" w:space="0" w:color="auto"/>
              <w:bottom w:val="single" w:sz="8" w:space="0" w:color="000000"/>
              <w:right w:val="nil" w:sz="6" w:space="0" w:color="auto"/>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南京玄武苏宁置业有限公司（注</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2719"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1038"/>
              <w:jc w:val="right"/>
              <w:rPr>
                <w:rFonts w:ascii="Times New Roman" w:hAnsi="Times New Roman" w:cs="Times New Roman" w:eastAsia="Times New Roman" w:hint="default"/>
                <w:sz w:val="21"/>
                <w:szCs w:val="21"/>
              </w:rPr>
            </w:pPr>
            <w:r>
              <w:rPr>
                <w:rFonts w:ascii="Times New Roman"/>
                <w:spacing w:val="-1"/>
                <w:sz w:val="21"/>
              </w:rPr>
              <w:t>1,971.00</w:t>
            </w:r>
          </w:p>
        </w:tc>
        <w:tc>
          <w:tcPr>
            <w:tcW w:w="2699"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left="91"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53" w:hRule="exact"/>
        </w:trPr>
        <w:tc>
          <w:tcPr>
            <w:tcW w:w="4256"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19"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1038"/>
              <w:jc w:val="right"/>
              <w:rPr>
                <w:rFonts w:ascii="Times New Roman" w:hAnsi="Times New Roman" w:cs="Times New Roman" w:eastAsia="Times New Roman" w:hint="default"/>
                <w:sz w:val="21"/>
                <w:szCs w:val="21"/>
              </w:rPr>
            </w:pPr>
            <w:r>
              <w:rPr>
                <w:rFonts w:ascii="Times New Roman"/>
                <w:spacing w:val="-1"/>
                <w:sz w:val="21"/>
              </w:rPr>
              <w:t>1,971.00</w:t>
            </w:r>
          </w:p>
        </w:tc>
        <w:tc>
          <w:tcPr>
            <w:tcW w:w="2699"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1028" w:right="0"/>
              <w:jc w:val="left"/>
              <w:rPr>
                <w:rFonts w:ascii="Times New Roman" w:hAnsi="Times New Roman" w:cs="Times New Roman" w:eastAsia="Times New Roman" w:hint="default"/>
                <w:sz w:val="21"/>
                <w:szCs w:val="21"/>
              </w:rPr>
            </w:pPr>
            <w:r>
              <w:rPr>
                <w:rFonts w:ascii="Times New Roman"/>
                <w:sz w:val="21"/>
              </w:rPr>
              <w:t>8,310.32</w:t>
            </w:r>
          </w:p>
        </w:tc>
      </w:tr>
    </w:tbl>
    <w:p>
      <w:pPr>
        <w:pStyle w:val="BodyText"/>
        <w:spacing w:line="408" w:lineRule="auto"/>
        <w:ind w:right="982" w:firstLine="420"/>
        <w:jc w:val="left"/>
      </w:pPr>
      <w:r>
        <w:rPr/>
        <w:t>注</w:t>
      </w:r>
      <w:r>
        <w:rPr>
          <w:rFonts w:ascii="宋体" w:hAnsi="宋体" w:cs="宋体" w:eastAsia="宋体" w:hint="default"/>
        </w:rPr>
        <w:t>1</w:t>
      </w:r>
      <w:r>
        <w:rPr/>
        <w:t>：成都天府立交店的租金采用“保底加提成”的方式计算，公司先按照年保底租金按季度支付，</w:t>
      </w:r>
      <w:r>
        <w:rPr>
          <w:w w:val="100"/>
        </w:rPr>
        <w:t> </w:t>
      </w:r>
      <w:r>
        <w:rPr>
          <w:spacing w:val="-4"/>
        </w:rPr>
        <w:t>年度结束后，按该店当年实现销售收入（含税）的</w:t>
      </w:r>
      <w:r>
        <w:rPr>
          <w:rFonts w:ascii="宋体" w:hAnsi="宋体" w:cs="宋体" w:eastAsia="宋体" w:hint="default"/>
          <w:spacing w:val="-4"/>
        </w:rPr>
        <w:t>3.2%</w:t>
      </w:r>
      <w:r>
        <w:rPr>
          <w:spacing w:val="-4"/>
        </w:rPr>
        <w:t>计算提成租金，若计算得出的租金额超过保底租金，</w:t>
      </w:r>
      <w:r>
        <w:rPr>
          <w:spacing w:val="-46"/>
        </w:rPr>
        <w:t> </w:t>
      </w:r>
      <w:r>
        <w:rPr>
          <w:spacing w:val="-46"/>
        </w:rPr>
      </w:r>
      <w:r>
        <w:rPr/>
        <w:t>则应向成都鸿业置业支付差额部分租金。于</w:t>
      </w:r>
      <w:r>
        <w:rPr>
          <w:rFonts w:ascii="宋体" w:hAnsi="宋体" w:cs="宋体" w:eastAsia="宋体" w:hint="default"/>
        </w:rPr>
        <w:t>2012</w:t>
      </w:r>
      <w:r>
        <w:rPr/>
        <w:t>年</w:t>
      </w:r>
      <w:r>
        <w:rPr>
          <w:rFonts w:ascii="宋体" w:hAnsi="宋体" w:cs="宋体" w:eastAsia="宋体" w:hint="default"/>
        </w:rPr>
        <w:t>1</w:t>
      </w:r>
      <w:r>
        <w:rPr/>
        <w:t>月，公司子公司向成都鸿业置业公司支付</w:t>
      </w:r>
      <w:r>
        <w:rPr>
          <w:rFonts w:ascii="宋体" w:hAnsi="宋体" w:cs="宋体" w:eastAsia="宋体" w:hint="default"/>
        </w:rPr>
        <w:t>2011</w:t>
      </w:r>
      <w:r>
        <w:rPr/>
        <w:t>年度提</w:t>
      </w:r>
      <w:r>
        <w:rPr>
          <w:spacing w:val="-25"/>
        </w:rPr>
        <w:t> </w:t>
      </w:r>
      <w:r>
        <w:rPr>
          <w:spacing w:val="-25"/>
        </w:rPr>
      </w:r>
      <w:r>
        <w:rPr>
          <w:spacing w:val="-2"/>
        </w:rPr>
        <w:t>成租金</w:t>
      </w:r>
      <w:r>
        <w:rPr>
          <w:rFonts w:ascii="宋体" w:hAnsi="宋体" w:cs="宋体" w:eastAsia="宋体" w:hint="default"/>
          <w:spacing w:val="-2"/>
        </w:rPr>
        <w:t>201</w:t>
      </w:r>
      <w:r>
        <w:rPr>
          <w:spacing w:val="-2"/>
        </w:rPr>
        <w:t>万元。另公司子公司于</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月支付</w:t>
      </w:r>
      <w:r>
        <w:rPr>
          <w:rFonts w:ascii="宋体" w:hAnsi="宋体" w:cs="宋体" w:eastAsia="宋体" w:hint="default"/>
          <w:spacing w:val="-2"/>
        </w:rPr>
        <w:t>2012</w:t>
      </w:r>
      <w:r>
        <w:rPr>
          <w:spacing w:val="-2"/>
        </w:rPr>
        <w:t>年度提成租金</w:t>
      </w:r>
      <w:r>
        <w:rPr>
          <w:rFonts w:ascii="宋体" w:hAnsi="宋体" w:cs="宋体" w:eastAsia="宋体" w:hint="default"/>
          <w:spacing w:val="-2"/>
        </w:rPr>
        <w:t>598.67</w:t>
      </w:r>
      <w:r>
        <w:rPr>
          <w:spacing w:val="-2"/>
        </w:rPr>
        <w:t>万元，同时报告期内公司为成都</w:t>
      </w:r>
      <w:r>
        <w:rPr>
          <w:spacing w:val="-26"/>
        </w:rPr>
        <w:t> </w:t>
      </w:r>
      <w:r>
        <w:rPr>
          <w:spacing w:val="-26"/>
        </w:rPr>
      </w:r>
      <w:r>
        <w:rPr/>
        <w:t>鸿业置业提供水电能源等物业服务共计</w:t>
      </w:r>
      <w:r>
        <w:rPr>
          <w:rFonts w:ascii="宋体" w:hAnsi="宋体" w:cs="宋体" w:eastAsia="宋体" w:hint="default"/>
        </w:rPr>
        <w:t>142.00</w:t>
      </w:r>
      <w:r>
        <w:rPr/>
        <w:t>万元。</w:t>
      </w:r>
    </w:p>
    <w:p>
      <w:pPr>
        <w:pStyle w:val="BodyText"/>
        <w:spacing w:line="410" w:lineRule="auto"/>
        <w:ind w:right="982" w:firstLine="420"/>
        <w:jc w:val="left"/>
      </w:pPr>
      <w:r>
        <w:rPr/>
        <w:pict>
          <v:shape style="position:absolute;margin-left:54.959999pt;margin-top:45.913666pt;width:485.65pt;height:128.8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83"/>
                    <w:gridCol w:w="2552"/>
                    <w:gridCol w:w="2864"/>
                  </w:tblGrid>
                  <w:tr>
                    <w:trPr>
                      <w:trHeight w:val="322" w:hRule="exact"/>
                    </w:trPr>
                    <w:tc>
                      <w:tcPr>
                        <w:tcW w:w="4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临时公告名称</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临时公告披露日期</w:t>
                        </w:r>
                      </w:p>
                    </w:tc>
                    <w:tc>
                      <w:tcPr>
                        <w:tcW w:w="2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临时公告披露网站名称</w:t>
                        </w:r>
                      </w:p>
                    </w:tc>
                  </w:tr>
                  <w:tr>
                    <w:trPr>
                      <w:trHeight w:val="634"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41"/>
                          <w:jc w:val="left"/>
                          <w:rPr>
                            <w:rFonts w:ascii="宋体" w:hAnsi="宋体" w:cs="宋体" w:eastAsia="宋体" w:hint="default"/>
                            <w:sz w:val="21"/>
                            <w:szCs w:val="21"/>
                          </w:rPr>
                        </w:pPr>
                        <w:r>
                          <w:rPr>
                            <w:rFonts w:ascii="宋体" w:hAnsi="宋体" w:cs="宋体" w:eastAsia="宋体" w:hint="default"/>
                            <w:spacing w:val="-2"/>
                            <w:sz w:val="21"/>
                            <w:szCs w:val="21"/>
                          </w:rPr>
                          <w:t>关于向江苏苏宁银河国际购物广场有限公司租</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赁楼层调整暨增租部分楼层的关联交易公告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关于商标使用许可的关联交易公告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年年度股东大会决议公告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关于商标使用许可的关联交易公告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年年度股东大会决议公告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关于物业租赁的关联交易公告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p>
              </w:txbxContent>
            </v:textbox>
            <w10:wrap type="none"/>
          </v:shape>
        </w:pict>
      </w:r>
      <w:r>
        <w:rPr>
          <w:spacing w:val="-2"/>
        </w:rPr>
        <w:t>注</w:t>
      </w:r>
      <w:r>
        <w:rPr>
          <w:rFonts w:ascii="宋体" w:hAnsi="宋体" w:cs="宋体" w:eastAsia="宋体" w:hint="default"/>
          <w:spacing w:val="-2"/>
        </w:rPr>
        <w:t>2</w:t>
      </w:r>
      <w:r>
        <w:rPr>
          <w:spacing w:val="-2"/>
        </w:rPr>
        <w:t>：报告期内，公司另为玄武苏宁置业提供水电能源等物业服务</w:t>
      </w:r>
      <w:r>
        <w:rPr>
          <w:rFonts w:ascii="宋体" w:hAnsi="宋体" w:cs="宋体" w:eastAsia="宋体" w:hint="default"/>
          <w:spacing w:val="-2"/>
        </w:rPr>
        <w:t>670.21</w:t>
      </w:r>
      <w:r>
        <w:rPr>
          <w:spacing w:val="-2"/>
        </w:rPr>
        <w:t>万元。</w:t>
      </w:r>
      <w:r>
        <w:rPr>
          <w:w w:val="100"/>
        </w:rPr>
        <w:t> </w:t>
      </w:r>
      <w:r>
        <w:rPr/>
        <w:t>重大关联交易临时报告披露网站相关查询</w:t>
      </w:r>
    </w:p>
    <w:p>
      <w:pPr>
        <w:spacing w:after="0" w:line="410" w:lineRule="auto"/>
        <w:jc w:val="left"/>
        <w:sectPr>
          <w:pgSz w:w="11910" w:h="16840"/>
          <w:pgMar w:header="877" w:footer="980" w:top="1100" w:bottom="1160" w:left="980" w:right="0"/>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1597240" type="#_x0000_t75" stroked="false">
            <v:imagedata r:id="rId10" o:title=""/>
          </v:shape>
        </w:pict>
      </w:r>
    </w:p>
    <w:tbl>
      <w:tblPr>
        <w:tblW w:w="0" w:type="auto"/>
        <w:jc w:val="left"/>
        <w:tblInd w:w="119" w:type="dxa"/>
        <w:tblLayout w:type="fixed"/>
        <w:tblCellMar>
          <w:top w:w="0" w:type="dxa"/>
          <w:left w:w="0" w:type="dxa"/>
          <w:bottom w:w="0" w:type="dxa"/>
          <w:right w:w="0" w:type="dxa"/>
        </w:tblCellMar>
        <w:tblLook w:val="01E0"/>
      </w:tblPr>
      <w:tblGrid>
        <w:gridCol w:w="4283"/>
        <w:gridCol w:w="2552"/>
        <w:gridCol w:w="2864"/>
      </w:tblGrid>
      <w:tr>
        <w:trPr>
          <w:trHeight w:val="322"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关于向关联方出租物业的关联交易公告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97"/>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322"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关于物业租赁的关联交易公告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897"/>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322"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关于向关联方租赁物业的关联交易公告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97"/>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324"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关于向关联方租赁物业的关联交易公告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97"/>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322"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日常关联交易公告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97"/>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322"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关于日常关联交易预计的公告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97"/>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322"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关于拟与股东投资设立子公司的关联交易公告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97"/>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322"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关于向关联方租赁物业的关联交易公告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97"/>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bl>
    <w:p>
      <w:pPr>
        <w:spacing w:line="240" w:lineRule="auto" w:before="10"/>
        <w:rPr>
          <w:rFonts w:ascii="宋体" w:hAnsi="宋体" w:cs="宋体" w:eastAsia="宋体" w:hint="default"/>
          <w:sz w:val="18"/>
          <w:szCs w:val="18"/>
        </w:rPr>
      </w:pPr>
    </w:p>
    <w:p>
      <w:pPr>
        <w:pStyle w:val="Heading2"/>
        <w:spacing w:line="240" w:lineRule="auto" w:before="26"/>
        <w:ind w:right="982"/>
        <w:jc w:val="left"/>
        <w:rPr>
          <w:b w:val="0"/>
          <w:bCs w:val="0"/>
        </w:rPr>
      </w:pPr>
      <w:r>
        <w:rPr/>
        <w:t>七、重大合同及其履行情况</w:t>
      </w:r>
      <w:r>
        <w:rPr>
          <w:b w:val="0"/>
          <w:bCs w:val="0"/>
        </w:rPr>
      </w:r>
    </w:p>
    <w:p>
      <w:pPr>
        <w:pStyle w:val="BodyText"/>
        <w:spacing w:line="410" w:lineRule="auto" w:before="102"/>
        <w:ind w:right="982" w:firstLine="420"/>
        <w:jc w:val="left"/>
      </w:pPr>
      <w:r>
        <w:rPr>
          <w:rFonts w:ascii="宋体" w:hAnsi="宋体" w:cs="宋体" w:eastAsia="宋体" w:hint="default"/>
        </w:rPr>
        <w:t>1</w:t>
      </w:r>
      <w:r>
        <w:rPr/>
        <w:t>、报告期内，公司除正常租赁房屋进行开设连锁店外，未发生也未有以前期间发生但延续到报告期</w:t>
      </w:r>
      <w:r>
        <w:rPr>
          <w:w w:val="100"/>
        </w:rPr>
        <w:t> </w:t>
      </w:r>
      <w:r>
        <w:rPr/>
        <w:t>的重大托管、承包、租赁其他公司资产或其他公司托管、承包、租赁上市公司资产事项。</w:t>
      </w:r>
    </w:p>
    <w:p>
      <w:pPr>
        <w:pStyle w:val="BodyText"/>
        <w:spacing w:line="408" w:lineRule="auto" w:before="44"/>
        <w:ind w:right="982" w:firstLine="420"/>
        <w:jc w:val="left"/>
      </w:pPr>
      <w:r>
        <w:rPr>
          <w:spacing w:val="-5"/>
        </w:rPr>
        <w:t>报告期内，公司也未签署超过</w:t>
      </w:r>
      <w:r>
        <w:rPr>
          <w:spacing w:val="-38"/>
        </w:rPr>
        <w:t> </w:t>
      </w:r>
      <w:r>
        <w:rPr>
          <w:rFonts w:ascii="宋体" w:hAnsi="宋体" w:cs="宋体" w:eastAsia="宋体" w:hint="default"/>
        </w:rPr>
        <w:t>2012</w:t>
      </w:r>
      <w:r>
        <w:rPr>
          <w:rFonts w:ascii="宋体" w:hAnsi="宋体" w:cs="宋体" w:eastAsia="宋体" w:hint="default"/>
          <w:spacing w:val="-40"/>
        </w:rPr>
        <w:t> </w:t>
      </w:r>
      <w:r>
        <w:rPr/>
        <w:t>年主营业务收入</w:t>
      </w:r>
      <w:r>
        <w:rPr>
          <w:spacing w:val="-38"/>
        </w:rPr>
        <w:t> </w:t>
      </w:r>
      <w:r>
        <w:rPr>
          <w:rFonts w:ascii="宋体" w:hAnsi="宋体" w:cs="宋体" w:eastAsia="宋体" w:hint="default"/>
          <w:spacing w:val="-3"/>
        </w:rPr>
        <w:t>30%</w:t>
      </w:r>
      <w:r>
        <w:rPr>
          <w:spacing w:val="-3"/>
        </w:rPr>
        <w:t>以上的日常经营重大合同，有关连锁店租赁房</w:t>
      </w:r>
      <w:r>
        <w:rPr>
          <w:w w:val="100"/>
        </w:rPr>
        <w:t> </w:t>
      </w:r>
      <w:r>
        <w:rPr/>
        <w:t>屋的合同已正常履行。</w:t>
      </w:r>
    </w:p>
    <w:p>
      <w:pPr>
        <w:pStyle w:val="BodyText"/>
        <w:spacing w:line="240" w:lineRule="auto"/>
        <w:ind w:left="573" w:right="982"/>
        <w:jc w:val="left"/>
      </w:pPr>
      <w:r>
        <w:rPr>
          <w:rFonts w:ascii="宋体" w:hAnsi="宋体" w:cs="宋体" w:eastAsia="宋体" w:hint="default"/>
        </w:rPr>
        <w:t>2</w:t>
      </w:r>
      <w:r>
        <w:rPr/>
        <w:t>、报告期内，公司未发生委托现金资产管理事项，也无以前委托现金资产管理事项。</w:t>
      </w:r>
    </w:p>
    <w:p>
      <w:pPr>
        <w:spacing w:line="240" w:lineRule="auto" w:before="10"/>
        <w:rPr>
          <w:rFonts w:ascii="宋体" w:hAnsi="宋体" w:cs="宋体" w:eastAsia="宋体" w:hint="default"/>
          <w:sz w:val="14"/>
          <w:szCs w:val="14"/>
        </w:rPr>
      </w:pPr>
    </w:p>
    <w:p>
      <w:pPr>
        <w:pStyle w:val="BodyText"/>
        <w:spacing w:line="408" w:lineRule="auto" w:before="0"/>
        <w:ind w:right="982" w:firstLine="420"/>
        <w:jc w:val="left"/>
      </w:pPr>
      <w:r>
        <w:rPr>
          <w:rFonts w:ascii="宋体" w:hAnsi="宋体" w:cs="宋体" w:eastAsia="宋体" w:hint="default"/>
        </w:rPr>
        <w:t>3</w:t>
      </w:r>
      <w:r>
        <w:rPr/>
        <w:t>、报告期内，公司除对控股子公司进行担保外，不存在其他对外担保事项，也不存在以前发生并延</w:t>
      </w:r>
      <w:r>
        <w:rPr>
          <w:w w:val="100"/>
        </w:rPr>
        <w:t> </w:t>
      </w:r>
      <w:r>
        <w:rPr/>
        <w:t>续到报告期的其他对外担保事项。</w:t>
      </w:r>
    </w:p>
    <w:p>
      <w:pPr>
        <w:pStyle w:val="BodyText"/>
        <w:tabs>
          <w:tab w:pos="8031" w:val="left" w:leader="none"/>
        </w:tabs>
        <w:spacing w:line="240" w:lineRule="auto"/>
        <w:ind w:left="573" w:right="982"/>
        <w:jc w:val="left"/>
      </w:pPr>
      <w:r>
        <w:rPr>
          <w:spacing w:val="-1"/>
        </w:rPr>
        <w:t>报告期内，公司担保情况如下：</w:t>
        <w:tab/>
      </w:r>
      <w:r>
        <w:rPr>
          <w:spacing w:val="-2"/>
        </w:rPr>
        <w:t>单位：万元</w:t>
      </w:r>
    </w:p>
    <w:p>
      <w:pPr>
        <w:spacing w:line="240" w:lineRule="auto" w:before="12"/>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1726"/>
        <w:gridCol w:w="1707"/>
        <w:gridCol w:w="864"/>
        <w:gridCol w:w="132"/>
        <w:gridCol w:w="893"/>
        <w:gridCol w:w="641"/>
        <w:gridCol w:w="182"/>
        <w:gridCol w:w="662"/>
        <w:gridCol w:w="329"/>
        <w:gridCol w:w="697"/>
        <w:gridCol w:w="185"/>
        <w:gridCol w:w="708"/>
        <w:gridCol w:w="1046"/>
      </w:tblGrid>
      <w:tr>
        <w:trPr>
          <w:trHeight w:val="323" w:hRule="exact"/>
        </w:trPr>
        <w:tc>
          <w:tcPr>
            <w:tcW w:w="977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78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337"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担保对象名称</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71" w:lineRule="auto"/>
              <w:ind w:left="323" w:right="108" w:hanging="212"/>
              <w:jc w:val="left"/>
              <w:rPr>
                <w:rFonts w:ascii="宋体" w:hAnsi="宋体" w:cs="宋体" w:eastAsia="宋体" w:hint="default"/>
                <w:sz w:val="21"/>
                <w:szCs w:val="21"/>
              </w:rPr>
            </w:pPr>
            <w:r>
              <w:rPr>
                <w:rFonts w:ascii="宋体" w:hAnsi="宋体" w:cs="宋体" w:eastAsia="宋体" w:hint="default"/>
                <w:sz w:val="21"/>
                <w:szCs w:val="21"/>
              </w:rPr>
              <w:t>担保额度相关公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告披露日期</w:t>
            </w:r>
          </w:p>
        </w:tc>
        <w:tc>
          <w:tcPr>
            <w:tcW w:w="9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担保额度</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7" w:right="120"/>
              <w:jc w:val="center"/>
              <w:rPr>
                <w:rFonts w:ascii="宋体" w:hAnsi="宋体" w:cs="宋体" w:eastAsia="宋体" w:hint="default"/>
                <w:sz w:val="21"/>
                <w:szCs w:val="21"/>
              </w:rPr>
            </w:pPr>
            <w:r>
              <w:rPr>
                <w:rFonts w:ascii="宋体" w:hAnsi="宋体" w:cs="宋体" w:eastAsia="宋体" w:hint="default"/>
                <w:sz w:val="21"/>
                <w:szCs w:val="21"/>
              </w:rPr>
              <w:t>实际发</w:t>
            </w:r>
            <w:r>
              <w:rPr>
                <w:rFonts w:ascii="宋体" w:hAnsi="宋体" w:cs="宋体" w:eastAsia="宋体" w:hint="default"/>
                <w:w w:val="100"/>
                <w:sz w:val="21"/>
                <w:szCs w:val="21"/>
              </w:rPr>
              <w:t> </w:t>
            </w:r>
            <w:r>
              <w:rPr>
                <w:rFonts w:ascii="宋体" w:hAnsi="宋体" w:cs="宋体" w:eastAsia="宋体" w:hint="default"/>
                <w:sz w:val="21"/>
                <w:szCs w:val="21"/>
              </w:rPr>
              <w:t>生日期</w:t>
            </w:r>
          </w:p>
          <w:p>
            <w:pPr>
              <w:pStyle w:val="TableParagraph"/>
              <w:spacing w:line="273" w:lineRule="auto" w:before="10"/>
              <w:ind w:left="23" w:right="15" w:hanging="3"/>
              <w:jc w:val="center"/>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w w:val="100"/>
                <w:sz w:val="21"/>
                <w:szCs w:val="21"/>
              </w:rPr>
              <w:t> </w:t>
            </w:r>
            <w:r>
              <w:rPr>
                <w:rFonts w:ascii="宋体" w:hAnsi="宋体" w:cs="宋体" w:eastAsia="宋体" w:hint="default"/>
                <w:sz w:val="21"/>
                <w:szCs w:val="21"/>
              </w:rPr>
              <w:t>签署日）</w:t>
            </w:r>
          </w:p>
        </w:tc>
        <w:tc>
          <w:tcPr>
            <w:tcW w:w="8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71" w:lineRule="auto"/>
              <w:ind w:left="93" w:right="84"/>
              <w:jc w:val="left"/>
              <w:rPr>
                <w:rFonts w:ascii="宋体" w:hAnsi="宋体" w:cs="宋体" w:eastAsia="宋体" w:hint="default"/>
                <w:sz w:val="21"/>
                <w:szCs w:val="21"/>
              </w:rPr>
            </w:pPr>
            <w:r>
              <w:rPr>
                <w:rFonts w:ascii="宋体" w:hAnsi="宋体" w:cs="宋体" w:eastAsia="宋体" w:hint="default"/>
                <w:sz w:val="21"/>
                <w:szCs w:val="21"/>
              </w:rPr>
              <w:t>实际担</w:t>
            </w:r>
            <w:r>
              <w:rPr>
                <w:rFonts w:ascii="宋体" w:hAnsi="宋体" w:cs="宋体" w:eastAsia="宋体" w:hint="default"/>
                <w:spacing w:val="-102"/>
                <w:sz w:val="21"/>
                <w:szCs w:val="21"/>
              </w:rPr>
              <w:t> </w:t>
            </w:r>
            <w:r>
              <w:rPr>
                <w:rFonts w:ascii="宋体" w:hAnsi="宋体" w:cs="宋体" w:eastAsia="宋体" w:hint="default"/>
                <w:sz w:val="21"/>
                <w:szCs w:val="21"/>
              </w:rPr>
              <w:t>保金额</w:t>
            </w:r>
          </w:p>
        </w:tc>
        <w:tc>
          <w:tcPr>
            <w:tcW w:w="9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71" w:lineRule="auto"/>
              <w:ind w:left="33" w:right="29"/>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98" w:right="93"/>
              <w:jc w:val="left"/>
              <w:rPr>
                <w:rFonts w:ascii="宋体" w:hAnsi="宋体" w:cs="宋体" w:eastAsia="宋体" w:hint="default"/>
                <w:sz w:val="21"/>
                <w:szCs w:val="21"/>
              </w:rPr>
            </w:pPr>
            <w:r>
              <w:rPr>
                <w:rFonts w:ascii="宋体" w:hAnsi="宋体" w:cs="宋体" w:eastAsia="宋体" w:hint="default"/>
                <w:sz w:val="21"/>
                <w:szCs w:val="21"/>
              </w:rPr>
              <w:t>是否为关</w:t>
            </w:r>
            <w:r>
              <w:rPr>
                <w:rFonts w:ascii="宋体" w:hAnsi="宋体" w:cs="宋体" w:eastAsia="宋体" w:hint="default"/>
                <w:w w:val="100"/>
                <w:sz w:val="21"/>
                <w:szCs w:val="21"/>
              </w:rPr>
              <w:t> </w:t>
            </w:r>
            <w:r>
              <w:rPr>
                <w:rFonts w:ascii="宋体" w:hAnsi="宋体" w:cs="宋体" w:eastAsia="宋体" w:hint="default"/>
                <w:sz w:val="21"/>
                <w:szCs w:val="21"/>
              </w:rPr>
              <w:t>联方担保</w:t>
            </w:r>
          </w:p>
          <w:p>
            <w:pPr>
              <w:pStyle w:val="TableParagraph"/>
              <w:spacing w:line="240" w:lineRule="auto" w:before="10"/>
              <w:ind w:left="23" w:right="-41"/>
              <w:jc w:val="left"/>
              <w:rPr>
                <w:rFonts w:ascii="宋体" w:hAnsi="宋体" w:cs="宋体" w:eastAsia="宋体" w:hint="default"/>
                <w:sz w:val="21"/>
                <w:szCs w:val="21"/>
              </w:rPr>
            </w:pPr>
            <w:r>
              <w:rPr>
                <w:rFonts w:ascii="宋体" w:hAnsi="宋体" w:cs="宋体" w:eastAsia="宋体" w:hint="default"/>
                <w:sz w:val="21"/>
                <w:szCs w:val="21"/>
              </w:rPr>
              <w:t>（是或否）</w:t>
            </w:r>
          </w:p>
        </w:tc>
      </w:tr>
      <w:tr>
        <w:trPr>
          <w:trHeight w:val="40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w:t>
            </w:r>
          </w:p>
        </w:tc>
        <w:tc>
          <w:tcPr>
            <w:tcW w:w="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708" w:hRule="exact"/>
        </w:trPr>
        <w:tc>
          <w:tcPr>
            <w:tcW w:w="3433"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12"/>
                <w:sz w:val="21"/>
                <w:szCs w:val="21"/>
              </w:rPr>
              <w:t>报告期内审批的对外担保额度合计</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A1</w:t>
            </w:r>
            <w:r>
              <w:rPr>
                <w:rFonts w:ascii="宋体" w:hAnsi="宋体" w:cs="宋体" w:eastAsia="宋体" w:hint="default"/>
                <w:sz w:val="21"/>
                <w:szCs w:val="21"/>
              </w:rPr>
              <w:t>）</w:t>
            </w:r>
          </w:p>
        </w:tc>
        <w:tc>
          <w:tcPr>
            <w:tcW w:w="1889" w:type="dxa"/>
            <w:gridSpan w:val="3"/>
            <w:vMerge w:val="restart"/>
            <w:tcBorders>
              <w:top w:val="single" w:sz="4" w:space="0" w:color="000000"/>
              <w:left w:val="single" w:sz="10" w:space="0" w:color="D2D2D2"/>
              <w:right w:val="single" w:sz="14" w:space="0" w:color="D2D2D2"/>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1" w:right="0"/>
              <w:jc w:val="center"/>
              <w:rPr>
                <w:rFonts w:ascii="Times New Roman" w:hAnsi="Times New Roman" w:cs="Times New Roman" w:eastAsia="Times New Roman" w:hint="default"/>
                <w:sz w:val="21"/>
                <w:szCs w:val="21"/>
              </w:rPr>
            </w:pPr>
            <w:r>
              <w:rPr>
                <w:rFonts w:ascii="Times New Roman"/>
                <w:w w:val="100"/>
                <w:sz w:val="21"/>
              </w:rPr>
              <w:t>-</w:t>
            </w:r>
          </w:p>
        </w:tc>
        <w:tc>
          <w:tcPr>
            <w:tcW w:w="181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26" w:right="93"/>
              <w:jc w:val="left"/>
              <w:rPr>
                <w:rFonts w:ascii="宋体" w:hAnsi="宋体" w:cs="宋体" w:eastAsia="宋体" w:hint="default"/>
                <w:sz w:val="21"/>
                <w:szCs w:val="21"/>
              </w:rPr>
            </w:pPr>
            <w:r>
              <w:rPr>
                <w:rFonts w:ascii="宋体" w:hAnsi="宋体" w:cs="宋体" w:eastAsia="宋体" w:hint="default"/>
                <w:sz w:val="21"/>
                <w:szCs w:val="21"/>
              </w:rPr>
              <w:t>报告期内对外担保</w:t>
            </w:r>
            <w:r>
              <w:rPr>
                <w:rFonts w:ascii="宋体" w:hAnsi="宋体" w:cs="宋体" w:eastAsia="宋体" w:hint="default"/>
                <w:w w:val="100"/>
                <w:sz w:val="21"/>
                <w:szCs w:val="21"/>
              </w:rPr>
              <w:t> </w:t>
            </w:r>
            <w:r>
              <w:rPr>
                <w:rFonts w:ascii="宋体" w:hAnsi="宋体" w:cs="宋体" w:eastAsia="宋体" w:hint="default"/>
                <w:sz w:val="21"/>
                <w:szCs w:val="21"/>
              </w:rPr>
              <w:t>实际发生额合计</w:t>
            </w:r>
          </w:p>
          <w:p>
            <w:pPr>
              <w:pStyle w:val="TableParagraph"/>
              <w:spacing w:line="240" w:lineRule="auto" w:before="10"/>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A2</w:t>
            </w:r>
            <w:r>
              <w:rPr>
                <w:rFonts w:ascii="宋体" w:hAnsi="宋体" w:cs="宋体" w:eastAsia="宋体" w:hint="default"/>
                <w:sz w:val="21"/>
                <w:szCs w:val="21"/>
              </w:rPr>
              <w:t>）</w:t>
            </w:r>
          </w:p>
        </w:tc>
        <w:tc>
          <w:tcPr>
            <w:tcW w:w="2636" w:type="dxa"/>
            <w:gridSpan w:val="4"/>
            <w:vMerge w:val="restart"/>
            <w:tcBorders>
              <w:top w:val="single" w:sz="4" w:space="0" w:color="000000"/>
              <w:left w:val="single" w:sz="12" w:space="0" w:color="D2D2D2"/>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100"/>
                <w:sz w:val="21"/>
              </w:rPr>
              <w:t>-</w:t>
            </w:r>
          </w:p>
        </w:tc>
      </w:tr>
      <w:tr>
        <w:trPr>
          <w:trHeight w:val="317" w:hRule="exact"/>
        </w:trPr>
        <w:tc>
          <w:tcPr>
            <w:tcW w:w="34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889" w:type="dxa"/>
            <w:gridSpan w:val="3"/>
            <w:vMerge/>
            <w:tcBorders>
              <w:left w:val="single" w:sz="10" w:space="0" w:color="D2D2D2"/>
              <w:bottom w:val="single" w:sz="4" w:space="0" w:color="000000"/>
              <w:right w:val="single" w:sz="14" w:space="0" w:color="D2D2D2"/>
            </w:tcBorders>
          </w:tcPr>
          <w:p>
            <w:pPr/>
          </w:p>
        </w:tc>
        <w:tc>
          <w:tcPr>
            <w:tcW w:w="1814" w:type="dxa"/>
            <w:gridSpan w:val="4"/>
            <w:vMerge/>
            <w:tcBorders>
              <w:left w:val="single" w:sz="4" w:space="0" w:color="000000"/>
              <w:bottom w:val="single" w:sz="4" w:space="0" w:color="000000"/>
              <w:right w:val="single" w:sz="4" w:space="0" w:color="000000"/>
            </w:tcBorders>
            <w:shd w:val="clear" w:color="auto" w:fill="D2D2D2"/>
          </w:tcPr>
          <w:p>
            <w:pPr/>
          </w:p>
        </w:tc>
        <w:tc>
          <w:tcPr>
            <w:tcW w:w="2636" w:type="dxa"/>
            <w:gridSpan w:val="4"/>
            <w:vMerge/>
            <w:tcBorders>
              <w:left w:val="single" w:sz="12" w:space="0" w:color="D2D2D2"/>
              <w:bottom w:val="single" w:sz="4" w:space="0" w:color="000000"/>
              <w:right w:val="single" w:sz="4" w:space="0" w:color="000000"/>
            </w:tcBorders>
          </w:tcPr>
          <w:p>
            <w:pPr/>
          </w:p>
        </w:tc>
      </w:tr>
      <w:tr>
        <w:trPr>
          <w:trHeight w:val="720" w:hRule="exact"/>
        </w:trPr>
        <w:tc>
          <w:tcPr>
            <w:tcW w:w="34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报告期末已审批的对外担保额度合计</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A3</w:t>
            </w:r>
            <w:r>
              <w:rPr>
                <w:rFonts w:ascii="宋体" w:hAnsi="宋体" w:cs="宋体" w:eastAsia="宋体" w:hint="default"/>
                <w:sz w:val="21"/>
                <w:szCs w:val="21"/>
              </w:rPr>
              <w:t>）</w:t>
            </w:r>
          </w:p>
        </w:tc>
        <w:tc>
          <w:tcPr>
            <w:tcW w:w="1889" w:type="dxa"/>
            <w:gridSpan w:val="3"/>
            <w:tcBorders>
              <w:top w:val="single" w:sz="4" w:space="0" w:color="000000"/>
              <w:left w:val="single" w:sz="13" w:space="0" w:color="D2D2D2"/>
              <w:bottom w:val="single" w:sz="4" w:space="0" w:color="000000"/>
              <w:right w:val="single" w:sz="14" w:space="0" w:color="D2D2D2"/>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w w:val="100"/>
                <w:sz w:val="21"/>
              </w:rPr>
              <w:t>-</w:t>
            </w:r>
          </w:p>
        </w:tc>
        <w:tc>
          <w:tcPr>
            <w:tcW w:w="181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93"/>
              <w:jc w:val="left"/>
              <w:rPr>
                <w:rFonts w:ascii="宋体" w:hAnsi="宋体" w:cs="宋体" w:eastAsia="宋体" w:hint="default"/>
                <w:sz w:val="21"/>
                <w:szCs w:val="21"/>
              </w:rPr>
            </w:pPr>
            <w:r>
              <w:rPr>
                <w:rFonts w:ascii="宋体" w:hAnsi="宋体" w:cs="宋体" w:eastAsia="宋体" w:hint="default"/>
                <w:sz w:val="21"/>
                <w:szCs w:val="21"/>
              </w:rPr>
              <w:t>报告期末实际对外</w:t>
            </w:r>
            <w:r>
              <w:rPr>
                <w:rFonts w:ascii="宋体" w:hAnsi="宋体" w:cs="宋体" w:eastAsia="宋体" w:hint="default"/>
                <w:w w:val="100"/>
                <w:sz w:val="21"/>
                <w:szCs w:val="21"/>
              </w:rPr>
              <w:t> </w:t>
            </w:r>
            <w:r>
              <w:rPr>
                <w:rFonts w:ascii="宋体" w:hAnsi="宋体" w:cs="宋体" w:eastAsia="宋体" w:hint="default"/>
                <w:spacing w:val="-5"/>
                <w:sz w:val="21"/>
                <w:szCs w:val="21"/>
              </w:rPr>
              <w:t>担保余额合计（</w:t>
            </w:r>
            <w:r>
              <w:rPr>
                <w:rFonts w:ascii="宋体" w:hAnsi="宋体" w:cs="宋体" w:eastAsia="宋体" w:hint="default"/>
                <w:spacing w:val="-5"/>
                <w:sz w:val="21"/>
                <w:szCs w:val="21"/>
              </w:rPr>
              <w:t>A4</w:t>
            </w:r>
            <w:r>
              <w:rPr>
                <w:rFonts w:ascii="宋体" w:hAnsi="宋体" w:cs="宋体" w:eastAsia="宋体" w:hint="default"/>
                <w:sz w:val="21"/>
                <w:szCs w:val="21"/>
              </w:rPr>
            </w:r>
          </w:p>
        </w:tc>
        <w:tc>
          <w:tcPr>
            <w:tcW w:w="697" w:type="dxa"/>
            <w:tcBorders>
              <w:top w:val="single" w:sz="4" w:space="0" w:color="000000"/>
              <w:left w:val="single" w:sz="12"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85" w:type="dxa"/>
            <w:tcBorders>
              <w:top w:val="single" w:sz="4" w:space="0" w:color="000000"/>
              <w:left w:val="nil" w:sz="6" w:space="0" w:color="auto"/>
              <w:bottom w:val="single" w:sz="4" w:space="0" w:color="000000"/>
              <w:right w:val="nil" w:sz="6" w:space="0" w:color="auto"/>
            </w:tcBorders>
          </w:tcPr>
          <w:p>
            <w:pP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03" w:right="0"/>
              <w:jc w:val="left"/>
              <w:rPr>
                <w:rFonts w:ascii="Times New Roman" w:hAnsi="Times New Roman" w:cs="Times New Roman" w:eastAsia="Times New Roman" w:hint="default"/>
                <w:sz w:val="21"/>
                <w:szCs w:val="21"/>
              </w:rPr>
            </w:pPr>
            <w:r>
              <w:rPr>
                <w:rFonts w:ascii="Times New Roman"/>
                <w:w w:val="100"/>
                <w:sz w:val="21"/>
              </w:rPr>
              <w:t>-</w:t>
            </w:r>
          </w:p>
        </w:tc>
        <w:tc>
          <w:tcPr>
            <w:tcW w:w="1046" w:type="dxa"/>
            <w:tcBorders>
              <w:top w:val="single" w:sz="4" w:space="0" w:color="000000"/>
              <w:left w:val="nil" w:sz="6" w:space="0" w:color="auto"/>
              <w:bottom w:val="single" w:sz="4" w:space="0" w:color="000000"/>
              <w:right w:val="single" w:sz="4" w:space="0" w:color="000000"/>
            </w:tcBorders>
          </w:tcPr>
          <w:p>
            <w:pPr/>
          </w:p>
        </w:tc>
      </w:tr>
      <w:tr>
        <w:trPr>
          <w:trHeight w:val="312" w:hRule="exact"/>
        </w:trPr>
        <w:tc>
          <w:tcPr>
            <w:tcW w:w="977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166" w:hRule="exact"/>
        </w:trPr>
        <w:tc>
          <w:tcPr>
            <w:tcW w:w="1726" w:type="dxa"/>
            <w:vMerge w:val="restart"/>
            <w:tcBorders>
              <w:top w:val="single" w:sz="4" w:space="0" w:color="000000"/>
              <w:left w:val="single" w:sz="4" w:space="0" w:color="000000"/>
              <w:right w:val="single" w:sz="4" w:space="0" w:color="000000"/>
            </w:tcBorders>
            <w:shd w:val="clear" w:color="auto" w:fill="D2D2D2"/>
          </w:tcPr>
          <w:p>
            <w:pPr/>
          </w:p>
        </w:tc>
        <w:tc>
          <w:tcPr>
            <w:tcW w:w="1707"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3" w:right="17" w:firstLine="64"/>
              <w:jc w:val="both"/>
              <w:rPr>
                <w:rFonts w:ascii="宋体" w:hAnsi="宋体" w:cs="宋体" w:eastAsia="宋体" w:hint="default"/>
                <w:sz w:val="21"/>
                <w:szCs w:val="21"/>
              </w:rPr>
            </w:pPr>
            <w:r>
              <w:rPr>
                <w:rFonts w:ascii="宋体" w:hAnsi="宋体" w:cs="宋体" w:eastAsia="宋体" w:hint="default"/>
                <w:sz w:val="21"/>
                <w:szCs w:val="21"/>
              </w:rPr>
              <w:t>实际发生</w:t>
            </w:r>
            <w:r>
              <w:rPr>
                <w:rFonts w:ascii="宋体" w:hAnsi="宋体" w:cs="宋体" w:eastAsia="宋体" w:hint="default"/>
                <w:w w:val="100"/>
                <w:sz w:val="21"/>
                <w:szCs w:val="21"/>
              </w:rPr>
              <w:t> </w:t>
            </w:r>
            <w:r>
              <w:rPr>
                <w:rFonts w:ascii="宋体" w:hAnsi="宋体" w:cs="宋体" w:eastAsia="宋体" w:hint="default"/>
                <w:spacing w:val="-17"/>
                <w:sz w:val="21"/>
                <w:szCs w:val="21"/>
              </w:rPr>
              <w:t>日期（协议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签署日）</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107" w:right="98"/>
              <w:jc w:val="both"/>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84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25" w:type="dxa"/>
            <w:gridSpan w:val="2"/>
            <w:vMerge w:val="restart"/>
            <w:tcBorders>
              <w:top w:val="single" w:sz="4" w:space="0" w:color="000000"/>
              <w:left w:val="single" w:sz="4" w:space="0" w:color="000000"/>
              <w:right w:val="single" w:sz="4" w:space="0" w:color="000000"/>
            </w:tcBorders>
            <w:shd w:val="clear" w:color="auto" w:fill="D2D2D2"/>
          </w:tcPr>
          <w:p>
            <w:pPr/>
          </w:p>
        </w:tc>
        <w:tc>
          <w:tcPr>
            <w:tcW w:w="8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98" w:right="93"/>
              <w:jc w:val="left"/>
              <w:rPr>
                <w:rFonts w:ascii="宋体" w:hAnsi="宋体" w:cs="宋体" w:eastAsia="宋体" w:hint="default"/>
                <w:sz w:val="21"/>
                <w:szCs w:val="21"/>
              </w:rPr>
            </w:pPr>
            <w:r>
              <w:rPr>
                <w:rFonts w:ascii="宋体" w:hAnsi="宋体" w:cs="宋体" w:eastAsia="宋体" w:hint="default"/>
                <w:sz w:val="21"/>
                <w:szCs w:val="21"/>
              </w:rPr>
              <w:t>是否为关</w:t>
            </w:r>
            <w:r>
              <w:rPr>
                <w:rFonts w:ascii="宋体" w:hAnsi="宋体" w:cs="宋体" w:eastAsia="宋体" w:hint="default"/>
                <w:w w:val="100"/>
                <w:sz w:val="21"/>
                <w:szCs w:val="21"/>
              </w:rPr>
              <w:t> </w:t>
            </w:r>
            <w:r>
              <w:rPr>
                <w:rFonts w:ascii="宋体" w:hAnsi="宋体" w:cs="宋体" w:eastAsia="宋体" w:hint="default"/>
                <w:sz w:val="21"/>
                <w:szCs w:val="21"/>
              </w:rPr>
              <w:t>联方担保</w:t>
            </w:r>
          </w:p>
          <w:p>
            <w:pPr>
              <w:pStyle w:val="TableParagraph"/>
              <w:spacing w:line="240" w:lineRule="auto" w:before="7"/>
              <w:ind w:left="23" w:right="-41"/>
              <w:jc w:val="left"/>
              <w:rPr>
                <w:rFonts w:ascii="宋体" w:hAnsi="宋体" w:cs="宋体" w:eastAsia="宋体" w:hint="default"/>
                <w:sz w:val="21"/>
                <w:szCs w:val="21"/>
              </w:rPr>
            </w:pPr>
            <w:r>
              <w:rPr>
                <w:rFonts w:ascii="宋体" w:hAnsi="宋体" w:cs="宋体" w:eastAsia="宋体" w:hint="default"/>
                <w:sz w:val="21"/>
                <w:szCs w:val="21"/>
              </w:rPr>
              <w:t>（是或否）</w:t>
            </w:r>
          </w:p>
        </w:tc>
      </w:tr>
      <w:tr>
        <w:trPr>
          <w:trHeight w:val="156" w:hRule="exact"/>
        </w:trPr>
        <w:tc>
          <w:tcPr>
            <w:tcW w:w="1726" w:type="dxa"/>
            <w:vMerge/>
            <w:tcBorders>
              <w:left w:val="single" w:sz="4" w:space="0" w:color="000000"/>
              <w:bottom w:val="nil" w:sz="6" w:space="0" w:color="auto"/>
              <w:right w:val="single" w:sz="4" w:space="0" w:color="000000"/>
            </w:tcBorders>
            <w:shd w:val="clear" w:color="auto" w:fill="D2D2D2"/>
          </w:tcPr>
          <w:p>
            <w:pPr/>
          </w:p>
        </w:tc>
        <w:tc>
          <w:tcPr>
            <w:tcW w:w="170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323" w:right="108" w:hanging="212"/>
              <w:jc w:val="left"/>
              <w:rPr>
                <w:rFonts w:ascii="宋体" w:hAnsi="宋体" w:cs="宋体" w:eastAsia="宋体" w:hint="default"/>
                <w:sz w:val="21"/>
                <w:szCs w:val="21"/>
              </w:rPr>
            </w:pPr>
            <w:r>
              <w:rPr>
                <w:rFonts w:ascii="宋体" w:hAnsi="宋体" w:cs="宋体" w:eastAsia="宋体" w:hint="default"/>
                <w:sz w:val="21"/>
                <w:szCs w:val="21"/>
              </w:rPr>
              <w:t>担保额度相关公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告披露日期</w:t>
            </w:r>
          </w:p>
        </w:tc>
        <w:tc>
          <w:tcPr>
            <w:tcW w:w="86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321" w:right="107" w:hanging="209"/>
              <w:jc w:val="left"/>
              <w:rPr>
                <w:rFonts w:ascii="宋体" w:hAnsi="宋体" w:cs="宋体" w:eastAsia="宋体" w:hint="default"/>
                <w:sz w:val="21"/>
                <w:szCs w:val="21"/>
              </w:rPr>
            </w:pPr>
            <w:r>
              <w:rPr>
                <w:rFonts w:ascii="宋体" w:hAnsi="宋体" w:cs="宋体" w:eastAsia="宋体" w:hint="default"/>
                <w:sz w:val="21"/>
                <w:szCs w:val="21"/>
              </w:rPr>
              <w:t>担保额</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1025" w:type="dxa"/>
            <w:gridSpan w:val="2"/>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84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311" w:right="96" w:hanging="209"/>
              <w:jc w:val="left"/>
              <w:rPr>
                <w:rFonts w:ascii="宋体" w:hAnsi="宋体" w:cs="宋体" w:eastAsia="宋体" w:hint="default"/>
                <w:sz w:val="21"/>
                <w:szCs w:val="21"/>
              </w:rPr>
            </w:pPr>
            <w:r>
              <w:rPr>
                <w:rFonts w:ascii="宋体" w:hAnsi="宋体" w:cs="宋体" w:eastAsia="宋体" w:hint="default"/>
                <w:sz w:val="21"/>
                <w:szCs w:val="21"/>
              </w:rPr>
              <w:t>担保类</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025" w:type="dxa"/>
            <w:gridSpan w:val="2"/>
            <w:vMerge/>
            <w:tcBorders>
              <w:left w:val="single" w:sz="4" w:space="0" w:color="000000"/>
              <w:bottom w:val="nil" w:sz="6" w:space="0" w:color="auto"/>
              <w:right w:val="single" w:sz="4" w:space="0" w:color="000000"/>
            </w:tcBorders>
            <w:shd w:val="clear" w:color="auto" w:fill="D2D2D2"/>
          </w:tcPr>
          <w:p>
            <w:pPr/>
          </w:p>
        </w:tc>
        <w:tc>
          <w:tcPr>
            <w:tcW w:w="89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127" w:right="120"/>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1046" w:type="dxa"/>
            <w:vMerge/>
            <w:tcBorders>
              <w:left w:val="single" w:sz="4" w:space="0" w:color="000000"/>
              <w:right w:val="single" w:sz="4" w:space="0" w:color="000000"/>
            </w:tcBorders>
            <w:shd w:val="clear" w:color="auto" w:fill="D2D2D2"/>
          </w:tcPr>
          <w:p>
            <w:pPr/>
          </w:p>
        </w:tc>
      </w:tr>
      <w:tr>
        <w:trPr>
          <w:trHeight w:val="312" w:hRule="exact"/>
        </w:trPr>
        <w:tc>
          <w:tcPr>
            <w:tcW w:w="17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担保对象名称</w:t>
            </w:r>
          </w:p>
        </w:tc>
        <w:tc>
          <w:tcPr>
            <w:tcW w:w="1707" w:type="dxa"/>
            <w:vMerge/>
            <w:tcBorders>
              <w:left w:val="single" w:sz="4" w:space="0" w:color="000000"/>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c>
          <w:tcPr>
            <w:tcW w:w="1025" w:type="dxa"/>
            <w:gridSpan w:val="2"/>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845" w:type="dxa"/>
            <w:gridSpan w:val="2"/>
            <w:vMerge/>
            <w:tcBorders>
              <w:left w:val="single" w:sz="4" w:space="0" w:color="000000"/>
              <w:right w:val="single" w:sz="4" w:space="0" w:color="000000"/>
            </w:tcBorders>
            <w:shd w:val="clear" w:color="auto" w:fill="D2D2D2"/>
          </w:tcPr>
          <w:p>
            <w:pPr/>
          </w:p>
        </w:tc>
        <w:tc>
          <w:tcPr>
            <w:tcW w:w="102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191"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893" w:type="dxa"/>
            <w:gridSpan w:val="2"/>
            <w:vMerge/>
            <w:tcBorders>
              <w:left w:val="single" w:sz="4" w:space="0" w:color="000000"/>
              <w:right w:val="single" w:sz="4" w:space="0" w:color="000000"/>
            </w:tcBorders>
            <w:shd w:val="clear" w:color="auto" w:fill="D2D2D2"/>
          </w:tcPr>
          <w:p>
            <w:pPr/>
          </w:p>
        </w:tc>
        <w:tc>
          <w:tcPr>
            <w:tcW w:w="1046" w:type="dxa"/>
            <w:vMerge/>
            <w:tcBorders>
              <w:left w:val="single" w:sz="4" w:space="0" w:color="000000"/>
              <w:right w:val="single" w:sz="4" w:space="0" w:color="000000"/>
            </w:tcBorders>
            <w:shd w:val="clear" w:color="auto" w:fill="D2D2D2"/>
          </w:tcPr>
          <w:p>
            <w:pPr/>
          </w:p>
        </w:tc>
      </w:tr>
      <w:tr>
        <w:trPr>
          <w:trHeight w:val="156" w:hRule="exact"/>
        </w:trPr>
        <w:tc>
          <w:tcPr>
            <w:tcW w:w="1726" w:type="dxa"/>
            <w:vMerge w:val="restart"/>
            <w:tcBorders>
              <w:top w:val="nil" w:sz="6" w:space="0" w:color="auto"/>
              <w:left w:val="single" w:sz="4" w:space="0" w:color="000000"/>
              <w:right w:val="single" w:sz="4" w:space="0" w:color="000000"/>
            </w:tcBorders>
            <w:shd w:val="clear" w:color="auto" w:fill="D2D2D2"/>
          </w:tcPr>
          <w:p>
            <w:pPr/>
          </w:p>
        </w:tc>
        <w:tc>
          <w:tcPr>
            <w:tcW w:w="1707"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bottom w:val="nil" w:sz="6" w:space="0" w:color="auto"/>
              <w:right w:val="single" w:sz="4" w:space="0" w:color="000000"/>
            </w:tcBorders>
            <w:shd w:val="clear" w:color="auto" w:fill="D2D2D2"/>
          </w:tcPr>
          <w:p>
            <w:pPr/>
          </w:p>
        </w:tc>
        <w:tc>
          <w:tcPr>
            <w:tcW w:w="1025" w:type="dxa"/>
            <w:gridSpan w:val="2"/>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845" w:type="dxa"/>
            <w:gridSpan w:val="2"/>
            <w:vMerge/>
            <w:tcBorders>
              <w:left w:val="single" w:sz="4" w:space="0" w:color="000000"/>
              <w:bottom w:val="nil" w:sz="6" w:space="0" w:color="auto"/>
              <w:right w:val="single" w:sz="4" w:space="0" w:color="000000"/>
            </w:tcBorders>
            <w:shd w:val="clear" w:color="auto" w:fill="D2D2D2"/>
          </w:tcPr>
          <w:p>
            <w:pPr/>
          </w:p>
        </w:tc>
        <w:tc>
          <w:tcPr>
            <w:tcW w:w="1025" w:type="dxa"/>
            <w:gridSpan w:val="2"/>
            <w:vMerge w:val="restart"/>
            <w:tcBorders>
              <w:top w:val="nil" w:sz="6" w:space="0" w:color="auto"/>
              <w:left w:val="single" w:sz="4" w:space="0" w:color="000000"/>
              <w:right w:val="single" w:sz="4" w:space="0" w:color="000000"/>
            </w:tcBorders>
            <w:shd w:val="clear" w:color="auto" w:fill="D2D2D2"/>
          </w:tcPr>
          <w:p>
            <w:pPr/>
          </w:p>
        </w:tc>
        <w:tc>
          <w:tcPr>
            <w:tcW w:w="893" w:type="dxa"/>
            <w:gridSpan w:val="2"/>
            <w:vMerge/>
            <w:tcBorders>
              <w:left w:val="single" w:sz="4" w:space="0" w:color="000000"/>
              <w:bottom w:val="nil" w:sz="6" w:space="0" w:color="auto"/>
              <w:right w:val="single" w:sz="4" w:space="0" w:color="000000"/>
            </w:tcBorders>
            <w:shd w:val="clear" w:color="auto" w:fill="D2D2D2"/>
          </w:tcPr>
          <w:p>
            <w:pPr/>
          </w:p>
        </w:tc>
        <w:tc>
          <w:tcPr>
            <w:tcW w:w="1046" w:type="dxa"/>
            <w:vMerge/>
            <w:tcBorders>
              <w:left w:val="single" w:sz="4" w:space="0" w:color="000000"/>
              <w:right w:val="single" w:sz="4" w:space="0" w:color="000000"/>
            </w:tcBorders>
            <w:shd w:val="clear" w:color="auto" w:fill="D2D2D2"/>
          </w:tcPr>
          <w:p>
            <w:pPr/>
          </w:p>
        </w:tc>
      </w:tr>
      <w:tr>
        <w:trPr>
          <w:trHeight w:val="161" w:hRule="exact"/>
        </w:trPr>
        <w:tc>
          <w:tcPr>
            <w:tcW w:w="1726" w:type="dxa"/>
            <w:vMerge/>
            <w:tcBorders>
              <w:left w:val="single" w:sz="4" w:space="0" w:color="000000"/>
              <w:bottom w:val="single" w:sz="4" w:space="0" w:color="000000"/>
              <w:right w:val="single" w:sz="4" w:space="0" w:color="000000"/>
            </w:tcBorders>
            <w:shd w:val="clear" w:color="auto" w:fill="D2D2D2"/>
          </w:tcPr>
          <w:p>
            <w:pPr/>
          </w:p>
        </w:tc>
        <w:tc>
          <w:tcPr>
            <w:tcW w:w="1707"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5" w:type="dxa"/>
            <w:gridSpan w:val="2"/>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84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25" w:type="dxa"/>
            <w:gridSpan w:val="2"/>
            <w:vMerge/>
            <w:tcBorders>
              <w:left w:val="single" w:sz="4" w:space="0" w:color="000000"/>
              <w:bottom w:val="single" w:sz="4" w:space="0" w:color="000000"/>
              <w:right w:val="single" w:sz="4" w:space="0" w:color="000000"/>
            </w:tcBorders>
            <w:shd w:val="clear" w:color="auto" w:fill="D2D2D2"/>
          </w:tcPr>
          <w:p>
            <w:pPr/>
          </w:p>
        </w:tc>
        <w:tc>
          <w:tcPr>
            <w:tcW w:w="8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6"/>
              <w:jc w:val="left"/>
              <w:rPr>
                <w:rFonts w:ascii="宋体" w:hAnsi="宋体" w:cs="宋体" w:eastAsia="宋体" w:hint="default"/>
                <w:sz w:val="21"/>
                <w:szCs w:val="21"/>
              </w:rPr>
            </w:pPr>
            <w:r>
              <w:rPr>
                <w:rFonts w:ascii="宋体" w:hAnsi="宋体" w:cs="宋体" w:eastAsia="宋体" w:hint="default"/>
                <w:sz w:val="21"/>
                <w:szCs w:val="21"/>
              </w:rPr>
              <w:t>福建苏宁电器有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8,000</w:t>
            </w:r>
          </w:p>
        </w:tc>
        <w:tc>
          <w:tcPr>
            <w:tcW w:w="1025" w:type="dxa"/>
            <w:gridSpan w:val="2"/>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845" w:type="dxa"/>
            <w:gridSpan w:val="2"/>
            <w:tcBorders>
              <w:top w:val="single" w:sz="4" w:space="0" w:color="000000"/>
              <w:left w:val="single" w:sz="4" w:space="0" w:color="000000"/>
              <w:bottom w:val="single" w:sz="4" w:space="0" w:color="000000"/>
              <w:right w:val="single" w:sz="4" w:space="0" w:color="000000"/>
            </w:tcBorders>
          </w:tcPr>
          <w:p>
            <w:pPr/>
          </w:p>
        </w:tc>
        <w:tc>
          <w:tcPr>
            <w:tcW w:w="1025" w:type="dxa"/>
            <w:gridSpan w:val="2"/>
            <w:tcBorders>
              <w:top w:val="single" w:sz="4" w:space="0" w:color="000000"/>
              <w:left w:val="single" w:sz="4" w:space="0" w:color="000000"/>
              <w:bottom w:val="single" w:sz="4" w:space="0" w:color="000000"/>
              <w:right w:val="single" w:sz="4" w:space="0" w:color="000000"/>
            </w:tcBorders>
          </w:tcPr>
          <w:p>
            <w:pPr/>
          </w:p>
        </w:tc>
        <w:tc>
          <w:tcPr>
            <w:tcW w:w="8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258"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 w:right="216"/>
              <w:jc w:val="left"/>
              <w:rPr>
                <w:rFonts w:ascii="宋体" w:hAnsi="宋体" w:cs="宋体" w:eastAsia="宋体" w:hint="default"/>
                <w:sz w:val="21"/>
                <w:szCs w:val="21"/>
              </w:rPr>
            </w:pPr>
            <w:r>
              <w:rPr>
                <w:rFonts w:ascii="宋体" w:hAnsi="宋体" w:cs="宋体" w:eastAsia="宋体" w:hint="default"/>
                <w:sz w:val="21"/>
                <w:szCs w:val="21"/>
              </w:rPr>
              <w:t>武汉苏宁电器有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7"/>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22,000</w:t>
            </w:r>
          </w:p>
        </w:tc>
        <w:tc>
          <w:tcPr>
            <w:tcW w:w="1025" w:type="dxa"/>
            <w:gridSpan w:val="2"/>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845" w:type="dxa"/>
            <w:gridSpan w:val="2"/>
            <w:tcBorders>
              <w:top w:val="single" w:sz="4" w:space="0" w:color="000000"/>
              <w:left w:val="single" w:sz="4" w:space="0" w:color="000000"/>
              <w:bottom w:val="single" w:sz="4" w:space="0" w:color="000000"/>
              <w:right w:val="single" w:sz="4" w:space="0" w:color="000000"/>
            </w:tcBorders>
          </w:tcPr>
          <w:p>
            <w:pPr/>
          </w:p>
        </w:tc>
        <w:tc>
          <w:tcPr>
            <w:tcW w:w="1025" w:type="dxa"/>
            <w:gridSpan w:val="2"/>
            <w:tcBorders>
              <w:top w:val="single" w:sz="4" w:space="0" w:color="000000"/>
              <w:left w:val="single" w:sz="4" w:space="0" w:color="000000"/>
              <w:bottom w:val="single" w:sz="4" w:space="0" w:color="000000"/>
              <w:right w:val="single" w:sz="4" w:space="0" w:color="000000"/>
            </w:tcBorders>
          </w:tcPr>
          <w:p>
            <w:pPr/>
          </w:p>
        </w:tc>
        <w:tc>
          <w:tcPr>
            <w:tcW w:w="8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40" w:lineRule="auto" w:before="3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w:t>
            </w:r>
          </w:p>
          <w:p>
            <w:pPr>
              <w:pStyle w:val="TableParagraph"/>
              <w:spacing w:line="273" w:lineRule="auto" w:before="21"/>
              <w:ind w:left="23" w:right="223"/>
              <w:jc w:val="left"/>
              <w:rPr>
                <w:rFonts w:ascii="宋体" w:hAnsi="宋体" w:cs="宋体" w:eastAsia="宋体" w:hint="default"/>
                <w:sz w:val="21"/>
                <w:szCs w:val="21"/>
              </w:rPr>
            </w:pPr>
            <w:r>
              <w:rPr>
                <w:rFonts w:ascii="宋体" w:hAnsi="宋体" w:cs="宋体" w:eastAsia="宋体" w:hint="default"/>
                <w:sz w:val="21"/>
                <w:szCs w:val="21"/>
              </w:rPr>
              <w:t>元担保</w:t>
            </w:r>
            <w:r>
              <w:rPr>
                <w:rFonts w:ascii="宋体" w:hAnsi="宋体" w:cs="宋体" w:eastAsia="宋体" w:hint="default"/>
                <w:spacing w:val="-102"/>
                <w:sz w:val="21"/>
                <w:szCs w:val="21"/>
              </w:rPr>
              <w:t> </w:t>
            </w:r>
            <w:r>
              <w:rPr>
                <w:rFonts w:ascii="宋体" w:hAnsi="宋体" w:cs="宋体" w:eastAsia="宋体" w:hint="default"/>
                <w:sz w:val="21"/>
                <w:szCs w:val="21"/>
              </w:rPr>
              <w:t>已经于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87.670013pt;margin-top:597.909973pt;width:156.050pt;height:15.6pt;mso-position-horizontal-relative:page;mso-position-vertical-relative:page;z-index:-1597216" type="#_x0000_t202" filled="false" stroked="false">
            <v:textbox inset="0,0,0,0">
              <w:txbxContent>
                <w:p>
                  <w:pPr>
                    <w:pStyle w:val="BodyText"/>
                    <w:spacing w:line="262" w:lineRule="exact" w:before="0"/>
                    <w:ind w:left="0" w:right="0"/>
                    <w:jc w:val="left"/>
                  </w:pPr>
                  <w:r>
                    <w:rPr>
                      <w:w w:val="100"/>
                    </w:rPr>
                    <w:t>）</w:t>
                  </w:r>
                </w:p>
              </w:txbxContent>
            </v:textbox>
            <w10:wrap type="none"/>
          </v:shape>
        </w:pict>
      </w:r>
      <w:r>
        <w:rPr/>
        <w:pict>
          <v:shape style="position:absolute;margin-left:220.25pt;margin-top:645.700012pt;width:97.5pt;height:15.6pt;mso-position-horizontal-relative:page;mso-position-vertical-relative:page;z-index:-1597192" type="#_x0000_t202" filled="false" stroked="false">
            <v:textbox inset="0,0,0,0">
              <w:txbxContent>
                <w:p>
                  <w:pPr>
                    <w:pStyle w:val="BodyText"/>
                    <w:spacing w:line="262" w:lineRule="exact" w:before="0"/>
                    <w:ind w:left="0" w:right="0"/>
                    <w:jc w:val="left"/>
                  </w:pPr>
                  <w:r>
                    <w:rPr>
                      <w:w w:val="100"/>
                    </w:rPr>
                    <w:t>）</w:t>
                  </w:r>
                </w:p>
              </w:txbxContent>
            </v:textbox>
            <w10:wrap type="none"/>
          </v:shape>
        </w:pict>
      </w:r>
      <w:r>
        <w:rPr/>
        <w:pict>
          <v:group style="position:absolute;margin-left:395.950012pt;margin-top:597.909973pt;width:147.75pt;height:15.6pt;mso-position-horizontal-relative:page;mso-position-vertical-relative:page;z-index:-1597168" coordorigin="7919,11958" coordsize="2955,312">
            <v:shape style="position:absolute;left:7919;top:11958;width:2955;height:312" coordorigin="7919,11958" coordsize="2955,312" path="m7919,12270l10874,12270,10874,11958,7919,11958,7919,12270xe" filled="true" fillcolor="#ffffff" stroked="false">
              <v:path arrowok="t"/>
              <v:fill type="solid"/>
            </v:shape>
            <w10:wrap type="none"/>
          </v:group>
        </w:pict>
      </w:r>
      <w:r>
        <w:rPr/>
        <w:pict>
          <v:group style="position:absolute;margin-left:227.089996pt;margin-top:645.099976pt;width:90.65pt;height:16.8pt;mso-position-horizontal-relative:page;mso-position-vertical-relative:page;z-index:-1597144" coordorigin="4542,12902" coordsize="1813,336">
            <v:group style="position:absolute;left:4554;top:12914;width:2;height:312" coordorigin="4554,12914" coordsize="2,312">
              <v:shape style="position:absolute;left:4554;top:12914;width:2;height:312" coordorigin="4554,12914" coordsize="0,312" path="m4554,12914l4554,13226e" filled="false" stroked="true" strokeweight="1.2pt" strokecolor="#ffffff">
                <v:path arrowok="t"/>
              </v:shape>
            </v:group>
            <v:group style="position:absolute;left:4566;top:12914;width:1789;height:312" coordorigin="4566,12914" coordsize="1789,312">
              <v:shape style="position:absolute;left:4566;top:12914;width:1789;height:312" coordorigin="4566,12914" coordsize="1789,312" path="m4566,13226l6354,13226,6354,12914,4566,12914,4566,13226xe" filled="true" fillcolor="#ffffff" stroked="false">
                <v:path arrowok="t"/>
                <v:fill type="solid"/>
              </v:shape>
            </v:group>
            <w10:wrap type="none"/>
          </v:group>
        </w:pict>
      </w:r>
      <w:r>
        <w:rPr/>
        <w:pict>
          <v:shape style="position:absolute;margin-left:460.320007pt;margin-top:764.919983pt;width:135.0pt;height:77pt;mso-position-horizontal-relative:page;mso-position-vertical-relative:page;z-index:2056" type="#_x0000_t75" stroked="false">
            <v:imagedata r:id="rId10" o:title=""/>
          </v:shape>
        </w:pict>
      </w:r>
    </w:p>
    <w:tbl>
      <w:tblPr>
        <w:tblW w:w="0" w:type="auto"/>
        <w:jc w:val="left"/>
        <w:tblInd w:w="119" w:type="dxa"/>
        <w:tblLayout w:type="fixed"/>
        <w:tblCellMar>
          <w:top w:w="0" w:type="dxa"/>
          <w:left w:w="0" w:type="dxa"/>
          <w:bottom w:w="0" w:type="dxa"/>
          <w:right w:w="0" w:type="dxa"/>
        </w:tblCellMar>
        <w:tblLook w:val="01E0"/>
      </w:tblPr>
      <w:tblGrid>
        <w:gridCol w:w="1726"/>
        <w:gridCol w:w="1707"/>
        <w:gridCol w:w="864"/>
        <w:gridCol w:w="1008"/>
        <w:gridCol w:w="658"/>
        <w:gridCol w:w="862"/>
        <w:gridCol w:w="1008"/>
        <w:gridCol w:w="893"/>
        <w:gridCol w:w="1046"/>
      </w:tblGrid>
      <w:tr>
        <w:trPr>
          <w:trHeight w:val="1258" w:hRule="exact"/>
        </w:trPr>
        <w:tc>
          <w:tcPr>
            <w:tcW w:w="172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9</w:t>
            </w:r>
          </w:p>
          <w:p>
            <w:pPr>
              <w:pStyle w:val="TableParagraph"/>
              <w:spacing w:line="264" w:lineRule="auto" w:before="21"/>
              <w:ind w:left="23" w:right="12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履行完</w:t>
            </w:r>
            <w:r>
              <w:rPr>
                <w:rFonts w:ascii="宋体" w:hAnsi="宋体" w:cs="宋体" w:eastAsia="宋体" w:hint="default"/>
                <w:spacing w:val="-102"/>
                <w:sz w:val="21"/>
                <w:szCs w:val="21"/>
              </w:rPr>
              <w:t> </w:t>
            </w:r>
            <w:r>
              <w:rPr>
                <w:rFonts w:ascii="宋体" w:hAnsi="宋体" w:cs="宋体" w:eastAsia="宋体" w:hint="default"/>
                <w:sz w:val="21"/>
                <w:szCs w:val="21"/>
              </w:rPr>
              <w:t>毕</w:t>
            </w: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6"/>
              <w:jc w:val="left"/>
              <w:rPr>
                <w:rFonts w:ascii="宋体" w:hAnsi="宋体" w:cs="宋体" w:eastAsia="宋体" w:hint="default"/>
                <w:sz w:val="21"/>
                <w:szCs w:val="21"/>
              </w:rPr>
            </w:pPr>
            <w:r>
              <w:rPr>
                <w:rFonts w:ascii="宋体" w:hAnsi="宋体" w:cs="宋体" w:eastAsia="宋体" w:hint="default"/>
                <w:sz w:val="21"/>
                <w:szCs w:val="21"/>
              </w:rPr>
              <w:t>香港苏宁电器有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57,000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4"/>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任保证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 w:right="0"/>
              <w:jc w:val="left"/>
              <w:rPr>
                <w:rFonts w:ascii="Times New Roman" w:hAnsi="Times New Roman" w:cs="Times New Roman" w:eastAsia="Times New Roman" w:hint="default"/>
                <w:sz w:val="21"/>
                <w:szCs w:val="21"/>
              </w:rPr>
            </w:pPr>
            <w:r>
              <w:rPr>
                <w:rFonts w:ascii="Times New Roman"/>
                <w:sz w:val="21"/>
              </w:rPr>
              <w:t>2011.5.26-</w:t>
            </w:r>
          </w:p>
          <w:p>
            <w:pPr>
              <w:pStyle w:val="TableParagraph"/>
              <w:spacing w:line="240" w:lineRule="auto" w:before="70"/>
              <w:ind w:left="6" w:right="0"/>
              <w:jc w:val="left"/>
              <w:rPr>
                <w:rFonts w:ascii="Times New Roman" w:hAnsi="Times New Roman" w:cs="Times New Roman" w:eastAsia="Times New Roman" w:hint="default"/>
                <w:sz w:val="21"/>
                <w:szCs w:val="21"/>
              </w:rPr>
            </w:pPr>
            <w:r>
              <w:rPr>
                <w:rFonts w:ascii="Times New Roman"/>
                <w:sz w:val="21"/>
              </w:rPr>
              <w:t>2012.6.10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7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73" w:lineRule="auto"/>
              <w:ind w:left="24" w:right="216"/>
              <w:jc w:val="left"/>
              <w:rPr>
                <w:rFonts w:ascii="宋体" w:hAnsi="宋体" w:cs="宋体" w:eastAsia="宋体" w:hint="default"/>
                <w:sz w:val="21"/>
                <w:szCs w:val="21"/>
              </w:rPr>
            </w:pPr>
            <w:r>
              <w:rPr>
                <w:rFonts w:ascii="宋体" w:hAnsi="宋体" w:cs="宋体" w:eastAsia="宋体" w:hint="default"/>
                <w:sz w:val="21"/>
                <w:szCs w:val="21"/>
              </w:rPr>
              <w:t>香港苏宁电器有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57,000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21"/>
                <w:szCs w:val="21"/>
              </w:rPr>
            </w:pPr>
            <w:r>
              <w:rPr>
                <w:rFonts w:ascii="Times New Roman"/>
                <w:sz w:val="21"/>
              </w:rPr>
              <w:t>40,000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4"/>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任保证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 w:right="0"/>
              <w:jc w:val="left"/>
              <w:rPr>
                <w:rFonts w:ascii="Times New Roman" w:hAnsi="Times New Roman" w:cs="Times New Roman" w:eastAsia="Times New Roman" w:hint="default"/>
                <w:sz w:val="21"/>
                <w:szCs w:val="21"/>
              </w:rPr>
            </w:pPr>
            <w:r>
              <w:rPr>
                <w:rFonts w:ascii="Times New Roman"/>
                <w:sz w:val="21"/>
              </w:rPr>
              <w:t>2011.7.21-</w:t>
            </w:r>
          </w:p>
          <w:p>
            <w:pPr>
              <w:pStyle w:val="TableParagraph"/>
              <w:spacing w:line="240" w:lineRule="auto" w:before="70"/>
              <w:ind w:left="6" w:right="0"/>
              <w:jc w:val="left"/>
              <w:rPr>
                <w:rFonts w:ascii="Times New Roman" w:hAnsi="Times New Roman" w:cs="Times New Roman" w:eastAsia="Times New Roman" w:hint="default"/>
                <w:sz w:val="21"/>
                <w:szCs w:val="21"/>
              </w:rPr>
            </w:pPr>
            <w:r>
              <w:rPr>
                <w:rFonts w:ascii="Times New Roman"/>
                <w:sz w:val="21"/>
              </w:rPr>
              <w:t>2012.7.21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27" w:hRule="exact"/>
        </w:trPr>
        <w:tc>
          <w:tcPr>
            <w:tcW w:w="1726" w:type="dxa"/>
            <w:vMerge/>
            <w:tcBorders>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17"/>
              <w:jc w:val="right"/>
              <w:rPr>
                <w:rFonts w:ascii="Times New Roman" w:hAnsi="Times New Roman" w:cs="Times New Roman" w:eastAsia="Times New Roman" w:hint="default"/>
                <w:sz w:val="21"/>
                <w:szCs w:val="21"/>
              </w:rPr>
            </w:pPr>
            <w:r>
              <w:rPr>
                <w:rFonts w:ascii="Times New Roman"/>
                <w:spacing w:val="-1"/>
                <w:sz w:val="21"/>
              </w:rPr>
              <w:t>130,000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p>
          <w:p>
            <w:pPr>
              <w:pStyle w:val="TableParagraph"/>
              <w:spacing w:line="256" w:lineRule="auto" w:before="19"/>
              <w:ind w:left="23" w:right="24"/>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日展</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658" w:type="dxa"/>
            <w:vMerge/>
            <w:tcBorders>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23" w:right="194"/>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任保证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6" w:right="0"/>
              <w:jc w:val="left"/>
              <w:rPr>
                <w:rFonts w:ascii="Times New Roman" w:hAnsi="Times New Roman" w:cs="Times New Roman" w:eastAsia="Times New Roman" w:hint="default"/>
                <w:sz w:val="21"/>
                <w:szCs w:val="21"/>
              </w:rPr>
            </w:pPr>
            <w:r>
              <w:rPr>
                <w:rFonts w:ascii="Times New Roman"/>
                <w:sz w:val="21"/>
              </w:rPr>
              <w:t>2012.7.21-</w:t>
            </w:r>
          </w:p>
          <w:p>
            <w:pPr>
              <w:pStyle w:val="TableParagraph"/>
              <w:spacing w:line="240" w:lineRule="auto" w:before="68"/>
              <w:ind w:left="6" w:right="0"/>
              <w:jc w:val="left"/>
              <w:rPr>
                <w:rFonts w:ascii="Times New Roman" w:hAnsi="Times New Roman" w:cs="Times New Roman" w:eastAsia="Times New Roman" w:hint="default"/>
                <w:sz w:val="21"/>
                <w:szCs w:val="21"/>
              </w:rPr>
            </w:pPr>
            <w:r>
              <w:rPr>
                <w:rFonts w:ascii="Times New Roman"/>
                <w:sz w:val="21"/>
              </w:rPr>
              <w:t>2013.7.21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6"/>
              <w:jc w:val="left"/>
              <w:rPr>
                <w:rFonts w:ascii="宋体" w:hAnsi="宋体" w:cs="宋体" w:eastAsia="宋体" w:hint="default"/>
                <w:sz w:val="21"/>
                <w:szCs w:val="21"/>
              </w:rPr>
            </w:pPr>
            <w:r>
              <w:rPr>
                <w:rFonts w:ascii="宋体" w:hAnsi="宋体" w:cs="宋体" w:eastAsia="宋体" w:hint="default"/>
                <w:sz w:val="21"/>
                <w:szCs w:val="21"/>
              </w:rPr>
              <w:t>香港苏宁电器有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80,000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8</w:t>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4"/>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任保证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 w:right="0"/>
              <w:jc w:val="left"/>
              <w:rPr>
                <w:rFonts w:ascii="Times New Roman" w:hAnsi="Times New Roman" w:cs="Times New Roman" w:eastAsia="Times New Roman" w:hint="default"/>
                <w:sz w:val="21"/>
                <w:szCs w:val="21"/>
              </w:rPr>
            </w:pPr>
            <w:r>
              <w:rPr>
                <w:rFonts w:ascii="Times New Roman"/>
                <w:sz w:val="21"/>
              </w:rPr>
              <w:t>2011.8.15-</w:t>
            </w:r>
          </w:p>
          <w:p>
            <w:pPr>
              <w:pStyle w:val="TableParagraph"/>
              <w:spacing w:line="240" w:lineRule="auto" w:before="71"/>
              <w:ind w:left="6" w:right="0"/>
              <w:jc w:val="left"/>
              <w:rPr>
                <w:rFonts w:ascii="Times New Roman" w:hAnsi="Times New Roman" w:cs="Times New Roman" w:eastAsia="Times New Roman" w:hint="default"/>
                <w:sz w:val="21"/>
                <w:szCs w:val="21"/>
              </w:rPr>
            </w:pPr>
            <w:r>
              <w:rPr>
                <w:rFonts w:ascii="Times New Roman"/>
                <w:sz w:val="21"/>
              </w:rPr>
              <w:t>2012.8.31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6"/>
              <w:jc w:val="left"/>
              <w:rPr>
                <w:rFonts w:ascii="宋体" w:hAnsi="宋体" w:cs="宋体" w:eastAsia="宋体" w:hint="default"/>
                <w:sz w:val="21"/>
                <w:szCs w:val="21"/>
              </w:rPr>
            </w:pPr>
            <w:r>
              <w:rPr>
                <w:rFonts w:ascii="宋体" w:hAnsi="宋体" w:cs="宋体" w:eastAsia="宋体" w:hint="default"/>
                <w:sz w:val="21"/>
                <w:szCs w:val="21"/>
              </w:rPr>
              <w:t>香港苏宁电器有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80,000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4"/>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任保证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 w:right="0"/>
              <w:jc w:val="left"/>
              <w:rPr>
                <w:rFonts w:ascii="Times New Roman" w:hAnsi="Times New Roman" w:cs="Times New Roman" w:eastAsia="Times New Roman" w:hint="default"/>
                <w:sz w:val="21"/>
                <w:szCs w:val="21"/>
              </w:rPr>
            </w:pPr>
            <w:r>
              <w:rPr>
                <w:rFonts w:ascii="Times New Roman"/>
                <w:sz w:val="21"/>
              </w:rPr>
              <w:t>2011.8.19-</w:t>
            </w:r>
          </w:p>
          <w:p>
            <w:pPr>
              <w:pStyle w:val="TableParagraph"/>
              <w:spacing w:line="240" w:lineRule="auto" w:before="70"/>
              <w:ind w:left="6" w:right="0"/>
              <w:jc w:val="left"/>
              <w:rPr>
                <w:rFonts w:ascii="Times New Roman" w:hAnsi="Times New Roman" w:cs="Times New Roman" w:eastAsia="Times New Roman" w:hint="default"/>
                <w:sz w:val="21"/>
                <w:szCs w:val="21"/>
              </w:rPr>
            </w:pPr>
            <w:r>
              <w:rPr>
                <w:rFonts w:ascii="Times New Roman"/>
                <w:sz w:val="21"/>
              </w:rPr>
              <w:t>2012.9.3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6"/>
              <w:jc w:val="left"/>
              <w:rPr>
                <w:rFonts w:ascii="宋体" w:hAnsi="宋体" w:cs="宋体" w:eastAsia="宋体" w:hint="default"/>
                <w:sz w:val="21"/>
                <w:szCs w:val="21"/>
              </w:rPr>
            </w:pPr>
            <w:r>
              <w:rPr>
                <w:rFonts w:ascii="宋体" w:hAnsi="宋体" w:cs="宋体" w:eastAsia="宋体" w:hint="default"/>
                <w:sz w:val="21"/>
                <w:szCs w:val="21"/>
              </w:rPr>
              <w:t>香港苏宁电器有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80,000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4"/>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任保证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 w:right="0"/>
              <w:jc w:val="left"/>
              <w:rPr>
                <w:rFonts w:ascii="Times New Roman" w:hAnsi="Times New Roman" w:cs="Times New Roman" w:eastAsia="Times New Roman" w:hint="default"/>
                <w:sz w:val="21"/>
                <w:szCs w:val="21"/>
              </w:rPr>
            </w:pPr>
            <w:r>
              <w:rPr>
                <w:rFonts w:ascii="Times New Roman"/>
                <w:sz w:val="21"/>
              </w:rPr>
              <w:t>2011.8.27-</w:t>
            </w:r>
          </w:p>
          <w:p>
            <w:pPr>
              <w:pStyle w:val="TableParagraph"/>
              <w:spacing w:line="240" w:lineRule="auto" w:before="70"/>
              <w:ind w:left="6" w:right="0"/>
              <w:jc w:val="left"/>
              <w:rPr>
                <w:rFonts w:ascii="Times New Roman" w:hAnsi="Times New Roman" w:cs="Times New Roman" w:eastAsia="Times New Roman" w:hint="default"/>
                <w:sz w:val="21"/>
                <w:szCs w:val="21"/>
              </w:rPr>
            </w:pPr>
            <w:r>
              <w:rPr>
                <w:rFonts w:ascii="Times New Roman"/>
                <w:sz w:val="21"/>
              </w:rPr>
              <w:t>2012.9.11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6"/>
              <w:jc w:val="left"/>
              <w:rPr>
                <w:rFonts w:ascii="宋体" w:hAnsi="宋体" w:cs="宋体" w:eastAsia="宋体" w:hint="default"/>
                <w:sz w:val="21"/>
                <w:szCs w:val="21"/>
              </w:rPr>
            </w:pPr>
            <w:r>
              <w:rPr>
                <w:rFonts w:ascii="宋体" w:hAnsi="宋体" w:cs="宋体" w:eastAsia="宋体" w:hint="default"/>
                <w:sz w:val="21"/>
                <w:szCs w:val="21"/>
              </w:rPr>
              <w:t>香港苏宁电器有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4"/>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任保证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 w:right="0"/>
              <w:jc w:val="left"/>
              <w:rPr>
                <w:rFonts w:ascii="Times New Roman" w:hAnsi="Times New Roman" w:cs="Times New Roman" w:eastAsia="Times New Roman" w:hint="default"/>
                <w:sz w:val="21"/>
                <w:szCs w:val="21"/>
              </w:rPr>
            </w:pPr>
            <w:r>
              <w:rPr>
                <w:rFonts w:ascii="Times New Roman"/>
                <w:sz w:val="21"/>
              </w:rPr>
              <w:t>2012.9.1-2</w:t>
            </w:r>
          </w:p>
          <w:p>
            <w:pPr>
              <w:pStyle w:val="TableParagraph"/>
              <w:spacing w:line="240" w:lineRule="auto" w:before="70"/>
              <w:ind w:left="6" w:right="0"/>
              <w:jc w:val="left"/>
              <w:rPr>
                <w:rFonts w:ascii="Times New Roman" w:hAnsi="Times New Roman" w:cs="Times New Roman" w:eastAsia="Times New Roman" w:hint="default"/>
                <w:sz w:val="21"/>
                <w:szCs w:val="21"/>
              </w:rPr>
            </w:pPr>
            <w:r>
              <w:rPr>
                <w:rFonts w:ascii="Times New Roman"/>
                <w:sz w:val="21"/>
              </w:rPr>
              <w:t>013.8.31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6"/>
              <w:jc w:val="left"/>
              <w:rPr>
                <w:rFonts w:ascii="宋体" w:hAnsi="宋体" w:cs="宋体" w:eastAsia="宋体" w:hint="default"/>
                <w:sz w:val="21"/>
                <w:szCs w:val="21"/>
              </w:rPr>
            </w:pPr>
            <w:r>
              <w:rPr>
                <w:rFonts w:ascii="宋体" w:hAnsi="宋体" w:cs="宋体" w:eastAsia="宋体" w:hint="default"/>
                <w:sz w:val="21"/>
                <w:szCs w:val="21"/>
              </w:rPr>
              <w:t>香港苏宁电器有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4"/>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任保证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 w:right="0"/>
              <w:jc w:val="left"/>
              <w:rPr>
                <w:rFonts w:ascii="Times New Roman" w:hAnsi="Times New Roman" w:cs="Times New Roman" w:eastAsia="Times New Roman" w:hint="default"/>
                <w:sz w:val="21"/>
                <w:szCs w:val="21"/>
              </w:rPr>
            </w:pPr>
            <w:r>
              <w:rPr>
                <w:rFonts w:ascii="Times New Roman"/>
                <w:sz w:val="21"/>
              </w:rPr>
              <w:t>2012.8.17-</w:t>
            </w:r>
          </w:p>
          <w:p>
            <w:pPr>
              <w:pStyle w:val="TableParagraph"/>
              <w:spacing w:line="240" w:lineRule="auto" w:before="70"/>
              <w:ind w:left="6" w:right="0"/>
              <w:jc w:val="left"/>
              <w:rPr>
                <w:rFonts w:ascii="Times New Roman" w:hAnsi="Times New Roman" w:cs="Times New Roman" w:eastAsia="Times New Roman" w:hint="default"/>
                <w:sz w:val="21"/>
                <w:szCs w:val="21"/>
              </w:rPr>
            </w:pPr>
            <w:r>
              <w:rPr>
                <w:rFonts w:ascii="Times New Roman"/>
                <w:sz w:val="21"/>
              </w:rPr>
              <w:t>2013.8.31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6"/>
              <w:jc w:val="left"/>
              <w:rPr>
                <w:rFonts w:ascii="宋体" w:hAnsi="宋体" w:cs="宋体" w:eastAsia="宋体" w:hint="default"/>
                <w:sz w:val="21"/>
                <w:szCs w:val="21"/>
              </w:rPr>
            </w:pPr>
            <w:r>
              <w:rPr>
                <w:rFonts w:ascii="宋体" w:hAnsi="宋体" w:cs="宋体" w:eastAsia="宋体" w:hint="default"/>
                <w:sz w:val="21"/>
                <w:szCs w:val="21"/>
              </w:rPr>
              <w:t>香港苏宁电器有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4"/>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任保证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 w:right="0"/>
              <w:jc w:val="left"/>
              <w:rPr>
                <w:rFonts w:ascii="Times New Roman" w:hAnsi="Times New Roman" w:cs="Times New Roman" w:eastAsia="Times New Roman" w:hint="default"/>
                <w:sz w:val="21"/>
                <w:szCs w:val="21"/>
              </w:rPr>
            </w:pPr>
            <w:r>
              <w:rPr>
                <w:rFonts w:ascii="Times New Roman"/>
                <w:sz w:val="21"/>
              </w:rPr>
              <w:t>2012.8.17-</w:t>
            </w:r>
          </w:p>
          <w:p>
            <w:pPr>
              <w:pStyle w:val="TableParagraph"/>
              <w:spacing w:line="240" w:lineRule="auto" w:before="70"/>
              <w:ind w:left="6" w:right="0"/>
              <w:jc w:val="left"/>
              <w:rPr>
                <w:rFonts w:ascii="Times New Roman" w:hAnsi="Times New Roman" w:cs="Times New Roman" w:eastAsia="Times New Roman" w:hint="default"/>
                <w:sz w:val="21"/>
                <w:szCs w:val="21"/>
              </w:rPr>
            </w:pPr>
            <w:r>
              <w:rPr>
                <w:rFonts w:ascii="Times New Roman"/>
                <w:sz w:val="21"/>
              </w:rPr>
              <w:t>2013.8.31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6"/>
              <w:jc w:val="left"/>
              <w:rPr>
                <w:rFonts w:ascii="宋体" w:hAnsi="宋体" w:cs="宋体" w:eastAsia="宋体" w:hint="default"/>
                <w:sz w:val="21"/>
                <w:szCs w:val="21"/>
              </w:rPr>
            </w:pPr>
            <w:r>
              <w:rPr>
                <w:rFonts w:ascii="宋体" w:hAnsi="宋体" w:cs="宋体" w:eastAsia="宋体" w:hint="default"/>
                <w:sz w:val="21"/>
                <w:szCs w:val="21"/>
              </w:rPr>
              <w:t>香港苏宁电器有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4"/>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任保证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 w:right="0"/>
              <w:jc w:val="left"/>
              <w:rPr>
                <w:rFonts w:ascii="Times New Roman" w:hAnsi="Times New Roman" w:cs="Times New Roman" w:eastAsia="Times New Roman" w:hint="default"/>
                <w:sz w:val="21"/>
                <w:szCs w:val="21"/>
              </w:rPr>
            </w:pPr>
            <w:r>
              <w:rPr>
                <w:rFonts w:ascii="Times New Roman"/>
                <w:sz w:val="21"/>
              </w:rPr>
              <w:t>2012.8.17-</w:t>
            </w:r>
          </w:p>
          <w:p>
            <w:pPr>
              <w:pStyle w:val="TableParagraph"/>
              <w:spacing w:line="240" w:lineRule="auto" w:before="70"/>
              <w:ind w:left="6" w:right="0"/>
              <w:jc w:val="left"/>
              <w:rPr>
                <w:rFonts w:ascii="Times New Roman" w:hAnsi="Times New Roman" w:cs="Times New Roman" w:eastAsia="Times New Roman" w:hint="default"/>
                <w:sz w:val="21"/>
                <w:szCs w:val="21"/>
              </w:rPr>
            </w:pPr>
            <w:r>
              <w:rPr>
                <w:rFonts w:ascii="Times New Roman"/>
                <w:sz w:val="21"/>
              </w:rPr>
              <w:t>2013.8.31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6"/>
              <w:jc w:val="left"/>
              <w:rPr>
                <w:rFonts w:ascii="宋体" w:hAnsi="宋体" w:cs="宋体" w:eastAsia="宋体" w:hint="default"/>
                <w:sz w:val="21"/>
                <w:szCs w:val="21"/>
              </w:rPr>
            </w:pPr>
            <w:r>
              <w:rPr>
                <w:rFonts w:ascii="宋体" w:hAnsi="宋体" w:cs="宋体" w:eastAsia="宋体" w:hint="default"/>
                <w:sz w:val="21"/>
                <w:szCs w:val="21"/>
              </w:rPr>
              <w:t>香港苏宁电器有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4"/>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任保证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 w:right="0"/>
              <w:jc w:val="left"/>
              <w:rPr>
                <w:rFonts w:ascii="Times New Roman" w:hAnsi="Times New Roman" w:cs="Times New Roman" w:eastAsia="Times New Roman" w:hint="default"/>
                <w:sz w:val="21"/>
                <w:szCs w:val="21"/>
              </w:rPr>
            </w:pPr>
            <w:r>
              <w:rPr>
                <w:rFonts w:ascii="Times New Roman"/>
                <w:sz w:val="21"/>
              </w:rPr>
              <w:t>2012.12.13</w:t>
            </w:r>
          </w:p>
          <w:p>
            <w:pPr>
              <w:pStyle w:val="TableParagraph"/>
              <w:spacing w:line="240" w:lineRule="auto" w:before="70"/>
              <w:ind w:left="6" w:right="0"/>
              <w:jc w:val="left"/>
              <w:rPr>
                <w:rFonts w:ascii="Times New Roman" w:hAnsi="Times New Roman" w:cs="Times New Roman" w:eastAsia="Times New Roman" w:hint="default"/>
                <w:sz w:val="21"/>
                <w:szCs w:val="21"/>
              </w:rPr>
            </w:pPr>
            <w:r>
              <w:rPr>
                <w:rFonts w:ascii="Times New Roman"/>
                <w:sz w:val="21"/>
              </w:rPr>
              <w:t>-2014.1.3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7" w:hRule="exact"/>
        </w:trPr>
        <w:tc>
          <w:tcPr>
            <w:tcW w:w="34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872" w:type="dxa"/>
            <w:gridSpan w:val="2"/>
            <w:vMerge w:val="restart"/>
            <w:tcBorders>
              <w:top w:val="single" w:sz="4" w:space="0" w:color="000000"/>
              <w:left w:val="single" w:sz="10" w:space="0" w:color="D2D2D2"/>
              <w:right w:val="single" w:sz="14" w:space="0" w:color="D2D2D2"/>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Times New Roman" w:hAnsi="Times New Roman" w:cs="Times New Roman" w:eastAsia="Times New Roman" w:hint="default"/>
                <w:sz w:val="21"/>
                <w:szCs w:val="21"/>
              </w:rPr>
            </w:pPr>
            <w:r>
              <w:rPr>
                <w:rFonts w:ascii="Times New Roman"/>
                <w:sz w:val="21"/>
              </w:rPr>
              <w:t>90,000</w:t>
            </w:r>
          </w:p>
        </w:tc>
        <w:tc>
          <w:tcPr>
            <w:tcW w:w="15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43" w:right="202"/>
              <w:jc w:val="both"/>
              <w:rPr>
                <w:rFonts w:ascii="宋体" w:hAnsi="宋体" w:cs="宋体" w:eastAsia="宋体" w:hint="default"/>
                <w:sz w:val="21"/>
                <w:szCs w:val="21"/>
              </w:rPr>
            </w:pPr>
            <w:r>
              <w:rPr>
                <w:rFonts w:ascii="宋体" w:hAnsi="宋体" w:cs="宋体" w:eastAsia="宋体" w:hint="default"/>
                <w:sz w:val="21"/>
                <w:szCs w:val="21"/>
              </w:rPr>
              <w:t>报告期内对子</w:t>
            </w:r>
            <w:r>
              <w:rPr>
                <w:rFonts w:ascii="宋体" w:hAnsi="宋体" w:cs="宋体" w:eastAsia="宋体" w:hint="default"/>
                <w:w w:val="100"/>
                <w:sz w:val="21"/>
                <w:szCs w:val="21"/>
              </w:rPr>
              <w:t> </w:t>
            </w:r>
            <w:r>
              <w:rPr>
                <w:rFonts w:ascii="宋体" w:hAnsi="宋体" w:cs="宋体" w:eastAsia="宋体" w:hint="default"/>
                <w:sz w:val="21"/>
                <w:szCs w:val="21"/>
              </w:rPr>
              <w:t>公司担保实际</w:t>
            </w:r>
            <w:r>
              <w:rPr>
                <w:rFonts w:ascii="宋体" w:hAnsi="宋体" w:cs="宋体" w:eastAsia="宋体" w:hint="default"/>
                <w:w w:val="100"/>
                <w:sz w:val="21"/>
                <w:szCs w:val="21"/>
              </w:rPr>
              <w:t> </w:t>
            </w:r>
            <w:r>
              <w:rPr>
                <w:rFonts w:ascii="宋体" w:hAnsi="宋体" w:cs="宋体" w:eastAsia="宋体" w:hint="default"/>
                <w:sz w:val="21"/>
                <w:szCs w:val="21"/>
              </w:rPr>
              <w:t>发生额合计</w:t>
            </w:r>
          </w:p>
          <w:p>
            <w:pPr>
              <w:pStyle w:val="TableParagraph"/>
              <w:spacing w:line="240" w:lineRule="auto" w:before="7"/>
              <w:ind w:left="43"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B2</w:t>
            </w:r>
            <w:r>
              <w:rPr>
                <w:rFonts w:ascii="宋体" w:hAnsi="宋体" w:cs="宋体" w:eastAsia="宋体" w:hint="default"/>
                <w:sz w:val="21"/>
                <w:szCs w:val="21"/>
              </w:rPr>
              <w:t>）</w:t>
            </w:r>
          </w:p>
        </w:tc>
        <w:tc>
          <w:tcPr>
            <w:tcW w:w="2947" w:type="dxa"/>
            <w:gridSpan w:val="3"/>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200,000</w:t>
            </w:r>
          </w:p>
        </w:tc>
      </w:tr>
      <w:tr>
        <w:trPr>
          <w:trHeight w:val="624" w:hRule="exact"/>
        </w:trPr>
        <w:tc>
          <w:tcPr>
            <w:tcW w:w="343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报告期内审批对子公司担保额度合计</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B</w:t>
            </w:r>
            <w:r>
              <w:rPr>
                <w:rFonts w:ascii="Times New Roman" w:hAnsi="Times New Roman" w:cs="Times New Roman" w:eastAsia="Times New Roman" w:hint="default"/>
                <w:spacing w:val="-3"/>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注）</w:t>
            </w:r>
          </w:p>
        </w:tc>
        <w:tc>
          <w:tcPr>
            <w:tcW w:w="1872" w:type="dxa"/>
            <w:gridSpan w:val="2"/>
            <w:vMerge/>
            <w:tcBorders>
              <w:left w:val="single" w:sz="10" w:space="0" w:color="D2D2D2"/>
              <w:right w:val="single" w:sz="14" w:space="0" w:color="D2D2D2"/>
            </w:tcBorders>
          </w:tcPr>
          <w:p>
            <w:pPr/>
          </w:p>
        </w:tc>
        <w:tc>
          <w:tcPr>
            <w:tcW w:w="1520" w:type="dxa"/>
            <w:gridSpan w:val="2"/>
            <w:vMerge/>
            <w:tcBorders>
              <w:left w:val="single" w:sz="4" w:space="0" w:color="000000"/>
              <w:right w:val="single" w:sz="4" w:space="0" w:color="000000"/>
            </w:tcBorders>
            <w:shd w:val="clear" w:color="auto" w:fill="D2D2D2"/>
          </w:tcPr>
          <w:p>
            <w:pPr/>
          </w:p>
        </w:tc>
        <w:tc>
          <w:tcPr>
            <w:tcW w:w="2947" w:type="dxa"/>
            <w:gridSpan w:val="3"/>
            <w:vMerge/>
            <w:tcBorders>
              <w:left w:val="single" w:sz="10" w:space="0" w:color="D2D2D2"/>
              <w:right w:val="single" w:sz="4" w:space="0" w:color="000000"/>
            </w:tcBorders>
          </w:tcPr>
          <w:p>
            <w:pPr/>
          </w:p>
        </w:tc>
      </w:tr>
      <w:tr>
        <w:trPr>
          <w:trHeight w:val="318" w:hRule="exact"/>
        </w:trPr>
        <w:tc>
          <w:tcPr>
            <w:tcW w:w="34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872" w:type="dxa"/>
            <w:gridSpan w:val="2"/>
            <w:vMerge/>
            <w:tcBorders>
              <w:left w:val="single" w:sz="10" w:space="0" w:color="D2D2D2"/>
              <w:bottom w:val="single" w:sz="4" w:space="0" w:color="000000"/>
              <w:right w:val="single" w:sz="14" w:space="0" w:color="D2D2D2"/>
            </w:tcBorders>
          </w:tcPr>
          <w:p>
            <w:pPr/>
          </w:p>
        </w:tc>
        <w:tc>
          <w:tcPr>
            <w:tcW w:w="1520" w:type="dxa"/>
            <w:gridSpan w:val="2"/>
            <w:vMerge/>
            <w:tcBorders>
              <w:left w:val="single" w:sz="4" w:space="0" w:color="000000"/>
              <w:bottom w:val="single" w:sz="4" w:space="0" w:color="000000"/>
              <w:right w:val="single" w:sz="4" w:space="0" w:color="000000"/>
            </w:tcBorders>
            <w:shd w:val="clear" w:color="auto" w:fill="D2D2D2"/>
          </w:tcPr>
          <w:p>
            <w:pPr/>
          </w:p>
        </w:tc>
        <w:tc>
          <w:tcPr>
            <w:tcW w:w="2947" w:type="dxa"/>
            <w:gridSpan w:val="3"/>
            <w:vMerge/>
            <w:tcBorders>
              <w:left w:val="single" w:sz="10" w:space="0" w:color="D2D2D2"/>
              <w:bottom w:val="single" w:sz="4" w:space="0" w:color="000000"/>
              <w:right w:val="single" w:sz="4" w:space="0" w:color="000000"/>
            </w:tcBorders>
          </w:tcPr>
          <w:p>
            <w:pPr/>
          </w:p>
        </w:tc>
      </w:tr>
      <w:tr>
        <w:trPr>
          <w:trHeight w:val="162" w:hRule="exact"/>
        </w:trPr>
        <w:tc>
          <w:tcPr>
            <w:tcW w:w="34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872" w:type="dxa"/>
            <w:gridSpan w:val="2"/>
            <w:vMerge w:val="restart"/>
            <w:tcBorders>
              <w:top w:val="single" w:sz="4" w:space="0" w:color="000000"/>
              <w:left w:val="single" w:sz="10" w:space="0" w:color="D2D2D2"/>
              <w:right w:val="single" w:sz="14" w:space="0" w:color="D2D2D2"/>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171" w:right="-13"/>
              <w:jc w:val="left"/>
              <w:rPr>
                <w:rFonts w:ascii="Times New Roman" w:hAnsi="Times New Roman" w:cs="Times New Roman" w:eastAsia="Times New Roman" w:hint="default"/>
                <w:sz w:val="21"/>
                <w:szCs w:val="21"/>
              </w:rPr>
            </w:pPr>
            <w:r>
              <w:rPr>
                <w:rFonts w:ascii="Times New Roman"/>
                <w:sz w:val="21"/>
              </w:rPr>
              <w:t>257,000</w:t>
            </w:r>
          </w:p>
        </w:tc>
        <w:tc>
          <w:tcPr>
            <w:tcW w:w="15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43" w:right="165"/>
              <w:jc w:val="both"/>
              <w:rPr>
                <w:rFonts w:ascii="Times New Roman" w:hAnsi="Times New Roman" w:cs="Times New Roman" w:eastAsia="Times New Roman" w:hint="default"/>
                <w:sz w:val="21"/>
                <w:szCs w:val="21"/>
              </w:rPr>
            </w:pPr>
            <w:r>
              <w:rPr>
                <w:rFonts w:ascii="宋体" w:hAnsi="宋体" w:cs="宋体" w:eastAsia="宋体" w:hint="default"/>
                <w:sz w:val="21"/>
                <w:szCs w:val="21"/>
              </w:rPr>
              <w:t>报告期末对子</w:t>
            </w:r>
            <w:r>
              <w:rPr>
                <w:rFonts w:ascii="宋体" w:hAnsi="宋体" w:cs="宋体" w:eastAsia="宋体" w:hint="default"/>
                <w:w w:val="100"/>
                <w:sz w:val="21"/>
                <w:szCs w:val="21"/>
              </w:rPr>
              <w:t> </w:t>
            </w:r>
            <w:r>
              <w:rPr>
                <w:rFonts w:ascii="宋体" w:hAnsi="宋体" w:cs="宋体" w:eastAsia="宋体" w:hint="default"/>
                <w:sz w:val="21"/>
                <w:szCs w:val="21"/>
              </w:rPr>
              <w:t>公司实际担保</w:t>
            </w:r>
            <w:r>
              <w:rPr>
                <w:rFonts w:ascii="宋体" w:hAnsi="宋体" w:cs="宋体" w:eastAsia="宋体" w:hint="default"/>
                <w:w w:val="100"/>
                <w:sz w:val="21"/>
                <w:szCs w:val="21"/>
              </w:rPr>
              <w:t> </w:t>
            </w:r>
            <w:r>
              <w:rPr>
                <w:rFonts w:ascii="宋体" w:hAnsi="宋体" w:cs="宋体" w:eastAsia="宋体" w:hint="default"/>
                <w:sz w:val="21"/>
                <w:szCs w:val="21"/>
              </w:rPr>
              <w:t>余额合计（</w:t>
            </w:r>
            <w:r>
              <w:rPr>
                <w:rFonts w:ascii="Times New Roman" w:hAnsi="Times New Roman" w:cs="Times New Roman" w:eastAsia="Times New Roman" w:hint="default"/>
                <w:sz w:val="21"/>
                <w:szCs w:val="21"/>
              </w:rPr>
              <w:t>B4</w:t>
            </w:r>
          </w:p>
        </w:tc>
        <w:tc>
          <w:tcPr>
            <w:tcW w:w="2947" w:type="dxa"/>
            <w:gridSpan w:val="3"/>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7"/>
              <w:jc w:val="right"/>
              <w:rPr>
                <w:rFonts w:ascii="Times New Roman" w:hAnsi="Times New Roman" w:cs="Times New Roman" w:eastAsia="Times New Roman" w:hint="default"/>
                <w:sz w:val="21"/>
                <w:szCs w:val="21"/>
              </w:rPr>
            </w:pPr>
            <w:r>
              <w:rPr>
                <w:rFonts w:ascii="Times New Roman"/>
                <w:spacing w:val="-1"/>
                <w:sz w:val="21"/>
              </w:rPr>
              <w:t>130,000</w:t>
            </w:r>
          </w:p>
        </w:tc>
      </w:tr>
      <w:tr>
        <w:trPr>
          <w:trHeight w:val="624" w:hRule="exact"/>
        </w:trPr>
        <w:tc>
          <w:tcPr>
            <w:tcW w:w="343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24" w:right="32"/>
              <w:jc w:val="left"/>
              <w:rPr>
                <w:rFonts w:ascii="宋体" w:hAnsi="宋体" w:cs="宋体" w:eastAsia="宋体" w:hint="default"/>
                <w:sz w:val="21"/>
                <w:szCs w:val="21"/>
              </w:rPr>
            </w:pPr>
            <w:r>
              <w:rPr>
                <w:rFonts w:ascii="宋体" w:hAnsi="宋体" w:cs="宋体" w:eastAsia="宋体" w:hint="default"/>
                <w:spacing w:val="-2"/>
                <w:sz w:val="21"/>
                <w:szCs w:val="21"/>
              </w:rPr>
              <w:t>报告期末已审批的对子公司担保额度</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合计（</w:t>
            </w:r>
            <w:r>
              <w:rPr>
                <w:rFonts w:ascii="Times New Roman" w:hAnsi="Times New Roman" w:cs="Times New Roman" w:eastAsia="Times New Roman" w:hint="default"/>
                <w:sz w:val="21"/>
                <w:szCs w:val="21"/>
              </w:rPr>
              <w:t>B3</w:t>
            </w:r>
            <w:r>
              <w:rPr>
                <w:rFonts w:ascii="宋体" w:hAnsi="宋体" w:cs="宋体" w:eastAsia="宋体" w:hint="default"/>
                <w:sz w:val="21"/>
                <w:szCs w:val="21"/>
              </w:rPr>
              <w:t>）</w:t>
            </w:r>
          </w:p>
        </w:tc>
        <w:tc>
          <w:tcPr>
            <w:tcW w:w="1872" w:type="dxa"/>
            <w:gridSpan w:val="2"/>
            <w:vMerge/>
            <w:tcBorders>
              <w:left w:val="single" w:sz="10" w:space="0" w:color="D2D2D2"/>
              <w:right w:val="single" w:sz="14" w:space="0" w:color="D2D2D2"/>
            </w:tcBorders>
          </w:tcPr>
          <w:p>
            <w:pPr/>
          </w:p>
        </w:tc>
        <w:tc>
          <w:tcPr>
            <w:tcW w:w="1520" w:type="dxa"/>
            <w:gridSpan w:val="2"/>
            <w:vMerge/>
            <w:tcBorders>
              <w:left w:val="single" w:sz="4" w:space="0" w:color="000000"/>
              <w:right w:val="single" w:sz="4" w:space="0" w:color="000000"/>
            </w:tcBorders>
            <w:shd w:val="clear" w:color="auto" w:fill="D2D2D2"/>
          </w:tcPr>
          <w:p>
            <w:pPr/>
          </w:p>
        </w:tc>
        <w:tc>
          <w:tcPr>
            <w:tcW w:w="2947" w:type="dxa"/>
            <w:gridSpan w:val="3"/>
            <w:vMerge/>
            <w:tcBorders>
              <w:left w:val="single" w:sz="10" w:space="0" w:color="D2D2D2"/>
              <w:right w:val="single" w:sz="4" w:space="0" w:color="000000"/>
            </w:tcBorders>
          </w:tcPr>
          <w:p>
            <w:pPr/>
          </w:p>
        </w:tc>
      </w:tr>
      <w:tr>
        <w:trPr>
          <w:trHeight w:val="166" w:hRule="exact"/>
        </w:trPr>
        <w:tc>
          <w:tcPr>
            <w:tcW w:w="34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872" w:type="dxa"/>
            <w:gridSpan w:val="2"/>
            <w:vMerge/>
            <w:tcBorders>
              <w:left w:val="single" w:sz="10" w:space="0" w:color="D2D2D2"/>
              <w:bottom w:val="single" w:sz="4" w:space="0" w:color="000000"/>
              <w:right w:val="single" w:sz="14" w:space="0" w:color="D2D2D2"/>
            </w:tcBorders>
          </w:tcPr>
          <w:p>
            <w:pPr/>
          </w:p>
        </w:tc>
        <w:tc>
          <w:tcPr>
            <w:tcW w:w="1520" w:type="dxa"/>
            <w:gridSpan w:val="2"/>
            <w:vMerge/>
            <w:tcBorders>
              <w:left w:val="single" w:sz="4" w:space="0" w:color="000000"/>
              <w:bottom w:val="single" w:sz="4" w:space="0" w:color="000000"/>
              <w:right w:val="single" w:sz="4" w:space="0" w:color="000000"/>
            </w:tcBorders>
            <w:shd w:val="clear" w:color="auto" w:fill="D2D2D2"/>
          </w:tcPr>
          <w:p>
            <w:pPr/>
          </w:p>
        </w:tc>
        <w:tc>
          <w:tcPr>
            <w:tcW w:w="2947" w:type="dxa"/>
            <w:gridSpan w:val="3"/>
            <w:vMerge/>
            <w:tcBorders>
              <w:left w:val="single" w:sz="10" w:space="0" w:color="D2D2D2"/>
              <w:bottom w:val="single" w:sz="4" w:space="0" w:color="000000"/>
              <w:right w:val="single" w:sz="4" w:space="0" w:color="000000"/>
            </w:tcBorders>
          </w:tcPr>
          <w:p>
            <w:pPr/>
          </w:p>
        </w:tc>
      </w:tr>
      <w:tr>
        <w:trPr>
          <w:trHeight w:val="312" w:hRule="exact"/>
        </w:trPr>
        <w:tc>
          <w:tcPr>
            <w:tcW w:w="97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公司担保总额（即前两大项的合计）</w:t>
            </w:r>
          </w:p>
        </w:tc>
      </w:tr>
      <w:tr>
        <w:trPr>
          <w:trHeight w:val="322" w:hRule="exact"/>
        </w:trPr>
        <w:tc>
          <w:tcPr>
            <w:tcW w:w="34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tcBorders>
              <w:top w:val="single" w:sz="4" w:space="0" w:color="000000"/>
              <w:left w:val="single" w:sz="4" w:space="0" w:color="000000"/>
              <w:bottom w:val="nil" w:sz="6" w:space="0" w:color="auto"/>
              <w:right w:val="nil" w:sz="6" w:space="0" w:color="auto"/>
            </w:tcBorders>
          </w:tcPr>
          <w:p>
            <w:pPr/>
          </w:p>
        </w:tc>
        <w:tc>
          <w:tcPr>
            <w:tcW w:w="1008" w:type="dxa"/>
            <w:tcBorders>
              <w:top w:val="single" w:sz="4" w:space="0" w:color="000000"/>
              <w:left w:val="nil" w:sz="6" w:space="0" w:color="auto"/>
              <w:bottom w:val="nil" w:sz="6" w:space="0" w:color="auto"/>
              <w:right w:val="single" w:sz="10" w:space="0" w:color="D2D2D2"/>
            </w:tcBorders>
          </w:tcPr>
          <w:p>
            <w:pPr/>
          </w:p>
        </w:tc>
        <w:tc>
          <w:tcPr>
            <w:tcW w:w="15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5" w:right="39"/>
              <w:jc w:val="left"/>
              <w:rPr>
                <w:rFonts w:ascii="宋体" w:hAnsi="宋体" w:cs="宋体" w:eastAsia="宋体" w:hint="default"/>
                <w:sz w:val="21"/>
                <w:szCs w:val="21"/>
              </w:rPr>
            </w:pPr>
            <w:r>
              <w:rPr>
                <w:rFonts w:ascii="宋体" w:hAnsi="宋体" w:cs="宋体" w:eastAsia="宋体" w:hint="default"/>
                <w:sz w:val="21"/>
                <w:szCs w:val="21"/>
              </w:rPr>
              <w:t>报告期内担保实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际发生额合计</w:t>
            </w:r>
          </w:p>
          <w:p>
            <w:pPr>
              <w:pStyle w:val="TableParagraph"/>
              <w:spacing w:line="240" w:lineRule="auto" w:before="7"/>
              <w:ind w:left="-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A2+B2</w:t>
            </w:r>
            <w:r>
              <w:rPr>
                <w:rFonts w:ascii="宋体" w:hAnsi="宋体" w:cs="宋体" w:eastAsia="宋体" w:hint="default"/>
                <w:sz w:val="21"/>
                <w:szCs w:val="21"/>
              </w:rPr>
              <w:t>）</w:t>
            </w:r>
          </w:p>
        </w:tc>
        <w:tc>
          <w:tcPr>
            <w:tcW w:w="2947" w:type="dxa"/>
            <w:gridSpan w:val="3"/>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7"/>
              <w:jc w:val="right"/>
              <w:rPr>
                <w:rFonts w:ascii="Times New Roman" w:hAnsi="Times New Roman" w:cs="Times New Roman" w:eastAsia="Times New Roman" w:hint="default"/>
                <w:sz w:val="21"/>
                <w:szCs w:val="21"/>
              </w:rPr>
            </w:pPr>
            <w:r>
              <w:rPr>
                <w:rFonts w:ascii="Times New Roman"/>
                <w:spacing w:val="-1"/>
                <w:sz w:val="21"/>
              </w:rPr>
              <w:t>200,000</w:t>
            </w:r>
          </w:p>
        </w:tc>
      </w:tr>
      <w:tr>
        <w:trPr>
          <w:trHeight w:val="312" w:hRule="exact"/>
        </w:trPr>
        <w:tc>
          <w:tcPr>
            <w:tcW w:w="343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报告期内审批担保额度合计（</w:t>
            </w:r>
            <w:r>
              <w:rPr>
                <w:rFonts w:ascii="Times New Roman" w:hAnsi="Times New Roman" w:cs="Times New Roman" w:eastAsia="Times New Roman" w:hint="default"/>
                <w:spacing w:val="-6"/>
                <w:sz w:val="21"/>
                <w:szCs w:val="21"/>
              </w:rPr>
              <w:t>A1+B1</w:t>
            </w:r>
          </w:p>
        </w:tc>
        <w:tc>
          <w:tcPr>
            <w:tcW w:w="864" w:type="dxa"/>
            <w:tcBorders>
              <w:top w:val="nil" w:sz="6" w:space="0" w:color="auto"/>
              <w:left w:val="single" w:sz="13" w:space="0" w:color="D2D2D2"/>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single" w:sz="10" w:space="0" w:color="D2D2D2"/>
            </w:tcBorders>
          </w:tcPr>
          <w:p>
            <w:pPr>
              <w:pStyle w:val="TableParagraph"/>
              <w:spacing w:line="240" w:lineRule="auto" w:before="34"/>
              <w:ind w:left="374" w:right="0"/>
              <w:jc w:val="left"/>
              <w:rPr>
                <w:rFonts w:ascii="Times New Roman" w:hAnsi="Times New Roman" w:cs="Times New Roman" w:eastAsia="Times New Roman" w:hint="default"/>
                <w:sz w:val="21"/>
                <w:szCs w:val="21"/>
              </w:rPr>
            </w:pPr>
            <w:r>
              <w:rPr>
                <w:rFonts w:ascii="Times New Roman"/>
                <w:sz w:val="21"/>
              </w:rPr>
              <w:t>90,000</w:t>
            </w:r>
          </w:p>
        </w:tc>
        <w:tc>
          <w:tcPr>
            <w:tcW w:w="1520" w:type="dxa"/>
            <w:gridSpan w:val="2"/>
            <w:vMerge/>
            <w:tcBorders>
              <w:left w:val="single" w:sz="4" w:space="0" w:color="000000"/>
              <w:right w:val="single" w:sz="4" w:space="0" w:color="000000"/>
            </w:tcBorders>
            <w:shd w:val="clear" w:color="auto" w:fill="D2D2D2"/>
          </w:tcPr>
          <w:p>
            <w:pPr/>
          </w:p>
        </w:tc>
        <w:tc>
          <w:tcPr>
            <w:tcW w:w="2947" w:type="dxa"/>
            <w:gridSpan w:val="3"/>
            <w:vMerge/>
            <w:tcBorders>
              <w:left w:val="single" w:sz="12" w:space="0" w:color="D2D2D2"/>
              <w:right w:val="single" w:sz="4" w:space="0" w:color="000000"/>
            </w:tcBorders>
          </w:tcPr>
          <w:p>
            <w:pPr/>
          </w:p>
        </w:tc>
      </w:tr>
      <w:tr>
        <w:trPr>
          <w:trHeight w:val="317" w:hRule="exact"/>
        </w:trPr>
        <w:tc>
          <w:tcPr>
            <w:tcW w:w="34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tcBorders>
              <w:top w:val="nil" w:sz="6" w:space="0" w:color="auto"/>
              <w:left w:val="single" w:sz="4" w:space="0" w:color="000000"/>
              <w:bottom w:val="single" w:sz="4" w:space="0" w:color="000000"/>
              <w:right w:val="nil" w:sz="6" w:space="0" w:color="auto"/>
            </w:tcBorders>
          </w:tcPr>
          <w:p>
            <w:pPr/>
          </w:p>
        </w:tc>
        <w:tc>
          <w:tcPr>
            <w:tcW w:w="1008" w:type="dxa"/>
            <w:tcBorders>
              <w:top w:val="nil" w:sz="6" w:space="0" w:color="auto"/>
              <w:left w:val="nil" w:sz="6" w:space="0" w:color="auto"/>
              <w:bottom w:val="single" w:sz="4" w:space="0" w:color="000000"/>
              <w:right w:val="single" w:sz="10" w:space="0" w:color="D2D2D2"/>
            </w:tcBorders>
          </w:tcPr>
          <w:p>
            <w:pPr/>
          </w:p>
        </w:tc>
        <w:tc>
          <w:tcPr>
            <w:tcW w:w="1520" w:type="dxa"/>
            <w:gridSpan w:val="2"/>
            <w:vMerge/>
            <w:tcBorders>
              <w:left w:val="single" w:sz="4" w:space="0" w:color="000000"/>
              <w:bottom w:val="single" w:sz="4" w:space="0" w:color="000000"/>
              <w:right w:val="single" w:sz="4" w:space="0" w:color="000000"/>
            </w:tcBorders>
            <w:shd w:val="clear" w:color="auto" w:fill="D2D2D2"/>
          </w:tcPr>
          <w:p>
            <w:pPr/>
          </w:p>
        </w:tc>
        <w:tc>
          <w:tcPr>
            <w:tcW w:w="2947" w:type="dxa"/>
            <w:gridSpan w:val="3"/>
            <w:vMerge/>
            <w:tcBorders>
              <w:left w:val="single" w:sz="12" w:space="0" w:color="D2D2D2"/>
              <w:bottom w:val="single" w:sz="4" w:space="0" w:color="000000"/>
              <w:right w:val="single" w:sz="4" w:space="0" w:color="000000"/>
            </w:tcBorders>
          </w:tcPr>
          <w:p>
            <w:pPr/>
          </w:p>
        </w:tc>
      </w:tr>
      <w:tr>
        <w:trPr>
          <w:trHeight w:val="161" w:hRule="exact"/>
        </w:trPr>
        <w:tc>
          <w:tcPr>
            <w:tcW w:w="34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872"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123" w:right="0"/>
              <w:jc w:val="left"/>
              <w:rPr>
                <w:rFonts w:ascii="Times New Roman" w:hAnsi="Times New Roman" w:cs="Times New Roman" w:eastAsia="Times New Roman" w:hint="default"/>
                <w:sz w:val="21"/>
                <w:szCs w:val="21"/>
              </w:rPr>
            </w:pPr>
            <w:r>
              <w:rPr>
                <w:rFonts w:ascii="Times New Roman"/>
                <w:sz w:val="21"/>
              </w:rPr>
              <w:t>257,000</w:t>
            </w:r>
          </w:p>
        </w:tc>
        <w:tc>
          <w:tcPr>
            <w:tcW w:w="15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5" w:right="39"/>
              <w:jc w:val="left"/>
              <w:rPr>
                <w:rFonts w:ascii="宋体" w:hAnsi="宋体" w:cs="宋体" w:eastAsia="宋体" w:hint="default"/>
                <w:sz w:val="21"/>
                <w:szCs w:val="21"/>
              </w:rPr>
            </w:pPr>
            <w:r>
              <w:rPr>
                <w:rFonts w:ascii="宋体" w:hAnsi="宋体" w:cs="宋体" w:eastAsia="宋体" w:hint="default"/>
                <w:sz w:val="21"/>
                <w:szCs w:val="21"/>
              </w:rPr>
              <w:t>报告期末实际担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保余额合计</w:t>
            </w:r>
          </w:p>
          <w:p>
            <w:pPr>
              <w:pStyle w:val="TableParagraph"/>
              <w:spacing w:line="240" w:lineRule="auto" w:before="7"/>
              <w:ind w:left="-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A4+B4</w:t>
            </w:r>
            <w:r>
              <w:rPr>
                <w:rFonts w:ascii="宋体" w:hAnsi="宋体" w:cs="宋体" w:eastAsia="宋体" w:hint="default"/>
                <w:sz w:val="21"/>
                <w:szCs w:val="21"/>
              </w:rPr>
              <w:t>）</w:t>
            </w:r>
          </w:p>
        </w:tc>
        <w:tc>
          <w:tcPr>
            <w:tcW w:w="2947" w:type="dxa"/>
            <w:gridSpan w:val="3"/>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spacing w:val="-1"/>
                <w:sz w:val="21"/>
              </w:rPr>
              <w:t>130,000</w:t>
            </w:r>
          </w:p>
        </w:tc>
      </w:tr>
      <w:tr>
        <w:trPr>
          <w:trHeight w:val="624" w:hRule="exact"/>
        </w:trPr>
        <w:tc>
          <w:tcPr>
            <w:tcW w:w="343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报告期末已审批的担保额度合计</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A3+B3</w:t>
            </w:r>
            <w:r>
              <w:rPr>
                <w:rFonts w:ascii="宋体" w:hAnsi="宋体" w:cs="宋体" w:eastAsia="宋体" w:hint="default"/>
                <w:sz w:val="21"/>
                <w:szCs w:val="21"/>
              </w:rPr>
              <w:t>）</w:t>
            </w:r>
          </w:p>
        </w:tc>
        <w:tc>
          <w:tcPr>
            <w:tcW w:w="1872" w:type="dxa"/>
            <w:gridSpan w:val="2"/>
            <w:vMerge/>
            <w:tcBorders>
              <w:left w:val="single" w:sz="10" w:space="0" w:color="D2D2D2"/>
              <w:right w:val="single" w:sz="10" w:space="0" w:color="D2D2D2"/>
            </w:tcBorders>
          </w:tcPr>
          <w:p>
            <w:pPr/>
          </w:p>
        </w:tc>
        <w:tc>
          <w:tcPr>
            <w:tcW w:w="1520" w:type="dxa"/>
            <w:gridSpan w:val="2"/>
            <w:vMerge/>
            <w:tcBorders>
              <w:left w:val="single" w:sz="4" w:space="0" w:color="000000"/>
              <w:right w:val="single" w:sz="4" w:space="0" w:color="000000"/>
            </w:tcBorders>
            <w:shd w:val="clear" w:color="auto" w:fill="D2D2D2"/>
          </w:tcPr>
          <w:p>
            <w:pPr/>
          </w:p>
        </w:tc>
        <w:tc>
          <w:tcPr>
            <w:tcW w:w="2947" w:type="dxa"/>
            <w:gridSpan w:val="3"/>
            <w:vMerge/>
            <w:tcBorders>
              <w:left w:val="single" w:sz="12" w:space="0" w:color="D2D2D2"/>
              <w:right w:val="single" w:sz="4" w:space="0" w:color="000000"/>
            </w:tcBorders>
          </w:tcPr>
          <w:p>
            <w:pPr/>
          </w:p>
        </w:tc>
      </w:tr>
      <w:tr>
        <w:trPr>
          <w:trHeight w:val="161" w:hRule="exact"/>
        </w:trPr>
        <w:tc>
          <w:tcPr>
            <w:tcW w:w="34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872" w:type="dxa"/>
            <w:gridSpan w:val="2"/>
            <w:vMerge/>
            <w:tcBorders>
              <w:left w:val="single" w:sz="10" w:space="0" w:color="D2D2D2"/>
              <w:bottom w:val="single" w:sz="4" w:space="0" w:color="000000"/>
              <w:right w:val="single" w:sz="10" w:space="0" w:color="D2D2D2"/>
            </w:tcBorders>
          </w:tcPr>
          <w:p>
            <w:pPr/>
          </w:p>
        </w:tc>
        <w:tc>
          <w:tcPr>
            <w:tcW w:w="1520" w:type="dxa"/>
            <w:gridSpan w:val="2"/>
            <w:vMerge/>
            <w:tcBorders>
              <w:left w:val="single" w:sz="4" w:space="0" w:color="000000"/>
              <w:bottom w:val="single" w:sz="4" w:space="0" w:color="000000"/>
              <w:right w:val="single" w:sz="4" w:space="0" w:color="000000"/>
            </w:tcBorders>
            <w:shd w:val="clear" w:color="auto" w:fill="D2D2D2"/>
          </w:tcPr>
          <w:p>
            <w:pPr/>
          </w:p>
        </w:tc>
        <w:tc>
          <w:tcPr>
            <w:tcW w:w="2947" w:type="dxa"/>
            <w:gridSpan w:val="3"/>
            <w:vMerge/>
            <w:tcBorders>
              <w:left w:val="single" w:sz="12" w:space="0" w:color="D2D2D2"/>
              <w:bottom w:val="single" w:sz="4" w:space="0" w:color="000000"/>
              <w:right w:val="single" w:sz="4" w:space="0" w:color="000000"/>
            </w:tcBorders>
          </w:tcPr>
          <w:p>
            <w:pPr/>
          </w:p>
        </w:tc>
      </w:tr>
      <w:tr>
        <w:trPr>
          <w:trHeight w:val="326" w:hRule="exact"/>
        </w:trPr>
        <w:tc>
          <w:tcPr>
            <w:tcW w:w="530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实际担保总额（即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A4+B4</w:t>
            </w:r>
            <w:r>
              <w:rPr>
                <w:rFonts w:ascii="宋体" w:hAnsi="宋体" w:cs="宋体" w:eastAsia="宋体" w:hint="default"/>
                <w:sz w:val="21"/>
                <w:szCs w:val="21"/>
              </w:rPr>
              <w:t>）占公司净资产的比例</w:t>
            </w:r>
          </w:p>
        </w:tc>
        <w:tc>
          <w:tcPr>
            <w:tcW w:w="4467"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4.57%</w:t>
            </w:r>
          </w:p>
        </w:tc>
      </w:tr>
      <w:tr>
        <w:trPr>
          <w:trHeight w:val="318" w:hRule="exact"/>
        </w:trPr>
        <w:tc>
          <w:tcPr>
            <w:tcW w:w="97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r>
    </w:tbl>
    <w:p>
      <w:pPr>
        <w:spacing w:after="0" w:line="258" w:lineRule="exact"/>
        <w:jc w:val="left"/>
        <w:rPr>
          <w:rFonts w:ascii="宋体" w:hAnsi="宋体" w:cs="宋体" w:eastAsia="宋体" w:hint="default"/>
          <w:sz w:val="21"/>
          <w:szCs w:val="21"/>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19.013855pt;margin-top:553.794983pt;width:90.9pt;height:20.85pt;mso-position-horizontal-relative:page;mso-position-vertical-relative:page;z-index:-1597072" type="#_x0000_t202" filled="false" stroked="false">
            <v:textbox inset="0,0,0,0">
              <w:txbxContent>
                <w:p>
                  <w:pPr>
                    <w:pStyle w:val="BodyText"/>
                    <w:spacing w:line="211" w:lineRule="exact" w:before="0"/>
                    <w:ind w:left="0" w:right="0"/>
                    <w:jc w:val="left"/>
                  </w:pPr>
                  <w:r>
                    <w:rPr/>
                    <w:t>修订）</w:t>
                  </w:r>
                </w:p>
              </w:txbxContent>
            </v:textbox>
            <w10:wrap type="none"/>
          </v:shape>
        </w:pict>
      </w:r>
    </w:p>
    <w:tbl>
      <w:tblPr>
        <w:tblW w:w="0" w:type="auto"/>
        <w:jc w:val="left"/>
        <w:tblInd w:w="120" w:type="dxa"/>
        <w:tblLayout w:type="fixed"/>
        <w:tblCellMar>
          <w:top w:w="0" w:type="dxa"/>
          <w:left w:w="0" w:type="dxa"/>
          <w:bottom w:w="0" w:type="dxa"/>
          <w:right w:w="0" w:type="dxa"/>
        </w:tblCellMar>
        <w:tblLook w:val="01E0"/>
      </w:tblPr>
      <w:tblGrid>
        <w:gridCol w:w="4010"/>
        <w:gridCol w:w="5761"/>
      </w:tblGrid>
      <w:tr>
        <w:trPr>
          <w:trHeight w:val="634" w:hRule="exact"/>
        </w:trPr>
        <w:tc>
          <w:tcPr>
            <w:tcW w:w="4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4"/>
                <w:sz w:val="21"/>
                <w:szCs w:val="21"/>
              </w:rPr>
              <w:t>为股东、实际控制人及其关联方提供担保的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金额（</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4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22" w:right="173"/>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w:t>
            </w:r>
            <w:r>
              <w:rPr>
                <w:rFonts w:ascii="宋体" w:hAnsi="宋体" w:cs="宋体" w:eastAsia="宋体" w:hint="default"/>
                <w:w w:val="100"/>
                <w:sz w:val="21"/>
                <w:szCs w:val="21"/>
              </w:rPr>
              <w:t> </w:t>
            </w:r>
            <w:r>
              <w:rPr>
                <w:rFonts w:ascii="宋体" w:hAnsi="宋体" w:cs="宋体" w:eastAsia="宋体" w:hint="default"/>
                <w:sz w:val="21"/>
                <w:szCs w:val="21"/>
              </w:rPr>
              <w:t>保对象提供的债务担保金额（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3" w:hRule="exact"/>
        </w:trPr>
        <w:tc>
          <w:tcPr>
            <w:tcW w:w="4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2"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3" w:hRule="exact"/>
        </w:trPr>
        <w:tc>
          <w:tcPr>
            <w:tcW w:w="4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22"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4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不存在未到期担保可能承担连带清偿责任的情况。</w:t>
            </w:r>
          </w:p>
        </w:tc>
      </w:tr>
      <w:tr>
        <w:trPr>
          <w:trHeight w:val="322" w:hRule="exact"/>
        </w:trPr>
        <w:tc>
          <w:tcPr>
            <w:tcW w:w="4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违反规定程序对外提供担保的说明</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408" w:lineRule="auto" w:before="64"/>
        <w:ind w:right="982" w:firstLine="420"/>
        <w:jc w:val="left"/>
      </w:pPr>
      <w:r>
        <w:rPr>
          <w:spacing w:val="-2"/>
        </w:rPr>
        <w:t>注：经公司第四届董事会第二十六次会议审议通过，公司董事会同意子公司香港苏宁电器有限公司向</w:t>
      </w:r>
      <w:r>
        <w:rPr>
          <w:w w:val="100"/>
        </w:rPr>
        <w:t> </w:t>
      </w:r>
      <w:r>
        <w:rPr/>
        <w:t>银行申请不超过</w:t>
      </w:r>
      <w:r>
        <w:rPr>
          <w:spacing w:val="-54"/>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亿元人民币的授信额度，其中</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亿元人民币的授信额度为到期后自动展期，故本次董</w:t>
      </w:r>
    </w:p>
    <w:p>
      <w:pPr>
        <w:pStyle w:val="BodyText"/>
        <w:spacing w:line="240" w:lineRule="auto" w:before="14"/>
        <w:ind w:right="982"/>
        <w:jc w:val="left"/>
      </w:pPr>
      <w:r>
        <w:rPr/>
        <w:t>事会审议通过担保额仅增加</w:t>
      </w:r>
      <w:r>
        <w:rPr>
          <w:spacing w:val="-53"/>
        </w:rPr>
        <w:t> </w:t>
      </w:r>
      <w:r>
        <w:rPr>
          <w:rFonts w:ascii="Times New Roman" w:hAnsi="Times New Roman" w:cs="Times New Roman" w:eastAsia="Times New Roman" w:hint="default"/>
        </w:rPr>
        <w:t>90,000</w:t>
      </w:r>
      <w:r>
        <w:rPr>
          <w:rFonts w:ascii="Times New Roman" w:hAnsi="Times New Roman" w:cs="Times New Roman" w:eastAsia="Times New Roman" w:hint="default"/>
          <w:spacing w:val="-2"/>
        </w:rPr>
        <w:t> </w:t>
      </w:r>
      <w:r>
        <w:rPr/>
        <w:t>万元。</w:t>
      </w:r>
    </w:p>
    <w:p>
      <w:pPr>
        <w:spacing w:line="240" w:lineRule="auto" w:before="9"/>
        <w:rPr>
          <w:rFonts w:ascii="宋体" w:hAnsi="宋体" w:cs="宋体" w:eastAsia="宋体" w:hint="default"/>
          <w:sz w:val="28"/>
          <w:szCs w:val="28"/>
        </w:rPr>
      </w:pPr>
    </w:p>
    <w:p>
      <w:pPr>
        <w:pStyle w:val="Heading2"/>
        <w:spacing w:line="240" w:lineRule="auto"/>
        <w:ind w:right="982"/>
        <w:jc w:val="left"/>
        <w:rPr>
          <w:b w:val="0"/>
          <w:bCs w:val="0"/>
        </w:rPr>
      </w:pP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7"/>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589"/>
        <w:gridCol w:w="1277"/>
        <w:gridCol w:w="2960"/>
        <w:gridCol w:w="1294"/>
        <w:gridCol w:w="1294"/>
        <w:gridCol w:w="1284"/>
      </w:tblGrid>
      <w:tr>
        <w:trPr>
          <w:trHeight w:val="322"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70"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16"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3" w:right="0"/>
              <w:jc w:val="left"/>
              <w:rPr>
                <w:rFonts w:ascii="宋体" w:hAnsi="宋体" w:cs="宋体" w:eastAsia="宋体" w:hint="default"/>
                <w:sz w:val="21"/>
                <w:szCs w:val="21"/>
              </w:rPr>
            </w:pPr>
            <w:r>
              <w:rPr>
                <w:rFonts w:ascii="宋体" w:hAnsi="宋体" w:cs="宋体" w:eastAsia="宋体" w:hint="default"/>
                <w:sz w:val="21"/>
                <w:szCs w:val="21"/>
              </w:rPr>
              <w:t>承诺时间</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0"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5"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188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73" w:lineRule="auto"/>
              <w:ind w:left="24" w:right="188"/>
              <w:jc w:val="left"/>
              <w:rPr>
                <w:rFonts w:ascii="宋体" w:hAnsi="宋体" w:cs="宋体" w:eastAsia="宋体" w:hint="default"/>
                <w:sz w:val="21"/>
                <w:szCs w:val="21"/>
              </w:rPr>
            </w:pPr>
            <w:r>
              <w:rPr>
                <w:rFonts w:ascii="宋体" w:hAnsi="宋体" w:cs="宋体" w:eastAsia="宋体" w:hint="default"/>
                <w:sz w:val="21"/>
                <w:szCs w:val="21"/>
              </w:rPr>
              <w:t>公司原非流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通股东</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4"/>
              <w:jc w:val="left"/>
              <w:rPr>
                <w:rFonts w:ascii="宋体" w:hAnsi="宋体" w:cs="宋体" w:eastAsia="宋体" w:hint="default"/>
                <w:sz w:val="21"/>
                <w:szCs w:val="21"/>
              </w:rPr>
            </w:pPr>
            <w:r>
              <w:rPr>
                <w:rFonts w:ascii="宋体" w:hAnsi="宋体" w:cs="宋体" w:eastAsia="宋体" w:hint="default"/>
                <w:sz w:val="21"/>
                <w:szCs w:val="21"/>
              </w:rPr>
              <w:t>股权分置改革中公司原非流通</w:t>
            </w:r>
            <w:r>
              <w:rPr>
                <w:rFonts w:ascii="宋体" w:hAnsi="宋体" w:cs="宋体" w:eastAsia="宋体" w:hint="default"/>
                <w:w w:val="100"/>
                <w:sz w:val="21"/>
                <w:szCs w:val="21"/>
              </w:rPr>
              <w:t> </w:t>
            </w:r>
            <w:r>
              <w:rPr>
                <w:rFonts w:ascii="宋体" w:hAnsi="宋体" w:cs="宋体" w:eastAsia="宋体" w:hint="default"/>
                <w:sz w:val="21"/>
                <w:szCs w:val="21"/>
              </w:rPr>
              <w:t>股股东持续到报告期内的承诺</w:t>
            </w:r>
            <w:r>
              <w:rPr>
                <w:rFonts w:ascii="宋体" w:hAnsi="宋体" w:cs="宋体" w:eastAsia="宋体" w:hint="default"/>
                <w:w w:val="100"/>
                <w:sz w:val="21"/>
                <w:szCs w:val="21"/>
              </w:rPr>
              <w:t> </w:t>
            </w:r>
            <w:r>
              <w:rPr>
                <w:rFonts w:ascii="宋体" w:hAnsi="宋体" w:cs="宋体" w:eastAsia="宋体" w:hint="default"/>
                <w:spacing w:val="-4"/>
                <w:sz w:val="21"/>
                <w:szCs w:val="21"/>
              </w:rPr>
              <w:t>为：通过证券交易所挂牌交易出</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售的股份数量，达到公司股份总</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数百分之一的，自该事实发生之</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日起两个工作日内做出公告。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无限期</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23" w:right="19"/>
              <w:jc w:val="left"/>
              <w:rPr>
                <w:rFonts w:ascii="宋体" w:hAnsi="宋体" w:cs="宋体" w:eastAsia="宋体" w:hint="default"/>
                <w:sz w:val="21"/>
                <w:szCs w:val="21"/>
              </w:rPr>
            </w:pPr>
            <w:r>
              <w:rPr>
                <w:rFonts w:ascii="宋体" w:hAnsi="宋体" w:cs="宋体" w:eastAsia="宋体" w:hint="default"/>
                <w:spacing w:val="-7"/>
                <w:sz w:val="21"/>
                <w:szCs w:val="21"/>
              </w:rPr>
              <w:t>报告期内，公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司原非流通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股股东均履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行了所做的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r>
      <w:tr>
        <w:trPr>
          <w:trHeight w:val="4690"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73" w:lineRule="auto"/>
              <w:ind w:left="24" w:right="79"/>
              <w:jc w:val="both"/>
              <w:rPr>
                <w:rFonts w:ascii="宋体" w:hAnsi="宋体" w:cs="宋体" w:eastAsia="宋体" w:hint="default"/>
                <w:sz w:val="21"/>
                <w:szCs w:val="21"/>
              </w:rPr>
            </w:pPr>
            <w:r>
              <w:rPr>
                <w:rFonts w:ascii="宋体" w:hAnsi="宋体" w:cs="宋体" w:eastAsia="宋体" w:hint="default"/>
                <w:sz w:val="21"/>
                <w:szCs w:val="21"/>
              </w:rPr>
              <w:t>收购报告书或权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益变动报告书中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所作承诺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5"/>
              <w:ind w:right="0"/>
              <w:jc w:val="left"/>
              <w:rPr>
                <w:rFonts w:ascii="宋体" w:hAnsi="宋体" w:cs="宋体" w:eastAsia="宋体" w:hint="default"/>
                <w:b/>
                <w:bCs/>
                <w:sz w:val="28"/>
                <w:szCs w:val="28"/>
              </w:rPr>
            </w:pPr>
          </w:p>
          <w:p>
            <w:pPr>
              <w:pStyle w:val="TableParagraph"/>
              <w:spacing w:line="271" w:lineRule="auto"/>
              <w:ind w:left="24" w:right="20"/>
              <w:jc w:val="left"/>
              <w:rPr>
                <w:rFonts w:ascii="宋体" w:hAnsi="宋体" w:cs="宋体" w:eastAsia="宋体" w:hint="default"/>
                <w:sz w:val="21"/>
                <w:szCs w:val="21"/>
              </w:rPr>
            </w:pPr>
            <w:r>
              <w:rPr>
                <w:rFonts w:ascii="宋体" w:hAnsi="宋体" w:cs="宋体" w:eastAsia="宋体" w:hint="default"/>
                <w:sz w:val="21"/>
                <w:szCs w:val="21"/>
              </w:rPr>
              <w:t>张近东先生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及其全资子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公司南京润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东投资有限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公司（以下简</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称</w:t>
            </w:r>
            <w:r>
              <w:rPr>
                <w:rFonts w:ascii="Times New Roman" w:hAnsi="Times New Roman" w:cs="Times New Roman" w:eastAsia="Times New Roman" w:hint="default"/>
                <w:sz w:val="21"/>
                <w:szCs w:val="21"/>
              </w:rPr>
              <w:t>“</w:t>
            </w:r>
            <w:r>
              <w:rPr>
                <w:rFonts w:ascii="宋体" w:hAnsi="宋体" w:cs="宋体" w:eastAsia="宋体" w:hint="default"/>
                <w:sz w:val="21"/>
                <w:szCs w:val="21"/>
              </w:rPr>
              <w:t>润东投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960" w:type="dxa"/>
            <w:tcBorders>
              <w:top w:val="single" w:sz="4" w:space="0" w:color="000000"/>
              <w:left w:val="single" w:sz="4" w:space="0" w:color="000000"/>
              <w:bottom w:val="single" w:sz="4" w:space="0" w:color="000000"/>
              <w:right w:val="single" w:sz="10" w:space="0" w:color="FFFFFF"/>
            </w:tcBorders>
          </w:tcPr>
          <w:p>
            <w:pPr>
              <w:pStyle w:val="TableParagraph"/>
              <w:spacing w:line="268" w:lineRule="auto"/>
              <w:ind w:left="24" w:right="7"/>
              <w:jc w:val="left"/>
              <w:rPr>
                <w:rFonts w:ascii="宋体" w:hAnsi="宋体" w:cs="宋体" w:eastAsia="宋体" w:hint="default"/>
                <w:sz w:val="21"/>
                <w:szCs w:val="21"/>
              </w:rPr>
            </w:pPr>
            <w:r>
              <w:rPr>
                <w:rFonts w:ascii="宋体" w:hAnsi="宋体" w:cs="宋体" w:eastAsia="宋体" w:hint="default"/>
                <w:sz w:val="21"/>
                <w:szCs w:val="21"/>
              </w:rPr>
              <w:t>张近东先生全资子公司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润东</w:t>
            </w:r>
            <w:r>
              <w:rPr>
                <w:rFonts w:ascii="宋体" w:hAnsi="宋体" w:cs="宋体" w:eastAsia="宋体" w:hint="default"/>
                <w:w w:val="100"/>
                <w:sz w:val="21"/>
                <w:szCs w:val="21"/>
              </w:rPr>
              <w:t> </w:t>
            </w:r>
            <w:r>
              <w:rPr>
                <w:rFonts w:ascii="宋体" w:hAnsi="宋体" w:cs="宋体" w:eastAsia="宋体" w:hint="default"/>
                <w:sz w:val="21"/>
                <w:szCs w:val="21"/>
              </w:rPr>
              <w:t>投资参与认购公司</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年非公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开发行股票，参与认购后，张近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东先生直接及间接持有公司股</w:t>
            </w:r>
            <w:r>
              <w:rPr>
                <w:rFonts w:ascii="宋体" w:hAnsi="宋体" w:cs="宋体" w:eastAsia="宋体" w:hint="default"/>
                <w:w w:val="100"/>
                <w:sz w:val="21"/>
                <w:szCs w:val="21"/>
              </w:rPr>
              <w:t> </w:t>
            </w:r>
            <w:r>
              <w:rPr>
                <w:rFonts w:ascii="宋体" w:hAnsi="宋体" w:cs="宋体" w:eastAsia="宋体" w:hint="default"/>
                <w:sz w:val="21"/>
                <w:szCs w:val="21"/>
              </w:rPr>
              <w:t>份占发行后总股本比例增加超</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spacing w:val="-42"/>
                <w:sz w:val="21"/>
                <w:szCs w:val="21"/>
              </w:rPr>
              <w:t> </w:t>
            </w:r>
            <w:r>
              <w:rPr>
                <w:rFonts w:ascii="Times New Roman" w:hAnsi="Times New Roman" w:cs="Times New Roman" w:eastAsia="Times New Roman" w:hint="default"/>
                <w:spacing w:val="-5"/>
                <w:sz w:val="21"/>
                <w:szCs w:val="21"/>
              </w:rPr>
              <w:t>30%</w:t>
            </w:r>
            <w:r>
              <w:rPr>
                <w:rFonts w:ascii="宋体" w:hAnsi="宋体" w:cs="宋体" w:eastAsia="宋体" w:hint="default"/>
                <w:spacing w:val="-5"/>
                <w:sz w:val="21"/>
                <w:szCs w:val="21"/>
              </w:rPr>
              <w:t>。根据《上市公司收购管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5"/>
                <w:w w:val="100"/>
                <w:sz w:val="21"/>
                <w:szCs w:val="21"/>
              </w:rPr>
              <w:t>理办法》（</w:t>
            </w:r>
            <w:r>
              <w:rPr>
                <w:rFonts w:ascii="Times New Roman" w:hAnsi="Times New Roman" w:cs="Times New Roman" w:eastAsia="Times New Roman" w:hint="default"/>
                <w:spacing w:val="-25"/>
                <w:w w:val="100"/>
                <w:sz w:val="21"/>
                <w:szCs w:val="21"/>
              </w:rPr>
              <w:t>2008</w:t>
            </w:r>
            <w:r>
              <w:rPr>
                <w:rFonts w:ascii="Times New Roman" w:hAnsi="Times New Roman" w:cs="Times New Roman" w:eastAsia="Times New Roman" w:hint="default"/>
                <w:spacing w:val="-19"/>
                <w:w w:val="100"/>
                <w:sz w:val="21"/>
                <w:szCs w:val="21"/>
              </w:rPr>
              <w:t> </w:t>
            </w:r>
            <w:r>
              <w:rPr>
                <w:rFonts w:ascii="宋体" w:hAnsi="宋体" w:cs="宋体" w:eastAsia="宋体" w:hint="default"/>
                <w:w w:val="100"/>
                <w:sz w:val="21"/>
                <w:szCs w:val="21"/>
              </w:rPr>
              <w:t>年</w:t>
            </w:r>
            <w:r>
              <w:rPr>
                <w:rFonts w:ascii="宋体" w:hAnsi="宋体" w:cs="宋体" w:eastAsia="宋体" w:hint="default"/>
                <w:spacing w:val="-73"/>
                <w:w w:val="100"/>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19"/>
                <w:w w:val="100"/>
                <w:sz w:val="21"/>
                <w:szCs w:val="21"/>
              </w:rPr>
              <w:t> </w:t>
            </w:r>
            <w:r>
              <w:rPr>
                <w:rFonts w:ascii="宋体" w:hAnsi="宋体" w:cs="宋体" w:eastAsia="宋体" w:hint="default"/>
                <w:w w:val="100"/>
                <w:sz w:val="21"/>
                <w:szCs w:val="21"/>
              </w:rPr>
              <w:t>月</w:t>
            </w:r>
            <w:r>
              <w:rPr>
                <w:rFonts w:ascii="宋体" w:hAnsi="宋体" w:cs="宋体" w:eastAsia="宋体" w:hint="default"/>
                <w:spacing w:val="-70"/>
                <w:w w:val="100"/>
                <w:sz w:val="21"/>
                <w:szCs w:val="21"/>
              </w:rPr>
              <w:t> </w:t>
            </w:r>
            <w:r>
              <w:rPr>
                <w:rFonts w:ascii="Times New Roman" w:hAnsi="Times New Roman" w:cs="Times New Roman" w:eastAsia="Times New Roman" w:hint="default"/>
                <w:spacing w:val="-2"/>
                <w:w w:val="100"/>
                <w:sz w:val="21"/>
                <w:szCs w:val="21"/>
              </w:rPr>
              <w:t>27</w:t>
            </w:r>
            <w:r>
              <w:rPr>
                <w:rFonts w:ascii="Times New Roman" w:hAnsi="Times New Roman" w:cs="Times New Roman" w:eastAsia="Times New Roman" w:hint="default"/>
                <w:spacing w:val="-17"/>
                <w:w w:val="100"/>
                <w:sz w:val="21"/>
                <w:szCs w:val="21"/>
              </w:rPr>
              <w:t> </w:t>
            </w:r>
            <w:r>
              <w:rPr>
                <w:rFonts w:ascii="宋体" w:hAnsi="宋体" w:cs="宋体" w:eastAsia="宋体" w:hint="default"/>
                <w:w w:val="100"/>
                <w:sz w:val="21"/>
                <w:szCs w:val="21"/>
              </w:rPr>
              <w:t>日</w:t>
            </w:r>
            <w:r>
              <w:rPr>
                <w:rFonts w:ascii="宋体" w:hAnsi="宋体" w:cs="宋体" w:eastAsia="宋体" w:hint="default"/>
                <w:spacing w:val="-100"/>
                <w:w w:val="100"/>
                <w:sz w:val="21"/>
                <w:szCs w:val="21"/>
              </w:rPr>
              <w:t> </w:t>
            </w:r>
            <w:r>
              <w:rPr>
                <w:rFonts w:ascii="宋体" w:hAnsi="宋体" w:cs="宋体" w:eastAsia="宋体" w:hint="default"/>
                <w:spacing w:val="-4"/>
                <w:sz w:val="21"/>
                <w:szCs w:val="21"/>
              </w:rPr>
              <w:t>的相关规定，张近东先生及润东</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投资出具了《关于苏宁电器股份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有限公司向特定对象发行股份</w:t>
            </w:r>
            <w:r>
              <w:rPr>
                <w:rFonts w:ascii="宋体" w:hAnsi="宋体" w:cs="宋体" w:eastAsia="宋体" w:hint="default"/>
                <w:w w:val="100"/>
                <w:sz w:val="21"/>
                <w:szCs w:val="21"/>
              </w:rPr>
              <w:t> </w:t>
            </w:r>
            <w:r>
              <w:rPr>
                <w:rFonts w:ascii="宋体" w:hAnsi="宋体" w:cs="宋体" w:eastAsia="宋体" w:hint="default"/>
                <w:sz w:val="21"/>
                <w:szCs w:val="21"/>
              </w:rPr>
              <w:t>及豁免要约收购相关事宜之承</w:t>
            </w:r>
            <w:r>
              <w:rPr>
                <w:rFonts w:ascii="宋体" w:hAnsi="宋体" w:cs="宋体" w:eastAsia="宋体" w:hint="default"/>
                <w:w w:val="100"/>
                <w:sz w:val="21"/>
                <w:szCs w:val="21"/>
              </w:rPr>
              <w:t> </w:t>
            </w:r>
            <w:r>
              <w:rPr>
                <w:rFonts w:ascii="宋体" w:hAnsi="宋体" w:cs="宋体" w:eastAsia="宋体" w:hint="default"/>
                <w:spacing w:val="-9"/>
                <w:w w:val="100"/>
                <w:sz w:val="21"/>
                <w:szCs w:val="21"/>
              </w:rPr>
              <w:t>诺函》，承诺其拥有的全部苏宁</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4"/>
                <w:sz w:val="21"/>
                <w:szCs w:val="21"/>
              </w:rPr>
              <w:t>电器股份自发行结束之日（即新</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增股份上市之日）起三十六个月</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内不进行转让。</w:t>
            </w:r>
          </w:p>
        </w:tc>
        <w:tc>
          <w:tcPr>
            <w:tcW w:w="129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0"/>
              <w:ind w:right="0"/>
              <w:jc w:val="left"/>
              <w:rPr>
                <w:rFonts w:ascii="宋体" w:hAnsi="宋体" w:cs="宋体" w:eastAsia="宋体" w:hint="default"/>
                <w:b/>
                <w:bCs/>
                <w:sz w:val="22"/>
                <w:szCs w:val="22"/>
              </w:rPr>
            </w:pPr>
          </w:p>
          <w:p>
            <w:pPr>
              <w:pStyle w:val="TableParagraph"/>
              <w:spacing w:line="240" w:lineRule="auto"/>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pStyle w:val="TableParagraph"/>
              <w:spacing w:line="2340" w:lineRule="exact"/>
              <w:ind w:left="-5" w:right="-53"/>
              <w:jc w:val="left"/>
              <w:rPr>
                <w:rFonts w:ascii="宋体" w:hAnsi="宋体" w:cs="宋体" w:eastAsia="宋体" w:hint="default"/>
                <w:sz w:val="20"/>
                <w:szCs w:val="20"/>
              </w:rPr>
            </w:pPr>
            <w:r>
              <w:rPr>
                <w:rFonts w:ascii="宋体" w:hAnsi="宋体" w:cs="宋体" w:eastAsia="宋体" w:hint="default"/>
                <w:position w:val="-46"/>
                <w:sz w:val="20"/>
                <w:szCs w:val="20"/>
              </w:rPr>
              <w:pict>
                <v:group style="width:64.2pt;height:117pt;mso-position-horizontal-relative:char;mso-position-vertical-relative:line" coordorigin="0,0" coordsize="1284,2340">
                  <v:group style="position:absolute;left:0;top:0;width:1284;height:2028" coordorigin="0,0" coordsize="1284,2028">
                    <v:shape style="position:absolute;left:0;top:0;width:1284;height:2028" coordorigin="0,0" coordsize="1284,2028" path="m0,2028l1284,2028,1284,0,0,0,0,2028xe" filled="true" fillcolor="#ffffff" stroked="false">
                      <v:path arrowok="t"/>
                      <v:fill type="solid"/>
                    </v:shape>
                  </v:group>
                  <v:group style="position:absolute;left:24;top:2028;width:1236;height:312" coordorigin="24,2028" coordsize="1236,312">
                    <v:shape style="position:absolute;left:24;top:2028;width:1236;height:312" coordorigin="24,2028" coordsize="1236,312" path="m24,2340l1260,2340,1260,2028,24,2028,24,2340xe" filled="true" fillcolor="#ffffff" stroked="false">
                      <v:path arrowok="t"/>
                      <v:fill type="solid"/>
                    </v:shape>
                  </v:group>
                </v:group>
              </w:pict>
            </w:r>
            <w:r>
              <w:rPr>
                <w:rFonts w:ascii="宋体" w:hAnsi="宋体" w:cs="宋体" w:eastAsia="宋体" w:hint="default"/>
                <w:position w:val="-46"/>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8"/>
                <w:szCs w:val="18"/>
              </w:rPr>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
              <w:ind w:right="0"/>
              <w:jc w:val="left"/>
              <w:rPr>
                <w:rFonts w:ascii="宋体" w:hAnsi="宋体" w:cs="宋体" w:eastAsia="宋体" w:hint="default"/>
                <w:b/>
                <w:bCs/>
                <w:sz w:val="32"/>
                <w:szCs w:val="32"/>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2015</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pacing w:val="-7"/>
                <w:sz w:val="21"/>
                <w:szCs w:val="21"/>
              </w:rPr>
              <w:t>报告期内，张</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近东先生以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及润东投资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均履行了所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做的承诺。</w:t>
            </w:r>
          </w:p>
        </w:tc>
      </w:tr>
      <w:tr>
        <w:trPr>
          <w:trHeight w:val="63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9"/>
              <w:jc w:val="left"/>
              <w:rPr>
                <w:rFonts w:ascii="宋体" w:hAnsi="宋体" w:cs="宋体" w:eastAsia="宋体" w:hint="default"/>
                <w:sz w:val="21"/>
                <w:szCs w:val="21"/>
              </w:rPr>
            </w:pPr>
            <w:r>
              <w:rPr>
                <w:rFonts w:ascii="宋体" w:hAnsi="宋体" w:cs="宋体" w:eastAsia="宋体" w:hint="default"/>
                <w:sz w:val="21"/>
                <w:szCs w:val="21"/>
              </w:rPr>
              <w:t>资产重组时所作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w w:val="100"/>
                <w:sz w:val="21"/>
              </w:rPr>
              <w:t>-</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89" w:type="dxa"/>
            <w:tcBorders>
              <w:top w:val="single" w:sz="4" w:space="0" w:color="000000"/>
              <w:left w:val="single" w:sz="4" w:space="0" w:color="000000"/>
              <w:bottom w:val="nil" w:sz="6" w:space="0" w:color="auto"/>
              <w:right w:val="single" w:sz="4" w:space="0" w:color="000000"/>
            </w:tcBorders>
          </w:tcPr>
          <w:p>
            <w:pPr>
              <w:pStyle w:val="TableParagraph"/>
              <w:spacing w:line="273" w:lineRule="auto"/>
              <w:ind w:left="24" w:right="79"/>
              <w:jc w:val="left"/>
              <w:rPr>
                <w:rFonts w:ascii="宋体" w:hAnsi="宋体" w:cs="宋体" w:eastAsia="宋体" w:hint="default"/>
                <w:sz w:val="21"/>
                <w:szCs w:val="21"/>
              </w:rPr>
            </w:pPr>
            <w:r>
              <w:rPr>
                <w:rFonts w:ascii="宋体" w:hAnsi="宋体" w:cs="宋体" w:eastAsia="宋体" w:hint="default"/>
                <w:sz w:val="21"/>
                <w:szCs w:val="21"/>
              </w:rPr>
              <w:t>首次公开发行或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再融资时所作承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
              <w:jc w:val="left"/>
              <w:rPr>
                <w:rFonts w:ascii="宋体" w:hAnsi="宋体" w:cs="宋体" w:eastAsia="宋体" w:hint="default"/>
                <w:sz w:val="21"/>
                <w:szCs w:val="21"/>
              </w:rPr>
            </w:pPr>
            <w:r>
              <w:rPr>
                <w:rFonts w:ascii="宋体" w:hAnsi="宋体" w:cs="宋体" w:eastAsia="宋体" w:hint="default"/>
                <w:sz w:val="21"/>
                <w:szCs w:val="21"/>
              </w:rPr>
              <w:t>公司股东张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近东先生、苏</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4"/>
              <w:jc w:val="left"/>
              <w:rPr>
                <w:rFonts w:ascii="宋体" w:hAnsi="宋体" w:cs="宋体" w:eastAsia="宋体" w:hint="default"/>
                <w:sz w:val="21"/>
                <w:szCs w:val="21"/>
              </w:rPr>
            </w:pPr>
            <w:r>
              <w:rPr>
                <w:rFonts w:ascii="宋体" w:hAnsi="宋体" w:cs="宋体" w:eastAsia="宋体" w:hint="default"/>
                <w:sz w:val="21"/>
                <w:szCs w:val="21"/>
              </w:rPr>
              <w:t>为避免同业竞争损害本公司及</w:t>
            </w:r>
            <w:r>
              <w:rPr>
                <w:rFonts w:ascii="宋体" w:hAnsi="宋体" w:cs="宋体" w:eastAsia="宋体" w:hint="default"/>
                <w:w w:val="100"/>
                <w:sz w:val="21"/>
                <w:szCs w:val="21"/>
              </w:rPr>
              <w:t> </w:t>
            </w:r>
            <w:r>
              <w:rPr>
                <w:rFonts w:ascii="宋体" w:hAnsi="宋体" w:cs="宋体" w:eastAsia="宋体" w:hint="default"/>
                <w:spacing w:val="-4"/>
                <w:sz w:val="21"/>
                <w:szCs w:val="21"/>
              </w:rPr>
              <w:t>其他股东的利益，公司股东张近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无限期</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pacing w:val="-7"/>
                <w:sz w:val="21"/>
                <w:szCs w:val="21"/>
              </w:rPr>
              <w:t>报告期内，张</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7"/>
                <w:sz w:val="21"/>
                <w:szCs w:val="21"/>
              </w:rPr>
              <w:t>近东先生、苏</w:t>
            </w:r>
          </w:p>
        </w:tc>
      </w:tr>
    </w:tbl>
    <w:p>
      <w:pPr>
        <w:spacing w:after="0" w:line="273" w:lineRule="auto"/>
        <w:jc w:val="left"/>
        <w:rPr>
          <w:rFonts w:ascii="宋体" w:hAnsi="宋体" w:cs="宋体" w:eastAsia="宋体" w:hint="default"/>
          <w:sz w:val="21"/>
          <w:szCs w:val="21"/>
        </w:rPr>
        <w:sectPr>
          <w:footerReference w:type="default" r:id="rId36"/>
          <w:pgSz w:w="11910" w:h="16840"/>
          <w:pgMar w:footer="1340" w:header="877" w:top="1100" w:bottom="1540" w:left="980" w:right="0"/>
          <w:pgNumType w:start="63"/>
        </w:sectPr>
      </w:pPr>
    </w:p>
    <w:p>
      <w:pPr>
        <w:spacing w:line="240" w:lineRule="auto" w:before="8"/>
        <w:rPr>
          <w:rFonts w:ascii="宋体" w:hAnsi="宋体" w:cs="宋体" w:eastAsia="宋体" w:hint="default"/>
          <w:b/>
          <w:bCs/>
          <w:sz w:val="24"/>
          <w:szCs w:val="24"/>
        </w:rPr>
      </w:pPr>
    </w:p>
    <w:tbl>
      <w:tblPr>
        <w:tblW w:w="0" w:type="auto"/>
        <w:jc w:val="left"/>
        <w:tblInd w:w="119" w:type="dxa"/>
        <w:tblLayout w:type="fixed"/>
        <w:tblCellMar>
          <w:top w:w="0" w:type="dxa"/>
          <w:left w:w="0" w:type="dxa"/>
          <w:bottom w:w="0" w:type="dxa"/>
          <w:right w:w="0" w:type="dxa"/>
        </w:tblCellMar>
        <w:tblLook w:val="01E0"/>
      </w:tblPr>
      <w:tblGrid>
        <w:gridCol w:w="1589"/>
        <w:gridCol w:w="1277"/>
        <w:gridCol w:w="2960"/>
        <w:gridCol w:w="1294"/>
        <w:gridCol w:w="1294"/>
        <w:gridCol w:w="1284"/>
      </w:tblGrid>
      <w:tr>
        <w:trPr>
          <w:trHeight w:val="2194" w:hRule="exact"/>
        </w:trPr>
        <w:tc>
          <w:tcPr>
            <w:tcW w:w="1589" w:type="dxa"/>
            <w:vMerge w:val="restart"/>
            <w:tcBorders>
              <w:top w:val="single" w:sz="4" w:space="0" w:color="000000"/>
              <w:left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
              <w:jc w:val="left"/>
              <w:rPr>
                <w:rFonts w:ascii="宋体" w:hAnsi="宋体" w:cs="宋体" w:eastAsia="宋体" w:hint="default"/>
                <w:sz w:val="21"/>
                <w:szCs w:val="21"/>
              </w:rPr>
            </w:pPr>
            <w:r>
              <w:rPr>
                <w:rFonts w:ascii="宋体" w:hAnsi="宋体" w:cs="宋体" w:eastAsia="宋体" w:hint="default"/>
                <w:sz w:val="21"/>
                <w:szCs w:val="21"/>
              </w:rPr>
              <w:t>宁电器集团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有限公司、陈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8"/>
                <w:sz w:val="21"/>
                <w:szCs w:val="21"/>
              </w:rPr>
              <w:t>金凤女士、赵</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蓓女士</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4" w:right="-17"/>
              <w:jc w:val="left"/>
              <w:rPr>
                <w:rFonts w:ascii="宋体" w:hAnsi="宋体" w:cs="宋体" w:eastAsia="宋体" w:hint="default"/>
                <w:sz w:val="21"/>
                <w:szCs w:val="21"/>
              </w:rPr>
            </w:pPr>
            <w:r>
              <w:rPr>
                <w:rFonts w:ascii="宋体" w:hAnsi="宋体" w:cs="宋体" w:eastAsia="宋体" w:hint="default"/>
                <w:sz w:val="21"/>
                <w:szCs w:val="21"/>
              </w:rPr>
              <w:t>东先生、苏宁电器集团有限公</w:t>
            </w:r>
            <w:r>
              <w:rPr>
                <w:rFonts w:ascii="宋体" w:hAnsi="宋体" w:cs="宋体" w:eastAsia="宋体" w:hint="default"/>
                <w:w w:val="100"/>
                <w:sz w:val="21"/>
                <w:szCs w:val="21"/>
              </w:rPr>
              <w:t> </w:t>
            </w:r>
            <w:r>
              <w:rPr>
                <w:rFonts w:ascii="宋体" w:hAnsi="宋体" w:cs="宋体" w:eastAsia="宋体" w:hint="default"/>
                <w:spacing w:val="-4"/>
                <w:sz w:val="21"/>
                <w:szCs w:val="21"/>
              </w:rPr>
              <w:t>司、陈金凤女士、赵蓓女士已于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日分别向公司出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9"/>
                <w:w w:val="100"/>
                <w:sz w:val="21"/>
                <w:szCs w:val="21"/>
              </w:rPr>
              <w:t>具《不竞争承诺函》；苏宁电器</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集团有限公司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4"/>
                <w:sz w:val="21"/>
                <w:szCs w:val="21"/>
              </w:rPr>
              <w:t>出具承诺函，保证今后避免发生</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除正常业务外的一切资金往来。</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z w:val="21"/>
                <w:szCs w:val="21"/>
              </w:rPr>
              <w:t>宁电器集团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有限公司、陈</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7"/>
                <w:sz w:val="21"/>
                <w:szCs w:val="21"/>
              </w:rPr>
              <w:t>金凤女士、赵</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蓓女士均履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行其承诺。</w:t>
            </w:r>
          </w:p>
        </w:tc>
      </w:tr>
      <w:tr>
        <w:trPr>
          <w:trHeight w:val="1570" w:hRule="exact"/>
        </w:trPr>
        <w:tc>
          <w:tcPr>
            <w:tcW w:w="1589"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张近东先生</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宋体" w:hAnsi="宋体" w:cs="宋体" w:eastAsia="宋体" w:hint="default"/>
                <w:sz w:val="21"/>
                <w:szCs w:val="21"/>
              </w:rPr>
            </w:pPr>
            <w:r>
              <w:rPr>
                <w:rFonts w:ascii="宋体" w:hAnsi="宋体" w:cs="宋体" w:eastAsia="宋体" w:hint="default"/>
                <w:sz w:val="21"/>
                <w:szCs w:val="21"/>
              </w:rPr>
              <w:t>张近东先生认购公司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年非</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公开发行股票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17,441,860 </w:t>
            </w:r>
            <w:r>
              <w:rPr>
                <w:rFonts w:ascii="宋体" w:hAnsi="宋体" w:cs="宋体" w:eastAsia="宋体" w:hint="default"/>
                <w:spacing w:val="-12"/>
                <w:sz w:val="21"/>
                <w:szCs w:val="21"/>
              </w:rPr>
              <w:t>股，该</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部分股票自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起至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日止限售</w:t>
            </w:r>
          </w:p>
          <w:p>
            <w:pPr>
              <w:pStyle w:val="TableParagraph"/>
              <w:spacing w:line="240" w:lineRule="auto" w:before="21"/>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67"/>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pacing w:val="-7"/>
                <w:sz w:val="21"/>
                <w:szCs w:val="21"/>
              </w:rPr>
              <w:t>报告期内，张</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近东先生履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行其承诺。</w:t>
            </w:r>
          </w:p>
        </w:tc>
      </w:tr>
      <w:tr>
        <w:trPr>
          <w:trHeight w:val="63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9"/>
              <w:jc w:val="left"/>
              <w:rPr>
                <w:rFonts w:ascii="宋体" w:hAnsi="宋体" w:cs="宋体" w:eastAsia="宋体" w:hint="default"/>
                <w:sz w:val="21"/>
                <w:szCs w:val="21"/>
              </w:rPr>
            </w:pPr>
            <w:r>
              <w:rPr>
                <w:rFonts w:ascii="宋体" w:hAnsi="宋体" w:cs="宋体" w:eastAsia="宋体" w:hint="default"/>
                <w:sz w:val="21"/>
                <w:szCs w:val="21"/>
              </w:rPr>
              <w:t>其他对公司中小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股东所作承诺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636"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79"/>
              <w:jc w:val="left"/>
              <w:rPr>
                <w:rFonts w:ascii="宋体" w:hAnsi="宋体" w:cs="宋体" w:eastAsia="宋体" w:hint="default"/>
                <w:sz w:val="21"/>
                <w:szCs w:val="21"/>
              </w:rPr>
            </w:pPr>
            <w:r>
              <w:rPr>
                <w:rFonts w:ascii="宋体" w:hAnsi="宋体" w:cs="宋体" w:eastAsia="宋体" w:hint="default"/>
                <w:sz w:val="21"/>
                <w:szCs w:val="21"/>
              </w:rPr>
              <w:t>承诺是否及时履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w:t>
            </w:r>
          </w:p>
        </w:tc>
        <w:tc>
          <w:tcPr>
            <w:tcW w:w="8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46"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79"/>
              <w:jc w:val="both"/>
              <w:rPr>
                <w:rFonts w:ascii="宋体" w:hAnsi="宋体" w:cs="宋体" w:eastAsia="宋体" w:hint="default"/>
                <w:sz w:val="21"/>
                <w:szCs w:val="21"/>
              </w:rPr>
            </w:pPr>
            <w:r>
              <w:rPr>
                <w:rFonts w:ascii="宋体" w:hAnsi="宋体" w:cs="宋体" w:eastAsia="宋体" w:hint="default"/>
                <w:sz w:val="21"/>
                <w:szCs w:val="21"/>
              </w:rPr>
              <w:t>未完成履行的具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体原因及下一步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计划</w:t>
            </w:r>
          </w:p>
        </w:tc>
        <w:tc>
          <w:tcPr>
            <w:tcW w:w="8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承诺的解决期限</w:t>
            </w:r>
          </w:p>
        </w:tc>
        <w:tc>
          <w:tcPr>
            <w:tcW w:w="8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解决方式</w:t>
            </w:r>
          </w:p>
        </w:tc>
        <w:tc>
          <w:tcPr>
            <w:tcW w:w="8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承诺的履行情况</w:t>
            </w:r>
          </w:p>
        </w:tc>
        <w:tc>
          <w:tcPr>
            <w:tcW w:w="8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b/>
          <w:bCs/>
          <w:sz w:val="20"/>
          <w:szCs w:val="20"/>
        </w:rPr>
      </w:pPr>
    </w:p>
    <w:p>
      <w:pPr>
        <w:pStyle w:val="Heading4"/>
        <w:spacing w:line="256" w:lineRule="auto" w:before="36"/>
        <w:ind w:right="982"/>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pStyle w:val="BodyText"/>
        <w:spacing w:line="240" w:lineRule="auto" w:before="99"/>
        <w:ind w:left="573" w:right="982"/>
        <w:jc w:val="left"/>
      </w:pPr>
      <w:r>
        <w:rPr>
          <w:w w:val="100"/>
        </w:rPr>
        <w:t>无</w:t>
      </w:r>
    </w:p>
    <w:p>
      <w:pPr>
        <w:spacing w:line="240" w:lineRule="auto" w:before="11"/>
        <w:rPr>
          <w:rFonts w:ascii="宋体" w:hAnsi="宋体" w:cs="宋体" w:eastAsia="宋体" w:hint="default"/>
          <w:sz w:val="29"/>
          <w:szCs w:val="29"/>
        </w:rPr>
      </w:pPr>
    </w:p>
    <w:p>
      <w:pPr>
        <w:pStyle w:val="Heading2"/>
        <w:spacing w:line="240" w:lineRule="auto"/>
        <w:ind w:right="982"/>
        <w:jc w:val="left"/>
        <w:rPr>
          <w:b w:val="0"/>
          <w:bCs w:val="0"/>
        </w:rPr>
      </w:pPr>
      <w:r>
        <w:rPr/>
        <w:t>九、聘任、解聘会计师事务所情况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right="982"/>
        <w:jc w:val="left"/>
      </w:pPr>
      <w:r>
        <w:rPr/>
        <w:pict>
          <v:shape style="position:absolute;margin-left:288.100006pt;margin-top:71.093658pt;width:59.158653pt;height:11.34pt;mso-position-horizontal-relative:page;mso-position-vertical-relative:paragraph;z-index:2128" type="#_x0000_t75" stroked="false">
            <v:imagedata r:id="rId14" o:title=""/>
          </v:shape>
        </w:pict>
      </w:r>
      <w:r>
        <w:rPr>
          <w:rFonts w:ascii="宋体" w:hAnsi="宋体" w:cs="宋体" w:eastAsia="宋体" w:hint="default"/>
        </w:rPr>
        <w:t>2012</w:t>
      </w:r>
      <w:r>
        <w:rPr>
          <w:rFonts w:ascii="宋体" w:hAnsi="宋体" w:cs="宋体" w:eastAsia="宋体" w:hint="default"/>
          <w:spacing w:val="-56"/>
        </w:rPr>
        <w:t> </w:t>
      </w:r>
      <w:r>
        <w:rPr/>
        <w:t>年度，现聘任的会计师事务所</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3998"/>
        <w:gridCol w:w="5699"/>
      </w:tblGrid>
      <w:tr>
        <w:trPr>
          <w:trHeight w:val="322" w:hRule="exact"/>
        </w:trPr>
        <w:tc>
          <w:tcPr>
            <w:tcW w:w="3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普华永道中天会计师事务所有限公司</w:t>
            </w:r>
          </w:p>
        </w:tc>
      </w:tr>
      <w:tr>
        <w:trPr>
          <w:trHeight w:val="322" w:hRule="exact"/>
        </w:trPr>
        <w:tc>
          <w:tcPr>
            <w:tcW w:w="3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830</w:t>
            </w:r>
          </w:p>
        </w:tc>
      </w:tr>
      <w:tr>
        <w:trPr>
          <w:trHeight w:val="322" w:hRule="exact"/>
        </w:trPr>
        <w:tc>
          <w:tcPr>
            <w:tcW w:w="399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99" w:type="dxa"/>
            <w:tcBorders>
              <w:top w:val="single" w:sz="4" w:space="0" w:color="000000"/>
              <w:left w:val="single" w:sz="4" w:space="0" w:color="000000"/>
              <w:bottom w:val="single" w:sz="4" w:space="0" w:color="FFFFFF"/>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66" w:hRule="exact"/>
        </w:trPr>
        <w:tc>
          <w:tcPr>
            <w:tcW w:w="399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钱进、</w:t>
            </w:r>
          </w:p>
        </w:tc>
      </w:tr>
      <w:tr>
        <w:trPr>
          <w:trHeight w:val="946" w:hRule="exact"/>
        </w:trPr>
        <w:tc>
          <w:tcPr>
            <w:tcW w:w="3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5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
              <w:jc w:val="both"/>
              <w:rPr>
                <w:rFonts w:ascii="宋体" w:hAnsi="宋体" w:cs="宋体" w:eastAsia="宋体" w:hint="default"/>
                <w:sz w:val="21"/>
                <w:szCs w:val="21"/>
              </w:rPr>
            </w:pPr>
            <w:r>
              <w:rPr>
                <w:rFonts w:ascii="宋体" w:hAnsi="宋体" w:cs="宋体" w:eastAsia="宋体" w:hint="default"/>
                <w:spacing w:val="-2"/>
                <w:sz w:val="21"/>
                <w:szCs w:val="21"/>
              </w:rPr>
              <w:t>香港：普华永道全球网络成员所—罗兵咸永道会计师事务所；</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日本：普华永道全球网络成员所—</w:t>
            </w:r>
            <w:r>
              <w:rPr>
                <w:rFonts w:ascii="宋体" w:hAnsi="宋体" w:cs="宋体" w:eastAsia="宋体" w:hint="default"/>
                <w:sz w:val="21"/>
                <w:szCs w:val="21"/>
              </w:rPr>
              <w:t>Pricewaterhouse Coopers</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Aarata</w:t>
            </w:r>
          </w:p>
        </w:tc>
      </w:tr>
      <w:tr>
        <w:trPr>
          <w:trHeight w:val="322" w:hRule="exact"/>
        </w:trPr>
        <w:tc>
          <w:tcPr>
            <w:tcW w:w="3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境外会计师事务所报酬（万元）</w:t>
            </w:r>
          </w:p>
        </w:tc>
        <w:tc>
          <w:tcPr>
            <w:tcW w:w="5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80</w:t>
            </w:r>
            <w:r>
              <w:rPr>
                <w:rFonts w:ascii="宋体" w:hAnsi="宋体" w:cs="宋体" w:eastAsia="宋体" w:hint="default"/>
                <w:spacing w:val="-55"/>
                <w:sz w:val="21"/>
                <w:szCs w:val="21"/>
              </w:rPr>
              <w:t> </w:t>
            </w:r>
            <w:r>
              <w:rPr>
                <w:rFonts w:ascii="宋体" w:hAnsi="宋体" w:cs="宋体" w:eastAsia="宋体" w:hint="default"/>
                <w:sz w:val="21"/>
                <w:szCs w:val="21"/>
              </w:rPr>
              <w:t>万港币；日本：</w:t>
            </w:r>
            <w:r>
              <w:rPr>
                <w:rFonts w:ascii="宋体" w:hAnsi="宋体" w:cs="宋体" w:eastAsia="宋体" w:hint="default"/>
                <w:sz w:val="21"/>
                <w:szCs w:val="21"/>
              </w:rPr>
              <w:t>3,300</w:t>
            </w:r>
            <w:r>
              <w:rPr>
                <w:rFonts w:ascii="宋体" w:hAnsi="宋体" w:cs="宋体" w:eastAsia="宋体" w:hint="default"/>
                <w:spacing w:val="-55"/>
                <w:sz w:val="21"/>
                <w:szCs w:val="21"/>
              </w:rPr>
              <w:t> </w:t>
            </w:r>
            <w:r>
              <w:rPr>
                <w:rFonts w:ascii="宋体" w:hAnsi="宋体" w:cs="宋体" w:eastAsia="宋体" w:hint="default"/>
                <w:sz w:val="21"/>
                <w:szCs w:val="21"/>
              </w:rPr>
              <w:t>万日元</w:t>
            </w:r>
          </w:p>
        </w:tc>
      </w:tr>
      <w:tr>
        <w:trPr>
          <w:trHeight w:val="323" w:hRule="exact"/>
        </w:trPr>
        <w:tc>
          <w:tcPr>
            <w:tcW w:w="3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境外会计师事务所审计服务的连续年限</w:t>
            </w:r>
          </w:p>
        </w:tc>
        <w:tc>
          <w:tcPr>
            <w:tcW w:w="5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年；日本：</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323" w:hRule="exact"/>
        </w:trPr>
        <w:tc>
          <w:tcPr>
            <w:tcW w:w="3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境外会计师事务所注册会计师姓名</w:t>
            </w:r>
          </w:p>
        </w:tc>
        <w:tc>
          <w:tcPr>
            <w:tcW w:w="569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Carrie</w:t>
            </w:r>
            <w:r>
              <w:rPr>
                <w:rFonts w:ascii="宋体" w:hAnsi="宋体" w:cs="宋体" w:eastAsia="宋体" w:hint="default"/>
                <w:spacing w:val="-5"/>
                <w:sz w:val="21"/>
                <w:szCs w:val="21"/>
              </w:rPr>
              <w:t> </w:t>
            </w:r>
            <w:r>
              <w:rPr>
                <w:rFonts w:ascii="宋体" w:hAnsi="宋体" w:cs="宋体" w:eastAsia="宋体" w:hint="default"/>
                <w:sz w:val="21"/>
                <w:szCs w:val="21"/>
              </w:rPr>
              <w:t>Yu</w:t>
            </w:r>
            <w:r>
              <w:rPr>
                <w:rFonts w:ascii="宋体" w:hAnsi="宋体" w:cs="宋体" w:eastAsia="宋体" w:hint="default"/>
                <w:sz w:val="21"/>
                <w:szCs w:val="21"/>
              </w:rPr>
              <w:t>；日本：小泽直靖、齐藤刚</w:t>
            </w:r>
          </w:p>
        </w:tc>
      </w:tr>
    </w:tbl>
    <w:p>
      <w:pPr>
        <w:pStyle w:val="BodyText"/>
        <w:spacing w:line="262" w:lineRule="exact" w:before="0"/>
        <w:ind w:right="982"/>
        <w:jc w:val="left"/>
      </w:pPr>
      <w:r>
        <w:rPr/>
        <w:t>当期是否改聘会计师事务所</w:t>
      </w:r>
    </w:p>
    <w:p>
      <w:pPr>
        <w:pStyle w:val="BodyText"/>
        <w:spacing w:line="240" w:lineRule="auto" w:before="78"/>
        <w:ind w:right="982"/>
        <w:jc w:val="left"/>
      </w:pPr>
      <w:r>
        <w:rPr/>
        <w:t>□ 是 √</w:t>
      </w:r>
      <w:r>
        <w:rPr>
          <w:spacing w:val="1"/>
        </w:rPr>
        <w:t> </w:t>
      </w:r>
      <w:r>
        <w:rPr/>
        <w:t>否</w:t>
      </w:r>
    </w:p>
    <w:p>
      <w:pPr>
        <w:spacing w:after="0" w:line="240" w:lineRule="auto"/>
        <w:jc w:val="left"/>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BodyText"/>
        <w:spacing w:line="290" w:lineRule="auto" w:before="36"/>
        <w:ind w:right="982"/>
        <w:jc w:val="left"/>
      </w:pPr>
      <w:r>
        <w:rPr/>
        <w:t>聘请内部控制审计会计师事务所、财务顾问或保荐人情况：</w:t>
      </w:r>
      <w:r>
        <w:rPr>
          <w:w w:val="100"/>
        </w:rPr>
        <w:t> </w:t>
      </w:r>
      <w:r>
        <w:rPr>
          <w:spacing w:val="-2"/>
        </w:rPr>
        <w:t>本年度，公司聘请普华永道中天会计师事务所为公司内控审计机构，提供</w:t>
      </w:r>
      <w:r>
        <w:rPr>
          <w:rFonts w:ascii="宋体" w:hAnsi="宋体" w:cs="宋体" w:eastAsia="宋体" w:hint="default"/>
          <w:spacing w:val="-2"/>
        </w:rPr>
        <w:t>2012</w:t>
      </w:r>
      <w:r>
        <w:rPr>
          <w:spacing w:val="-2"/>
        </w:rPr>
        <w:t>年度公司内控审计工作，此</w:t>
      </w:r>
      <w:r>
        <w:rPr>
          <w:spacing w:val="-43"/>
        </w:rPr>
        <w:t> </w:t>
      </w:r>
      <w:r>
        <w:rPr>
          <w:spacing w:val="-43"/>
        </w:rPr>
      </w:r>
      <w:r>
        <w:rPr/>
        <w:t>次审计费用</w:t>
      </w:r>
      <w:r>
        <w:rPr>
          <w:rFonts w:ascii="宋体" w:hAnsi="宋体" w:cs="宋体" w:eastAsia="宋体" w:hint="default"/>
        </w:rPr>
        <w:t>150</w:t>
      </w:r>
      <w:r>
        <w:rPr/>
        <w:t>万元。</w:t>
      </w:r>
    </w:p>
    <w:p>
      <w:pPr>
        <w:spacing w:line="240" w:lineRule="auto" w:before="6"/>
        <w:rPr>
          <w:rFonts w:ascii="宋体" w:hAnsi="宋体" w:cs="宋体" w:eastAsia="宋体" w:hint="default"/>
          <w:sz w:val="20"/>
          <w:szCs w:val="20"/>
        </w:rPr>
      </w:pPr>
    </w:p>
    <w:p>
      <w:pPr>
        <w:pStyle w:val="Heading2"/>
        <w:spacing w:line="240" w:lineRule="auto"/>
        <w:ind w:right="982"/>
        <w:jc w:val="left"/>
        <w:rPr>
          <w:b w:val="0"/>
          <w:bCs w:val="0"/>
        </w:rPr>
      </w:pPr>
      <w:r>
        <w:rPr/>
        <w:t>十、监事会、独立董事（如适用）对会计师事务所本报告期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宋体" w:hAnsi="宋体" w:cs="宋体" w:eastAsia="宋体" w:hint="default"/>
          <w:b/>
          <w:bCs/>
          <w:sz w:val="29"/>
          <w:szCs w:val="29"/>
        </w:rPr>
      </w:pPr>
    </w:p>
    <w:p>
      <w:pPr>
        <w:pStyle w:val="BodyText"/>
        <w:spacing w:line="240" w:lineRule="auto" w:before="0"/>
        <w:ind w:left="573" w:right="982"/>
        <w:jc w:val="left"/>
      </w:pPr>
      <w:r>
        <w:rPr/>
        <w:t>不适用</w:t>
      </w:r>
    </w:p>
    <w:p>
      <w:pPr>
        <w:spacing w:line="240" w:lineRule="auto" w:before="11"/>
        <w:rPr>
          <w:rFonts w:ascii="宋体" w:hAnsi="宋体" w:cs="宋体" w:eastAsia="宋体" w:hint="default"/>
          <w:sz w:val="29"/>
          <w:szCs w:val="29"/>
        </w:rPr>
      </w:pPr>
    </w:p>
    <w:p>
      <w:pPr>
        <w:pStyle w:val="Heading2"/>
        <w:spacing w:line="240" w:lineRule="auto"/>
        <w:ind w:right="982"/>
        <w:jc w:val="left"/>
        <w:rPr>
          <w:b w:val="0"/>
          <w:bCs w:val="0"/>
        </w:rPr>
      </w:pPr>
      <w:r>
        <w:rPr/>
        <w:t>十一、处罚及整改情况</w:t>
      </w:r>
      <w:r>
        <w:rPr>
          <w:b w:val="0"/>
          <w:bCs w:val="0"/>
        </w:rPr>
      </w:r>
    </w:p>
    <w:p>
      <w:pPr>
        <w:spacing w:line="240" w:lineRule="auto" w:before="10"/>
        <w:rPr>
          <w:rFonts w:ascii="宋体" w:hAnsi="宋体" w:cs="宋体" w:eastAsia="宋体" w:hint="default"/>
          <w:b/>
          <w:bCs/>
          <w:sz w:val="30"/>
          <w:szCs w:val="30"/>
        </w:rPr>
      </w:pPr>
    </w:p>
    <w:p>
      <w:pPr>
        <w:pStyle w:val="BodyText"/>
        <w:spacing w:line="400" w:lineRule="auto" w:before="0"/>
        <w:ind w:right="1126" w:firstLine="420"/>
        <w:jc w:val="both"/>
      </w:pPr>
      <w:r>
        <w:rPr/>
        <w:t>报告期内，公司及董事、监事、高级管理人员、持有</w:t>
      </w:r>
      <w:r>
        <w:rPr>
          <w:spacing w:val="5"/>
        </w:rPr>
        <w:t> </w:t>
      </w:r>
      <w:r>
        <w:rPr>
          <w:rFonts w:ascii="Times New Roman" w:hAnsi="Times New Roman" w:cs="Times New Roman" w:eastAsia="Times New Roman" w:hint="default"/>
        </w:rPr>
        <w:t>5%</w:t>
      </w:r>
      <w:r>
        <w:rPr/>
        <w:t>以上股份的股东、实际控制人在报告期内不</w:t>
      </w:r>
      <w:r>
        <w:rPr>
          <w:w w:val="100"/>
        </w:rPr>
        <w:t> </w:t>
      </w:r>
      <w:r>
        <w:rPr>
          <w:spacing w:val="-2"/>
        </w:rPr>
        <w:t>存在被有权机关调查、被司法机关或纪检部门采取强制措施、被移送司法机关或追究刑事责任、被中国证</w:t>
      </w:r>
      <w:r>
        <w:rPr>
          <w:spacing w:val="-44"/>
        </w:rPr>
        <w:t> </w:t>
      </w:r>
      <w:r>
        <w:rPr>
          <w:spacing w:val="-44"/>
        </w:rPr>
      </w:r>
      <w:r>
        <w:rPr>
          <w:spacing w:val="-2"/>
        </w:rPr>
        <w:t>监会立案调查或行政处罚、被采取市场禁入、被认为不适当人选、被其他行政部门处罚以及被证券交易所</w:t>
      </w:r>
      <w:r>
        <w:rPr>
          <w:spacing w:val="-45"/>
        </w:rPr>
        <w:t> </w:t>
      </w:r>
      <w:r>
        <w:rPr>
          <w:spacing w:val="-45"/>
        </w:rPr>
      </w:r>
      <w:r>
        <w:rPr/>
        <w:t>公开谴责的情况。</w:t>
      </w:r>
    </w:p>
    <w:p>
      <w:pPr>
        <w:spacing w:line="240" w:lineRule="auto" w:before="2"/>
        <w:rPr>
          <w:rFonts w:ascii="宋体" w:hAnsi="宋体" w:cs="宋体" w:eastAsia="宋体" w:hint="default"/>
          <w:sz w:val="19"/>
          <w:szCs w:val="19"/>
        </w:rPr>
      </w:pPr>
    </w:p>
    <w:p>
      <w:pPr>
        <w:pStyle w:val="Heading2"/>
        <w:spacing w:line="240" w:lineRule="auto"/>
        <w:ind w:right="982"/>
        <w:jc w:val="left"/>
        <w:rPr>
          <w:b w:val="0"/>
          <w:bCs w:val="0"/>
        </w:rPr>
      </w:pPr>
      <w:r>
        <w:rPr/>
        <w:t>十二、年度报告披露后面临暂停上市和终止上市情况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82"/>
        <w:jc w:val="left"/>
      </w:pPr>
      <w:r>
        <w:rPr/>
        <w:t>不适用</w:t>
      </w:r>
    </w:p>
    <w:p>
      <w:pPr>
        <w:spacing w:line="240" w:lineRule="auto" w:before="11"/>
        <w:rPr>
          <w:rFonts w:ascii="宋体" w:hAnsi="宋体" w:cs="宋体" w:eastAsia="宋体" w:hint="default"/>
          <w:sz w:val="29"/>
          <w:szCs w:val="29"/>
        </w:rPr>
      </w:pPr>
    </w:p>
    <w:p>
      <w:pPr>
        <w:pStyle w:val="Heading2"/>
        <w:spacing w:line="240" w:lineRule="auto"/>
        <w:ind w:right="982"/>
        <w:jc w:val="left"/>
        <w:rPr>
          <w:b w:val="0"/>
          <w:bCs w:val="0"/>
        </w:rPr>
      </w:pPr>
      <w:r>
        <w:rPr/>
        <w:t>十三、其他重大事项的说明</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982"/>
        <w:jc w:val="left"/>
      </w:pPr>
      <w:r>
        <w:rPr>
          <w:w w:val="100"/>
        </w:rPr>
        <w:t>无</w:t>
      </w:r>
    </w:p>
    <w:p>
      <w:pPr>
        <w:spacing w:line="240" w:lineRule="auto" w:before="11"/>
        <w:rPr>
          <w:rFonts w:ascii="宋体" w:hAnsi="宋体" w:cs="宋体" w:eastAsia="宋体" w:hint="default"/>
          <w:sz w:val="29"/>
          <w:szCs w:val="29"/>
        </w:rPr>
      </w:pPr>
    </w:p>
    <w:p>
      <w:pPr>
        <w:pStyle w:val="Heading2"/>
        <w:spacing w:line="240" w:lineRule="auto"/>
        <w:ind w:right="982"/>
        <w:jc w:val="left"/>
        <w:rPr>
          <w:b w:val="0"/>
          <w:bCs w:val="0"/>
        </w:rPr>
      </w:pPr>
      <w:r>
        <w:rPr/>
        <w:t>十四、公司子公司重要事项</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82"/>
        <w:jc w:val="left"/>
      </w:pPr>
      <w:r>
        <w:rPr>
          <w:w w:val="100"/>
        </w:rPr>
        <w:t>无</w:t>
      </w:r>
    </w:p>
    <w:p>
      <w:pPr>
        <w:spacing w:line="240" w:lineRule="auto" w:before="11"/>
        <w:rPr>
          <w:rFonts w:ascii="宋体" w:hAnsi="宋体" w:cs="宋体" w:eastAsia="宋体" w:hint="default"/>
          <w:sz w:val="29"/>
          <w:szCs w:val="29"/>
        </w:rPr>
      </w:pPr>
    </w:p>
    <w:p>
      <w:pPr>
        <w:pStyle w:val="Heading2"/>
        <w:spacing w:line="240" w:lineRule="auto"/>
        <w:ind w:right="982"/>
        <w:jc w:val="left"/>
        <w:rPr>
          <w:b w:val="0"/>
          <w:bCs w:val="0"/>
        </w:rPr>
      </w:pPr>
      <w:r>
        <w:rPr/>
        <w:t>十五、公司发行公司债券的情况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982"/>
        <w:jc w:val="left"/>
      </w:pPr>
      <w:r>
        <w:rPr>
          <w:rFonts w:ascii="宋体" w:hAnsi="宋体" w:cs="宋体" w:eastAsia="宋体" w:hint="default"/>
        </w:rPr>
        <w:t>1</w:t>
      </w:r>
      <w:r>
        <w:rPr/>
        <w:t>、发行公司债券的审议情况</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rFonts w:ascii="宋体" w:hAnsi="宋体" w:cs="宋体" w:eastAsia="宋体" w:hint="default"/>
          <w:spacing w:val="-4"/>
        </w:rPr>
        <w:t>2012</w:t>
      </w:r>
      <w:r>
        <w:rPr>
          <w:spacing w:val="-4"/>
        </w:rPr>
        <w:t>年</w:t>
      </w:r>
      <w:r>
        <w:rPr>
          <w:rFonts w:ascii="宋体" w:hAnsi="宋体" w:cs="宋体" w:eastAsia="宋体" w:hint="default"/>
          <w:spacing w:val="-4"/>
        </w:rPr>
        <w:t>8</w:t>
      </w:r>
      <w:r>
        <w:rPr>
          <w:spacing w:val="-4"/>
        </w:rPr>
        <w:t>月，经公司第四届董事会第二十八次会议审议，公司</w:t>
      </w:r>
      <w:r>
        <w:rPr>
          <w:rFonts w:ascii="宋体" w:hAnsi="宋体" w:cs="宋体" w:eastAsia="宋体" w:hint="default"/>
          <w:spacing w:val="-4"/>
        </w:rPr>
        <w:t>2012</w:t>
      </w:r>
      <w:r>
        <w:rPr>
          <w:spacing w:val="-4"/>
        </w:rPr>
        <w:t>年第一次临时股东大会审议通过《关</w:t>
      </w:r>
      <w:r>
        <w:rPr>
          <w:w w:val="100"/>
        </w:rPr>
        <w:t> </w:t>
      </w:r>
      <w:r>
        <w:rPr>
          <w:spacing w:val="-2"/>
        </w:rPr>
        <w:t>于公开发行公司债券的议案》，公司拟公开发行规模不超过人民币</w:t>
      </w:r>
      <w:r>
        <w:rPr>
          <w:rFonts w:ascii="宋体" w:hAnsi="宋体" w:cs="宋体" w:eastAsia="宋体" w:hint="default"/>
          <w:spacing w:val="-2"/>
        </w:rPr>
        <w:t>80</w:t>
      </w:r>
      <w:r>
        <w:rPr>
          <w:spacing w:val="-2"/>
        </w:rPr>
        <w:t>亿元（含</w:t>
      </w:r>
      <w:r>
        <w:rPr>
          <w:rFonts w:ascii="宋体" w:hAnsi="宋体" w:cs="宋体" w:eastAsia="宋体" w:hint="default"/>
          <w:spacing w:val="-2"/>
        </w:rPr>
        <w:t>80</w:t>
      </w:r>
      <w:r>
        <w:rPr>
          <w:spacing w:val="-2"/>
        </w:rPr>
        <w:t>亿元）的公司债券，以一</w:t>
      </w:r>
      <w:r>
        <w:rPr>
          <w:spacing w:val="-38"/>
        </w:rPr>
        <w:t> </w:t>
      </w:r>
      <w:r>
        <w:rPr>
          <w:spacing w:val="-38"/>
        </w:rPr>
      </w:r>
      <w:r>
        <w:rPr>
          <w:spacing w:val="-2"/>
        </w:rPr>
        <w:t>期或分期形式发行，债券存续期限不超过</w:t>
      </w:r>
      <w:r>
        <w:rPr>
          <w:rFonts w:ascii="宋体" w:hAnsi="宋体" w:cs="宋体" w:eastAsia="宋体" w:hint="default"/>
          <w:spacing w:val="-2"/>
        </w:rPr>
        <w:t>10</w:t>
      </w:r>
      <w:r>
        <w:rPr>
          <w:spacing w:val="-2"/>
        </w:rPr>
        <w:t>年（含</w:t>
      </w:r>
      <w:r>
        <w:rPr>
          <w:rFonts w:ascii="宋体" w:hAnsi="宋体" w:cs="宋体" w:eastAsia="宋体" w:hint="default"/>
          <w:spacing w:val="-2"/>
        </w:rPr>
        <w:t>10</w:t>
      </w:r>
      <w:r>
        <w:rPr>
          <w:spacing w:val="-2"/>
        </w:rPr>
        <w:t>年）。本次债券的募集资金将用于补充公司营运资金</w:t>
      </w:r>
      <w:r>
        <w:rPr>
          <w:spacing w:val="-43"/>
        </w:rPr>
        <w:t> </w:t>
      </w:r>
      <w:r>
        <w:rPr>
          <w:spacing w:val="-43"/>
        </w:rPr>
      </w:r>
      <w:r>
        <w:rPr/>
        <w:t>和调整公司债务结构。</w:t>
      </w:r>
    </w:p>
    <w:p>
      <w:pPr>
        <w:pStyle w:val="BodyText"/>
        <w:spacing w:line="240" w:lineRule="auto"/>
        <w:ind w:left="573" w:right="982"/>
        <w:jc w:val="left"/>
      </w:pPr>
      <w:r>
        <w:rPr>
          <w:rFonts w:ascii="宋体" w:hAnsi="宋体" w:cs="宋体" w:eastAsia="宋体" w:hint="default"/>
        </w:rPr>
        <w:t>2012</w:t>
      </w:r>
      <w:r>
        <w:rPr/>
        <w:t>年</w:t>
      </w:r>
      <w:r>
        <w:rPr>
          <w:rFonts w:ascii="宋体" w:hAnsi="宋体" w:cs="宋体" w:eastAsia="宋体" w:hint="default"/>
        </w:rPr>
        <w:t>10</w:t>
      </w:r>
      <w:r>
        <w:rPr/>
        <w:t>月，经中国证券监督管理委员会证监许可【</w:t>
      </w:r>
      <w:r>
        <w:rPr>
          <w:rFonts w:ascii="宋体" w:hAnsi="宋体" w:cs="宋体" w:eastAsia="宋体" w:hint="default"/>
        </w:rPr>
        <w:t>2012</w:t>
      </w:r>
      <w:r>
        <w:rPr/>
        <w:t>】</w:t>
      </w:r>
      <w:r>
        <w:rPr>
          <w:rFonts w:ascii="宋体" w:hAnsi="宋体" w:cs="宋体" w:eastAsia="宋体" w:hint="default"/>
        </w:rPr>
        <w:t>1419</w:t>
      </w:r>
      <w:r>
        <w:rPr/>
        <w:t>号文核准，公司获准向社会公开发行</w:t>
      </w:r>
    </w:p>
    <w:p>
      <w:pPr>
        <w:pStyle w:val="BodyText"/>
        <w:spacing w:line="460" w:lineRule="atLeast" w:before="8"/>
        <w:ind w:right="982"/>
        <w:jc w:val="left"/>
      </w:pPr>
      <w:r>
        <w:rPr>
          <w:spacing w:val="-2"/>
        </w:rPr>
        <w:t>面值不超过</w:t>
      </w:r>
      <w:r>
        <w:rPr>
          <w:rFonts w:ascii="宋体" w:hAnsi="宋体" w:cs="宋体" w:eastAsia="宋体" w:hint="default"/>
          <w:spacing w:val="-2"/>
        </w:rPr>
        <w:t>80</w:t>
      </w:r>
      <w:r>
        <w:rPr>
          <w:spacing w:val="-2"/>
        </w:rPr>
        <w:t>亿元的公司债券。本次公司债券采用分期发行方式，首期发行面值不少于总发行面值的</w:t>
      </w:r>
      <w:r>
        <w:rPr>
          <w:rFonts w:ascii="宋体" w:hAnsi="宋体" w:cs="宋体" w:eastAsia="宋体" w:hint="default"/>
          <w:spacing w:val="-2"/>
        </w:rPr>
        <w:t>50%</w:t>
      </w:r>
      <w:r>
        <w:rPr>
          <w:spacing w:val="-2"/>
        </w:rPr>
        <w:t>，</w:t>
      </w:r>
      <w:r>
        <w:rPr>
          <w:spacing w:val="-38"/>
        </w:rPr>
        <w:t> </w:t>
      </w:r>
      <w:r>
        <w:rPr/>
        <w:t>自证监会核准发行之日起</w:t>
      </w:r>
      <w:r>
        <w:rPr>
          <w:rFonts w:ascii="宋体" w:hAnsi="宋体" w:cs="宋体" w:eastAsia="宋体" w:hint="default"/>
        </w:rPr>
        <w:t>6</w:t>
      </w:r>
      <w:r>
        <w:rPr/>
        <w:t>个月内完成；其余各期债券发行，自证监会核准发行之日起</w:t>
      </w:r>
      <w:r>
        <w:rPr>
          <w:rFonts w:ascii="宋体" w:hAnsi="宋体" w:cs="宋体" w:eastAsia="宋体" w:hint="default"/>
        </w:rPr>
        <w:t>24</w:t>
      </w:r>
      <w:r>
        <w:rPr/>
        <w:t>个月内完成。该</w:t>
      </w:r>
    </w:p>
    <w:p>
      <w:pPr>
        <w:spacing w:after="0" w:line="460" w:lineRule="atLeast"/>
        <w:jc w:val="left"/>
        <w:sectPr>
          <w:pgSz w:w="11910" w:h="16840"/>
          <w:pgMar w:header="877" w:footer="1340" w:top="1100" w:bottom="1540" w:left="980" w:right="0"/>
        </w:sectPr>
      </w:pPr>
    </w:p>
    <w:p>
      <w:pPr>
        <w:spacing w:line="240" w:lineRule="auto" w:before="9"/>
        <w:rPr>
          <w:rFonts w:ascii="宋体" w:hAnsi="宋体" w:cs="宋体" w:eastAsia="宋体" w:hint="default"/>
          <w:sz w:val="26"/>
          <w:szCs w:val="26"/>
        </w:rPr>
      </w:pPr>
    </w:p>
    <w:p>
      <w:pPr>
        <w:pStyle w:val="BodyText"/>
        <w:spacing w:line="408" w:lineRule="auto" w:before="36"/>
        <w:ind w:left="573" w:right="6306" w:hanging="421"/>
        <w:jc w:val="left"/>
      </w:pPr>
      <w:r>
        <w:rPr>
          <w:spacing w:val="-2"/>
        </w:rPr>
        <w:t>批复自核准发行之日起</w:t>
      </w:r>
      <w:r>
        <w:rPr>
          <w:rFonts w:ascii="宋体" w:hAnsi="宋体" w:cs="宋体" w:eastAsia="宋体" w:hint="default"/>
          <w:spacing w:val="-2"/>
        </w:rPr>
        <w:t>24</w:t>
      </w:r>
      <w:r>
        <w:rPr>
          <w:spacing w:val="-2"/>
        </w:rPr>
        <w:t>个月内有效。</w:t>
      </w:r>
      <w:r>
        <w:rPr>
          <w:spacing w:val="-70"/>
        </w:rPr>
        <w:t> </w:t>
      </w:r>
      <w:r>
        <w:rPr>
          <w:spacing w:val="-70"/>
        </w:rPr>
      </w:r>
      <w:r>
        <w:rPr>
          <w:rFonts w:ascii="宋体" w:hAnsi="宋体" w:cs="宋体" w:eastAsia="宋体" w:hint="default"/>
        </w:rPr>
        <w:t>2</w:t>
      </w:r>
      <w:r>
        <w:rPr/>
        <w:t>、公司债券发行情况</w:t>
      </w:r>
    </w:p>
    <w:p>
      <w:pPr>
        <w:pStyle w:val="BodyText"/>
        <w:spacing w:line="408" w:lineRule="auto"/>
        <w:ind w:right="982" w:firstLine="420"/>
        <w:jc w:val="left"/>
      </w:pP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月，公司实施完成公开发行</w:t>
      </w:r>
      <w:r>
        <w:rPr>
          <w:rFonts w:ascii="宋体" w:hAnsi="宋体" w:cs="宋体" w:eastAsia="宋体" w:hint="default"/>
          <w:spacing w:val="-2"/>
        </w:rPr>
        <w:t>2012</w:t>
      </w:r>
      <w:r>
        <w:rPr>
          <w:spacing w:val="-2"/>
        </w:rPr>
        <w:t>年公司债券（第一期），发行总额为</w:t>
      </w:r>
      <w:r>
        <w:rPr>
          <w:rFonts w:ascii="宋体" w:hAnsi="宋体" w:cs="宋体" w:eastAsia="宋体" w:hint="default"/>
          <w:spacing w:val="-2"/>
        </w:rPr>
        <w:t>45</w:t>
      </w:r>
      <w:r>
        <w:rPr>
          <w:spacing w:val="-2"/>
        </w:rPr>
        <w:t>亿元，采取网上面向</w:t>
      </w:r>
      <w:r>
        <w:rPr>
          <w:w w:val="100"/>
        </w:rPr>
        <w:t> </w:t>
      </w:r>
      <w:r>
        <w:rPr/>
        <w:t>社会公众投资者发行和网下面向机构投资者询价配售相结合的方式。本期债券相关发行情况如下：</w:t>
      </w:r>
    </w:p>
    <w:p>
      <w:pPr>
        <w:pStyle w:val="BodyText"/>
        <w:spacing w:line="408" w:lineRule="auto"/>
        <w:ind w:left="573" w:right="6306"/>
        <w:jc w:val="left"/>
      </w:pPr>
      <w:r>
        <w:rPr/>
        <w:t>债券面额：人民币</w:t>
      </w:r>
      <w:r>
        <w:rPr>
          <w:rFonts w:ascii="宋体" w:hAnsi="宋体" w:cs="宋体" w:eastAsia="宋体" w:hint="default"/>
        </w:rPr>
        <w:t>100</w:t>
      </w:r>
      <w:r>
        <w:rPr/>
        <w:t>元；</w:t>
      </w:r>
      <w:r>
        <w:rPr>
          <w:spacing w:val="-3"/>
          <w:w w:val="100"/>
        </w:rPr>
        <w:t> </w:t>
      </w:r>
      <w:r>
        <w:rPr>
          <w:spacing w:val="-2"/>
        </w:rPr>
        <w:t>债券存续期限：</w:t>
      </w:r>
      <w:r>
        <w:rPr>
          <w:rFonts w:ascii="宋体" w:hAnsi="宋体" w:cs="宋体" w:eastAsia="宋体" w:hint="default"/>
          <w:spacing w:val="-2"/>
        </w:rPr>
        <w:t>5</w:t>
      </w:r>
      <w:r>
        <w:rPr>
          <w:spacing w:val="-2"/>
        </w:rPr>
        <w:t>年期固定利率品种；</w:t>
      </w:r>
    </w:p>
    <w:p>
      <w:pPr>
        <w:pStyle w:val="BodyText"/>
        <w:spacing w:line="408" w:lineRule="auto"/>
        <w:ind w:right="982" w:firstLine="420"/>
        <w:jc w:val="left"/>
      </w:pPr>
      <w:r>
        <w:rPr>
          <w:spacing w:val="-2"/>
        </w:rPr>
        <w:t>债券年利率、计息方式和还本付息方式：本期债券票面利率为</w:t>
      </w:r>
      <w:r>
        <w:rPr>
          <w:rFonts w:ascii="宋体" w:hAnsi="宋体" w:cs="宋体" w:eastAsia="宋体" w:hint="default"/>
          <w:spacing w:val="-2"/>
        </w:rPr>
        <w:t>5.2%</w:t>
      </w:r>
      <w:r>
        <w:rPr>
          <w:spacing w:val="-2"/>
        </w:rPr>
        <w:t>。本期债券采用单利按年计息，不</w:t>
      </w:r>
      <w:r>
        <w:rPr>
          <w:w w:val="100"/>
        </w:rPr>
        <w:t> </w:t>
      </w:r>
      <w:r>
        <w:rPr/>
        <w:t>计复利，每年付息一次，到期一次还本，最后一期利息随本金的兑付一起支付；</w:t>
      </w:r>
    </w:p>
    <w:p>
      <w:pPr>
        <w:pStyle w:val="BodyText"/>
        <w:spacing w:line="408" w:lineRule="auto"/>
        <w:ind w:left="573" w:right="982"/>
        <w:jc w:val="left"/>
        <w:rPr>
          <w:rFonts w:ascii="宋体" w:hAnsi="宋体" w:cs="宋体" w:eastAsia="宋体" w:hint="default"/>
        </w:rPr>
      </w:pPr>
      <w:r>
        <w:rPr/>
        <w:t>债券起息日及到期日：本期债券起息日是</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14</w:t>
      </w:r>
      <w:r>
        <w:rPr/>
        <w:t>日，到期日</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14</w:t>
      </w:r>
      <w:r>
        <w:rPr/>
        <w:t>日；</w:t>
      </w:r>
      <w:r>
        <w:rPr>
          <w:spacing w:val="-3"/>
          <w:w w:val="100"/>
        </w:rPr>
        <w:t> </w:t>
      </w:r>
      <w:r>
        <w:rPr>
          <w:spacing w:val="-2"/>
        </w:rPr>
        <w:t>募集资金情况：本期债券合计发行人民币</w:t>
      </w:r>
      <w:r>
        <w:rPr>
          <w:rFonts w:ascii="宋体" w:hAnsi="宋体" w:cs="宋体" w:eastAsia="宋体" w:hint="default"/>
          <w:spacing w:val="-2"/>
        </w:rPr>
        <w:t>45</w:t>
      </w:r>
      <w:r>
        <w:rPr>
          <w:spacing w:val="-2"/>
        </w:rPr>
        <w:t>亿元，扣除发行费用之后的净募集资金已于</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19</w:t>
      </w:r>
    </w:p>
    <w:p>
      <w:pPr>
        <w:pStyle w:val="BodyText"/>
        <w:spacing w:line="408" w:lineRule="auto"/>
        <w:ind w:right="982"/>
        <w:jc w:val="left"/>
      </w:pPr>
      <w:r>
        <w:rPr>
          <w:spacing w:val="-2"/>
        </w:rPr>
        <w:t>日汇入发行人指定的银行账户。普华永道中天会计师事务所有限公司对募集资金到位情况出具了编号为普</w:t>
      </w:r>
      <w:r>
        <w:rPr>
          <w:spacing w:val="-43"/>
        </w:rPr>
        <w:t> </w:t>
      </w:r>
      <w:r>
        <w:rPr>
          <w:spacing w:val="-43"/>
        </w:rPr>
      </w:r>
      <w:r>
        <w:rPr/>
        <w:t>华永道中天验字【</w:t>
      </w:r>
      <w:r>
        <w:rPr>
          <w:rFonts w:ascii="宋体" w:hAnsi="宋体" w:cs="宋体" w:eastAsia="宋体" w:hint="default"/>
        </w:rPr>
        <w:t>2012</w:t>
      </w:r>
      <w:r>
        <w:rPr/>
        <w:t>】第</w:t>
      </w:r>
      <w:r>
        <w:rPr>
          <w:rFonts w:ascii="宋体" w:hAnsi="宋体" w:cs="宋体" w:eastAsia="宋体" w:hint="default"/>
        </w:rPr>
        <w:t>544</w:t>
      </w:r>
      <w:r>
        <w:rPr/>
        <w:t>号验资报告。</w:t>
      </w:r>
    </w:p>
    <w:p>
      <w:pPr>
        <w:pStyle w:val="BodyText"/>
        <w:spacing w:line="240" w:lineRule="auto"/>
        <w:ind w:left="573" w:right="982"/>
        <w:jc w:val="left"/>
      </w:pPr>
      <w:r>
        <w:rPr>
          <w:rFonts w:ascii="宋体" w:hAnsi="宋体" w:cs="宋体" w:eastAsia="宋体" w:hint="default"/>
        </w:rPr>
        <w:t>3</w:t>
      </w:r>
      <w:r>
        <w:rPr/>
        <w:t>、公司债券上市情况</w:t>
      </w:r>
    </w:p>
    <w:p>
      <w:pPr>
        <w:spacing w:line="240" w:lineRule="auto" w:before="10"/>
        <w:rPr>
          <w:rFonts w:ascii="宋体" w:hAnsi="宋体" w:cs="宋体" w:eastAsia="宋体" w:hint="default"/>
          <w:sz w:val="14"/>
          <w:szCs w:val="14"/>
        </w:rPr>
      </w:pPr>
    </w:p>
    <w:p>
      <w:pPr>
        <w:pStyle w:val="BodyText"/>
        <w:spacing w:line="408" w:lineRule="auto" w:before="0"/>
        <w:ind w:right="982" w:firstLine="420"/>
        <w:jc w:val="left"/>
      </w:pP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月，经深交所深证上【</w:t>
      </w:r>
      <w:r>
        <w:rPr>
          <w:rFonts w:ascii="宋体" w:hAnsi="宋体" w:cs="宋体" w:eastAsia="宋体" w:hint="default"/>
          <w:spacing w:val="-2"/>
        </w:rPr>
        <w:t>2013</w:t>
      </w:r>
      <w:r>
        <w:rPr>
          <w:spacing w:val="-2"/>
        </w:rPr>
        <w:t>】</w:t>
      </w:r>
      <w:r>
        <w:rPr>
          <w:rFonts w:ascii="宋体" w:hAnsi="宋体" w:cs="宋体" w:eastAsia="宋体" w:hint="default"/>
          <w:spacing w:val="-2"/>
        </w:rPr>
        <w:t>31</w:t>
      </w:r>
      <w:r>
        <w:rPr>
          <w:spacing w:val="-2"/>
        </w:rPr>
        <w:t>号文同意，本期债券于</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24</w:t>
      </w:r>
      <w:r>
        <w:rPr>
          <w:spacing w:val="-2"/>
        </w:rPr>
        <w:t>日起在深交所挂牌交易，</w:t>
      </w:r>
      <w:r>
        <w:rPr>
          <w:w w:val="100"/>
        </w:rPr>
        <w:t> </w:t>
      </w:r>
      <w:r>
        <w:rPr/>
        <w:t>本期债券简称为“</w:t>
      </w:r>
      <w:r>
        <w:rPr>
          <w:rFonts w:ascii="宋体" w:hAnsi="宋体" w:cs="宋体" w:eastAsia="宋体" w:hint="default"/>
        </w:rPr>
        <w:t>12</w:t>
      </w:r>
      <w:r>
        <w:rPr/>
        <w:t>苏宁</w:t>
      </w:r>
      <w:r>
        <w:rPr>
          <w:rFonts w:ascii="宋体" w:hAnsi="宋体" w:cs="宋体" w:eastAsia="宋体" w:hint="default"/>
        </w:rPr>
        <w:t>01</w:t>
      </w:r>
      <w:r>
        <w:rPr/>
        <w:t>”，上市代码为“</w:t>
      </w:r>
      <w:r>
        <w:rPr>
          <w:rFonts w:ascii="宋体" w:hAnsi="宋体" w:cs="宋体" w:eastAsia="宋体" w:hint="default"/>
        </w:rPr>
        <w:t>112138</w:t>
      </w:r>
      <w:r>
        <w:rPr/>
        <w:t>”。</w:t>
      </w:r>
    </w:p>
    <w:p>
      <w:pPr>
        <w:spacing w:after="0" w:line="408" w:lineRule="auto"/>
        <w:jc w:val="left"/>
        <w:sectPr>
          <w:pgSz w:w="11910" w:h="16840"/>
          <w:pgMar w:header="877" w:footer="1340" w:top="110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left="2964" w:right="982"/>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82"/>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31" w:type="dxa"/>
        <w:tblLayout w:type="fixed"/>
        <w:tblCellMar>
          <w:top w:w="0" w:type="dxa"/>
          <w:left w:w="0" w:type="dxa"/>
          <w:bottom w:w="0" w:type="dxa"/>
          <w:right w:w="0" w:type="dxa"/>
        </w:tblCellMar>
        <w:tblLook w:val="01E0"/>
      </w:tblPr>
      <w:tblGrid>
        <w:gridCol w:w="1305"/>
        <w:gridCol w:w="1148"/>
        <w:gridCol w:w="673"/>
        <w:gridCol w:w="955"/>
        <w:gridCol w:w="336"/>
        <w:gridCol w:w="401"/>
        <w:gridCol w:w="1277"/>
        <w:gridCol w:w="1490"/>
        <w:gridCol w:w="1489"/>
        <w:gridCol w:w="612"/>
      </w:tblGrid>
      <w:tr>
        <w:trPr>
          <w:trHeight w:val="322" w:hRule="exact"/>
        </w:trPr>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8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85"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4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0"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1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470" w:hRule="exact"/>
        </w:trPr>
        <w:tc>
          <w:tcPr>
            <w:tcW w:w="1305" w:type="dxa"/>
            <w:vMerge/>
            <w:tcBorders>
              <w:left w:val="single" w:sz="4" w:space="0" w:color="000000"/>
              <w:bottom w:val="nil" w:sz="6" w:space="0" w:color="auto"/>
              <w:right w:val="single" w:sz="4" w:space="0" w:color="000000"/>
            </w:tcBorders>
            <w:shd w:val="clear" w:color="auto" w:fill="D2D2D2"/>
          </w:tcPr>
          <w:p>
            <w:pPr/>
          </w:p>
        </w:tc>
        <w:tc>
          <w:tcPr>
            <w:tcW w:w="1148" w:type="dxa"/>
            <w:vMerge w:val="restart"/>
            <w:tcBorders>
              <w:top w:val="single" w:sz="4" w:space="0" w:color="000000"/>
              <w:left w:val="single" w:sz="4" w:space="0" w:color="000000"/>
              <w:right w:val="single" w:sz="4" w:space="0" w:color="000000"/>
            </w:tcBorders>
            <w:shd w:val="clear" w:color="auto" w:fill="D2D2D2"/>
          </w:tcPr>
          <w:p>
            <w:pPr/>
          </w:p>
        </w:tc>
        <w:tc>
          <w:tcPr>
            <w:tcW w:w="673"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vMerge w:val="restart"/>
            <w:tcBorders>
              <w:top w:val="single" w:sz="4" w:space="0" w:color="000000"/>
              <w:left w:val="single" w:sz="4" w:space="0" w:color="000000"/>
              <w:right w:val="single" w:sz="4" w:space="0" w:color="000000"/>
            </w:tcBorders>
            <w:shd w:val="clear" w:color="auto" w:fill="D2D2D2"/>
          </w:tcPr>
          <w:p>
            <w:pPr/>
          </w:p>
        </w:tc>
        <w:tc>
          <w:tcPr>
            <w:tcW w:w="336" w:type="dxa"/>
            <w:tcBorders>
              <w:top w:val="single" w:sz="4" w:space="0" w:color="000000"/>
              <w:left w:val="single" w:sz="4" w:space="0" w:color="000000"/>
              <w:bottom w:val="nil" w:sz="6" w:space="0" w:color="auto"/>
              <w:right w:val="single" w:sz="4" w:space="0" w:color="000000"/>
            </w:tcBorders>
            <w:shd w:val="clear" w:color="auto" w:fill="D2D2D2"/>
          </w:tcPr>
          <w:p>
            <w:pPr/>
          </w:p>
        </w:tc>
        <w:tc>
          <w:tcPr>
            <w:tcW w:w="40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91" w:right="86"/>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90" w:type="dxa"/>
            <w:vMerge w:val="restart"/>
            <w:tcBorders>
              <w:top w:val="single" w:sz="4" w:space="0" w:color="000000"/>
              <w:left w:val="single" w:sz="4" w:space="0" w:color="000000"/>
              <w:right w:val="single" w:sz="4" w:space="0" w:color="000000"/>
            </w:tcBorders>
            <w:shd w:val="clear" w:color="auto" w:fill="D2D2D2"/>
          </w:tcPr>
          <w:p>
            <w:pPr/>
          </w:p>
        </w:tc>
        <w:tc>
          <w:tcPr>
            <w:tcW w:w="1489" w:type="dxa"/>
            <w:vMerge w:val="restart"/>
            <w:tcBorders>
              <w:top w:val="single" w:sz="4" w:space="0" w:color="000000"/>
              <w:left w:val="single" w:sz="4" w:space="0" w:color="000000"/>
              <w:right w:val="single" w:sz="4" w:space="0" w:color="000000"/>
            </w:tcBorders>
            <w:shd w:val="clear" w:color="auto" w:fill="D2D2D2"/>
          </w:tcPr>
          <w:p>
            <w:pPr/>
          </w:p>
        </w:tc>
        <w:tc>
          <w:tcPr>
            <w:tcW w:w="61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7" w:hRule="exact"/>
        </w:trPr>
        <w:tc>
          <w:tcPr>
            <w:tcW w:w="1305" w:type="dxa"/>
            <w:vMerge w:val="restart"/>
            <w:tcBorders>
              <w:top w:val="nil" w:sz="6" w:space="0" w:color="auto"/>
              <w:left w:val="single" w:sz="4" w:space="0" w:color="000000"/>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67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175" w:right="11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55" w:type="dxa"/>
            <w:vMerge/>
            <w:tcBorders>
              <w:left w:val="single" w:sz="4" w:space="0" w:color="000000"/>
              <w:bottom w:val="nil" w:sz="6" w:space="0" w:color="auto"/>
              <w:right w:val="single" w:sz="4" w:space="0" w:color="000000"/>
            </w:tcBorders>
            <w:shd w:val="clear" w:color="auto" w:fill="D2D2D2"/>
          </w:tcPr>
          <w:p>
            <w:pPr/>
          </w:p>
        </w:tc>
        <w:tc>
          <w:tcPr>
            <w:tcW w:w="33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57" w:right="55"/>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01"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90" w:type="dxa"/>
            <w:vMerge/>
            <w:tcBorders>
              <w:left w:val="single" w:sz="4" w:space="0" w:color="000000"/>
              <w:bottom w:val="nil" w:sz="6" w:space="0" w:color="auto"/>
              <w:right w:val="single" w:sz="4" w:space="0" w:color="000000"/>
            </w:tcBorders>
            <w:shd w:val="clear" w:color="auto" w:fill="D2D2D2"/>
          </w:tcPr>
          <w:p>
            <w:pPr/>
          </w:p>
        </w:tc>
        <w:tc>
          <w:tcPr>
            <w:tcW w:w="1489" w:type="dxa"/>
            <w:vMerge/>
            <w:tcBorders>
              <w:left w:val="single" w:sz="4" w:space="0" w:color="000000"/>
              <w:bottom w:val="nil" w:sz="6" w:space="0" w:color="auto"/>
              <w:right w:val="single" w:sz="4" w:space="0" w:color="000000"/>
            </w:tcBorders>
            <w:shd w:val="clear" w:color="auto" w:fill="D2D2D2"/>
          </w:tcPr>
          <w:p>
            <w:pPr/>
          </w:p>
        </w:tc>
        <w:tc>
          <w:tcPr>
            <w:tcW w:w="61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144" w:right="8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r>
        <w:trPr>
          <w:trHeight w:val="151" w:hRule="exact"/>
        </w:trPr>
        <w:tc>
          <w:tcPr>
            <w:tcW w:w="1305" w:type="dxa"/>
            <w:vMerge/>
            <w:tcBorders>
              <w:left w:val="single" w:sz="4" w:space="0" w:color="000000"/>
              <w:bottom w:val="nil" w:sz="6" w:space="0" w:color="auto"/>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36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73" w:type="dxa"/>
            <w:vMerge/>
            <w:tcBorders>
              <w:left w:val="single" w:sz="4" w:space="0" w:color="000000"/>
              <w:right w:val="single" w:sz="4" w:space="0" w:color="000000"/>
            </w:tcBorders>
            <w:shd w:val="clear" w:color="auto" w:fill="D2D2D2"/>
          </w:tcPr>
          <w:p>
            <w:pPr/>
          </w:p>
        </w:tc>
        <w:tc>
          <w:tcPr>
            <w:tcW w:w="955" w:type="dxa"/>
            <w:vMerge w:val="restart"/>
            <w:tcBorders>
              <w:top w:val="nil" w:sz="6" w:space="0" w:color="auto"/>
              <w:left w:val="single" w:sz="22" w:space="0" w:color="D2D2D2"/>
              <w:right w:val="single" w:sz="22" w:space="0" w:color="D2D2D2"/>
            </w:tcBorders>
          </w:tcPr>
          <w:p>
            <w:pPr>
              <w:pStyle w:val="TableParagraph"/>
              <w:tabs>
                <w:tab w:pos="901" w:val="left" w:leader="none"/>
              </w:tabs>
              <w:spacing w:line="262" w:lineRule="exact"/>
              <w:ind w:left="1" w:right="-2"/>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24"/>
                <w:w w:val="100"/>
                <w:sz w:val="21"/>
                <w:szCs w:val="21"/>
                <w:shd w:fill="D2D2D2" w:color="auto" w:val="clear"/>
              </w:rPr>
              <w:t> </w:t>
            </w:r>
            <w:r>
              <w:rPr>
                <w:rFonts w:ascii="宋体" w:hAnsi="宋体" w:cs="宋体" w:eastAsia="宋体" w:hint="default"/>
                <w:sz w:val="21"/>
                <w:szCs w:val="21"/>
                <w:shd w:fill="D2D2D2" w:color="auto" w:val="clear"/>
              </w:rPr>
              <w:t>发行新股</w:t>
              <w:tab/>
            </w:r>
            <w:r>
              <w:rPr>
                <w:rFonts w:ascii="宋体" w:hAnsi="宋体" w:cs="宋体" w:eastAsia="宋体" w:hint="default"/>
                <w:sz w:val="21"/>
                <w:szCs w:val="21"/>
              </w:rPr>
            </w:r>
          </w:p>
        </w:tc>
        <w:tc>
          <w:tcPr>
            <w:tcW w:w="336" w:type="dxa"/>
            <w:vMerge/>
            <w:tcBorders>
              <w:left w:val="single" w:sz="4" w:space="0" w:color="000000"/>
              <w:right w:val="single" w:sz="4" w:space="0" w:color="000000"/>
            </w:tcBorders>
            <w:shd w:val="clear" w:color="auto" w:fill="D2D2D2"/>
          </w:tcPr>
          <w:p>
            <w:pPr/>
          </w:p>
        </w:tc>
        <w:tc>
          <w:tcPr>
            <w:tcW w:w="401"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42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0"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489"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612" w:type="dxa"/>
            <w:vMerge/>
            <w:tcBorders>
              <w:left w:val="single" w:sz="4" w:space="0" w:color="000000"/>
              <w:right w:val="single" w:sz="4" w:space="0" w:color="000000"/>
            </w:tcBorders>
            <w:shd w:val="clear" w:color="auto" w:fill="D2D2D2"/>
          </w:tcPr>
          <w:p>
            <w:pPr/>
          </w:p>
        </w:tc>
      </w:tr>
      <w:tr>
        <w:trPr>
          <w:trHeight w:val="161" w:hRule="exact"/>
        </w:trPr>
        <w:tc>
          <w:tcPr>
            <w:tcW w:w="1305" w:type="dxa"/>
            <w:vMerge w:val="restart"/>
            <w:tcBorders>
              <w:top w:val="nil" w:sz="6" w:space="0" w:color="auto"/>
              <w:left w:val="single" w:sz="4" w:space="0" w:color="000000"/>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955" w:type="dxa"/>
            <w:vMerge/>
            <w:tcBorders>
              <w:left w:val="single" w:sz="22" w:space="0" w:color="D2D2D2"/>
              <w:bottom w:val="nil" w:sz="6" w:space="0" w:color="auto"/>
              <w:right w:val="single" w:sz="22" w:space="0" w:color="D2D2D2"/>
            </w:tcBorders>
          </w:tcPr>
          <w:p>
            <w:pPr/>
          </w:p>
        </w:tc>
        <w:tc>
          <w:tcPr>
            <w:tcW w:w="336" w:type="dxa"/>
            <w:vMerge/>
            <w:tcBorders>
              <w:left w:val="single" w:sz="4" w:space="0" w:color="000000"/>
              <w:right w:val="single" w:sz="4" w:space="0" w:color="000000"/>
            </w:tcBorders>
            <w:shd w:val="clear" w:color="auto" w:fill="D2D2D2"/>
          </w:tcPr>
          <w:p>
            <w:pPr/>
          </w:p>
        </w:tc>
        <w:tc>
          <w:tcPr>
            <w:tcW w:w="401"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90" w:type="dxa"/>
            <w:vMerge/>
            <w:tcBorders>
              <w:left w:val="single" w:sz="4" w:space="0" w:color="000000"/>
              <w:bottom w:val="nil" w:sz="6" w:space="0" w:color="auto"/>
              <w:right w:val="single" w:sz="4" w:space="0" w:color="000000"/>
            </w:tcBorders>
            <w:shd w:val="clear" w:color="auto" w:fill="D2D2D2"/>
          </w:tcPr>
          <w:p>
            <w:pPr/>
          </w:p>
        </w:tc>
        <w:tc>
          <w:tcPr>
            <w:tcW w:w="1489" w:type="dxa"/>
            <w:vMerge/>
            <w:tcBorders>
              <w:left w:val="single" w:sz="4" w:space="0" w:color="000000"/>
              <w:bottom w:val="nil" w:sz="6" w:space="0" w:color="auto"/>
              <w:right w:val="single" w:sz="4" w:space="0" w:color="000000"/>
            </w:tcBorders>
            <w:shd w:val="clear" w:color="auto" w:fill="D2D2D2"/>
          </w:tcPr>
          <w:p>
            <w:pPr/>
          </w:p>
        </w:tc>
        <w:tc>
          <w:tcPr>
            <w:tcW w:w="612" w:type="dxa"/>
            <w:vMerge/>
            <w:tcBorders>
              <w:left w:val="single" w:sz="4" w:space="0" w:color="000000"/>
              <w:right w:val="single" w:sz="4" w:space="0" w:color="000000"/>
            </w:tcBorders>
            <w:shd w:val="clear" w:color="auto" w:fill="D2D2D2"/>
          </w:tcPr>
          <w:p>
            <w:pPr/>
          </w:p>
        </w:tc>
      </w:tr>
      <w:tr>
        <w:trPr>
          <w:trHeight w:val="156" w:hRule="exact"/>
        </w:trPr>
        <w:tc>
          <w:tcPr>
            <w:tcW w:w="1305" w:type="dxa"/>
            <w:vMerge/>
            <w:tcBorders>
              <w:left w:val="single" w:sz="4" w:space="0" w:color="000000"/>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
        </w:tc>
        <w:tc>
          <w:tcPr>
            <w:tcW w:w="673" w:type="dxa"/>
            <w:vMerge/>
            <w:tcBorders>
              <w:left w:val="single" w:sz="4" w:space="0" w:color="000000"/>
              <w:bottom w:val="nil" w:sz="6" w:space="0" w:color="auto"/>
              <w:right w:val="single" w:sz="4" w:space="0" w:color="000000"/>
            </w:tcBorders>
            <w:shd w:val="clear" w:color="auto" w:fill="D2D2D2"/>
          </w:tcPr>
          <w:p>
            <w:pPr/>
          </w:p>
        </w:tc>
        <w:tc>
          <w:tcPr>
            <w:tcW w:w="955" w:type="dxa"/>
            <w:vMerge w:val="restart"/>
            <w:tcBorders>
              <w:top w:val="nil" w:sz="6" w:space="0" w:color="auto"/>
              <w:left w:val="single" w:sz="4" w:space="0" w:color="000000"/>
              <w:right w:val="single" w:sz="4" w:space="0" w:color="000000"/>
            </w:tcBorders>
            <w:shd w:val="clear" w:color="auto" w:fill="D2D2D2"/>
          </w:tcPr>
          <w:p>
            <w:pPr/>
          </w:p>
        </w:tc>
        <w:tc>
          <w:tcPr>
            <w:tcW w:w="336" w:type="dxa"/>
            <w:vMerge/>
            <w:tcBorders>
              <w:left w:val="single" w:sz="4" w:space="0" w:color="000000"/>
              <w:bottom w:val="nil" w:sz="6" w:space="0" w:color="auto"/>
              <w:right w:val="single" w:sz="4" w:space="0" w:color="000000"/>
            </w:tcBorders>
            <w:shd w:val="clear" w:color="auto" w:fill="D2D2D2"/>
          </w:tcPr>
          <w:p>
            <w:pPr/>
          </w:p>
        </w:tc>
        <w:tc>
          <w:tcPr>
            <w:tcW w:w="401"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490" w:type="dxa"/>
            <w:vMerge w:val="restart"/>
            <w:tcBorders>
              <w:top w:val="nil" w:sz="6" w:space="0" w:color="auto"/>
              <w:left w:val="single" w:sz="4" w:space="0" w:color="000000"/>
              <w:right w:val="single" w:sz="4" w:space="0" w:color="000000"/>
            </w:tcBorders>
            <w:shd w:val="clear" w:color="auto" w:fill="D2D2D2"/>
          </w:tcPr>
          <w:p>
            <w:pPr/>
          </w:p>
        </w:tc>
        <w:tc>
          <w:tcPr>
            <w:tcW w:w="1489" w:type="dxa"/>
            <w:vMerge w:val="restart"/>
            <w:tcBorders>
              <w:top w:val="nil" w:sz="6" w:space="0" w:color="auto"/>
              <w:left w:val="single" w:sz="4" w:space="0" w:color="000000"/>
              <w:right w:val="single" w:sz="4" w:space="0" w:color="000000"/>
            </w:tcBorders>
            <w:shd w:val="clear" w:color="auto" w:fill="D2D2D2"/>
          </w:tcPr>
          <w:p>
            <w:pPr/>
          </w:p>
        </w:tc>
        <w:tc>
          <w:tcPr>
            <w:tcW w:w="612" w:type="dxa"/>
            <w:vMerge/>
            <w:tcBorders>
              <w:left w:val="single" w:sz="4" w:space="0" w:color="000000"/>
              <w:bottom w:val="nil" w:sz="6" w:space="0" w:color="auto"/>
              <w:right w:val="single" w:sz="4" w:space="0" w:color="000000"/>
            </w:tcBorders>
            <w:shd w:val="clear" w:color="auto" w:fill="D2D2D2"/>
          </w:tcPr>
          <w:p>
            <w:pPr/>
          </w:p>
        </w:tc>
      </w:tr>
      <w:tr>
        <w:trPr>
          <w:trHeight w:val="473" w:hRule="exact"/>
        </w:trPr>
        <w:tc>
          <w:tcPr>
            <w:tcW w:w="1305" w:type="dxa"/>
            <w:vMerge/>
            <w:tcBorders>
              <w:left w:val="single" w:sz="4" w:space="0" w:color="000000"/>
              <w:bottom w:val="single" w:sz="4" w:space="0" w:color="000000"/>
              <w:right w:val="single" w:sz="4" w:space="0" w:color="000000"/>
            </w:tcBorders>
            <w:shd w:val="clear" w:color="auto" w:fill="D2D2D2"/>
          </w:tcPr>
          <w:p>
            <w:pPr/>
          </w:p>
        </w:tc>
        <w:tc>
          <w:tcPr>
            <w:tcW w:w="1148" w:type="dxa"/>
            <w:vMerge/>
            <w:tcBorders>
              <w:left w:val="single" w:sz="4" w:space="0" w:color="000000"/>
              <w:bottom w:val="single" w:sz="4" w:space="0" w:color="000000"/>
              <w:right w:val="single" w:sz="4" w:space="0" w:color="000000"/>
            </w:tcBorders>
            <w:shd w:val="clear" w:color="auto" w:fill="D2D2D2"/>
          </w:tcPr>
          <w:p>
            <w:pPr/>
          </w:p>
        </w:tc>
        <w:tc>
          <w:tcPr>
            <w:tcW w:w="673"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vMerge/>
            <w:tcBorders>
              <w:left w:val="single" w:sz="4" w:space="0" w:color="000000"/>
              <w:bottom w:val="single" w:sz="4" w:space="0" w:color="000000"/>
              <w:right w:val="single" w:sz="4" w:space="0" w:color="000000"/>
            </w:tcBorders>
            <w:shd w:val="clear" w:color="auto" w:fill="D2D2D2"/>
          </w:tcPr>
          <w:p>
            <w:pPr/>
          </w:p>
        </w:tc>
        <w:tc>
          <w:tcPr>
            <w:tcW w:w="336" w:type="dxa"/>
            <w:tcBorders>
              <w:top w:val="nil" w:sz="6" w:space="0" w:color="auto"/>
              <w:left w:val="single" w:sz="4" w:space="0" w:color="000000"/>
              <w:bottom w:val="single" w:sz="4" w:space="0" w:color="000000"/>
              <w:right w:val="single" w:sz="4" w:space="0" w:color="000000"/>
            </w:tcBorders>
            <w:shd w:val="clear" w:color="auto" w:fill="D2D2D2"/>
          </w:tcPr>
          <w:p>
            <w:pPr/>
          </w:p>
        </w:tc>
        <w:tc>
          <w:tcPr>
            <w:tcW w:w="401"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90" w:type="dxa"/>
            <w:vMerge/>
            <w:tcBorders>
              <w:left w:val="single" w:sz="4" w:space="0" w:color="000000"/>
              <w:bottom w:val="single" w:sz="4" w:space="0" w:color="000000"/>
              <w:right w:val="single" w:sz="4" w:space="0" w:color="000000"/>
            </w:tcBorders>
            <w:shd w:val="clear" w:color="auto" w:fill="D2D2D2"/>
          </w:tcPr>
          <w:p>
            <w:pPr/>
          </w:p>
        </w:tc>
        <w:tc>
          <w:tcPr>
            <w:tcW w:w="1489" w:type="dxa"/>
            <w:vMerge/>
            <w:tcBorders>
              <w:left w:val="single" w:sz="4" w:space="0" w:color="000000"/>
              <w:bottom w:val="single" w:sz="4" w:space="0" w:color="000000"/>
              <w:right w:val="single" w:sz="4" w:space="0" w:color="000000"/>
            </w:tcBorders>
            <w:shd w:val="clear" w:color="auto" w:fill="D2D2D2"/>
          </w:tcPr>
          <w:p>
            <w:pPr/>
          </w:p>
        </w:tc>
        <w:tc>
          <w:tcPr>
            <w:tcW w:w="61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3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18"/>
              <w:jc w:val="left"/>
              <w:rPr>
                <w:rFonts w:ascii="宋体" w:hAnsi="宋体" w:cs="宋体" w:eastAsia="宋体" w:hint="default"/>
                <w:sz w:val="21"/>
                <w:szCs w:val="21"/>
              </w:rPr>
            </w:pPr>
            <w:r>
              <w:rPr>
                <w:rFonts w:ascii="宋体" w:hAnsi="宋体" w:cs="宋体" w:eastAsia="宋体" w:hint="default"/>
                <w:sz w:val="21"/>
                <w:szCs w:val="21"/>
              </w:rPr>
              <w:t>一、有限售条</w:t>
            </w:r>
            <w:r>
              <w:rPr>
                <w:rFonts w:ascii="宋体" w:hAnsi="宋体" w:cs="宋体" w:eastAsia="宋体" w:hint="default"/>
                <w:w w:val="100"/>
                <w:sz w:val="21"/>
                <w:szCs w:val="21"/>
              </w:rPr>
              <w:t> </w:t>
            </w:r>
            <w:r>
              <w:rPr>
                <w:rFonts w:ascii="宋体" w:hAnsi="宋体" w:cs="宋体" w:eastAsia="宋体" w:hint="default"/>
                <w:sz w:val="21"/>
                <w:szCs w:val="21"/>
              </w:rPr>
              <w:t>件股份</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1,559,085,451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22.28%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386,831,284</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490,799,329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877,630,613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2,436,716,064</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33.00%</w:t>
            </w:r>
          </w:p>
        </w:tc>
      </w:tr>
      <w:tr>
        <w:trPr>
          <w:trHeight w:val="63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7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其他内资持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26,162,790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386,831,284</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1,925,648,640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2,312,479,924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2,338,642,714</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31.68%</w:t>
            </w:r>
          </w:p>
        </w:tc>
      </w:tr>
      <w:tr>
        <w:trPr>
          <w:trHeight w:val="63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18"/>
              <w:jc w:val="left"/>
              <w:rPr>
                <w:rFonts w:ascii="宋体" w:hAnsi="宋体" w:cs="宋体" w:eastAsia="宋体" w:hint="default"/>
                <w:sz w:val="21"/>
                <w:szCs w:val="21"/>
              </w:rPr>
            </w:pPr>
            <w:r>
              <w:rPr>
                <w:rFonts w:ascii="宋体" w:hAnsi="宋体" w:cs="宋体" w:eastAsia="宋体" w:hint="default"/>
                <w:sz w:val="21"/>
                <w:szCs w:val="21"/>
              </w:rPr>
              <w:t>其中：境内法</w:t>
            </w:r>
            <w:r>
              <w:rPr>
                <w:rFonts w:ascii="宋体" w:hAnsi="宋体" w:cs="宋体" w:eastAsia="宋体" w:hint="default"/>
                <w:w w:val="100"/>
                <w:sz w:val="21"/>
                <w:szCs w:val="21"/>
              </w:rPr>
              <w:t> </w:t>
            </w:r>
            <w:r>
              <w:rPr>
                <w:rFonts w:ascii="宋体" w:hAnsi="宋体" w:cs="宋体" w:eastAsia="宋体" w:hint="default"/>
                <w:sz w:val="21"/>
                <w:szCs w:val="21"/>
              </w:rPr>
              <w:t>人持股</w:t>
            </w:r>
          </w:p>
        </w:tc>
        <w:tc>
          <w:tcPr>
            <w:tcW w:w="1148" w:type="dxa"/>
            <w:tcBorders>
              <w:top w:val="single" w:sz="4" w:space="0" w:color="000000"/>
              <w:left w:val="single" w:sz="10" w:space="0" w:color="D2D2D2"/>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386,831,284</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386,831,284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386,831,284</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5.24%</w:t>
            </w:r>
          </w:p>
        </w:tc>
      </w:tr>
      <w:tr>
        <w:trPr>
          <w:trHeight w:val="63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18"/>
              <w:jc w:val="left"/>
              <w:rPr>
                <w:rFonts w:ascii="宋体" w:hAnsi="宋体" w:cs="宋体" w:eastAsia="宋体" w:hint="default"/>
                <w:sz w:val="21"/>
                <w:szCs w:val="21"/>
              </w:rPr>
            </w:pPr>
            <w:r>
              <w:rPr>
                <w:rFonts w:ascii="宋体" w:hAnsi="宋体" w:cs="宋体" w:eastAsia="宋体" w:hint="default"/>
                <w:sz w:val="21"/>
                <w:szCs w:val="21"/>
              </w:rPr>
              <w:t>境内自然人持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26,162,790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1,925,648,640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1,925,648,640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1,951,811,430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26.44%</w:t>
            </w:r>
          </w:p>
        </w:tc>
      </w:tr>
      <w:tr>
        <w:trPr>
          <w:trHeight w:val="322"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高管股份</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1,532,922,661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21.91%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-1,434,849,311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-1,434,849,311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98,073,350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1.33%</w:t>
            </w:r>
          </w:p>
        </w:tc>
      </w:tr>
      <w:tr>
        <w:trPr>
          <w:trHeight w:val="63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18"/>
              <w:jc w:val="left"/>
              <w:rPr>
                <w:rFonts w:ascii="宋体" w:hAnsi="宋体" w:cs="宋体" w:eastAsia="宋体" w:hint="default"/>
                <w:sz w:val="21"/>
                <w:szCs w:val="21"/>
              </w:rPr>
            </w:pPr>
            <w:r>
              <w:rPr>
                <w:rFonts w:ascii="宋体" w:hAnsi="宋体" w:cs="宋体" w:eastAsia="宋体" w:hint="default"/>
                <w:sz w:val="21"/>
                <w:szCs w:val="21"/>
              </w:rPr>
              <w:t>二、无限售条</w:t>
            </w:r>
            <w:r>
              <w:rPr>
                <w:rFonts w:ascii="宋体" w:hAnsi="宋体" w:cs="宋体" w:eastAsia="宋体" w:hint="default"/>
                <w:w w:val="100"/>
                <w:sz w:val="21"/>
                <w:szCs w:val="21"/>
              </w:rPr>
              <w:t> </w:t>
            </w:r>
            <w:r>
              <w:rPr>
                <w:rFonts w:ascii="宋体" w:hAnsi="宋体" w:cs="宋体" w:eastAsia="宋体" w:hint="default"/>
                <w:sz w:val="21"/>
                <w:szCs w:val="21"/>
              </w:rPr>
              <w:t>件股份</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5,437,126,415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77.72%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-490,799,329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-490,799,329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4,946,327,086</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67.00%</w:t>
            </w:r>
          </w:p>
        </w:tc>
      </w:tr>
      <w:tr>
        <w:trPr>
          <w:trHeight w:val="63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7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人民币普通</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5,437,126,415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77.72%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-490,799,329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-490,799,329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4,946,327,086</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67.00%</w:t>
            </w:r>
          </w:p>
        </w:tc>
      </w:tr>
      <w:tr>
        <w:trPr>
          <w:trHeight w:val="32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6,996,211,866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z w:val="18"/>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386,831,284</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386,831,284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7,383,043,150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64"/>
        <w:ind w:left="573" w:right="982"/>
        <w:jc w:val="left"/>
      </w:pPr>
      <w:r>
        <w:rPr>
          <w:rFonts w:ascii="宋体" w:hAnsi="宋体" w:cs="宋体" w:eastAsia="宋体" w:hint="default"/>
        </w:rPr>
        <w:t>1</w:t>
      </w:r>
      <w:r>
        <w:rPr/>
        <w:t>、股份变动的原因：</w:t>
      </w:r>
    </w:p>
    <w:p>
      <w:pPr>
        <w:spacing w:line="240" w:lineRule="auto" w:before="10"/>
        <w:rPr>
          <w:rFonts w:ascii="宋体" w:hAnsi="宋体" w:cs="宋体" w:eastAsia="宋体" w:hint="default"/>
          <w:sz w:val="14"/>
          <w:szCs w:val="14"/>
        </w:rPr>
      </w:pPr>
    </w:p>
    <w:p>
      <w:pPr>
        <w:pStyle w:val="BodyText"/>
        <w:spacing w:line="408" w:lineRule="auto" w:before="0"/>
        <w:ind w:right="982" w:firstLine="420"/>
        <w:jc w:val="left"/>
      </w:pPr>
      <w:r>
        <w:rPr>
          <w:spacing w:val="-2"/>
        </w:rPr>
        <w:t>（</w:t>
      </w:r>
      <w:r>
        <w:rPr>
          <w:rFonts w:ascii="宋体" w:hAnsi="宋体" w:cs="宋体" w:eastAsia="宋体" w:hint="default"/>
          <w:spacing w:val="-2"/>
        </w:rPr>
        <w:t>1</w:t>
      </w:r>
      <w:r>
        <w:rPr>
          <w:spacing w:val="-2"/>
        </w:rPr>
        <w:t>）报告期内，公司副董事长孙为民先生、总裁金明先生、副总裁孟祥胜先生、副总裁任峻先生合</w:t>
      </w:r>
      <w:r>
        <w:rPr>
          <w:w w:val="100"/>
        </w:rPr>
        <w:t> </w:t>
      </w:r>
      <w:r>
        <w:rPr/>
        <w:t>计增持股份</w:t>
      </w:r>
      <w:r>
        <w:rPr>
          <w:rFonts w:ascii="宋体" w:hAnsi="宋体" w:cs="宋体" w:eastAsia="宋体" w:hint="default"/>
        </w:rPr>
        <w:t>3,795,297</w:t>
      </w:r>
      <w:r>
        <w:rPr/>
        <w:t>股，根据规定，该部分增持股份的</w:t>
      </w:r>
      <w:r>
        <w:rPr>
          <w:rFonts w:ascii="宋体" w:hAnsi="宋体" w:cs="宋体" w:eastAsia="宋体" w:hint="default"/>
        </w:rPr>
        <w:t>75%</w:t>
      </w:r>
      <w:r>
        <w:rPr/>
        <w:t>按高管股份锁定。</w:t>
      </w:r>
    </w:p>
    <w:p>
      <w:pPr>
        <w:pStyle w:val="BodyText"/>
        <w:spacing w:line="408" w:lineRule="auto"/>
        <w:ind w:right="982" w:firstLine="420"/>
        <w:jc w:val="left"/>
      </w:pPr>
      <w:r>
        <w:rPr/>
        <w:t>（</w:t>
      </w:r>
      <w:r>
        <w:rPr>
          <w:rFonts w:ascii="宋体" w:hAnsi="宋体" w:cs="宋体" w:eastAsia="宋体" w:hint="default"/>
        </w:rPr>
        <w:t>2</w:t>
      </w:r>
      <w:r>
        <w:rPr/>
        <w:t>）公司控股股东张近东先生全资子公司南京润东投资有限公司（以下简称“润东投资”）认购苏</w:t>
      </w:r>
      <w:r>
        <w:rPr>
          <w:w w:val="100"/>
        </w:rPr>
        <w:t> </w:t>
      </w:r>
      <w:r>
        <w:rPr>
          <w:spacing w:val="-2"/>
        </w:rPr>
        <w:t>宁电器</w:t>
      </w:r>
      <w:r>
        <w:rPr>
          <w:rFonts w:ascii="宋体" w:hAnsi="宋体" w:cs="宋体" w:eastAsia="宋体" w:hint="default"/>
          <w:spacing w:val="-2"/>
        </w:rPr>
        <w:t>2011</w:t>
      </w:r>
      <w:r>
        <w:rPr>
          <w:spacing w:val="-2"/>
        </w:rPr>
        <w:t>年非公开发行股份，发行后张近东先生直接及通过润东投资间接持有的苏宁电器股份数量占公</w:t>
      </w:r>
      <w:r>
        <w:rPr>
          <w:spacing w:val="-38"/>
        </w:rPr>
        <w:t> </w:t>
      </w:r>
      <w:r>
        <w:rPr>
          <w:spacing w:val="-38"/>
        </w:rPr>
      </w:r>
      <w:r>
        <w:rPr>
          <w:spacing w:val="-2"/>
        </w:rPr>
        <w:t>司发行后总股本比例增加至</w:t>
      </w:r>
      <w:r>
        <w:rPr>
          <w:rFonts w:ascii="宋体" w:hAnsi="宋体" w:cs="宋体" w:eastAsia="宋体" w:hint="default"/>
          <w:spacing w:val="-2"/>
        </w:rPr>
        <w:t>30.34%</w:t>
      </w:r>
      <w:r>
        <w:rPr>
          <w:spacing w:val="-2"/>
        </w:rPr>
        <w:t>，根据《上市公司收购管理办法》的相关规定，张近东先生及润东投资</w:t>
      </w:r>
      <w:r>
        <w:rPr>
          <w:spacing w:val="-40"/>
        </w:rPr>
        <w:t> </w:t>
      </w:r>
      <w:r>
        <w:rPr>
          <w:spacing w:val="-40"/>
        </w:rPr>
      </w:r>
      <w:r>
        <w:rPr/>
        <w:t>承诺其拥有的全部苏宁电器股份自发行结束之日（</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10</w:t>
      </w:r>
      <w:r>
        <w:rPr/>
        <w:t>日）起三十六个月内不进行转让。另北京</w:t>
      </w:r>
      <w:r>
        <w:rPr>
          <w:spacing w:val="-3"/>
          <w:w w:val="100"/>
        </w:rPr>
        <w:t> </w:t>
      </w:r>
      <w:r>
        <w:rPr>
          <w:spacing w:val="-2"/>
        </w:rPr>
        <w:t>弘毅贰零壹零股权投资中心（有限合伙）认购本次非公开发行股份</w:t>
      </w:r>
      <w:r>
        <w:rPr>
          <w:rFonts w:ascii="宋体" w:hAnsi="宋体" w:cs="宋体" w:eastAsia="宋体" w:hint="default"/>
          <w:spacing w:val="-2"/>
        </w:rPr>
        <w:t>98,765,436</w:t>
      </w:r>
      <w:r>
        <w:rPr>
          <w:spacing w:val="-2"/>
        </w:rPr>
        <w:t>股，自发行结束之日（</w:t>
      </w:r>
      <w:r>
        <w:rPr>
          <w:rFonts w:ascii="宋体" w:hAnsi="宋体" w:cs="宋体" w:eastAsia="宋体" w:hint="default"/>
          <w:spacing w:val="-2"/>
        </w:rPr>
        <w:t>2012</w:t>
      </w:r>
      <w:r>
        <w:rPr>
          <w:rFonts w:ascii="宋体" w:hAnsi="宋体" w:cs="宋体" w:eastAsia="宋体" w:hint="default"/>
          <w:spacing w:val="-33"/>
        </w:rPr>
        <w:t> </w:t>
      </w:r>
      <w:r>
        <w:rPr>
          <w:rFonts w:ascii="宋体" w:hAnsi="宋体" w:cs="宋体" w:eastAsia="宋体" w:hint="default"/>
          <w:spacing w:val="-33"/>
        </w:rPr>
      </w:r>
      <w:r>
        <w:rPr/>
        <w:t>年</w:t>
      </w:r>
      <w:r>
        <w:rPr>
          <w:rFonts w:ascii="宋体" w:hAnsi="宋体" w:cs="宋体" w:eastAsia="宋体" w:hint="default"/>
        </w:rPr>
        <w:t>7</w:t>
      </w:r>
      <w:r>
        <w:rPr/>
        <w:t>月</w:t>
      </w:r>
      <w:r>
        <w:rPr>
          <w:rFonts w:ascii="宋体" w:hAnsi="宋体" w:cs="宋体" w:eastAsia="宋体" w:hint="default"/>
        </w:rPr>
        <w:t>10</w:t>
      </w:r>
      <w:r>
        <w:rPr/>
        <w:t>日）起限售三十六个月。</w:t>
      </w:r>
    </w:p>
    <w:p>
      <w:pPr>
        <w:pStyle w:val="BodyText"/>
        <w:spacing w:line="240" w:lineRule="auto"/>
        <w:ind w:left="573" w:right="982"/>
        <w:jc w:val="left"/>
      </w:pPr>
      <w:r>
        <w:rPr/>
        <w:t>（</w:t>
      </w:r>
      <w:r>
        <w:rPr>
          <w:rFonts w:ascii="宋体" w:hAnsi="宋体" w:cs="宋体" w:eastAsia="宋体" w:hint="default"/>
        </w:rPr>
        <w:t>3</w:t>
      </w:r>
      <w:r>
        <w:rPr/>
        <w:t>）董事、监事、高管所持股份按照国家相关法律法规及规范性文件规定予以锁定。</w:t>
      </w:r>
    </w:p>
    <w:p>
      <w:pPr>
        <w:spacing w:after="0" w:line="240" w:lineRule="auto"/>
        <w:jc w:val="left"/>
        <w:sectPr>
          <w:pgSz w:w="11910" w:h="16840"/>
          <w:pgMar w:header="877" w:footer="1340" w:top="1100" w:bottom="1540" w:left="980" w:right="0"/>
        </w:sectPr>
      </w:pPr>
    </w:p>
    <w:p>
      <w:pPr>
        <w:spacing w:line="240" w:lineRule="auto" w:before="9"/>
        <w:rPr>
          <w:rFonts w:ascii="宋体" w:hAnsi="宋体" w:cs="宋体" w:eastAsia="宋体" w:hint="default"/>
          <w:sz w:val="26"/>
          <w:szCs w:val="26"/>
        </w:rPr>
      </w:pPr>
    </w:p>
    <w:p>
      <w:pPr>
        <w:pStyle w:val="BodyText"/>
        <w:spacing w:line="408" w:lineRule="auto" w:before="36"/>
        <w:ind w:left="573" w:right="982"/>
        <w:jc w:val="left"/>
      </w:pPr>
      <w:r>
        <w:rPr>
          <w:rFonts w:ascii="宋体" w:hAnsi="宋体" w:cs="宋体" w:eastAsia="宋体" w:hint="default"/>
        </w:rPr>
        <w:t>2</w:t>
      </w:r>
      <w:r>
        <w:rPr/>
        <w:t>、股份变动的批准情况</w:t>
      </w:r>
      <w:r>
        <w:rPr>
          <w:w w:val="100"/>
        </w:rPr>
        <w:t> </w:t>
      </w:r>
      <w:r>
        <w:rPr>
          <w:spacing w:val="-2"/>
        </w:rPr>
        <w:t>经中国证券监督管理委员会《关于核准苏宁电器股份有限公司非公开发行股票批复》（证监许可</w:t>
      </w:r>
    </w:p>
    <w:p>
      <w:pPr>
        <w:pStyle w:val="BodyText"/>
        <w:spacing w:line="408" w:lineRule="auto"/>
        <w:ind w:right="982"/>
        <w:jc w:val="left"/>
      </w:pPr>
      <w:r>
        <w:rPr>
          <w:rFonts w:ascii="宋体" w:hAnsi="宋体" w:cs="宋体" w:eastAsia="宋体" w:hint="default"/>
          <w:spacing w:val="-2"/>
        </w:rPr>
        <w:t>[2012]477</w:t>
      </w:r>
      <w:r>
        <w:rPr>
          <w:spacing w:val="-2"/>
        </w:rPr>
        <w:t>号）核准，公司于</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w:t>
      </w:r>
      <w:r>
        <w:rPr>
          <w:spacing w:val="-2"/>
        </w:rPr>
        <w:t>日向特定投资者非公开发行人民币普通股</w:t>
      </w:r>
      <w:r>
        <w:rPr>
          <w:rFonts w:ascii="宋体" w:hAnsi="宋体" w:cs="宋体" w:eastAsia="宋体" w:hint="default"/>
          <w:spacing w:val="-2"/>
        </w:rPr>
        <w:t>386,831,284</w:t>
      </w:r>
      <w:r>
        <w:rPr>
          <w:spacing w:val="-2"/>
        </w:rPr>
        <w:t>股，每股面</w:t>
      </w:r>
      <w:r>
        <w:rPr>
          <w:spacing w:val="-21"/>
        </w:rPr>
        <w:t> </w:t>
      </w:r>
      <w:r>
        <w:rPr>
          <w:spacing w:val="-21"/>
        </w:rPr>
      </w:r>
      <w:r>
        <w:rPr/>
        <w:t>值人民币</w:t>
      </w:r>
      <w:r>
        <w:rPr>
          <w:rFonts w:ascii="宋体" w:hAnsi="宋体" w:cs="宋体" w:eastAsia="宋体" w:hint="default"/>
        </w:rPr>
        <w:t>1.00</w:t>
      </w:r>
      <w:r>
        <w:rPr/>
        <w:t>元，每股发行价格为人民币</w:t>
      </w:r>
      <w:r>
        <w:rPr>
          <w:rFonts w:ascii="宋体" w:hAnsi="宋体" w:cs="宋体" w:eastAsia="宋体" w:hint="default"/>
        </w:rPr>
        <w:t>12.15</w:t>
      </w:r>
      <w:r>
        <w:rPr/>
        <w:t>元。</w:t>
      </w:r>
    </w:p>
    <w:p>
      <w:pPr>
        <w:pStyle w:val="BodyText"/>
        <w:spacing w:line="408" w:lineRule="auto"/>
        <w:ind w:right="982" w:firstLine="420"/>
        <w:jc w:val="left"/>
      </w:pPr>
      <w:r>
        <w:rPr>
          <w:rFonts w:ascii="宋体" w:hAnsi="宋体" w:cs="宋体" w:eastAsia="宋体" w:hint="default"/>
          <w:spacing w:val="-2"/>
        </w:rPr>
        <w:t>3</w:t>
      </w:r>
      <w:r>
        <w:rPr>
          <w:spacing w:val="-2"/>
        </w:rPr>
        <w:t>、股份变动对最近一年和最近一期基本每股收益和稀释每股收益、归属于公司普通股股东的每股净</w:t>
      </w:r>
      <w:r>
        <w:rPr>
          <w:w w:val="100"/>
        </w:rPr>
        <w:t> </w:t>
      </w:r>
      <w:r>
        <w:rPr/>
        <w:t>资产等财务指标的影响</w:t>
      </w:r>
    </w:p>
    <w:p>
      <w:pPr>
        <w:pStyle w:val="BodyText"/>
        <w:spacing w:line="408" w:lineRule="auto"/>
        <w:ind w:left="573" w:right="6306"/>
        <w:jc w:val="left"/>
      </w:pPr>
      <w:r>
        <w:rPr/>
        <w:t>√ 适用 □</w:t>
      </w:r>
      <w:r>
        <w:rPr>
          <w:spacing w:val="-2"/>
        </w:rPr>
        <w:t> </w:t>
      </w:r>
      <w:r>
        <w:rPr/>
        <w:t>不适用</w:t>
      </w:r>
      <w:r>
        <w:rPr>
          <w:spacing w:val="-103"/>
        </w:rPr>
        <w:t> </w:t>
      </w:r>
      <w:r>
        <w:rPr>
          <w:spacing w:val="-103"/>
        </w:rPr>
      </w:r>
      <w:r>
        <w:rPr>
          <w:spacing w:val="-2"/>
        </w:rPr>
        <w:t>详见第三节主要会计指标及财务指标</w:t>
      </w:r>
    </w:p>
    <w:p>
      <w:pPr>
        <w:spacing w:line="240" w:lineRule="auto" w:before="9"/>
        <w:rPr>
          <w:rFonts w:ascii="宋体" w:hAnsi="宋体" w:cs="宋体" w:eastAsia="宋体" w:hint="default"/>
          <w:sz w:val="18"/>
          <w:szCs w:val="18"/>
        </w:rPr>
      </w:pPr>
    </w:p>
    <w:p>
      <w:pPr>
        <w:pStyle w:val="Heading2"/>
        <w:spacing w:line="240" w:lineRule="auto"/>
        <w:ind w:right="982"/>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2"/>
        <w:jc w:val="left"/>
        <w:rPr>
          <w:b w:val="0"/>
          <w:bCs w:val="0"/>
        </w:rPr>
      </w:pPr>
      <w:r>
        <w:rPr/>
        <w:pict>
          <v:shape style="position:absolute;margin-left:256.137695pt;margin-top:49.868668pt;width:69.75pt;height:13.05pt;mso-position-horizontal-relative:page;mso-position-vertical-relative:paragraph;z-index:-1597024" type="#_x0000_t202" filled="false" stroked="false">
            <v:textbox inset="0,0,0,0">
              <w:txbxContent>
                <w:p>
                  <w:pPr>
                    <w:pStyle w:val="BodyText"/>
                    <w:spacing w:line="211" w:lineRule="exact" w:before="0"/>
                    <w:ind w:left="0" w:right="0"/>
                    <w:jc w:val="left"/>
                  </w:pPr>
                  <w:r>
                    <w:rPr>
                      <w:w w:val="100"/>
                    </w:rPr>
                    <w:t>）</w:t>
                  </w:r>
                </w:p>
              </w:txbxContent>
            </v:textbox>
            <w10:wrap type="none"/>
          </v:shape>
        </w:pict>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7"/>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388"/>
        <w:gridCol w:w="1762"/>
        <w:gridCol w:w="1008"/>
        <w:gridCol w:w="1260"/>
        <w:gridCol w:w="1699"/>
        <w:gridCol w:w="1277"/>
        <w:gridCol w:w="1303"/>
      </w:tblGrid>
      <w:tr>
        <w:trPr>
          <w:trHeight w:val="63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69" w:right="53" w:hanging="210"/>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证券名称</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455"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9"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06"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上市日期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16" w:right="104" w:hanging="209"/>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42" w:right="115" w:hanging="420"/>
              <w:jc w:val="left"/>
              <w:rPr>
                <w:rFonts w:ascii="宋体" w:hAnsi="宋体" w:cs="宋体" w:eastAsia="宋体" w:hint="default"/>
                <w:sz w:val="21"/>
                <w:szCs w:val="21"/>
              </w:rPr>
            </w:pPr>
            <w:r>
              <w:rPr>
                <w:rFonts w:ascii="宋体" w:hAnsi="宋体" w:cs="宋体" w:eastAsia="宋体" w:hint="default"/>
                <w:sz w:val="21"/>
                <w:szCs w:val="21"/>
              </w:rPr>
              <w:t>交易终止日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r>
      <w:tr>
        <w:trPr>
          <w:trHeight w:val="322" w:hRule="exact"/>
        </w:trPr>
        <w:tc>
          <w:tcPr>
            <w:tcW w:w="969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63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6"/>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年非公开</w:t>
            </w:r>
            <w:r>
              <w:rPr>
                <w:rFonts w:ascii="宋体" w:hAnsi="宋体" w:cs="宋体" w:eastAsia="宋体" w:hint="default"/>
                <w:w w:val="100"/>
                <w:sz w:val="21"/>
                <w:szCs w:val="21"/>
              </w:rPr>
              <w:t> </w:t>
            </w:r>
            <w:r>
              <w:rPr>
                <w:rFonts w:ascii="宋体" w:hAnsi="宋体" w:cs="宋体" w:eastAsia="宋体" w:hint="default"/>
                <w:sz w:val="21"/>
                <w:szCs w:val="21"/>
              </w:rPr>
              <w:t>发行股票</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7"/>
              <w:jc w:val="left"/>
              <w:rPr>
                <w:rFonts w:ascii="宋体" w:hAnsi="宋体" w:cs="宋体" w:eastAsia="宋体" w:hint="default"/>
                <w:sz w:val="21"/>
                <w:szCs w:val="21"/>
              </w:rPr>
            </w:pPr>
            <w:r>
              <w:rPr>
                <w:rFonts w:ascii="宋体" w:hAnsi="宋体" w:cs="宋体" w:eastAsia="宋体" w:hint="default"/>
                <w:sz w:val="21"/>
                <w:szCs w:val="21"/>
              </w:rPr>
              <w:t>12.15</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386,831,284</w:t>
            </w:r>
          </w:p>
          <w:p>
            <w:pPr>
              <w:pStyle w:val="TableParagraph"/>
              <w:spacing w:line="240" w:lineRule="auto" w:before="37"/>
              <w:ind w:right="21"/>
              <w:jc w:val="right"/>
              <w:rPr>
                <w:rFonts w:ascii="宋体" w:hAnsi="宋体" w:cs="宋体" w:eastAsia="宋体" w:hint="default"/>
                <w:sz w:val="21"/>
                <w:szCs w:val="21"/>
              </w:rPr>
            </w:pPr>
            <w:r>
              <w:rPr>
                <w:rFonts w:ascii="宋体" w:hAnsi="宋体" w:cs="宋体" w:eastAsia="宋体" w:hint="default"/>
                <w:w w:val="100"/>
                <w:sz w:val="21"/>
                <w:szCs w:val="21"/>
              </w:rPr>
              <w:t>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1"/>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386,831,284</w:t>
            </w:r>
          </w:p>
          <w:p>
            <w:pPr>
              <w:pStyle w:val="TableParagraph"/>
              <w:spacing w:line="240" w:lineRule="auto" w:before="37"/>
              <w:ind w:right="23"/>
              <w:jc w:val="right"/>
              <w:rPr>
                <w:rFonts w:ascii="宋体" w:hAnsi="宋体" w:cs="宋体" w:eastAsia="宋体" w:hint="default"/>
                <w:sz w:val="21"/>
                <w:szCs w:val="21"/>
              </w:rPr>
            </w:pPr>
            <w:r>
              <w:rPr>
                <w:rFonts w:ascii="宋体" w:hAnsi="宋体" w:cs="宋体" w:eastAsia="宋体" w:hint="default"/>
                <w:w w:val="100"/>
                <w:sz w:val="21"/>
                <w:szCs w:val="21"/>
              </w:rPr>
              <w:t>股</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w w:val="100"/>
                <w:sz w:val="21"/>
              </w:rPr>
              <w:t>-</w:t>
            </w:r>
          </w:p>
        </w:tc>
      </w:tr>
      <w:tr>
        <w:trPr>
          <w:trHeight w:val="63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6"/>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年非公开</w:t>
            </w:r>
            <w:r>
              <w:rPr>
                <w:rFonts w:ascii="宋体" w:hAnsi="宋体" w:cs="宋体" w:eastAsia="宋体" w:hint="default"/>
                <w:w w:val="100"/>
                <w:sz w:val="21"/>
                <w:szCs w:val="21"/>
              </w:rPr>
              <w:t> </w:t>
            </w:r>
            <w:r>
              <w:rPr>
                <w:rFonts w:ascii="宋体" w:hAnsi="宋体" w:cs="宋体" w:eastAsia="宋体" w:hint="default"/>
                <w:sz w:val="21"/>
                <w:szCs w:val="21"/>
              </w:rPr>
              <w:t>发行股票</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23</w:t>
            </w:r>
            <w:r>
              <w:rPr>
                <w:rFonts w:ascii="宋体" w:hAnsi="宋体" w:cs="宋体" w:eastAsia="宋体" w:hint="default"/>
                <w:spacing w:val="-58"/>
                <w:sz w:val="21"/>
                <w:szCs w:val="21"/>
              </w:rPr>
              <w:t> </w:t>
            </w:r>
            <w:r>
              <w:rPr>
                <w:rFonts w:ascii="宋体" w:hAnsi="宋体" w:cs="宋体" w:eastAsia="宋体" w:hint="default"/>
                <w:sz w:val="21"/>
                <w:szCs w:val="21"/>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7"/>
              <w:jc w:val="left"/>
              <w:rPr>
                <w:rFonts w:ascii="宋体" w:hAnsi="宋体" w:cs="宋体" w:eastAsia="宋体" w:hint="default"/>
                <w:sz w:val="21"/>
                <w:szCs w:val="21"/>
              </w:rPr>
            </w:pPr>
            <w:r>
              <w:rPr>
                <w:rFonts w:ascii="宋体" w:hAnsi="宋体" w:cs="宋体" w:eastAsia="宋体" w:hint="default"/>
                <w:sz w:val="21"/>
                <w:szCs w:val="21"/>
              </w:rPr>
              <w:t>17.20</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177,629,244</w:t>
            </w:r>
          </w:p>
          <w:p>
            <w:pPr>
              <w:pStyle w:val="TableParagraph"/>
              <w:spacing w:line="240" w:lineRule="auto" w:before="37"/>
              <w:ind w:right="21"/>
              <w:jc w:val="right"/>
              <w:rPr>
                <w:rFonts w:ascii="宋体" w:hAnsi="宋体" w:cs="宋体" w:eastAsia="宋体" w:hint="default"/>
                <w:sz w:val="21"/>
                <w:szCs w:val="21"/>
              </w:rPr>
            </w:pPr>
            <w:r>
              <w:rPr>
                <w:rFonts w:ascii="宋体" w:hAnsi="宋体" w:cs="宋体" w:eastAsia="宋体" w:hint="default"/>
                <w:w w:val="100"/>
                <w:sz w:val="21"/>
                <w:szCs w:val="21"/>
              </w:rPr>
              <w:t>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177,629,244</w:t>
            </w:r>
          </w:p>
          <w:p>
            <w:pPr>
              <w:pStyle w:val="TableParagraph"/>
              <w:spacing w:line="240" w:lineRule="auto" w:before="37"/>
              <w:ind w:right="23"/>
              <w:jc w:val="right"/>
              <w:rPr>
                <w:rFonts w:ascii="宋体" w:hAnsi="宋体" w:cs="宋体" w:eastAsia="宋体" w:hint="default"/>
                <w:sz w:val="21"/>
                <w:szCs w:val="21"/>
              </w:rPr>
            </w:pPr>
            <w:r>
              <w:rPr>
                <w:rFonts w:ascii="宋体" w:hAnsi="宋体" w:cs="宋体" w:eastAsia="宋体" w:hint="default"/>
                <w:w w:val="100"/>
                <w:sz w:val="21"/>
                <w:szCs w:val="21"/>
              </w:rPr>
              <w:t>股</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w:t>
            </w:r>
          </w:p>
        </w:tc>
      </w:tr>
      <w:tr>
        <w:trPr>
          <w:trHeight w:val="322" w:hRule="exact"/>
        </w:trPr>
        <w:tc>
          <w:tcPr>
            <w:tcW w:w="969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公司债类</w:t>
            </w:r>
          </w:p>
        </w:tc>
      </w:tr>
      <w:tr>
        <w:trPr>
          <w:trHeight w:val="94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4" w:right="36"/>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年公开发</w:t>
            </w:r>
            <w:r>
              <w:rPr>
                <w:rFonts w:ascii="宋体" w:hAnsi="宋体" w:cs="宋体" w:eastAsia="宋体" w:hint="default"/>
                <w:w w:val="100"/>
                <w:sz w:val="21"/>
                <w:szCs w:val="21"/>
              </w:rPr>
              <w:t> </w:t>
            </w:r>
            <w:r>
              <w:rPr>
                <w:rFonts w:ascii="宋体" w:hAnsi="宋体" w:cs="宋体" w:eastAsia="宋体" w:hint="default"/>
                <w:sz w:val="21"/>
                <w:szCs w:val="21"/>
              </w:rPr>
              <w:t>行公司债券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14</w:t>
            </w:r>
            <w:r>
              <w:rPr>
                <w:rFonts w:ascii="宋体" w:hAnsi="宋体" w:cs="宋体" w:eastAsia="宋体" w:hint="default"/>
                <w:spacing w:val="-58"/>
                <w:sz w:val="21"/>
                <w:szCs w:val="21"/>
              </w:rPr>
              <w:t> </w:t>
            </w:r>
            <w:r>
              <w:rPr>
                <w:rFonts w:ascii="宋体" w:hAnsi="宋体" w:cs="宋体" w:eastAsia="宋体" w:hint="default"/>
                <w:sz w:val="21"/>
                <w:szCs w:val="21"/>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sz w:val="21"/>
              </w:rPr>
              <w:t>5.20%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7" w:right="0"/>
              <w:jc w:val="left"/>
              <w:rPr>
                <w:rFonts w:ascii="宋体" w:hAnsi="宋体" w:cs="宋体" w:eastAsia="宋体" w:hint="default"/>
                <w:sz w:val="21"/>
                <w:szCs w:val="21"/>
              </w:rPr>
            </w:pPr>
            <w:r>
              <w:rPr>
                <w:rFonts w:ascii="宋体"/>
                <w:sz w:val="21"/>
              </w:rPr>
              <w:t>45,000,000</w:t>
            </w:r>
          </w:p>
          <w:p>
            <w:pPr>
              <w:pStyle w:val="TableParagraph"/>
              <w:spacing w:line="273" w:lineRule="auto" w:before="37"/>
              <w:ind w:left="177" w:right="17" w:hanging="152"/>
              <w:jc w:val="left"/>
              <w:rPr>
                <w:rFonts w:ascii="宋体" w:hAnsi="宋体" w:cs="宋体" w:eastAsia="宋体" w:hint="default"/>
                <w:sz w:val="21"/>
                <w:szCs w:val="21"/>
              </w:rPr>
            </w:pPr>
            <w:r>
              <w:rPr>
                <w:rFonts w:ascii="宋体" w:hAnsi="宋体" w:cs="宋体" w:eastAsia="宋体" w:hint="default"/>
                <w:spacing w:val="-11"/>
                <w:sz w:val="21"/>
                <w:szCs w:val="21"/>
              </w:rPr>
              <w:t>张（票面金额</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为</w:t>
            </w:r>
            <w:r>
              <w:rPr>
                <w:rFonts w:ascii="宋体" w:hAnsi="宋体" w:cs="宋体" w:eastAsia="宋体" w:hint="default"/>
                <w:spacing w:val="-51"/>
                <w:sz w:val="21"/>
                <w:szCs w:val="21"/>
              </w:rPr>
              <w:t> </w:t>
            </w: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45,000,000</w:t>
            </w:r>
          </w:p>
          <w:p>
            <w:pPr>
              <w:pStyle w:val="TableParagraph"/>
              <w:spacing w:line="273" w:lineRule="auto" w:before="37"/>
              <w:ind w:left="192" w:right="19" w:hanging="168"/>
              <w:jc w:val="left"/>
              <w:rPr>
                <w:rFonts w:ascii="宋体" w:hAnsi="宋体" w:cs="宋体" w:eastAsia="宋体" w:hint="default"/>
                <w:sz w:val="21"/>
                <w:szCs w:val="21"/>
              </w:rPr>
            </w:pPr>
            <w:r>
              <w:rPr>
                <w:rFonts w:ascii="宋体" w:hAnsi="宋体" w:cs="宋体" w:eastAsia="宋体" w:hint="default"/>
                <w:spacing w:val="-8"/>
                <w:sz w:val="21"/>
                <w:szCs w:val="21"/>
              </w:rPr>
              <w:t>张（票面金额</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为</w:t>
            </w:r>
            <w:r>
              <w:rPr>
                <w:rFonts w:ascii="宋体" w:hAnsi="宋体" w:cs="宋体" w:eastAsia="宋体" w:hint="default"/>
                <w:spacing w:val="-51"/>
                <w:sz w:val="21"/>
                <w:szCs w:val="21"/>
              </w:rPr>
              <w:t> </w:t>
            </w: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元）</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1"/>
                <w:sz w:val="21"/>
                <w:szCs w:val="21"/>
              </w:rPr>
              <w:t> </w:t>
            </w:r>
            <w:r>
              <w:rPr>
                <w:rFonts w:ascii="宋体" w:hAnsi="宋体" w:cs="宋体" w:eastAsia="宋体" w:hint="default"/>
                <w:sz w:val="21"/>
                <w:szCs w:val="21"/>
              </w:rPr>
              <w:t>日</w:t>
            </w:r>
          </w:p>
        </w:tc>
      </w:tr>
    </w:tbl>
    <w:p>
      <w:pPr>
        <w:pStyle w:val="BodyText"/>
        <w:spacing w:line="240" w:lineRule="auto" w:before="64"/>
        <w:ind w:left="573" w:right="982"/>
        <w:jc w:val="left"/>
      </w:pPr>
      <w:r>
        <w:rPr/>
        <w:t>前三年历次证券发行情况的说明</w:t>
      </w:r>
    </w:p>
    <w:p>
      <w:pPr>
        <w:spacing w:line="240" w:lineRule="auto" w:before="10"/>
        <w:rPr>
          <w:rFonts w:ascii="宋体" w:hAnsi="宋体" w:cs="宋体" w:eastAsia="宋体" w:hint="default"/>
          <w:sz w:val="14"/>
          <w:szCs w:val="14"/>
        </w:rPr>
      </w:pPr>
    </w:p>
    <w:p>
      <w:pPr>
        <w:pStyle w:val="BodyText"/>
        <w:spacing w:line="408" w:lineRule="auto" w:before="0"/>
        <w:ind w:left="573" w:right="982"/>
        <w:jc w:val="left"/>
      </w:pPr>
      <w:r>
        <w:rPr/>
        <w:t>（</w:t>
      </w:r>
      <w:r>
        <w:rPr>
          <w:rFonts w:ascii="宋体" w:hAnsi="宋体" w:cs="宋体" w:eastAsia="宋体" w:hint="default"/>
        </w:rPr>
        <w:t>1</w:t>
      </w:r>
      <w:r>
        <w:rPr/>
        <w:t>）股票类证券发行情况</w:t>
      </w:r>
      <w:r>
        <w:rPr>
          <w:w w:val="100"/>
        </w:rPr>
        <w:t> </w:t>
      </w:r>
      <w:r>
        <w:rPr>
          <w:spacing w:val="-2"/>
        </w:rPr>
        <w:t>经中国证监会证监许可〔</w:t>
      </w:r>
      <w:r>
        <w:rPr>
          <w:rFonts w:ascii="宋体" w:hAnsi="宋体" w:cs="宋体" w:eastAsia="宋体" w:hint="default"/>
          <w:spacing w:val="-2"/>
        </w:rPr>
        <w:t>2009</w:t>
      </w:r>
      <w:r>
        <w:rPr>
          <w:spacing w:val="-2"/>
        </w:rPr>
        <w:t>〕</w:t>
      </w:r>
      <w:r>
        <w:rPr>
          <w:rFonts w:ascii="宋体" w:hAnsi="宋体" w:cs="宋体" w:eastAsia="宋体" w:hint="default"/>
          <w:spacing w:val="-2"/>
        </w:rPr>
        <w:t>1351</w:t>
      </w:r>
      <w:r>
        <w:rPr>
          <w:spacing w:val="-2"/>
        </w:rPr>
        <w:t>号文核准，公司于</w:t>
      </w:r>
      <w:r>
        <w:rPr>
          <w:rFonts w:ascii="宋体" w:hAnsi="宋体" w:cs="宋体" w:eastAsia="宋体" w:hint="default"/>
          <w:spacing w:val="-2"/>
        </w:rPr>
        <w:t>2009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30</w:t>
      </w:r>
      <w:r>
        <w:rPr>
          <w:spacing w:val="-2"/>
        </w:rPr>
        <w:t>日完成以非公开发行股票的方式</w:t>
      </w:r>
    </w:p>
    <w:p>
      <w:pPr>
        <w:pStyle w:val="BodyText"/>
        <w:spacing w:line="408" w:lineRule="auto"/>
        <w:ind w:right="1128"/>
        <w:jc w:val="both"/>
      </w:pPr>
      <w:r>
        <w:rPr>
          <w:spacing w:val="-2"/>
        </w:rPr>
        <w:t>向包括公司控股股东张近东先生在内的七名特定投资者发行人民币普通股（</w:t>
      </w:r>
      <w:r>
        <w:rPr>
          <w:rFonts w:ascii="宋体" w:hAnsi="宋体" w:cs="宋体" w:eastAsia="宋体" w:hint="default"/>
          <w:spacing w:val="-2"/>
        </w:rPr>
        <w:t>A</w:t>
      </w:r>
      <w:r>
        <w:rPr>
          <w:spacing w:val="-2"/>
        </w:rPr>
        <w:t>股）</w:t>
      </w:r>
      <w:r>
        <w:rPr>
          <w:rFonts w:ascii="宋体" w:hAnsi="宋体" w:cs="宋体" w:eastAsia="宋体" w:hint="default"/>
          <w:spacing w:val="-2"/>
        </w:rPr>
        <w:t>177,629,244</w:t>
      </w:r>
      <w:r>
        <w:rPr>
          <w:spacing w:val="-2"/>
        </w:rPr>
        <w:t>股；其中张</w:t>
      </w:r>
      <w:r>
        <w:rPr>
          <w:spacing w:val="-36"/>
        </w:rPr>
        <w:t> </w:t>
      </w:r>
      <w:r>
        <w:rPr>
          <w:spacing w:val="-36"/>
        </w:rPr>
      </w:r>
      <w:r>
        <w:rPr>
          <w:spacing w:val="2"/>
        </w:rPr>
        <w:t>近东先生认购的股份限售期为</w:t>
      </w:r>
      <w:r>
        <w:rPr>
          <w:rFonts w:ascii="宋体" w:hAnsi="宋体" w:cs="宋体" w:eastAsia="宋体" w:hint="default"/>
          <w:spacing w:val="2"/>
        </w:rPr>
        <w:t>36</w:t>
      </w:r>
      <w:r>
        <w:rPr>
          <w:spacing w:val="2"/>
        </w:rPr>
        <w:t>个月，其他六名特定投资者认购的股份限售期为</w:t>
      </w:r>
      <w:r>
        <w:rPr>
          <w:rFonts w:ascii="宋体" w:hAnsi="宋体" w:cs="宋体" w:eastAsia="宋体" w:hint="default"/>
          <w:spacing w:val="2"/>
        </w:rPr>
        <w:t>12</w:t>
      </w:r>
      <w:r>
        <w:rPr>
          <w:spacing w:val="2"/>
        </w:rPr>
        <w:t>个月。该部分股份于</w:t>
      </w:r>
      <w:r>
        <w:rPr>
          <w:spacing w:val="-24"/>
        </w:rPr>
        <w:t> </w:t>
      </w:r>
      <w:r>
        <w:rPr>
          <w:spacing w:val="-24"/>
        </w:rPr>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31</w:t>
      </w:r>
      <w:r>
        <w:rPr/>
        <w:t>日上市。发行后，公司股份总数为</w:t>
      </w:r>
      <w:r>
        <w:rPr>
          <w:rFonts w:ascii="宋体" w:hAnsi="宋体" w:cs="宋体" w:eastAsia="宋体" w:hint="default"/>
        </w:rPr>
        <w:t>4,664,141,244</w:t>
      </w:r>
      <w:r>
        <w:rPr/>
        <w:t>股。</w:t>
      </w:r>
    </w:p>
    <w:p>
      <w:pPr>
        <w:pStyle w:val="BodyText"/>
        <w:spacing w:line="408" w:lineRule="auto"/>
        <w:ind w:right="1126" w:firstLine="420"/>
        <w:jc w:val="both"/>
      </w:pPr>
      <w:r>
        <w:rPr>
          <w:spacing w:val="-2"/>
        </w:rPr>
        <w:t>经中国证监会证监许可</w:t>
      </w:r>
      <w:r>
        <w:rPr>
          <w:rFonts w:ascii="宋体" w:hAnsi="宋体" w:cs="宋体" w:eastAsia="宋体" w:hint="default"/>
          <w:spacing w:val="-2"/>
        </w:rPr>
        <w:t>[2012]477</w:t>
      </w:r>
      <w:r>
        <w:rPr>
          <w:spacing w:val="-2"/>
        </w:rPr>
        <w:t>号文核准本公司非公开发行不超过</w:t>
      </w:r>
      <w:r>
        <w:rPr>
          <w:rFonts w:ascii="宋体" w:hAnsi="宋体" w:cs="宋体" w:eastAsia="宋体" w:hint="default"/>
          <w:spacing w:val="-2"/>
        </w:rPr>
        <w:t>447,154,480</w:t>
      </w:r>
      <w:r>
        <w:rPr>
          <w:spacing w:val="-2"/>
        </w:rPr>
        <w:t>股新股。公司于</w:t>
      </w:r>
      <w:r>
        <w:rPr>
          <w:rFonts w:ascii="宋体" w:hAnsi="宋体" w:cs="宋体" w:eastAsia="宋体" w:hint="default"/>
          <w:spacing w:val="-2"/>
        </w:rPr>
        <w:t>2012</w:t>
      </w:r>
      <w:r>
        <w:rPr>
          <w:rFonts w:ascii="宋体" w:hAnsi="宋体" w:cs="宋体" w:eastAsia="宋体" w:hint="default"/>
          <w:w w:val="100"/>
        </w:rPr>
        <w:t> </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w:t>
      </w:r>
      <w:r>
        <w:rPr>
          <w:spacing w:val="-2"/>
        </w:rPr>
        <w:t>日向南京润东投资有限公司、北京弘毅贰零壹零股权投资中心（有限合伙）非公开发行人民币普通</w:t>
      </w:r>
      <w:r>
        <w:rPr>
          <w:spacing w:val="-43"/>
        </w:rPr>
        <w:t> </w:t>
      </w:r>
      <w:r>
        <w:rPr>
          <w:spacing w:val="-43"/>
        </w:rPr>
      </w:r>
      <w:r>
        <w:rPr>
          <w:spacing w:val="-2"/>
        </w:rPr>
        <w:t>股</w:t>
      </w:r>
      <w:r>
        <w:rPr>
          <w:rFonts w:ascii="宋体" w:hAnsi="宋体" w:cs="宋体" w:eastAsia="宋体" w:hint="default"/>
          <w:spacing w:val="-2"/>
        </w:rPr>
        <w:t>386,831,284</w:t>
      </w:r>
      <w:r>
        <w:rPr>
          <w:spacing w:val="-2"/>
        </w:rPr>
        <w:t>股，每股面值人民币</w:t>
      </w:r>
      <w:r>
        <w:rPr>
          <w:rFonts w:ascii="宋体" w:hAnsi="宋体" w:cs="宋体" w:eastAsia="宋体" w:hint="default"/>
          <w:spacing w:val="-2"/>
        </w:rPr>
        <w:t>1.00</w:t>
      </w:r>
      <w:r>
        <w:rPr>
          <w:spacing w:val="-2"/>
        </w:rPr>
        <w:t>元，本次非公开发行限售期为</w:t>
      </w:r>
      <w:r>
        <w:rPr>
          <w:rFonts w:ascii="宋体" w:hAnsi="宋体" w:cs="宋体" w:eastAsia="宋体" w:hint="default"/>
          <w:spacing w:val="-2"/>
        </w:rPr>
        <w:t>36</w:t>
      </w:r>
      <w:r>
        <w:rPr>
          <w:spacing w:val="-2"/>
        </w:rPr>
        <w:t>个月，并于</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10</w:t>
      </w:r>
      <w:r>
        <w:rPr>
          <w:spacing w:val="-2"/>
        </w:rPr>
        <w:t>日在深圳</w:t>
      </w:r>
      <w:r>
        <w:rPr>
          <w:spacing w:val="-24"/>
        </w:rPr>
        <w:t> </w:t>
      </w:r>
      <w:r>
        <w:rPr>
          <w:spacing w:val="-24"/>
        </w:rPr>
      </w:r>
      <w:r>
        <w:rPr/>
        <w:t>证券交易所上市。发行后，公司股份总数为</w:t>
      </w:r>
      <w:r>
        <w:rPr>
          <w:rFonts w:ascii="宋体" w:hAnsi="宋体" w:cs="宋体" w:eastAsia="宋体" w:hint="default"/>
        </w:rPr>
        <w:t>7,383,043,150</w:t>
      </w:r>
      <w:r>
        <w:rPr/>
        <w:t>股。</w:t>
      </w:r>
    </w:p>
    <w:p>
      <w:pPr>
        <w:pStyle w:val="BodyText"/>
        <w:spacing w:line="240" w:lineRule="auto"/>
        <w:ind w:left="573" w:right="982"/>
        <w:jc w:val="left"/>
      </w:pPr>
      <w:r>
        <w:rPr/>
        <w:t>（</w:t>
      </w:r>
      <w:r>
        <w:rPr>
          <w:rFonts w:ascii="宋体" w:hAnsi="宋体" w:cs="宋体" w:eastAsia="宋体" w:hint="default"/>
        </w:rPr>
        <w:t>2</w:t>
      </w:r>
      <w:r>
        <w:rPr/>
        <w:t>）公司债券发行情况</w:t>
      </w:r>
    </w:p>
    <w:p>
      <w:pPr>
        <w:spacing w:after="0" w:line="240" w:lineRule="auto"/>
        <w:jc w:val="left"/>
        <w:sectPr>
          <w:pgSz w:w="11910" w:h="16840"/>
          <w:pgMar w:header="877" w:footer="1340" w:top="1100" w:bottom="154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firstLine="420"/>
        <w:jc w:val="both"/>
      </w:pPr>
      <w:r>
        <w:rPr>
          <w:spacing w:val="-2"/>
        </w:rPr>
        <w:t>经中国证券监督管理委员会证监许可</w:t>
      </w:r>
      <w:r>
        <w:rPr>
          <w:rFonts w:ascii="宋体" w:hAnsi="宋体" w:cs="宋体" w:eastAsia="宋体" w:hint="default"/>
          <w:spacing w:val="-2"/>
        </w:rPr>
        <w:t>[2012]1419</w:t>
      </w:r>
      <w:r>
        <w:rPr>
          <w:spacing w:val="-2"/>
        </w:rPr>
        <w:t>号文核准，公司获准向社会公开发行面值不超过</w:t>
      </w:r>
      <w:r>
        <w:rPr>
          <w:rFonts w:ascii="宋体" w:hAnsi="宋体" w:cs="宋体" w:eastAsia="宋体" w:hint="default"/>
          <w:spacing w:val="-2"/>
        </w:rPr>
        <w:t>80</w:t>
      </w:r>
      <w:r>
        <w:rPr>
          <w:spacing w:val="-2"/>
        </w:rPr>
        <w:t>亿</w:t>
      </w:r>
      <w:r>
        <w:rPr>
          <w:w w:val="100"/>
        </w:rPr>
        <w:t> </w:t>
      </w:r>
      <w:r>
        <w:rPr/>
        <w:t>元的公司债券。</w:t>
      </w:r>
      <w:r>
        <w:rPr>
          <w:rFonts w:ascii="宋体" w:hAnsi="宋体" w:cs="宋体" w:eastAsia="宋体" w:hint="default"/>
        </w:rPr>
        <w:t>2012</w:t>
      </w:r>
      <w:r>
        <w:rPr/>
        <w:t>年</w:t>
      </w:r>
      <w:r>
        <w:rPr>
          <w:rFonts w:ascii="宋体" w:hAnsi="宋体" w:cs="宋体" w:eastAsia="宋体" w:hint="default"/>
        </w:rPr>
        <w:t>12</w:t>
      </w:r>
      <w:r>
        <w:rPr/>
        <w:t>月，公司面向社会公众投资者公开发行公司债券（第一期）</w:t>
      </w:r>
      <w:r>
        <w:rPr>
          <w:rFonts w:ascii="宋体" w:hAnsi="宋体" w:cs="宋体" w:eastAsia="宋体" w:hint="default"/>
        </w:rPr>
        <w:t>45</w:t>
      </w:r>
      <w:r>
        <w:rPr/>
        <w:t>亿元，期限为</w:t>
      </w:r>
      <w:r>
        <w:rPr>
          <w:rFonts w:ascii="宋体" w:hAnsi="宋体" w:cs="宋体" w:eastAsia="宋体" w:hint="default"/>
        </w:rPr>
        <w:t>5</w:t>
      </w:r>
      <w:r>
        <w:rPr/>
        <w:t>年</w:t>
      </w:r>
      <w:r>
        <w:rPr>
          <w:spacing w:val="-25"/>
        </w:rPr>
        <w:t> </w:t>
      </w:r>
      <w:r>
        <w:rPr/>
        <w:t>期，固定票面利率为</w:t>
      </w:r>
      <w:r>
        <w:rPr>
          <w:rFonts w:ascii="宋体" w:hAnsi="宋体" w:cs="宋体" w:eastAsia="宋体" w:hint="default"/>
        </w:rPr>
        <w:t>5.20%</w:t>
      </w:r>
      <w:r>
        <w:rPr/>
        <w:t>，采用单利按年计息，不计复利，每年付息一次，到期一次还本，最后一期利</w:t>
      </w:r>
      <w:r>
        <w:rPr>
          <w:spacing w:val="-31"/>
        </w:rPr>
        <w:t> </w:t>
      </w:r>
      <w:r>
        <w:rPr>
          <w:spacing w:val="-31"/>
        </w:rPr>
      </w:r>
      <w:r>
        <w:rPr/>
        <w:t>息随本金的兑付一起支付，本期债券起息日是</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14</w:t>
      </w:r>
      <w:r>
        <w:rPr/>
        <w:t>日，到期日</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14</w:t>
      </w:r>
      <w:r>
        <w:rPr/>
        <w:t>日。</w:t>
      </w:r>
      <w:r>
        <w:rPr>
          <w:rFonts w:ascii="宋体" w:hAnsi="宋体" w:cs="宋体" w:eastAsia="宋体" w:hint="default"/>
        </w:rPr>
        <w:t>2013</w:t>
      </w:r>
      <w:r>
        <w:rPr/>
        <w:t>年</w:t>
      </w:r>
      <w:r>
        <w:rPr>
          <w:rFonts w:ascii="宋体" w:hAnsi="宋体" w:cs="宋体" w:eastAsia="宋体" w:hint="default"/>
        </w:rPr>
        <w:t>1</w:t>
      </w:r>
      <w:r>
        <w:rPr/>
        <w:t>月，经</w:t>
      </w:r>
      <w:r>
        <w:rPr>
          <w:spacing w:val="-26"/>
        </w:rPr>
        <w:t> </w:t>
      </w:r>
      <w:r>
        <w:rPr/>
        <w:t>深交所深证上</w:t>
      </w:r>
      <w:r>
        <w:rPr>
          <w:rFonts w:ascii="宋体" w:hAnsi="宋体" w:cs="宋体" w:eastAsia="宋体" w:hint="default"/>
        </w:rPr>
        <w:t>[2013]31</w:t>
      </w:r>
      <w:r>
        <w:rPr/>
        <w:t>号文同意，本期债券已于</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24</w:t>
      </w:r>
      <w:r>
        <w:rPr/>
        <w:t>日起在深交所挂牌交易，债券简称为“</w:t>
      </w:r>
      <w:r>
        <w:rPr>
          <w:rFonts w:ascii="宋体" w:hAnsi="宋体" w:cs="宋体" w:eastAsia="宋体" w:hint="default"/>
        </w:rPr>
        <w:t>12</w:t>
      </w:r>
      <w:r>
        <w:rPr/>
        <w:t>苏</w:t>
      </w:r>
      <w:r>
        <w:rPr>
          <w:spacing w:val="-26"/>
        </w:rPr>
        <w:t> </w:t>
      </w:r>
      <w:r>
        <w:rPr/>
        <w:t>宁</w:t>
      </w:r>
      <w:r>
        <w:rPr>
          <w:rFonts w:ascii="宋体" w:hAnsi="宋体" w:cs="宋体" w:eastAsia="宋体" w:hint="default"/>
        </w:rPr>
        <w:t>01</w:t>
      </w:r>
      <w:r>
        <w:rPr/>
        <w:t>”，上市代码为“</w:t>
      </w:r>
      <w:r>
        <w:rPr>
          <w:rFonts w:ascii="宋体" w:hAnsi="宋体" w:cs="宋体" w:eastAsia="宋体" w:hint="default"/>
        </w:rPr>
        <w:t>112138</w:t>
      </w:r>
      <w:r>
        <w:rPr/>
        <w:t>”。</w:t>
      </w:r>
    </w:p>
    <w:p>
      <w:pPr>
        <w:spacing w:line="240" w:lineRule="auto" w:before="8"/>
        <w:rPr>
          <w:rFonts w:ascii="宋体" w:hAnsi="宋体" w:cs="宋体" w:eastAsia="宋体" w:hint="default"/>
          <w:sz w:val="20"/>
          <w:szCs w:val="20"/>
        </w:rPr>
      </w:pPr>
    </w:p>
    <w:p>
      <w:pPr>
        <w:pStyle w:val="Heading4"/>
        <w:spacing w:line="240" w:lineRule="auto"/>
        <w:ind w:right="982"/>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30"/>
          <w:szCs w:val="30"/>
        </w:rPr>
      </w:pPr>
    </w:p>
    <w:p>
      <w:pPr>
        <w:pStyle w:val="BodyText"/>
        <w:spacing w:line="240" w:lineRule="auto" w:before="0"/>
        <w:ind w:left="573" w:right="982"/>
        <w:jc w:val="left"/>
      </w:pPr>
      <w:r>
        <w:rPr>
          <w:rFonts w:ascii="宋体" w:hAnsi="宋体" w:cs="宋体" w:eastAsia="宋体" w:hint="default"/>
        </w:rPr>
        <w:t>2012</w:t>
      </w:r>
      <w:r>
        <w:rPr>
          <w:rFonts w:ascii="宋体" w:hAnsi="宋体" w:cs="宋体" w:eastAsia="宋体" w:hint="default"/>
          <w:spacing w:val="-48"/>
        </w:rPr>
        <w:t> </w:t>
      </w:r>
      <w:r>
        <w:rPr/>
        <w:t>年年初，公司股份总额为</w:t>
      </w:r>
      <w:r>
        <w:rPr>
          <w:spacing w:val="-48"/>
        </w:rPr>
        <w:t> </w:t>
      </w:r>
      <w:r>
        <w:rPr>
          <w:rFonts w:ascii="宋体" w:hAnsi="宋体" w:cs="宋体" w:eastAsia="宋体" w:hint="default"/>
        </w:rPr>
        <w:t>6,996,211,866</w:t>
      </w:r>
      <w:r>
        <w:rPr>
          <w:rFonts w:ascii="宋体" w:hAnsi="宋体" w:cs="宋体" w:eastAsia="宋体" w:hint="default"/>
          <w:spacing w:val="-48"/>
        </w:rPr>
        <w:t> </w:t>
      </w:r>
      <w:r>
        <w:rPr/>
        <w:t>股。报告期内，公司实施完成</w:t>
      </w:r>
      <w:r>
        <w:rPr>
          <w:spacing w:val="-50"/>
        </w:rPr>
        <w:t> </w:t>
      </w:r>
      <w:r>
        <w:rPr>
          <w:rFonts w:ascii="宋体" w:hAnsi="宋体" w:cs="宋体" w:eastAsia="宋体" w:hint="default"/>
        </w:rPr>
        <w:t>2011</w:t>
      </w:r>
      <w:r>
        <w:rPr>
          <w:rFonts w:ascii="宋体" w:hAnsi="宋体" w:cs="宋体" w:eastAsia="宋体" w:hint="default"/>
          <w:spacing w:val="-47"/>
        </w:rPr>
        <w:t> </w:t>
      </w:r>
      <w:r>
        <w:rPr/>
        <w:t>年非公开发行股票</w:t>
      </w:r>
    </w:p>
    <w:p>
      <w:pPr>
        <w:spacing w:line="240" w:lineRule="auto" w:before="10"/>
        <w:rPr>
          <w:rFonts w:ascii="宋体" w:hAnsi="宋体" w:cs="宋体" w:eastAsia="宋体" w:hint="default"/>
          <w:sz w:val="14"/>
          <w:szCs w:val="14"/>
        </w:rPr>
      </w:pPr>
    </w:p>
    <w:p>
      <w:pPr>
        <w:pStyle w:val="BodyText"/>
        <w:spacing w:line="408" w:lineRule="auto" w:before="0"/>
        <w:ind w:right="982"/>
        <w:jc w:val="left"/>
      </w:pPr>
      <w:r>
        <w:rPr/>
        <w:t>项目，发行股份</w:t>
      </w:r>
      <w:r>
        <w:rPr>
          <w:spacing w:val="-51"/>
        </w:rPr>
        <w:t> </w:t>
      </w:r>
      <w:r>
        <w:rPr>
          <w:rFonts w:ascii="宋体" w:hAnsi="宋体" w:cs="宋体" w:eastAsia="宋体" w:hint="default"/>
        </w:rPr>
        <w:t>386,831,284</w:t>
      </w:r>
      <w:r>
        <w:rPr>
          <w:rFonts w:ascii="宋体" w:hAnsi="宋体" w:cs="宋体" w:eastAsia="宋体" w:hint="default"/>
          <w:spacing w:val="-48"/>
        </w:rPr>
        <w:t> </w:t>
      </w:r>
      <w:r>
        <w:rPr/>
        <w:t>股，公司股份总额增加至</w:t>
      </w:r>
      <w:r>
        <w:rPr>
          <w:spacing w:val="-49"/>
        </w:rPr>
        <w:t> </w:t>
      </w:r>
      <w:r>
        <w:rPr>
          <w:rFonts w:ascii="宋体" w:hAnsi="宋体" w:cs="宋体" w:eastAsia="宋体" w:hint="default"/>
        </w:rPr>
        <w:t>7,383,043,150</w:t>
      </w:r>
      <w:r>
        <w:rPr>
          <w:rFonts w:ascii="宋体" w:hAnsi="宋体" w:cs="宋体" w:eastAsia="宋体" w:hint="default"/>
          <w:spacing w:val="-51"/>
        </w:rPr>
        <w:t> </w:t>
      </w:r>
      <w:r>
        <w:rPr>
          <w:spacing w:val="-3"/>
        </w:rPr>
        <w:t>股，全部为普通股。报告期内，公</w:t>
      </w:r>
      <w:r>
        <w:rPr>
          <w:w w:val="100"/>
        </w:rPr>
        <w:t> </w:t>
      </w:r>
      <w:r>
        <w:rPr/>
        <w:t>司资产、负债结构的变动情况详见第四节董事会工作报告内容。</w:t>
      </w:r>
    </w:p>
    <w:p>
      <w:pPr>
        <w:spacing w:line="240" w:lineRule="auto" w:before="8"/>
        <w:rPr>
          <w:rFonts w:ascii="宋体" w:hAnsi="宋体" w:cs="宋体" w:eastAsia="宋体" w:hint="default"/>
          <w:sz w:val="20"/>
          <w:szCs w:val="20"/>
        </w:rPr>
      </w:pPr>
    </w:p>
    <w:p>
      <w:pPr>
        <w:pStyle w:val="Heading4"/>
        <w:spacing w:line="568" w:lineRule="auto"/>
        <w:ind w:left="573" w:right="8330" w:hanging="421"/>
        <w:jc w:val="left"/>
        <w:rPr>
          <w:rFonts w:ascii="宋体" w:hAnsi="宋体" w:cs="宋体" w:eastAsia="宋体" w:hint="default"/>
          <w:b w:val="0"/>
          <w:bCs w:val="0"/>
        </w:rPr>
      </w:pPr>
      <w:r>
        <w:rPr>
          <w:rFonts w:ascii="Times New Roman" w:hAnsi="Times New Roman" w:cs="Times New Roman" w:eastAsia="Times New Roman" w:hint="default"/>
        </w:rPr>
        <w:t>3</w:t>
      </w:r>
      <w:r>
        <w:rPr/>
        <w:t>、现存的内部职工股情况</w:t>
      </w:r>
      <w:r>
        <w:rPr>
          <w:w w:val="100"/>
        </w:rPr>
        <w:t> </w:t>
      </w:r>
      <w:r>
        <w:rPr>
          <w:rFonts w:ascii="宋体" w:hAnsi="宋体" w:cs="宋体" w:eastAsia="宋体" w:hint="default"/>
          <w:b w:val="0"/>
          <w:bCs w:val="0"/>
        </w:rPr>
        <w:t>不适用</w:t>
      </w:r>
    </w:p>
    <w:p>
      <w:pPr>
        <w:spacing w:after="0" w:line="568" w:lineRule="auto"/>
        <w:jc w:val="left"/>
        <w:rPr>
          <w:rFonts w:ascii="宋体" w:hAnsi="宋体" w:cs="宋体" w:eastAsia="宋体" w:hint="default"/>
        </w:rPr>
        <w:sectPr>
          <w:pgSz w:w="11910" w:h="16840"/>
          <w:pgMar w:header="877" w:footer="1340" w:top="1100" w:bottom="1540" w:left="980" w:right="0"/>
        </w:sectPr>
      </w:pPr>
    </w:p>
    <w:p>
      <w:pPr>
        <w:pStyle w:val="Heading2"/>
        <w:spacing w:line="240" w:lineRule="auto" w:before="28"/>
        <w:ind w:left="140" w:right="1183"/>
        <w:jc w:val="left"/>
        <w:rPr>
          <w:b w:val="0"/>
          <w:bCs w:val="0"/>
        </w:rPr>
      </w:pPr>
      <w:r>
        <w:rPr/>
        <w:pict>
          <v:group style="position:absolute;margin-left:70.559998pt;margin-top:2.195603pt;width:700.9pt;height:.1pt;mso-position-horizontal-relative:page;mso-position-vertical-relative:paragraph;z-index:-1597000" coordorigin="1411,44" coordsize="14018,2">
            <v:shape style="position:absolute;left:1411;top:44;width:14018;height:2" coordorigin="1411,44" coordsize="14018,0" path="m1411,44l15429,44e" filled="false" stroked="true" strokeweight=".72pt" strokecolor="#000000">
              <v:path arrowok="t"/>
            </v:shape>
            <w10:wrap type="none"/>
          </v:group>
        </w:pict>
      </w:r>
      <w:r>
        <w:rPr/>
        <w:pict>
          <v:shape style="position:absolute;margin-left:706.919983pt;margin-top:518.320007pt;width:135pt;height:77pt;mso-position-horizontal-relative:page;mso-position-vertical-relative:page;z-index:-1596976" type="#_x0000_t75" stroked="false">
            <v:imagedata r:id="rId10" o:title=""/>
          </v:shape>
        </w:pict>
      </w:r>
      <w:r>
        <w:rPr/>
        <w:t>三、股东和实际控制人情况</w:t>
      </w:r>
      <w:r>
        <w:rPr>
          <w:b w:val="0"/>
          <w:bCs w:val="0"/>
        </w:rPr>
      </w:r>
    </w:p>
    <w:p>
      <w:pPr>
        <w:spacing w:line="240" w:lineRule="auto" w:before="2"/>
        <w:rPr>
          <w:rFonts w:ascii="宋体" w:hAnsi="宋体" w:cs="宋体" w:eastAsia="宋体" w:hint="default"/>
          <w:b/>
          <w:bCs/>
          <w:sz w:val="22"/>
          <w:szCs w:val="22"/>
        </w:rPr>
      </w:pPr>
    </w:p>
    <w:p>
      <w:pPr>
        <w:pStyle w:val="Heading4"/>
        <w:spacing w:line="240" w:lineRule="auto" w:before="36"/>
        <w:ind w:left="140" w:right="1183"/>
        <w:jc w:val="left"/>
        <w:rPr>
          <w:b w:val="0"/>
          <w:bCs w:val="0"/>
        </w:rPr>
      </w:pPr>
      <w:r>
        <w:rPr>
          <w:rFonts w:ascii="Times New Roman" w:hAnsi="Times New Roman" w:cs="Times New Roman" w:eastAsia="Times New Roman" w:hint="default"/>
        </w:rPr>
        <w:t>1</w:t>
      </w:r>
      <w:r>
        <w:rPr/>
        <w:t>、公司股东数量及持股情况</w:t>
      </w:r>
      <w:r>
        <w:rPr>
          <w:b w:val="0"/>
          <w:bCs w:val="0"/>
        </w:rPr>
      </w:r>
    </w:p>
    <w:p>
      <w:pPr>
        <w:pStyle w:val="BodyText"/>
        <w:spacing w:line="240" w:lineRule="auto" w:before="141"/>
        <w:ind w:left="0" w:right="1433"/>
        <w:jc w:val="right"/>
      </w:pPr>
      <w:r>
        <w:rPr>
          <w:spacing w:val="-1"/>
        </w:rPr>
        <w:t>单位：股</w:t>
      </w:r>
    </w:p>
    <w:p>
      <w:pPr>
        <w:spacing w:line="240" w:lineRule="auto" w:before="12"/>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727"/>
        <w:gridCol w:w="1553"/>
        <w:gridCol w:w="1088"/>
        <w:gridCol w:w="1451"/>
        <w:gridCol w:w="1222"/>
        <w:gridCol w:w="1421"/>
        <w:gridCol w:w="1421"/>
        <w:gridCol w:w="1295"/>
        <w:gridCol w:w="1840"/>
      </w:tblGrid>
      <w:tr>
        <w:trPr>
          <w:trHeight w:val="326" w:hRule="exact"/>
        </w:trPr>
        <w:tc>
          <w:tcPr>
            <w:tcW w:w="42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报告期期末股东总数</w:t>
            </w:r>
          </w:p>
        </w:tc>
        <w:tc>
          <w:tcPr>
            <w:tcW w:w="1088" w:type="dxa"/>
            <w:tcBorders>
              <w:top w:val="single" w:sz="4" w:space="0" w:color="000000"/>
              <w:left w:val="single" w:sz="12" w:space="0" w:color="D2D2D2"/>
              <w:bottom w:val="single" w:sz="4" w:space="0" w:color="000000"/>
              <w:right w:val="single" w:sz="12" w:space="0" w:color="D2D2D2"/>
            </w:tcBorders>
          </w:tcPr>
          <w:p>
            <w:pPr>
              <w:pStyle w:val="TableParagraph"/>
              <w:spacing w:line="262" w:lineRule="exact"/>
              <w:ind w:right="14"/>
              <w:jc w:val="right"/>
              <w:rPr>
                <w:rFonts w:ascii="宋体" w:hAnsi="宋体" w:cs="宋体" w:eastAsia="宋体" w:hint="default"/>
                <w:sz w:val="21"/>
                <w:szCs w:val="21"/>
              </w:rPr>
            </w:pPr>
            <w:r>
              <w:rPr>
                <w:rFonts w:ascii="宋体"/>
                <w:spacing w:val="-1"/>
                <w:sz w:val="21"/>
              </w:rPr>
              <w:t>318,079</w:t>
            </w:r>
          </w:p>
        </w:tc>
        <w:tc>
          <w:tcPr>
            <w:tcW w:w="68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6" w:right="0"/>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个交易日末股东总数</w:t>
            </w:r>
          </w:p>
        </w:tc>
        <w:tc>
          <w:tcPr>
            <w:tcW w:w="1840" w:type="dxa"/>
            <w:tcBorders>
              <w:top w:val="single" w:sz="4" w:space="0" w:color="000000"/>
              <w:left w:val="single" w:sz="10" w:space="0" w:color="D2D2D2"/>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322,138</w:t>
            </w:r>
          </w:p>
        </w:tc>
      </w:tr>
      <w:tr>
        <w:trPr>
          <w:trHeight w:val="319" w:hRule="exact"/>
        </w:trPr>
        <w:tc>
          <w:tcPr>
            <w:tcW w:w="1401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4"/>
                <w:sz w:val="21"/>
                <w:szCs w:val="21"/>
              </w:rPr>
              <w:t> </w:t>
            </w:r>
            <w:r>
              <w:rPr>
                <w:rFonts w:ascii="宋体" w:hAnsi="宋体" w:cs="宋体" w:eastAsia="宋体" w:hint="default"/>
                <w:b/>
                <w:bCs/>
                <w:sz w:val="21"/>
                <w:szCs w:val="21"/>
              </w:rPr>
              <w:t>10</w:t>
            </w:r>
            <w:r>
              <w:rPr>
                <w:rFonts w:ascii="宋体" w:hAnsi="宋体" w:cs="宋体" w:eastAsia="宋体" w:hint="default"/>
                <w:b/>
                <w:bCs/>
                <w:spacing w:val="-53"/>
                <w:sz w:val="21"/>
                <w:szCs w:val="21"/>
              </w:rPr>
              <w:t> </w:t>
            </w:r>
            <w:r>
              <w:rPr>
                <w:rFonts w:ascii="宋体" w:hAnsi="宋体" w:cs="宋体" w:eastAsia="宋体" w:hint="default"/>
                <w:b/>
                <w:bCs/>
                <w:sz w:val="21"/>
                <w:szCs w:val="21"/>
              </w:rPr>
              <w:t>名股东持股情况</w:t>
            </w:r>
            <w:r>
              <w:rPr>
                <w:rFonts w:ascii="宋体" w:hAnsi="宋体" w:cs="宋体" w:eastAsia="宋体" w:hint="default"/>
                <w:sz w:val="21"/>
                <w:szCs w:val="21"/>
              </w:rPr>
            </w:r>
          </w:p>
        </w:tc>
      </w:tr>
      <w:tr>
        <w:trPr>
          <w:trHeight w:val="163" w:hRule="exact"/>
        </w:trPr>
        <w:tc>
          <w:tcPr>
            <w:tcW w:w="2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45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505" w:right="91" w:hanging="420"/>
              <w:jc w:val="left"/>
              <w:rPr>
                <w:rFonts w:ascii="宋体" w:hAnsi="宋体" w:cs="宋体" w:eastAsia="宋体" w:hint="default"/>
                <w:sz w:val="21"/>
                <w:szCs w:val="21"/>
              </w:rPr>
            </w:pPr>
            <w:r>
              <w:rPr>
                <w:rFonts w:ascii="宋体" w:hAnsi="宋体" w:cs="宋体" w:eastAsia="宋体" w:hint="default"/>
                <w:sz w:val="21"/>
                <w:szCs w:val="21"/>
              </w:rPr>
              <w:t>报告期末持股</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22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79" w:right="77"/>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减变动情况</w:t>
            </w: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76" w:right="69"/>
              <w:jc w:val="left"/>
              <w:rPr>
                <w:rFonts w:ascii="宋体" w:hAnsi="宋体" w:cs="宋体" w:eastAsia="宋体" w:hint="default"/>
                <w:sz w:val="21"/>
                <w:szCs w:val="21"/>
              </w:rPr>
            </w:pPr>
            <w:r>
              <w:rPr>
                <w:rFonts w:ascii="宋体" w:hAnsi="宋体" w:cs="宋体" w:eastAsia="宋体" w:hint="default"/>
                <w:sz w:val="21"/>
                <w:szCs w:val="21"/>
              </w:rPr>
              <w:t>持有有限售条</w:t>
            </w:r>
            <w:r>
              <w:rPr>
                <w:rFonts w:ascii="宋体" w:hAnsi="宋体" w:cs="宋体" w:eastAsia="宋体" w:hint="default"/>
                <w:w w:val="100"/>
                <w:sz w:val="21"/>
                <w:szCs w:val="21"/>
              </w:rPr>
              <w:t> </w:t>
            </w:r>
            <w:r>
              <w:rPr>
                <w:rFonts w:ascii="宋体" w:hAnsi="宋体" w:cs="宋体" w:eastAsia="宋体" w:hint="default"/>
                <w:sz w:val="21"/>
                <w:szCs w:val="21"/>
              </w:rPr>
              <w:t>件的股份数量</w:t>
            </w: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76" w:right="69"/>
              <w:jc w:val="left"/>
              <w:rPr>
                <w:rFonts w:ascii="宋体" w:hAnsi="宋体" w:cs="宋体" w:eastAsia="宋体" w:hint="default"/>
                <w:sz w:val="21"/>
                <w:szCs w:val="21"/>
              </w:rPr>
            </w:pPr>
            <w:r>
              <w:rPr>
                <w:rFonts w:ascii="宋体" w:hAnsi="宋体" w:cs="宋体" w:eastAsia="宋体" w:hint="default"/>
                <w:sz w:val="21"/>
                <w:szCs w:val="21"/>
              </w:rPr>
              <w:t>持有无限售条</w:t>
            </w:r>
            <w:r>
              <w:rPr>
                <w:rFonts w:ascii="宋体" w:hAnsi="宋体" w:cs="宋体" w:eastAsia="宋体" w:hint="default"/>
                <w:w w:val="100"/>
                <w:sz w:val="21"/>
                <w:szCs w:val="21"/>
              </w:rPr>
              <w:t> </w:t>
            </w:r>
            <w:r>
              <w:rPr>
                <w:rFonts w:ascii="宋体" w:hAnsi="宋体" w:cs="宋体" w:eastAsia="宋体" w:hint="default"/>
                <w:sz w:val="21"/>
                <w:szCs w:val="21"/>
              </w:rPr>
              <w:t>件的股份数量</w:t>
            </w:r>
          </w:p>
        </w:tc>
        <w:tc>
          <w:tcPr>
            <w:tcW w:w="31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left="826"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51" w:hRule="exact"/>
        </w:trPr>
        <w:tc>
          <w:tcPr>
            <w:tcW w:w="2727"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553"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352"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088" w:type="dxa"/>
            <w:vMerge/>
            <w:tcBorders>
              <w:left w:val="single" w:sz="4" w:space="0" w:color="000000"/>
              <w:right w:val="single" w:sz="4" w:space="0" w:color="000000"/>
            </w:tcBorders>
            <w:shd w:val="clear" w:color="auto" w:fill="D2D2D2"/>
          </w:tcPr>
          <w:p>
            <w:pPr/>
          </w:p>
        </w:tc>
        <w:tc>
          <w:tcPr>
            <w:tcW w:w="1451" w:type="dxa"/>
            <w:vMerge/>
            <w:tcBorders>
              <w:left w:val="single" w:sz="4" w:space="0" w:color="000000"/>
              <w:right w:val="single" w:sz="4" w:space="0" w:color="000000"/>
            </w:tcBorders>
            <w:shd w:val="clear" w:color="auto" w:fill="D2D2D2"/>
          </w:tcPr>
          <w:p>
            <w:pPr/>
          </w:p>
        </w:tc>
        <w:tc>
          <w:tcPr>
            <w:tcW w:w="1222"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shd w:val="clear" w:color="auto" w:fill="D2D2D2"/>
          </w:tcPr>
          <w:p>
            <w:pPr/>
          </w:p>
        </w:tc>
        <w:tc>
          <w:tcPr>
            <w:tcW w:w="3135"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727" w:type="dxa"/>
            <w:vMerge/>
            <w:tcBorders>
              <w:left w:val="single" w:sz="4" w:space="0" w:color="000000"/>
              <w:bottom w:val="nil" w:sz="6" w:space="0" w:color="auto"/>
              <w:right w:val="single" w:sz="4" w:space="0" w:color="000000"/>
            </w:tcBorders>
            <w:shd w:val="clear" w:color="auto" w:fill="D2D2D2"/>
          </w:tcPr>
          <w:p>
            <w:pPr/>
          </w:p>
        </w:tc>
        <w:tc>
          <w:tcPr>
            <w:tcW w:w="1553" w:type="dxa"/>
            <w:vMerge/>
            <w:tcBorders>
              <w:left w:val="single" w:sz="4" w:space="0" w:color="000000"/>
              <w:bottom w:val="nil" w:sz="6" w:space="0" w:color="auto"/>
              <w:right w:val="single" w:sz="4" w:space="0" w:color="000000"/>
            </w:tcBorders>
            <w:shd w:val="clear" w:color="auto" w:fill="D2D2D2"/>
          </w:tcPr>
          <w:p>
            <w:pPr/>
          </w:p>
        </w:tc>
        <w:tc>
          <w:tcPr>
            <w:tcW w:w="1088" w:type="dxa"/>
            <w:vMerge/>
            <w:tcBorders>
              <w:left w:val="single" w:sz="4" w:space="0" w:color="000000"/>
              <w:right w:val="single" w:sz="4" w:space="0" w:color="000000"/>
            </w:tcBorders>
            <w:shd w:val="clear" w:color="auto" w:fill="D2D2D2"/>
          </w:tcPr>
          <w:p>
            <w:pPr/>
          </w:p>
        </w:tc>
        <w:tc>
          <w:tcPr>
            <w:tcW w:w="1451" w:type="dxa"/>
            <w:vMerge/>
            <w:tcBorders>
              <w:left w:val="single" w:sz="4" w:space="0" w:color="000000"/>
              <w:right w:val="single" w:sz="4" w:space="0" w:color="000000"/>
            </w:tcBorders>
            <w:shd w:val="clear" w:color="auto" w:fill="D2D2D2"/>
          </w:tcPr>
          <w:p>
            <w:pPr/>
          </w:p>
        </w:tc>
        <w:tc>
          <w:tcPr>
            <w:tcW w:w="1222"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shd w:val="clear" w:color="auto" w:fill="D2D2D2"/>
          </w:tcPr>
          <w:p>
            <w:pPr/>
          </w:p>
        </w:tc>
        <w:tc>
          <w:tcPr>
            <w:tcW w:w="1295"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226"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1840"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166" w:hRule="exact"/>
        </w:trPr>
        <w:tc>
          <w:tcPr>
            <w:tcW w:w="2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451" w:type="dxa"/>
            <w:vMerge/>
            <w:tcBorders>
              <w:left w:val="single" w:sz="4" w:space="0" w:color="000000"/>
              <w:bottom w:val="single" w:sz="4" w:space="0" w:color="000000"/>
              <w:right w:val="single" w:sz="4" w:space="0" w:color="000000"/>
            </w:tcBorders>
            <w:shd w:val="clear" w:color="auto" w:fill="D2D2D2"/>
          </w:tcPr>
          <w:p>
            <w:pPr/>
          </w:p>
        </w:tc>
        <w:tc>
          <w:tcPr>
            <w:tcW w:w="1222"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1295" w:type="dxa"/>
            <w:vMerge/>
            <w:tcBorders>
              <w:left w:val="single" w:sz="4" w:space="0" w:color="000000"/>
              <w:bottom w:val="single" w:sz="4" w:space="0" w:color="000000"/>
              <w:right w:val="single" w:sz="4" w:space="0" w:color="000000"/>
            </w:tcBorders>
            <w:shd w:val="clear" w:color="auto" w:fill="D2D2D2"/>
          </w:tcPr>
          <w:p>
            <w:pPr/>
          </w:p>
        </w:tc>
        <w:tc>
          <w:tcPr>
            <w:tcW w:w="1840" w:type="dxa"/>
            <w:vMerge/>
            <w:tcBorders>
              <w:left w:val="single" w:sz="4" w:space="0" w:color="000000"/>
              <w:bottom w:val="single" w:sz="4" w:space="0" w:color="000000"/>
              <w:right w:val="single" w:sz="4" w:space="0" w:color="000000"/>
            </w:tcBorders>
            <w:shd w:val="clear" w:color="auto" w:fill="D2D2D2"/>
          </w:tcPr>
          <w:p>
            <w:pPr/>
          </w:p>
        </w:tc>
      </w:tr>
      <w:tr>
        <w:trPr>
          <w:trHeight w:val="636"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张近东</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8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26.44%</w:t>
            </w:r>
          </w:p>
        </w:tc>
        <w:tc>
          <w:tcPr>
            <w:tcW w:w="145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1,951,811,430</w:t>
            </w:r>
          </w:p>
        </w:tc>
        <w:tc>
          <w:tcPr>
            <w:tcW w:w="122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42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4"/>
              <w:ind w:left="189" w:right="0"/>
              <w:jc w:val="left"/>
              <w:rPr>
                <w:rFonts w:ascii="Times New Roman" w:hAnsi="Times New Roman" w:cs="Times New Roman" w:eastAsia="Times New Roman" w:hint="default"/>
                <w:sz w:val="21"/>
                <w:szCs w:val="21"/>
              </w:rPr>
            </w:pPr>
            <w:r>
              <w:rPr>
                <w:rFonts w:ascii="Times New Roman"/>
                <w:sz w:val="21"/>
              </w:rPr>
              <w:t>1,951,811,430</w:t>
            </w:r>
          </w:p>
          <w:p>
            <w:pPr>
              <w:pStyle w:val="TableParagraph"/>
              <w:spacing w:line="240" w:lineRule="auto" w:before="23"/>
              <w:ind w:left="602"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42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3"/>
              <w:jc w:val="right"/>
              <w:rPr>
                <w:rFonts w:ascii="宋体" w:hAnsi="宋体" w:cs="宋体" w:eastAsia="宋体" w:hint="default"/>
                <w:sz w:val="21"/>
                <w:szCs w:val="21"/>
              </w:rPr>
            </w:pPr>
            <w:r>
              <w:rPr>
                <w:rFonts w:ascii="宋体" w:hAnsi="宋体" w:cs="宋体" w:eastAsia="宋体" w:hint="default"/>
                <w:sz w:val="21"/>
                <w:szCs w:val="21"/>
              </w:rPr>
              <w:t>质押</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96" w:right="0"/>
              <w:jc w:val="left"/>
              <w:rPr>
                <w:rFonts w:ascii="Times New Roman" w:hAnsi="Times New Roman" w:cs="Times New Roman" w:eastAsia="Times New Roman" w:hint="default"/>
                <w:sz w:val="21"/>
                <w:szCs w:val="21"/>
              </w:rPr>
            </w:pPr>
            <w:r>
              <w:rPr>
                <w:rFonts w:ascii="Times New Roman"/>
                <w:sz w:val="21"/>
              </w:rPr>
              <w:t>1,422,310,000</w:t>
            </w:r>
          </w:p>
          <w:p>
            <w:pPr>
              <w:pStyle w:val="TableParagraph"/>
              <w:spacing w:line="240" w:lineRule="auto" w:before="23"/>
              <w:ind w:left="1016"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r>
      <w:tr>
        <w:trPr>
          <w:trHeight w:val="63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苏宁电器集团有限公司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13.72%</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1,012,633,055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70,539,506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1,012,633,055</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
              <w:jc w:val="right"/>
              <w:rPr>
                <w:rFonts w:ascii="宋体" w:hAnsi="宋体" w:cs="宋体" w:eastAsia="宋体" w:hint="default"/>
                <w:sz w:val="21"/>
                <w:szCs w:val="21"/>
              </w:rPr>
            </w:pPr>
            <w:r>
              <w:rPr>
                <w:rFonts w:ascii="宋体" w:hAnsi="宋体" w:cs="宋体" w:eastAsia="宋体" w:hint="default"/>
                <w:sz w:val="21"/>
                <w:szCs w:val="21"/>
              </w:rPr>
              <w:t>质押</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52" w:right="0"/>
              <w:jc w:val="left"/>
              <w:rPr>
                <w:rFonts w:ascii="Times New Roman" w:hAnsi="Times New Roman" w:cs="Times New Roman" w:eastAsia="Times New Roman" w:hint="default"/>
                <w:sz w:val="21"/>
                <w:szCs w:val="21"/>
              </w:rPr>
            </w:pPr>
            <w:r>
              <w:rPr>
                <w:rFonts w:ascii="Times New Roman"/>
                <w:sz w:val="21"/>
              </w:rPr>
              <w:t>349,760,000</w:t>
            </w:r>
          </w:p>
          <w:p>
            <w:pPr>
              <w:pStyle w:val="TableParagraph"/>
              <w:spacing w:line="240" w:lineRule="auto" w:before="23"/>
              <w:ind w:left="1016"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r>
      <w:tr>
        <w:trPr>
          <w:trHeight w:val="63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南京润东投资有限公司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3.90%</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288,065,848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288,065,848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38" w:right="0"/>
              <w:jc w:val="left"/>
              <w:rPr>
                <w:rFonts w:ascii="Times New Roman" w:hAnsi="Times New Roman" w:cs="Times New Roman" w:eastAsia="Times New Roman" w:hint="default"/>
                <w:sz w:val="21"/>
                <w:szCs w:val="21"/>
              </w:rPr>
            </w:pPr>
            <w:r>
              <w:rPr>
                <w:rFonts w:ascii="Times New Roman"/>
                <w:sz w:val="21"/>
              </w:rPr>
              <w:t>288,065,848</w:t>
            </w:r>
          </w:p>
          <w:p>
            <w:pPr>
              <w:pStyle w:val="TableParagraph"/>
              <w:spacing w:line="240" w:lineRule="auto" w:before="23"/>
              <w:ind w:left="602"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
              <w:jc w:val="right"/>
              <w:rPr>
                <w:rFonts w:ascii="宋体" w:hAnsi="宋体" w:cs="宋体" w:eastAsia="宋体" w:hint="default"/>
                <w:sz w:val="21"/>
                <w:szCs w:val="21"/>
              </w:rPr>
            </w:pPr>
            <w:r>
              <w:rPr>
                <w:rFonts w:ascii="宋体" w:hAnsi="宋体" w:cs="宋体" w:eastAsia="宋体" w:hint="default"/>
                <w:sz w:val="21"/>
                <w:szCs w:val="21"/>
              </w:rPr>
              <w:t>质押</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52" w:right="0"/>
              <w:jc w:val="left"/>
              <w:rPr>
                <w:rFonts w:ascii="Times New Roman" w:hAnsi="Times New Roman" w:cs="Times New Roman" w:eastAsia="Times New Roman" w:hint="default"/>
                <w:sz w:val="21"/>
                <w:szCs w:val="21"/>
              </w:rPr>
            </w:pPr>
            <w:r>
              <w:rPr>
                <w:rFonts w:ascii="Times New Roman"/>
                <w:sz w:val="21"/>
              </w:rPr>
              <w:t>288,065,848</w:t>
            </w:r>
          </w:p>
          <w:p>
            <w:pPr>
              <w:pStyle w:val="TableParagraph"/>
              <w:spacing w:line="240" w:lineRule="auto" w:before="23"/>
              <w:ind w:left="1016"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r>
      <w:tr>
        <w:trPr>
          <w:trHeight w:val="63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陈金凤</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2.66%</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196,132,370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196,132,370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
              <w:jc w:val="right"/>
              <w:rPr>
                <w:rFonts w:ascii="宋体" w:hAnsi="宋体" w:cs="宋体" w:eastAsia="宋体" w:hint="default"/>
                <w:sz w:val="21"/>
                <w:szCs w:val="21"/>
              </w:rPr>
            </w:pPr>
            <w:r>
              <w:rPr>
                <w:rFonts w:ascii="宋体" w:hAnsi="宋体" w:cs="宋体" w:eastAsia="宋体" w:hint="default"/>
                <w:sz w:val="21"/>
                <w:szCs w:val="21"/>
              </w:rPr>
              <w:t>质押</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52" w:right="0"/>
              <w:jc w:val="left"/>
              <w:rPr>
                <w:rFonts w:ascii="Times New Roman" w:hAnsi="Times New Roman" w:cs="Times New Roman" w:eastAsia="Times New Roman" w:hint="default"/>
                <w:sz w:val="21"/>
                <w:szCs w:val="21"/>
              </w:rPr>
            </w:pPr>
            <w:r>
              <w:rPr>
                <w:rFonts w:ascii="Times New Roman"/>
                <w:sz w:val="21"/>
              </w:rPr>
              <w:t>196,000,000</w:t>
            </w:r>
          </w:p>
          <w:p>
            <w:pPr>
              <w:pStyle w:val="TableParagraph"/>
              <w:spacing w:line="240" w:lineRule="auto" w:before="23"/>
              <w:ind w:left="1016"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r>
      <w:tr>
        <w:trPr>
          <w:trHeight w:val="63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金明</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1.67%</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123,107,407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1,043,400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4" w:right="0"/>
              <w:jc w:val="center"/>
              <w:rPr>
                <w:rFonts w:ascii="Times New Roman" w:hAnsi="Times New Roman" w:cs="Times New Roman" w:eastAsia="Times New Roman" w:hint="default"/>
                <w:sz w:val="21"/>
                <w:szCs w:val="21"/>
              </w:rPr>
            </w:pPr>
            <w:r>
              <w:rPr>
                <w:rFonts w:ascii="Times New Roman"/>
                <w:sz w:val="21"/>
              </w:rPr>
              <w:t>92,330,555</w:t>
            </w:r>
          </w:p>
          <w:p>
            <w:pPr>
              <w:pStyle w:val="TableParagraph"/>
              <w:spacing w:line="240" w:lineRule="auto" w:before="23"/>
              <w:ind w:left="583"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30,776,852</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
              <w:jc w:val="right"/>
              <w:rPr>
                <w:rFonts w:ascii="宋体" w:hAnsi="宋体" w:cs="宋体" w:eastAsia="宋体" w:hint="default"/>
                <w:sz w:val="21"/>
                <w:szCs w:val="21"/>
              </w:rPr>
            </w:pPr>
            <w:r>
              <w:rPr>
                <w:rFonts w:ascii="宋体" w:hAnsi="宋体" w:cs="宋体" w:eastAsia="宋体" w:hint="default"/>
                <w:sz w:val="21"/>
                <w:szCs w:val="21"/>
              </w:rPr>
              <w:t>质押</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52" w:right="0"/>
              <w:jc w:val="left"/>
              <w:rPr>
                <w:rFonts w:ascii="Times New Roman" w:hAnsi="Times New Roman" w:cs="Times New Roman" w:eastAsia="Times New Roman" w:hint="default"/>
                <w:sz w:val="21"/>
                <w:szCs w:val="21"/>
              </w:rPr>
            </w:pPr>
            <w:r>
              <w:rPr>
                <w:rFonts w:ascii="Times New Roman"/>
                <w:sz w:val="21"/>
              </w:rPr>
              <w:t>122,064,000</w:t>
            </w:r>
          </w:p>
          <w:p>
            <w:pPr>
              <w:pStyle w:val="TableParagraph"/>
              <w:spacing w:line="240" w:lineRule="auto" w:before="23"/>
              <w:ind w:left="1016"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r>
      <w:tr>
        <w:trPr>
          <w:trHeight w:val="63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68"/>
              <w:jc w:val="left"/>
              <w:rPr>
                <w:rFonts w:ascii="宋体" w:hAnsi="宋体" w:cs="宋体" w:eastAsia="宋体" w:hint="default"/>
                <w:sz w:val="21"/>
                <w:szCs w:val="21"/>
              </w:rPr>
            </w:pPr>
            <w:r>
              <w:rPr>
                <w:rFonts w:ascii="宋体" w:hAnsi="宋体" w:cs="宋体" w:eastAsia="宋体" w:hint="default"/>
                <w:spacing w:val="-2"/>
                <w:sz w:val="21"/>
                <w:szCs w:val="21"/>
              </w:rPr>
              <w:t>北京弘毅贰零壹零股权投资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中心（有限合伙）</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1.34%</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98,765,436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98,765,436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4" w:right="0"/>
              <w:jc w:val="center"/>
              <w:rPr>
                <w:rFonts w:ascii="Times New Roman" w:hAnsi="Times New Roman" w:cs="Times New Roman" w:eastAsia="Times New Roman" w:hint="default"/>
                <w:sz w:val="21"/>
                <w:szCs w:val="21"/>
              </w:rPr>
            </w:pPr>
            <w:r>
              <w:rPr>
                <w:rFonts w:ascii="Times New Roman"/>
                <w:sz w:val="21"/>
              </w:rPr>
              <w:t>98,765,436</w:t>
            </w:r>
          </w:p>
          <w:p>
            <w:pPr>
              <w:pStyle w:val="TableParagraph"/>
              <w:spacing w:line="240" w:lineRule="auto" w:before="23"/>
              <w:ind w:left="583"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
              <w:jc w:val="right"/>
              <w:rPr>
                <w:rFonts w:ascii="宋体" w:hAnsi="宋体" w:cs="宋体" w:eastAsia="宋体" w:hint="default"/>
                <w:sz w:val="21"/>
                <w:szCs w:val="21"/>
              </w:rPr>
            </w:pPr>
            <w:r>
              <w:rPr>
                <w:rFonts w:ascii="宋体" w:hAnsi="宋体" w:cs="宋体" w:eastAsia="宋体" w:hint="default"/>
                <w:sz w:val="21"/>
                <w:szCs w:val="21"/>
              </w:rPr>
              <w:t>未知</w:t>
            </w:r>
          </w:p>
        </w:tc>
        <w:tc>
          <w:tcPr>
            <w:tcW w:w="184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全国社保基金一零八组合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4"/>
              <w:jc w:val="right"/>
              <w:rPr>
                <w:rFonts w:ascii="Times New Roman" w:hAnsi="Times New Roman" w:cs="Times New Roman" w:eastAsia="Times New Roman" w:hint="default"/>
                <w:sz w:val="21"/>
                <w:szCs w:val="21"/>
              </w:rPr>
            </w:pPr>
            <w:r>
              <w:rPr>
                <w:rFonts w:ascii="Times New Roman"/>
                <w:sz w:val="21"/>
              </w:rPr>
              <w:t>1.10%</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80,989,295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hAnsi="宋体" w:cs="宋体" w:eastAsia="宋体" w:hint="default"/>
                <w:sz w:val="21"/>
                <w:szCs w:val="21"/>
              </w:rPr>
              <w:t>未知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w w:val="100"/>
                <w:sz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80,989,295</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
              <w:jc w:val="right"/>
              <w:rPr>
                <w:rFonts w:ascii="宋体" w:hAnsi="宋体" w:cs="宋体" w:eastAsia="宋体" w:hint="default"/>
                <w:sz w:val="21"/>
                <w:szCs w:val="21"/>
              </w:rPr>
            </w:pPr>
            <w:r>
              <w:rPr>
                <w:rFonts w:ascii="宋体" w:hAnsi="宋体" w:cs="宋体" w:eastAsia="宋体" w:hint="default"/>
                <w:sz w:val="21"/>
                <w:szCs w:val="21"/>
              </w:rPr>
              <w:t>未知</w:t>
            </w:r>
          </w:p>
        </w:tc>
        <w:tc>
          <w:tcPr>
            <w:tcW w:w="184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68"/>
              <w:jc w:val="both"/>
              <w:rPr>
                <w:rFonts w:ascii="宋体" w:hAnsi="宋体" w:cs="宋体" w:eastAsia="宋体" w:hint="default"/>
                <w:sz w:val="21"/>
                <w:szCs w:val="21"/>
              </w:rPr>
            </w:pPr>
            <w:r>
              <w:rPr>
                <w:rFonts w:ascii="宋体" w:hAnsi="宋体" w:cs="宋体" w:eastAsia="宋体" w:hint="default"/>
                <w:sz w:val="21"/>
                <w:szCs w:val="21"/>
              </w:rPr>
              <w:t>中国银行－易方达深证</w:t>
            </w:r>
            <w:r>
              <w:rPr>
                <w:rFonts w:ascii="宋体" w:hAnsi="宋体" w:cs="宋体" w:eastAsia="宋体" w:hint="default"/>
                <w:spacing w:val="-53"/>
                <w:sz w:val="21"/>
                <w:szCs w:val="21"/>
              </w:rPr>
              <w:t> </w:t>
            </w:r>
            <w:r>
              <w:rPr>
                <w:rFonts w:ascii="宋体" w:hAnsi="宋体" w:cs="宋体" w:eastAsia="宋体" w:hint="default"/>
                <w:spacing w:val="-3"/>
                <w:sz w:val="21"/>
                <w:szCs w:val="21"/>
              </w:rPr>
              <w:t>100</w:t>
            </w:r>
            <w:r>
              <w:rPr>
                <w:rFonts w:ascii="宋体" w:hAnsi="宋体" w:cs="宋体" w:eastAsia="宋体" w:hint="default"/>
                <w:spacing w:val="-3"/>
                <w:w w:val="100"/>
                <w:sz w:val="21"/>
                <w:szCs w:val="21"/>
              </w:rPr>
              <w:t> </w:t>
            </w:r>
            <w:r>
              <w:rPr>
                <w:rFonts w:ascii="宋体" w:hAnsi="宋体" w:cs="宋体" w:eastAsia="宋体" w:hint="default"/>
                <w:spacing w:val="-2"/>
                <w:sz w:val="21"/>
                <w:szCs w:val="21"/>
              </w:rPr>
              <w:t>交易型开放式指数证券投资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基金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0.90%</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66,282,198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sz w:val="21"/>
                <w:szCs w:val="21"/>
              </w:rPr>
              <w:t>未知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66,282,198</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3"/>
              <w:jc w:val="right"/>
              <w:rPr>
                <w:rFonts w:ascii="宋体" w:hAnsi="宋体" w:cs="宋体" w:eastAsia="宋体" w:hint="default"/>
                <w:sz w:val="21"/>
                <w:szCs w:val="21"/>
              </w:rPr>
            </w:pPr>
            <w:r>
              <w:rPr>
                <w:rFonts w:ascii="宋体" w:hAnsi="宋体" w:cs="宋体" w:eastAsia="宋体" w:hint="default"/>
                <w:sz w:val="21"/>
                <w:szCs w:val="21"/>
              </w:rPr>
              <w:t>未知</w:t>
            </w:r>
          </w:p>
        </w:tc>
        <w:tc>
          <w:tcPr>
            <w:tcW w:w="18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68"/>
              <w:jc w:val="left"/>
              <w:rPr>
                <w:rFonts w:ascii="宋体" w:hAnsi="宋体" w:cs="宋体" w:eastAsia="宋体" w:hint="default"/>
                <w:sz w:val="21"/>
                <w:szCs w:val="21"/>
              </w:rPr>
            </w:pPr>
            <w:r>
              <w:rPr>
                <w:rFonts w:ascii="宋体" w:hAnsi="宋体" w:cs="宋体" w:eastAsia="宋体" w:hint="default"/>
                <w:spacing w:val="-2"/>
                <w:sz w:val="21"/>
                <w:szCs w:val="21"/>
              </w:rPr>
              <w:t>中国银行－嘉实主题精选混</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合型证券投资基金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0.80%</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59,285,076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hAnsi="宋体" w:cs="宋体" w:eastAsia="宋体" w:hint="default"/>
                <w:sz w:val="21"/>
                <w:szCs w:val="21"/>
              </w:rPr>
              <w:t>未知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59,285,076</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
              <w:jc w:val="right"/>
              <w:rPr>
                <w:rFonts w:ascii="宋体" w:hAnsi="宋体" w:cs="宋体" w:eastAsia="宋体" w:hint="default"/>
                <w:sz w:val="21"/>
                <w:szCs w:val="21"/>
              </w:rPr>
            </w:pPr>
            <w:r>
              <w:rPr>
                <w:rFonts w:ascii="宋体" w:hAnsi="宋体" w:cs="宋体" w:eastAsia="宋体" w:hint="default"/>
                <w:sz w:val="21"/>
                <w:szCs w:val="21"/>
              </w:rPr>
              <w:t>未知</w:t>
            </w:r>
          </w:p>
        </w:tc>
        <w:tc>
          <w:tcPr>
            <w:tcW w:w="18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蒋勇</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z w:val="21"/>
              </w:rPr>
              <w:t>0.79%</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58,064,580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767,500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58,064,580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
              <w:jc w:val="right"/>
              <w:rPr>
                <w:rFonts w:ascii="宋体" w:hAnsi="宋体" w:cs="宋体" w:eastAsia="宋体" w:hint="default"/>
                <w:sz w:val="21"/>
                <w:szCs w:val="21"/>
              </w:rPr>
            </w:pPr>
            <w:r>
              <w:rPr>
                <w:rFonts w:ascii="宋体" w:hAnsi="宋体" w:cs="宋体" w:eastAsia="宋体" w:hint="default"/>
                <w:sz w:val="21"/>
                <w:szCs w:val="21"/>
              </w:rPr>
              <w:t>质押</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3"/>
              <w:jc w:val="right"/>
              <w:rPr>
                <w:rFonts w:ascii="宋体" w:hAnsi="宋体" w:cs="宋体" w:eastAsia="宋体" w:hint="default"/>
                <w:sz w:val="21"/>
                <w:szCs w:val="21"/>
              </w:rPr>
            </w:pPr>
            <w:r>
              <w:rPr>
                <w:rFonts w:ascii="Times New Roman" w:hAnsi="Times New Roman" w:cs="Times New Roman" w:eastAsia="Times New Roman" w:hint="default"/>
                <w:sz w:val="21"/>
                <w:szCs w:val="21"/>
              </w:rPr>
              <w:t>56,200,000</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r>
      <w:tr>
        <w:trPr>
          <w:trHeight w:val="634" w:hRule="exact"/>
        </w:trPr>
        <w:tc>
          <w:tcPr>
            <w:tcW w:w="42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9738" w:type="dxa"/>
            <w:gridSpan w:val="7"/>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9" w:right="17"/>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、张近东先生持有苏宁电器集团有限公司</w:t>
            </w:r>
            <w:r>
              <w:rPr>
                <w:rFonts w:ascii="宋体" w:hAnsi="宋体" w:cs="宋体" w:eastAsia="宋体" w:hint="default"/>
                <w:spacing w:val="-47"/>
                <w:sz w:val="21"/>
                <w:szCs w:val="21"/>
              </w:rPr>
              <w:t> </w:t>
            </w:r>
            <w:r>
              <w:rPr>
                <w:rFonts w:ascii="宋体" w:hAnsi="宋体" w:cs="宋体" w:eastAsia="宋体" w:hint="default"/>
                <w:sz w:val="21"/>
                <w:szCs w:val="21"/>
              </w:rPr>
              <w:t>28%</w:t>
            </w:r>
            <w:r>
              <w:rPr>
                <w:rFonts w:ascii="宋体" w:hAnsi="宋体" w:cs="宋体" w:eastAsia="宋体" w:hint="default"/>
                <w:sz w:val="21"/>
                <w:szCs w:val="21"/>
              </w:rPr>
              <w:t>的股权，张近东先生与苏宁电器集团有限公司构成关联股东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关系。</w:t>
            </w:r>
          </w:p>
        </w:tc>
      </w:tr>
    </w:tbl>
    <w:p>
      <w:pPr>
        <w:spacing w:after="0" w:line="273" w:lineRule="auto"/>
        <w:jc w:val="left"/>
        <w:rPr>
          <w:rFonts w:ascii="宋体" w:hAnsi="宋体" w:cs="宋体" w:eastAsia="宋体" w:hint="default"/>
          <w:sz w:val="21"/>
          <w:szCs w:val="21"/>
        </w:rPr>
        <w:sectPr>
          <w:headerReference w:type="default" r:id="rId37"/>
          <w:footerReference w:type="default" r:id="rId38"/>
          <w:pgSz w:w="16840" w:h="11910" w:orient="landscape"/>
          <w:pgMar w:header="867" w:footer="980" w:top="1060" w:bottom="1160" w:left="1300" w:right="0"/>
          <w:pgNumType w:start="70"/>
        </w:sectPr>
      </w:pPr>
    </w:p>
    <w:p>
      <w:pPr>
        <w:spacing w:line="240" w:lineRule="auto" w:before="11"/>
        <w:rPr>
          <w:rFonts w:ascii="宋体" w:hAnsi="宋体" w:cs="宋体" w:eastAsia="宋体" w:hint="default"/>
          <w:sz w:val="2"/>
          <w:szCs w:val="2"/>
        </w:rPr>
      </w:pPr>
      <w:r>
        <w:rPr/>
        <w:pict>
          <v:shape style="position:absolute;margin-left:706.919983pt;margin-top:518.320007pt;width:135pt;height:77pt;mso-position-horizontal-relative:page;mso-position-vertical-relative:page;z-index:2224" type="#_x0000_t75" stroked="false">
            <v:imagedata r:id="rId10" o:title=""/>
          </v:shape>
        </w:pict>
      </w:r>
    </w:p>
    <w:tbl>
      <w:tblPr>
        <w:tblW w:w="0" w:type="auto"/>
        <w:jc w:val="left"/>
        <w:tblInd w:w="106" w:type="dxa"/>
        <w:tblLayout w:type="fixed"/>
        <w:tblCellMar>
          <w:top w:w="0" w:type="dxa"/>
          <w:left w:w="0" w:type="dxa"/>
          <w:bottom w:w="0" w:type="dxa"/>
          <w:right w:w="0" w:type="dxa"/>
        </w:tblCellMar>
        <w:tblLook w:val="01E0"/>
      </w:tblPr>
      <w:tblGrid>
        <w:gridCol w:w="4285"/>
        <w:gridCol w:w="6346"/>
        <w:gridCol w:w="1553"/>
        <w:gridCol w:w="1834"/>
      </w:tblGrid>
      <w:tr>
        <w:trPr>
          <w:trHeight w:val="1275" w:hRule="exact"/>
        </w:trPr>
        <w:tc>
          <w:tcPr>
            <w:tcW w:w="4285"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9733" w:type="dxa"/>
            <w:gridSpan w:val="3"/>
            <w:tcBorders>
              <w:top w:val="single" w:sz="15"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、张近东先生持有南京润东投资有限公司 </w:t>
            </w:r>
            <w:r>
              <w:rPr>
                <w:rFonts w:ascii="宋体" w:hAnsi="宋体" w:cs="宋体" w:eastAsia="宋体" w:hint="default"/>
                <w:sz w:val="21"/>
                <w:szCs w:val="21"/>
              </w:rPr>
              <w:t>100%</w:t>
            </w:r>
            <w:r>
              <w:rPr>
                <w:rFonts w:ascii="宋体" w:hAnsi="宋体" w:cs="宋体" w:eastAsia="宋体" w:hint="default"/>
                <w:sz w:val="21"/>
                <w:szCs w:val="21"/>
              </w:rPr>
              <w:t>的股权，张近东先生与南京润东投资有限公司构成一致行</w:t>
            </w:r>
            <w:r>
              <w:rPr>
                <w:rFonts w:ascii="宋体" w:hAnsi="宋体" w:cs="宋体" w:eastAsia="宋体" w:hint="default"/>
                <w:w w:val="100"/>
                <w:sz w:val="21"/>
                <w:szCs w:val="21"/>
              </w:rPr>
              <w:t> </w:t>
            </w:r>
            <w:r>
              <w:rPr>
                <w:rFonts w:ascii="宋体" w:hAnsi="宋体" w:cs="宋体" w:eastAsia="宋体" w:hint="default"/>
                <w:sz w:val="21"/>
                <w:szCs w:val="21"/>
              </w:rPr>
              <w:t>动人关系。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3</w:t>
            </w:r>
            <w:r>
              <w:rPr>
                <w:rFonts w:ascii="宋体" w:hAnsi="宋体" w:cs="宋体" w:eastAsia="宋体" w:hint="default"/>
                <w:spacing w:val="-4"/>
                <w:sz w:val="21"/>
                <w:szCs w:val="21"/>
              </w:rPr>
              <w:t>、除前述关联关系外，未知公司前十名主要股东、前十名无限售条件股东之间是否存在其他关联关系，也</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未知是否存在《上市公司收购管理办法》中规定的一致行动人的情况。</w:t>
            </w:r>
          </w:p>
        </w:tc>
      </w:tr>
      <w:tr>
        <w:trPr>
          <w:trHeight w:val="322" w:hRule="exact"/>
        </w:trPr>
        <w:tc>
          <w:tcPr>
            <w:tcW w:w="1401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4"/>
                <w:sz w:val="21"/>
                <w:szCs w:val="21"/>
              </w:rPr>
              <w:t> </w:t>
            </w:r>
            <w:r>
              <w:rPr>
                <w:rFonts w:ascii="宋体" w:hAnsi="宋体" w:cs="宋体" w:eastAsia="宋体" w:hint="default"/>
                <w:b/>
                <w:bCs/>
                <w:sz w:val="21"/>
                <w:szCs w:val="21"/>
              </w:rPr>
              <w:t>10</w:t>
            </w:r>
            <w:r>
              <w:rPr>
                <w:rFonts w:ascii="宋体" w:hAnsi="宋体" w:cs="宋体" w:eastAsia="宋体" w:hint="default"/>
                <w:b/>
                <w:bCs/>
                <w:spacing w:val="-53"/>
                <w:sz w:val="21"/>
                <w:szCs w:val="21"/>
              </w:rPr>
              <w:t> </w:t>
            </w:r>
            <w:r>
              <w:rPr>
                <w:rFonts w:ascii="宋体" w:hAnsi="宋体" w:cs="宋体" w:eastAsia="宋体" w:hint="default"/>
                <w:b/>
                <w:bCs/>
                <w:sz w:val="21"/>
                <w:szCs w:val="21"/>
              </w:rPr>
              <w:t>名无限售条件股东持股情况</w:t>
            </w:r>
            <w:r>
              <w:rPr>
                <w:rFonts w:ascii="宋体" w:hAnsi="宋体" w:cs="宋体" w:eastAsia="宋体" w:hint="default"/>
                <w:sz w:val="21"/>
                <w:szCs w:val="21"/>
              </w:rPr>
            </w:r>
          </w:p>
        </w:tc>
      </w:tr>
      <w:tr>
        <w:trPr>
          <w:trHeight w:val="166" w:hRule="exact"/>
        </w:trPr>
        <w:tc>
          <w:tcPr>
            <w:tcW w:w="4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33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151" w:hRule="exact"/>
        </w:trPr>
        <w:tc>
          <w:tcPr>
            <w:tcW w:w="4285"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6346"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1802" w:right="0"/>
              <w:jc w:val="left"/>
              <w:rPr>
                <w:rFonts w:ascii="宋体" w:hAnsi="宋体" w:cs="宋体" w:eastAsia="宋体" w:hint="default"/>
                <w:sz w:val="21"/>
                <w:szCs w:val="21"/>
              </w:rPr>
            </w:pPr>
            <w:r>
              <w:rPr>
                <w:rFonts w:ascii="宋体" w:hAnsi="宋体" w:cs="宋体" w:eastAsia="宋体" w:hint="default"/>
                <w:sz w:val="21"/>
                <w:szCs w:val="21"/>
              </w:rPr>
              <w:t>年末持有无限售条件股份数量</w:t>
            </w:r>
          </w:p>
        </w:tc>
        <w:tc>
          <w:tcPr>
            <w:tcW w:w="3387"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4285" w:type="dxa"/>
            <w:vMerge/>
            <w:tcBorders>
              <w:left w:val="single" w:sz="4" w:space="0" w:color="000000"/>
              <w:bottom w:val="nil" w:sz="6" w:space="0" w:color="auto"/>
              <w:right w:val="single" w:sz="4" w:space="0" w:color="000000"/>
            </w:tcBorders>
            <w:shd w:val="clear" w:color="auto" w:fill="D2D2D2"/>
          </w:tcPr>
          <w:p>
            <w:pPr/>
          </w:p>
        </w:tc>
        <w:tc>
          <w:tcPr>
            <w:tcW w:w="6346" w:type="dxa"/>
            <w:vMerge/>
            <w:tcBorders>
              <w:left w:val="single" w:sz="4" w:space="0" w:color="000000"/>
              <w:bottom w:val="nil" w:sz="6" w:space="0" w:color="auto"/>
              <w:right w:val="single" w:sz="4" w:space="0" w:color="000000"/>
            </w:tcBorders>
            <w:shd w:val="clear" w:color="auto" w:fill="D2D2D2"/>
          </w:tcPr>
          <w:p>
            <w:pPr/>
          </w:p>
        </w:tc>
        <w:tc>
          <w:tcPr>
            <w:tcW w:w="1553"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350"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834"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166" w:hRule="exact"/>
        </w:trPr>
        <w:tc>
          <w:tcPr>
            <w:tcW w:w="4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3" w:type="dxa"/>
            <w:vMerge/>
            <w:tcBorders>
              <w:left w:val="single" w:sz="4" w:space="0" w:color="000000"/>
              <w:bottom w:val="single" w:sz="4" w:space="0" w:color="000000"/>
              <w:right w:val="single" w:sz="4" w:space="0" w:color="000000"/>
            </w:tcBorders>
            <w:shd w:val="clear" w:color="auto" w:fill="D2D2D2"/>
          </w:tcPr>
          <w:p>
            <w:pPr/>
          </w:p>
        </w:tc>
        <w:tc>
          <w:tcPr>
            <w:tcW w:w="1834"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苏宁电器集团有限公司</w:t>
            </w:r>
          </w:p>
        </w:tc>
        <w:tc>
          <w:tcPr>
            <w:tcW w:w="63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1,012,633,055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1,012,633,055</w:t>
            </w:r>
          </w:p>
        </w:tc>
      </w:tr>
      <w:tr>
        <w:trPr>
          <w:trHeight w:val="3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陈金凤</w:t>
            </w:r>
          </w:p>
        </w:tc>
        <w:tc>
          <w:tcPr>
            <w:tcW w:w="634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196,132,370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196,132,370</w:t>
            </w:r>
          </w:p>
        </w:tc>
      </w:tr>
      <w:tr>
        <w:trPr>
          <w:trHeight w:val="324"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全国社保基金一零八组合</w:t>
            </w:r>
          </w:p>
        </w:tc>
        <w:tc>
          <w:tcPr>
            <w:tcW w:w="63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80,989,295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80,989,295</w:t>
            </w:r>
          </w:p>
        </w:tc>
      </w:tr>
      <w:tr>
        <w:trPr>
          <w:trHeight w:val="634"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6"/>
              <w:jc w:val="left"/>
              <w:rPr>
                <w:rFonts w:ascii="宋体" w:hAnsi="宋体" w:cs="宋体" w:eastAsia="宋体" w:hint="default"/>
                <w:sz w:val="21"/>
                <w:szCs w:val="21"/>
              </w:rPr>
            </w:pPr>
            <w:r>
              <w:rPr>
                <w:rFonts w:ascii="宋体" w:hAnsi="宋体" w:cs="宋体" w:eastAsia="宋体" w:hint="default"/>
                <w:sz w:val="21"/>
                <w:szCs w:val="21"/>
              </w:rPr>
              <w:t>中国银行－易方达深证</w:t>
            </w:r>
            <w:r>
              <w:rPr>
                <w:rFonts w:ascii="宋体" w:hAnsi="宋体" w:cs="宋体" w:eastAsia="宋体" w:hint="default"/>
                <w:spacing w:val="-55"/>
                <w:sz w:val="21"/>
                <w:szCs w:val="21"/>
              </w:rPr>
              <w:t> </w:t>
            </w:r>
            <w:r>
              <w:rPr>
                <w:rFonts w:ascii="宋体" w:hAnsi="宋体" w:cs="宋体" w:eastAsia="宋体" w:hint="default"/>
                <w:sz w:val="21"/>
                <w:szCs w:val="21"/>
              </w:rPr>
              <w:t>100</w:t>
            </w:r>
            <w:r>
              <w:rPr>
                <w:rFonts w:ascii="宋体" w:hAnsi="宋体" w:cs="宋体" w:eastAsia="宋体" w:hint="default"/>
                <w:spacing w:val="-55"/>
                <w:sz w:val="21"/>
                <w:szCs w:val="21"/>
              </w:rPr>
              <w:t> </w:t>
            </w:r>
            <w:r>
              <w:rPr>
                <w:rFonts w:ascii="宋体" w:hAnsi="宋体" w:cs="宋体" w:eastAsia="宋体" w:hint="default"/>
                <w:sz w:val="21"/>
                <w:szCs w:val="21"/>
              </w:rPr>
              <w:t>交易型开放式指数</w:t>
            </w:r>
            <w:r>
              <w:rPr>
                <w:rFonts w:ascii="宋体" w:hAnsi="宋体" w:cs="宋体" w:eastAsia="宋体" w:hint="default"/>
                <w:w w:val="100"/>
                <w:sz w:val="21"/>
                <w:szCs w:val="21"/>
              </w:rPr>
              <w:t> </w:t>
            </w:r>
            <w:r>
              <w:rPr>
                <w:rFonts w:ascii="宋体" w:hAnsi="宋体" w:cs="宋体" w:eastAsia="宋体" w:hint="default"/>
                <w:sz w:val="21"/>
                <w:szCs w:val="21"/>
              </w:rPr>
              <w:t>证券投资基金</w:t>
            </w:r>
          </w:p>
        </w:tc>
        <w:tc>
          <w:tcPr>
            <w:tcW w:w="6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66,282,198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21"/>
                <w:szCs w:val="21"/>
              </w:rPr>
            </w:pPr>
            <w:r>
              <w:rPr>
                <w:rFonts w:ascii="宋体"/>
                <w:spacing w:val="-1"/>
                <w:sz w:val="21"/>
              </w:rPr>
              <w:t>66,282,198</w:t>
            </w:r>
          </w:p>
        </w:tc>
      </w:tr>
      <w:tr>
        <w:trPr>
          <w:trHeight w:val="3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中国银行－嘉实主题精选混合型证券投资基金</w:t>
            </w:r>
          </w:p>
        </w:tc>
        <w:tc>
          <w:tcPr>
            <w:tcW w:w="63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59,285,076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59,285,076</w:t>
            </w:r>
          </w:p>
        </w:tc>
      </w:tr>
      <w:tr>
        <w:trPr>
          <w:trHeight w:val="3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蒋勇</w:t>
            </w:r>
          </w:p>
        </w:tc>
        <w:tc>
          <w:tcPr>
            <w:tcW w:w="63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58,064,580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58,064,580</w:t>
            </w:r>
          </w:p>
        </w:tc>
      </w:tr>
      <w:tr>
        <w:trPr>
          <w:trHeight w:val="3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全国社保基金一零二组合</w:t>
            </w:r>
          </w:p>
        </w:tc>
        <w:tc>
          <w:tcPr>
            <w:tcW w:w="63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48,206,168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48,206,168</w:t>
            </w:r>
          </w:p>
        </w:tc>
      </w:tr>
      <w:tr>
        <w:trPr>
          <w:trHeight w:val="634"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6"/>
              <w:jc w:val="left"/>
              <w:rPr>
                <w:rFonts w:ascii="宋体" w:hAnsi="宋体" w:cs="宋体" w:eastAsia="宋体" w:hint="default"/>
                <w:sz w:val="21"/>
                <w:szCs w:val="21"/>
              </w:rPr>
            </w:pPr>
            <w:r>
              <w:rPr>
                <w:rFonts w:ascii="宋体" w:hAnsi="宋体" w:cs="宋体" w:eastAsia="宋体" w:hint="default"/>
                <w:sz w:val="21"/>
                <w:szCs w:val="21"/>
              </w:rPr>
              <w:t>中国工商银行－融通深证</w:t>
            </w:r>
            <w:r>
              <w:rPr>
                <w:rFonts w:ascii="宋体" w:hAnsi="宋体" w:cs="宋体" w:eastAsia="宋体" w:hint="default"/>
                <w:spacing w:val="-56"/>
                <w:sz w:val="21"/>
                <w:szCs w:val="21"/>
              </w:rPr>
              <w:t> </w:t>
            </w:r>
            <w:r>
              <w:rPr>
                <w:rFonts w:ascii="宋体" w:hAnsi="宋体" w:cs="宋体" w:eastAsia="宋体" w:hint="default"/>
                <w:sz w:val="21"/>
                <w:szCs w:val="21"/>
              </w:rPr>
              <w:t>100</w:t>
            </w:r>
            <w:r>
              <w:rPr>
                <w:rFonts w:ascii="宋体" w:hAnsi="宋体" w:cs="宋体" w:eastAsia="宋体" w:hint="default"/>
                <w:spacing w:val="-54"/>
                <w:sz w:val="21"/>
                <w:szCs w:val="21"/>
              </w:rPr>
              <w:t> </w:t>
            </w:r>
            <w:r>
              <w:rPr>
                <w:rFonts w:ascii="宋体" w:hAnsi="宋体" w:cs="宋体" w:eastAsia="宋体" w:hint="default"/>
                <w:sz w:val="21"/>
                <w:szCs w:val="21"/>
              </w:rPr>
              <w:t>指数证券投资基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6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宋体" w:hAnsi="宋体" w:cs="宋体" w:eastAsia="宋体" w:hint="default"/>
                <w:sz w:val="21"/>
                <w:szCs w:val="21"/>
              </w:rPr>
            </w:pPr>
            <w:r>
              <w:rPr>
                <w:rFonts w:ascii="宋体"/>
                <w:spacing w:val="-1"/>
                <w:sz w:val="21"/>
              </w:rPr>
              <w:t>46,531,662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宋体" w:hAnsi="宋体" w:cs="宋体" w:eastAsia="宋体" w:hint="default"/>
                <w:sz w:val="21"/>
                <w:szCs w:val="21"/>
              </w:rPr>
            </w:pPr>
            <w:r>
              <w:rPr>
                <w:rFonts w:ascii="宋体"/>
                <w:spacing w:val="-1"/>
                <w:sz w:val="21"/>
              </w:rPr>
              <w:t>46,531,662</w:t>
            </w:r>
          </w:p>
        </w:tc>
      </w:tr>
      <w:tr>
        <w:trPr>
          <w:trHeight w:val="636"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6"/>
              <w:jc w:val="left"/>
              <w:rPr>
                <w:rFonts w:ascii="宋体" w:hAnsi="宋体" w:cs="宋体" w:eastAsia="宋体" w:hint="default"/>
                <w:sz w:val="21"/>
                <w:szCs w:val="21"/>
              </w:rPr>
            </w:pPr>
            <w:r>
              <w:rPr>
                <w:rFonts w:ascii="宋体" w:hAnsi="宋体" w:cs="宋体" w:eastAsia="宋体" w:hint="default"/>
                <w:sz w:val="21"/>
                <w:szCs w:val="21"/>
              </w:rPr>
              <w:t>中国民生银行－银华深证</w:t>
            </w:r>
            <w:r>
              <w:rPr>
                <w:rFonts w:ascii="宋体" w:hAnsi="宋体" w:cs="宋体" w:eastAsia="宋体" w:hint="default"/>
                <w:spacing w:val="-56"/>
                <w:sz w:val="21"/>
                <w:szCs w:val="21"/>
              </w:rPr>
              <w:t> </w:t>
            </w:r>
            <w:r>
              <w:rPr>
                <w:rFonts w:ascii="宋体" w:hAnsi="宋体" w:cs="宋体" w:eastAsia="宋体" w:hint="default"/>
                <w:sz w:val="21"/>
                <w:szCs w:val="21"/>
              </w:rPr>
              <w:t>100</w:t>
            </w:r>
            <w:r>
              <w:rPr>
                <w:rFonts w:ascii="宋体" w:hAnsi="宋体" w:cs="宋体" w:eastAsia="宋体" w:hint="default"/>
                <w:spacing w:val="-54"/>
                <w:sz w:val="21"/>
                <w:szCs w:val="21"/>
              </w:rPr>
              <w:t> </w:t>
            </w:r>
            <w:r>
              <w:rPr>
                <w:rFonts w:ascii="宋体" w:hAnsi="宋体" w:cs="宋体" w:eastAsia="宋体" w:hint="default"/>
                <w:sz w:val="21"/>
                <w:szCs w:val="21"/>
              </w:rPr>
              <w:t>指数分级证券投</w:t>
            </w:r>
            <w:r>
              <w:rPr>
                <w:rFonts w:ascii="宋体" w:hAnsi="宋体" w:cs="宋体" w:eastAsia="宋体" w:hint="default"/>
                <w:w w:val="100"/>
                <w:sz w:val="21"/>
                <w:szCs w:val="21"/>
              </w:rPr>
              <w:t> </w:t>
            </w:r>
            <w:r>
              <w:rPr>
                <w:rFonts w:ascii="宋体" w:hAnsi="宋体" w:cs="宋体" w:eastAsia="宋体" w:hint="default"/>
                <w:sz w:val="21"/>
                <w:szCs w:val="21"/>
              </w:rPr>
              <w:t>资基金</w:t>
            </w:r>
          </w:p>
        </w:tc>
        <w:tc>
          <w:tcPr>
            <w:tcW w:w="6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spacing w:val="-1"/>
                <w:sz w:val="21"/>
              </w:rPr>
              <w:t>44,456,788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1"/>
                <w:szCs w:val="21"/>
              </w:rPr>
            </w:pPr>
            <w:r>
              <w:rPr>
                <w:rFonts w:ascii="宋体"/>
                <w:spacing w:val="-1"/>
                <w:sz w:val="21"/>
              </w:rPr>
              <w:t>44,456,788</w:t>
            </w:r>
          </w:p>
        </w:tc>
      </w:tr>
      <w:tr>
        <w:trPr>
          <w:trHeight w:val="634"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49"/>
              <w:jc w:val="left"/>
              <w:rPr>
                <w:rFonts w:ascii="宋体" w:hAnsi="宋体" w:cs="宋体" w:eastAsia="宋体" w:hint="default"/>
                <w:sz w:val="21"/>
                <w:szCs w:val="21"/>
              </w:rPr>
            </w:pPr>
            <w:r>
              <w:rPr>
                <w:rFonts w:ascii="宋体" w:hAnsi="宋体" w:cs="宋体" w:eastAsia="宋体" w:hint="default"/>
                <w:sz w:val="21"/>
                <w:szCs w:val="21"/>
              </w:rPr>
              <w:t>云南国际信托有限公司－云信成长</w:t>
            </w:r>
            <w:r>
              <w:rPr>
                <w:rFonts w:ascii="宋体" w:hAnsi="宋体" w:cs="宋体" w:eastAsia="宋体" w:hint="default"/>
                <w:spacing w:val="-54"/>
                <w:sz w:val="21"/>
                <w:szCs w:val="21"/>
              </w:rPr>
              <w:t> </w:t>
            </w:r>
            <w:r>
              <w:rPr>
                <w:rFonts w:ascii="宋体" w:hAnsi="宋体" w:cs="宋体" w:eastAsia="宋体" w:hint="default"/>
                <w:sz w:val="21"/>
                <w:szCs w:val="21"/>
              </w:rPr>
              <w:t>2007-2</w:t>
            </w:r>
            <w:r>
              <w:rPr>
                <w:rFonts w:ascii="宋体" w:hAnsi="宋体" w:cs="宋体" w:eastAsia="宋体" w:hint="default"/>
                <w:spacing w:val="-54"/>
                <w:sz w:val="21"/>
                <w:szCs w:val="21"/>
              </w:rPr>
              <w:t> </w:t>
            </w:r>
            <w:r>
              <w:rPr>
                <w:rFonts w:ascii="宋体" w:hAnsi="宋体" w:cs="宋体" w:eastAsia="宋体" w:hint="default"/>
                <w:sz w:val="21"/>
                <w:szCs w:val="21"/>
              </w:rPr>
              <w:t>第</w:t>
            </w:r>
            <w:r>
              <w:rPr>
                <w:rFonts w:ascii="宋体" w:hAnsi="宋体" w:cs="宋体" w:eastAsia="宋体" w:hint="default"/>
                <w:w w:val="100"/>
                <w:sz w:val="21"/>
                <w:szCs w:val="21"/>
              </w:rPr>
              <w:t> </w:t>
            </w:r>
            <w:r>
              <w:rPr>
                <w:rFonts w:ascii="宋体" w:hAnsi="宋体" w:cs="宋体" w:eastAsia="宋体" w:hint="default"/>
                <w:sz w:val="21"/>
                <w:szCs w:val="21"/>
              </w:rPr>
              <w:t>五期集合资金信托</w:t>
            </w:r>
          </w:p>
        </w:tc>
        <w:tc>
          <w:tcPr>
            <w:tcW w:w="6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42,224,222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21"/>
                <w:szCs w:val="21"/>
              </w:rPr>
            </w:pPr>
            <w:r>
              <w:rPr>
                <w:rFonts w:ascii="宋体"/>
                <w:spacing w:val="-1"/>
                <w:sz w:val="21"/>
              </w:rPr>
              <w:t>42,224,222</w:t>
            </w:r>
          </w:p>
        </w:tc>
      </w:tr>
    </w:tbl>
    <w:p>
      <w:pPr>
        <w:pStyle w:val="BodyText"/>
        <w:spacing w:line="314" w:lineRule="auto" w:before="42"/>
        <w:ind w:left="140" w:right="1430" w:firstLine="420"/>
        <w:jc w:val="both"/>
      </w:pPr>
      <w:r>
        <w:rPr/>
        <w:t>注</w:t>
      </w:r>
      <w:r>
        <w:rPr>
          <w:spacing w:val="-40"/>
        </w:rPr>
        <w:t> </w:t>
      </w:r>
      <w:r>
        <w:rPr>
          <w:rFonts w:ascii="宋体" w:hAnsi="宋体" w:cs="宋体" w:eastAsia="宋体" w:hint="default"/>
        </w:rPr>
        <w:t>1</w:t>
      </w:r>
      <w:r>
        <w:rPr/>
        <w:t>：控股股东张近东先生及其全资子公司南京润东投资有限公司因润东投资认购公司</w:t>
      </w:r>
      <w:r>
        <w:rPr>
          <w:spacing w:val="-43"/>
        </w:rPr>
        <w:t> </w:t>
      </w:r>
      <w:r>
        <w:rPr>
          <w:rFonts w:ascii="宋体" w:hAnsi="宋体" w:cs="宋体" w:eastAsia="宋体" w:hint="default"/>
        </w:rPr>
        <w:t>2011</w:t>
      </w:r>
      <w:r>
        <w:rPr>
          <w:rFonts w:ascii="宋体" w:hAnsi="宋体" w:cs="宋体" w:eastAsia="宋体" w:hint="default"/>
          <w:spacing w:val="-43"/>
        </w:rPr>
        <w:t> </w:t>
      </w:r>
      <w:r>
        <w:rPr/>
        <w:t>年非公开发行股票，出具了《关于苏宁电器股份有限公</w:t>
      </w:r>
      <w:r>
        <w:rPr>
          <w:w w:val="100"/>
        </w:rPr>
        <w:t> </w:t>
      </w:r>
      <w:r>
        <w:rPr>
          <w:spacing w:val="-4"/>
          <w:w w:val="100"/>
        </w:rPr>
        <w:t>司向特定对象发行股份及豁免要约收购相关事宜之承诺函》，承诺其拥有的全部苏宁电器股份自发行结束之日（即</w:t>
      </w:r>
      <w:r>
        <w:rPr>
          <w:spacing w:val="-50"/>
          <w:w w:val="100"/>
        </w:rPr>
        <w:t> </w:t>
      </w:r>
      <w:r>
        <w:rPr>
          <w:rFonts w:ascii="宋体" w:hAnsi="宋体" w:cs="宋体" w:eastAsia="宋体" w:hint="default"/>
          <w:spacing w:val="-1"/>
          <w:w w:val="100"/>
        </w:rPr>
        <w:t>2012</w:t>
      </w:r>
      <w:r>
        <w:rPr>
          <w:rFonts w:ascii="宋体" w:hAnsi="宋体" w:cs="宋体" w:eastAsia="宋体" w:hint="default"/>
          <w:spacing w:val="-50"/>
          <w:w w:val="100"/>
        </w:rPr>
        <w:t> </w:t>
      </w:r>
      <w:r>
        <w:rPr>
          <w:w w:val="100"/>
        </w:rPr>
        <w:t>年</w:t>
      </w:r>
      <w:r>
        <w:rPr>
          <w:spacing w:val="-51"/>
          <w:w w:val="100"/>
        </w:rPr>
        <w:t> </w:t>
      </w:r>
      <w:r>
        <w:rPr>
          <w:rFonts w:ascii="宋体" w:hAnsi="宋体" w:cs="宋体" w:eastAsia="宋体" w:hint="default"/>
          <w:w w:val="100"/>
        </w:rPr>
        <w:t>7</w:t>
      </w:r>
      <w:r>
        <w:rPr>
          <w:rFonts w:ascii="宋体" w:hAnsi="宋体" w:cs="宋体" w:eastAsia="宋体" w:hint="default"/>
          <w:spacing w:val="-50"/>
          <w:w w:val="100"/>
        </w:rPr>
        <w:t> </w:t>
      </w:r>
      <w:r>
        <w:rPr>
          <w:w w:val="100"/>
        </w:rPr>
        <w:t>月</w:t>
      </w:r>
      <w:r>
        <w:rPr>
          <w:spacing w:val="-52"/>
          <w:w w:val="100"/>
        </w:rPr>
        <w:t> </w:t>
      </w:r>
      <w:r>
        <w:rPr>
          <w:rFonts w:ascii="宋体" w:hAnsi="宋体" w:cs="宋体" w:eastAsia="宋体" w:hint="default"/>
          <w:spacing w:val="-2"/>
          <w:w w:val="100"/>
        </w:rPr>
        <w:t>10</w:t>
      </w:r>
      <w:r>
        <w:rPr>
          <w:rFonts w:ascii="宋体" w:hAnsi="宋体" w:cs="宋体" w:eastAsia="宋体" w:hint="default"/>
          <w:spacing w:val="-50"/>
          <w:w w:val="100"/>
        </w:rPr>
        <w:t> </w:t>
      </w:r>
      <w:r>
        <w:rPr>
          <w:spacing w:val="-2"/>
          <w:w w:val="100"/>
        </w:rPr>
        <w:t>日）起三十六个月内不</w:t>
      </w:r>
      <w:r>
        <w:rPr>
          <w:spacing w:val="-104"/>
          <w:w w:val="100"/>
        </w:rPr>
        <w:t> </w:t>
      </w:r>
      <w:r>
        <w:rPr>
          <w:spacing w:val="-104"/>
          <w:w w:val="100"/>
        </w:rPr>
      </w:r>
      <w:r>
        <w:rPr/>
        <w:t>进行转让。</w:t>
      </w:r>
    </w:p>
    <w:p>
      <w:pPr>
        <w:pStyle w:val="BodyText"/>
        <w:spacing w:line="240" w:lineRule="auto" w:before="20"/>
        <w:ind w:left="560" w:right="1183"/>
        <w:jc w:val="left"/>
        <w:rPr>
          <w:sz w:val="18"/>
          <w:szCs w:val="18"/>
        </w:rPr>
      </w:pPr>
      <w:r>
        <w:rPr/>
        <w:t>注</w:t>
      </w:r>
      <w:r>
        <w:rPr>
          <w:spacing w:val="29"/>
        </w:rPr>
        <w:t> </w:t>
      </w:r>
      <w:r>
        <w:rPr>
          <w:rFonts w:ascii="宋体" w:hAnsi="宋体" w:cs="宋体" w:eastAsia="宋体" w:hint="default"/>
          <w:spacing w:val="-2"/>
        </w:rPr>
        <w:t>2</w:t>
      </w:r>
      <w:r>
        <w:rPr>
          <w:spacing w:val="-2"/>
        </w:rPr>
        <w:t>、金明先生为公司现任董事，其所持有的公司股份需按照国家有关法律法规及规范性文件进行锁定</w:t>
      </w:r>
      <w:r>
        <w:rPr>
          <w:spacing w:val="-2"/>
          <w:sz w:val="18"/>
          <w:szCs w:val="18"/>
        </w:rPr>
        <w:t>。</w:t>
      </w:r>
    </w:p>
    <w:p>
      <w:pPr>
        <w:pStyle w:val="BodyText"/>
        <w:spacing w:line="314" w:lineRule="auto" w:before="85"/>
        <w:ind w:left="139" w:right="1431" w:firstLine="420"/>
        <w:jc w:val="both"/>
      </w:pPr>
      <w:r>
        <w:rPr/>
        <w:t>注</w:t>
      </w:r>
      <w:r>
        <w:rPr>
          <w:spacing w:val="-56"/>
        </w:rPr>
        <w:t> </w:t>
      </w:r>
      <w:r>
        <w:rPr>
          <w:rFonts w:ascii="宋体" w:hAnsi="宋体" w:cs="宋体" w:eastAsia="宋体" w:hint="default"/>
        </w:rPr>
        <w:t>3</w:t>
      </w:r>
      <w:r>
        <w:rPr/>
        <w:t>、北京弘毅贰零壹零股权投资中心（有限合伙）认购公司</w:t>
      </w:r>
      <w:r>
        <w:rPr>
          <w:spacing w:val="-58"/>
        </w:rPr>
        <w:t> </w:t>
      </w:r>
      <w:r>
        <w:rPr>
          <w:rFonts w:ascii="宋体" w:hAnsi="宋体" w:cs="宋体" w:eastAsia="宋体" w:hint="default"/>
        </w:rPr>
        <w:t>2011</w:t>
      </w:r>
      <w:r>
        <w:rPr>
          <w:rFonts w:ascii="宋体" w:hAnsi="宋体" w:cs="宋体" w:eastAsia="宋体" w:hint="default"/>
          <w:spacing w:val="-58"/>
        </w:rPr>
        <w:t> </w:t>
      </w:r>
      <w:r>
        <w:rPr/>
        <w:t>年非公开发行股票按照相关法律法规及规范性文件规定自发行结束之日（</w:t>
      </w:r>
      <w:r>
        <w:rPr>
          <w:rFonts w:ascii="宋体" w:hAnsi="宋体" w:cs="宋体" w:eastAsia="宋体" w:hint="default"/>
        </w:rPr>
        <w:t>2012</w:t>
      </w:r>
      <w:r>
        <w:rPr>
          <w:rFonts w:ascii="宋体" w:hAnsi="宋体" w:cs="宋体" w:eastAsia="宋体" w:hint="default"/>
          <w:spacing w:val="-58"/>
        </w:rPr>
        <w:t> </w:t>
      </w:r>
      <w:r>
        <w:rPr/>
        <w:t>年</w:t>
      </w:r>
      <w:r>
        <w:rPr>
          <w:w w:val="100"/>
        </w:rPr>
        <w:t> </w:t>
      </w:r>
      <w:r>
        <w:rPr>
          <w:rFonts w:ascii="宋体" w:hAnsi="宋体" w:cs="宋体" w:eastAsia="宋体" w:hint="default"/>
        </w:rPr>
        <w:t>7</w:t>
      </w:r>
      <w:r>
        <w:rPr>
          <w:rFonts w:ascii="宋体" w:hAnsi="宋体" w:cs="宋体" w:eastAsia="宋体" w:hint="default"/>
          <w:spacing w:val="-54"/>
        </w:rPr>
        <w:t> </w:t>
      </w:r>
      <w:r>
        <w:rPr/>
        <w:t>月</w:t>
      </w:r>
      <w:r>
        <w:rPr>
          <w:spacing w:val="-53"/>
        </w:rPr>
        <w:t> </w:t>
      </w:r>
      <w:r>
        <w:rPr>
          <w:rFonts w:ascii="宋体" w:hAnsi="宋体" w:cs="宋体" w:eastAsia="宋体" w:hint="default"/>
        </w:rPr>
        <w:t>10</w:t>
      </w:r>
      <w:r>
        <w:rPr>
          <w:rFonts w:ascii="宋体" w:hAnsi="宋体" w:cs="宋体" w:eastAsia="宋体" w:hint="default"/>
          <w:spacing w:val="-54"/>
        </w:rPr>
        <w:t> </w:t>
      </w:r>
      <w:r>
        <w:rPr/>
        <w:t>日）起限售三十六个月。</w:t>
      </w:r>
    </w:p>
    <w:p>
      <w:pPr>
        <w:spacing w:after="0" w:line="314" w:lineRule="auto"/>
        <w:jc w:val="both"/>
        <w:sectPr>
          <w:pgSz w:w="16840" w:h="11910" w:orient="landscape"/>
          <w:pgMar w:header="867" w:footer="980" w:top="1060" w:bottom="1160" w:left="1300" w:right="0"/>
        </w:sectPr>
      </w:pPr>
    </w:p>
    <w:p>
      <w:pPr>
        <w:spacing w:line="240" w:lineRule="auto" w:before="1"/>
        <w:rPr>
          <w:rFonts w:ascii="宋体" w:hAnsi="宋体" w:cs="宋体" w:eastAsia="宋体" w:hint="default"/>
          <w:sz w:val="25"/>
          <w:szCs w:val="25"/>
        </w:rPr>
      </w:pPr>
    </w:p>
    <w:p>
      <w:pPr>
        <w:pStyle w:val="BodyText"/>
        <w:spacing w:line="314" w:lineRule="auto" w:before="36"/>
        <w:ind w:right="1128" w:firstLine="420"/>
        <w:jc w:val="both"/>
      </w:pPr>
      <w:r>
        <w:rPr/>
        <w:t>注</w:t>
      </w:r>
      <w:r>
        <w:rPr>
          <w:spacing w:val="69"/>
        </w:rPr>
        <w:t> </w:t>
      </w:r>
      <w:r>
        <w:rPr>
          <w:rFonts w:ascii="宋体" w:hAnsi="宋体" w:cs="宋体" w:eastAsia="宋体" w:hint="default"/>
          <w:spacing w:val="2"/>
        </w:rPr>
        <w:t>4</w:t>
      </w:r>
      <w:r>
        <w:rPr>
          <w:spacing w:val="2"/>
        </w:rPr>
        <w:t>、公司股东股票质押主要原因为张近东先生为其全资子公司南京润东投资有限公司认购本公司</w:t>
      </w:r>
      <w:r>
        <w:rPr>
          <w:w w:val="100"/>
        </w:rPr>
        <w:t> </w:t>
      </w:r>
      <w:r>
        <w:rPr>
          <w:rFonts w:ascii="宋体" w:hAnsi="宋体" w:cs="宋体" w:eastAsia="宋体" w:hint="default"/>
        </w:rPr>
        <w:t>2011 </w:t>
      </w:r>
      <w:r>
        <w:rPr>
          <w:spacing w:val="-4"/>
        </w:rPr>
        <w:t>年非公开发行股份进行融资等相关融资事项提供质押担保；为协助苏宁电器集团有限公司加快店面建</w:t>
      </w:r>
      <w:r>
        <w:rPr>
          <w:spacing w:val="-67"/>
        </w:rPr>
        <w:t> </w:t>
      </w:r>
      <w:r>
        <w:rPr>
          <w:spacing w:val="-67"/>
        </w:rPr>
      </w:r>
      <w:r>
        <w:rPr/>
        <w:t>设，以配合我司推进自建店开发。</w:t>
      </w:r>
    </w:p>
    <w:p>
      <w:pPr>
        <w:spacing w:line="240" w:lineRule="auto" w:before="3"/>
        <w:rPr>
          <w:rFonts w:ascii="宋体" w:hAnsi="宋体" w:cs="宋体" w:eastAsia="宋体" w:hint="default"/>
          <w:sz w:val="20"/>
          <w:szCs w:val="20"/>
        </w:rPr>
      </w:pPr>
    </w:p>
    <w:p>
      <w:pPr>
        <w:spacing w:line="516" w:lineRule="auto" w:before="0"/>
        <w:ind w:left="152" w:right="8752" w:firstLine="0"/>
        <w:jc w:val="left"/>
        <w:rPr>
          <w:rFonts w:ascii="宋体" w:hAnsi="宋体" w:cs="宋体" w:eastAsia="宋体" w:hint="default"/>
          <w:sz w:val="21"/>
          <w:szCs w:val="21"/>
        </w:rPr>
      </w:pPr>
      <w:r>
        <w:rPr/>
        <w:pict>
          <v:shape style="position:absolute;margin-left:56.459999pt;margin-top:49.46368pt;width:479.2pt;height:142.85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6"/>
                    <w:gridCol w:w="1707"/>
                    <w:gridCol w:w="4177"/>
                  </w:tblGrid>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08" w:right="0"/>
                          <w:jc w:val="left"/>
                          <w:rPr>
                            <w:rFonts w:ascii="宋体" w:hAnsi="宋体" w:cs="宋体" w:eastAsia="宋体" w:hint="default"/>
                            <w:sz w:val="21"/>
                            <w:szCs w:val="21"/>
                          </w:rPr>
                        </w:pPr>
                        <w:r>
                          <w:rPr>
                            <w:rFonts w:ascii="宋体" w:hAnsi="宋体" w:cs="宋体" w:eastAsia="宋体" w:hint="default"/>
                            <w:sz w:val="21"/>
                            <w:szCs w:val="21"/>
                          </w:rPr>
                          <w:t>控股股东姓名</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张近东</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88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年内的职业及职务</w:t>
                        </w:r>
                      </w:p>
                    </w:tc>
                    <w:tc>
                      <w:tcPr>
                        <w:tcW w:w="5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both"/>
                          <w:rPr>
                            <w:rFonts w:ascii="宋体" w:hAnsi="宋体" w:cs="宋体" w:eastAsia="宋体" w:hint="default"/>
                            <w:sz w:val="21"/>
                            <w:szCs w:val="21"/>
                          </w:rPr>
                        </w:pPr>
                        <w:r>
                          <w:rPr>
                            <w:rFonts w:ascii="宋体" w:hAnsi="宋体" w:cs="宋体" w:eastAsia="宋体" w:hint="default"/>
                            <w:spacing w:val="-4"/>
                            <w:sz w:val="21"/>
                            <w:szCs w:val="21"/>
                          </w:rPr>
                          <w:t>曾任江苏苏宁交家电有限公司董事长兼总经理、中国人民政治协</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4"/>
                            <w:sz w:val="21"/>
                            <w:szCs w:val="21"/>
                          </w:rPr>
                          <w:t>商会议第十、十一届全国委员会委员、中华全国工商业联合会常</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4"/>
                            <w:sz w:val="21"/>
                            <w:szCs w:val="21"/>
                          </w:rPr>
                          <w:t>委、中华全国工商业联合会副主席、江苏省第十一届人民代表大</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会代表，现任苏宁云商集团股份有限公司董事长、中国人民政治</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协商会议第十二届全国委员会委员、中国民间商会副会长、中国</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上市公司协会副会长。</w:t>
                        </w: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75"/>
                            <w:sz w:val="21"/>
                            <w:szCs w:val="21"/>
                          </w:rPr>
                          <w:t> </w:t>
                        </w:r>
                        <w:r>
                          <w:rPr>
                            <w:rFonts w:ascii="宋体" w:hAnsi="宋体" w:cs="宋体" w:eastAsia="宋体" w:hint="default"/>
                            <w:sz w:val="21"/>
                            <w:szCs w:val="21"/>
                          </w:rPr>
                          <w:t>10</w:t>
                        </w:r>
                        <w:r>
                          <w:rPr>
                            <w:rFonts w:ascii="宋体" w:hAnsi="宋体" w:cs="宋体" w:eastAsia="宋体" w:hint="default"/>
                            <w:spacing w:val="-76"/>
                            <w:sz w:val="21"/>
                            <w:szCs w:val="21"/>
                          </w:rPr>
                          <w:t> </w:t>
                        </w:r>
                        <w:r>
                          <w:rPr>
                            <w:rFonts w:ascii="宋体" w:hAnsi="宋体" w:cs="宋体" w:eastAsia="宋体" w:hint="default"/>
                            <w:sz w:val="21"/>
                            <w:szCs w:val="21"/>
                          </w:rPr>
                          <w:t>年曾控股的境内外上市公司情况</w:t>
                        </w:r>
                      </w:p>
                    </w:tc>
                    <w:tc>
                      <w:tcPr>
                        <w:tcW w:w="5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100"/>
          <w:sz w:val="21"/>
          <w:szCs w:val="21"/>
        </w:rPr>
        <w:t> </w:t>
      </w:r>
      <w:r>
        <w:rPr>
          <w:rFonts w:ascii="宋体" w:hAnsi="宋体" w:cs="宋体" w:eastAsia="宋体" w:hint="default"/>
          <w:sz w:val="21"/>
          <w:szCs w:val="21"/>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before="36"/>
        <w:ind w:right="982"/>
        <w:jc w:val="left"/>
      </w:pPr>
      <w:r>
        <w:rPr/>
        <w:t>报告期控股股东变更</w:t>
      </w:r>
    </w:p>
    <w:p>
      <w:pPr>
        <w:spacing w:line="525" w:lineRule="auto" w:before="78"/>
        <w:ind w:left="152" w:right="8541" w:firstLine="0"/>
        <w:jc w:val="left"/>
        <w:rPr>
          <w:rFonts w:ascii="宋体" w:hAnsi="宋体" w:cs="宋体" w:eastAsia="宋体" w:hint="default"/>
          <w:sz w:val="21"/>
          <w:szCs w:val="21"/>
        </w:rPr>
      </w:pPr>
      <w:r>
        <w:rPr/>
        <w:pict>
          <v:shape style="position:absolute;margin-left:56.459999pt;margin-top:83.963684pt;width:479.2pt;height:142.950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6"/>
                    <w:gridCol w:w="1707"/>
                    <w:gridCol w:w="4177"/>
                  </w:tblGrid>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03"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张近东</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88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年内的职业及职务</w:t>
                        </w:r>
                      </w:p>
                    </w:tc>
                    <w:tc>
                      <w:tcPr>
                        <w:tcW w:w="5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both"/>
                          <w:rPr>
                            <w:rFonts w:ascii="宋体" w:hAnsi="宋体" w:cs="宋体" w:eastAsia="宋体" w:hint="default"/>
                            <w:sz w:val="21"/>
                            <w:szCs w:val="21"/>
                          </w:rPr>
                        </w:pPr>
                        <w:r>
                          <w:rPr>
                            <w:rFonts w:ascii="宋体" w:hAnsi="宋体" w:cs="宋体" w:eastAsia="宋体" w:hint="default"/>
                            <w:spacing w:val="-4"/>
                            <w:sz w:val="21"/>
                            <w:szCs w:val="21"/>
                          </w:rPr>
                          <w:t>曾任江苏苏宁交家电有限公司董事长兼总经理、中国人民政治协</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4"/>
                            <w:sz w:val="21"/>
                            <w:szCs w:val="21"/>
                          </w:rPr>
                          <w:t>商会议第十、十一届全国委员会委员、中华全国工商业联合会常</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4"/>
                            <w:sz w:val="21"/>
                            <w:szCs w:val="21"/>
                          </w:rPr>
                          <w:t>委、中华全国工商业联合会副主席、江苏省第十一届人民代表大</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会代表，现任苏宁云商集团股份有限公司董事长、中国人民政治</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协商会议第十二届全国委员会委员、中国民间商会副会长、中国</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上市公司协会副会长。</w:t>
                        </w:r>
                      </w:p>
                    </w:tc>
                  </w:tr>
                  <w:tr>
                    <w:trPr>
                      <w:trHeight w:val="324"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75"/>
                            <w:sz w:val="21"/>
                            <w:szCs w:val="21"/>
                          </w:rPr>
                          <w:t> </w:t>
                        </w:r>
                        <w:r>
                          <w:rPr>
                            <w:rFonts w:ascii="宋体" w:hAnsi="宋体" w:cs="宋体" w:eastAsia="宋体" w:hint="default"/>
                            <w:sz w:val="21"/>
                            <w:szCs w:val="21"/>
                          </w:rPr>
                          <w:t>10</w:t>
                        </w:r>
                        <w:r>
                          <w:rPr>
                            <w:rFonts w:ascii="宋体" w:hAnsi="宋体" w:cs="宋体" w:eastAsia="宋体" w:hint="default"/>
                            <w:spacing w:val="-76"/>
                            <w:sz w:val="21"/>
                            <w:szCs w:val="21"/>
                          </w:rPr>
                          <w:t> </w:t>
                        </w:r>
                        <w:r>
                          <w:rPr>
                            <w:rFonts w:ascii="宋体" w:hAnsi="宋体" w:cs="宋体" w:eastAsia="宋体" w:hint="default"/>
                            <w:sz w:val="21"/>
                            <w:szCs w:val="21"/>
                          </w:rPr>
                          <w:t>年曾控股的境内外上市公司情况</w:t>
                        </w:r>
                      </w:p>
                    </w:tc>
                    <w:tc>
                      <w:tcPr>
                        <w:tcW w:w="5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r>
        <w:rPr>
          <w:rFonts w:ascii="宋体" w:hAnsi="宋体" w:cs="宋体" w:eastAsia="宋体" w:hint="default"/>
          <w:sz w:val="21"/>
          <w:szCs w:val="21"/>
        </w:rPr>
        <w:t>□ 适用 √ 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21"/>
          <w:szCs w:val="21"/>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240" w:lineRule="auto" w:before="36"/>
        <w:ind w:right="982"/>
        <w:jc w:val="left"/>
      </w:pPr>
      <w:r>
        <w:rPr/>
        <w:t>报告期实际控制人变更</w:t>
      </w:r>
    </w:p>
    <w:p>
      <w:pPr>
        <w:pStyle w:val="BodyText"/>
        <w:spacing w:line="307" w:lineRule="auto" w:before="78"/>
        <w:ind w:right="5937"/>
        <w:jc w:val="left"/>
      </w:pPr>
      <w:r>
        <w:rPr/>
        <w:pict>
          <v:shape style="position:absolute;margin-left:138.600006pt;margin-top:53.273659pt;width:318pt;height:129pt;mso-position-horizontal-relative:page;mso-position-vertical-relative:paragraph;z-index:2248" type="#_x0000_t75" stroked="false">
            <v:imagedata r:id="rId41" o:title=""/>
          </v:shape>
        </w:pict>
      </w:r>
      <w:r>
        <w:rPr/>
        <w:t>□ 适用 √ 不适用</w:t>
      </w:r>
      <w:r>
        <w:rPr>
          <w:spacing w:val="-104"/>
        </w:rPr>
        <w:t> </w:t>
      </w:r>
      <w:r>
        <w:rPr>
          <w:spacing w:val="-104"/>
        </w:rPr>
      </w:r>
      <w:r>
        <w:rPr>
          <w:spacing w:val="-2"/>
        </w:rPr>
        <w:t>公司与实际控制人之间的产权及控制关系的方框图：</w:t>
      </w:r>
    </w:p>
    <w:p>
      <w:pPr>
        <w:spacing w:after="0" w:line="307" w:lineRule="auto"/>
        <w:jc w:val="left"/>
        <w:sectPr>
          <w:headerReference w:type="default" r:id="rId39"/>
          <w:footerReference w:type="default" r:id="rId40"/>
          <w:pgSz w:w="11910" w:h="16840"/>
          <w:pgMar w:header="877" w:footer="1340" w:top="1100" w:bottom="1540" w:left="980" w:right="0"/>
          <w:pgNumType w:start="72"/>
        </w:sectPr>
      </w:pPr>
    </w:p>
    <w:p>
      <w:pPr>
        <w:spacing w:line="240" w:lineRule="auto" w:before="0"/>
        <w:rPr>
          <w:rFonts w:ascii="宋体" w:hAnsi="宋体" w:cs="宋体" w:eastAsia="宋体" w:hint="default"/>
          <w:sz w:val="21"/>
          <w:szCs w:val="21"/>
        </w:rPr>
      </w:pPr>
    </w:p>
    <w:p>
      <w:pPr>
        <w:pStyle w:val="BodyText"/>
        <w:spacing w:line="240" w:lineRule="auto" w:before="36"/>
        <w:ind w:right="982"/>
        <w:jc w:val="left"/>
      </w:pPr>
      <w:r>
        <w:rPr/>
        <w:t>实际控制人通过信托或其他资产管理方式控制公司</w:t>
      </w:r>
    </w:p>
    <w:p>
      <w:pPr>
        <w:spacing w:line="240" w:lineRule="auto" w:before="12"/>
        <w:rPr>
          <w:rFonts w:ascii="宋体" w:hAnsi="宋体" w:cs="宋体" w:eastAsia="宋体" w:hint="default"/>
          <w:sz w:val="17"/>
          <w:szCs w:val="17"/>
        </w:rPr>
      </w:pPr>
    </w:p>
    <w:p>
      <w:pPr>
        <w:pStyle w:val="BodyText"/>
        <w:spacing w:line="240" w:lineRule="auto" w:before="0"/>
        <w:ind w:right="982"/>
        <w:jc w:val="left"/>
      </w:pPr>
      <w:r>
        <w:rPr/>
        <w:t>□ 适用 √</w:t>
      </w:r>
      <w:r>
        <w:rPr>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2"/>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340" w:top="1100" w:bottom="1540" w:left="980" w:right="0"/>
        </w:sectPr>
      </w:pPr>
    </w:p>
    <w:p>
      <w:pPr>
        <w:spacing w:line="240" w:lineRule="auto" w:before="8"/>
        <w:rPr>
          <w:rFonts w:ascii="宋体" w:hAnsi="宋体" w:cs="宋体" w:eastAsia="宋体" w:hint="default"/>
          <w:b/>
          <w:bCs/>
          <w:sz w:val="26"/>
          <w:szCs w:val="26"/>
        </w:rPr>
      </w:pPr>
    </w:p>
    <w:p>
      <w:pPr>
        <w:pStyle w:val="BodyText"/>
        <w:spacing w:line="240" w:lineRule="auto" w:before="0"/>
        <w:ind w:left="434" w:right="-1"/>
        <w:jc w:val="left"/>
      </w:pPr>
      <w:r>
        <w:rPr/>
        <w:t>法人股东名称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20" w:lineRule="exact" w:before="0"/>
        <w:ind w:right="-1"/>
        <w:jc w:val="left"/>
      </w:pPr>
      <w:r>
        <w:rPr>
          <w:spacing w:val="-2"/>
        </w:rPr>
        <w:t>苏宁电器集团有限</w:t>
      </w:r>
    </w:p>
    <w:p>
      <w:pPr>
        <w:pStyle w:val="BodyText"/>
        <w:spacing w:line="273" w:lineRule="auto" w:before="36"/>
        <w:ind w:left="205" w:right="0" w:hanging="53"/>
        <w:jc w:val="both"/>
      </w:pPr>
      <w:r>
        <w:rPr>
          <w:spacing w:val="-1"/>
        </w:rPr>
        <w:br w:type="column"/>
      </w:r>
      <w:r>
        <w:rPr>
          <w:spacing w:val="-1"/>
        </w:rPr>
        <w:t>法定代表</w:t>
      </w:r>
      <w:r>
        <w:rPr>
          <w:spacing w:val="-100"/>
        </w:rPr>
        <w:t> </w:t>
      </w:r>
      <w:r>
        <w:rPr>
          <w:spacing w:val="-100"/>
        </w:rPr>
      </w:r>
      <w:r>
        <w:rPr/>
        <w:t>人</w:t>
      </w:r>
      <w:r>
        <w:rPr>
          <w:rFonts w:ascii="宋体" w:hAnsi="宋体" w:cs="宋体" w:eastAsia="宋体" w:hint="default"/>
        </w:rPr>
        <w:t>/</w:t>
      </w:r>
      <w:r>
        <w:rPr/>
        <w:t>单位</w:t>
      </w:r>
      <w:r>
        <w:rPr>
          <w:spacing w:val="-3"/>
          <w:w w:val="100"/>
        </w:rPr>
        <w:t> </w:t>
      </w:r>
      <w:r>
        <w:rPr/>
        <w:t>负责人</w:t>
      </w:r>
    </w:p>
    <w:p>
      <w:pPr>
        <w:spacing w:line="240" w:lineRule="auto" w:before="8"/>
        <w:rPr>
          <w:rFonts w:ascii="宋体" w:hAnsi="宋体" w:cs="宋体" w:eastAsia="宋体" w:hint="default"/>
          <w:sz w:val="26"/>
          <w:szCs w:val="26"/>
        </w:rPr>
      </w:pPr>
      <w:r>
        <w:rPr/>
        <w:br w:type="column"/>
      </w:r>
      <w:r>
        <w:rPr>
          <w:rFonts w:ascii="宋体"/>
          <w:sz w:val="26"/>
        </w:rPr>
      </w:r>
    </w:p>
    <w:p>
      <w:pPr>
        <w:pStyle w:val="BodyText"/>
        <w:spacing w:line="240" w:lineRule="auto" w:before="0"/>
        <w:ind w:left="106" w:right="-17"/>
        <w:jc w:val="left"/>
      </w:pPr>
      <w:r>
        <w:rPr/>
        <w:t>成立日期</w:t>
      </w:r>
      <w:r>
        <w:rPr>
          <w:spacing w:val="49"/>
        </w:rPr>
        <w:t> </w:t>
      </w:r>
      <w:r>
        <w:rPr/>
        <w:t>组织机构代码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20" w:lineRule="exact" w:before="0"/>
        <w:ind w:left="61" w:right="-17"/>
        <w:jc w:val="left"/>
        <w:rPr>
          <w:rFonts w:ascii="宋体" w:hAnsi="宋体" w:cs="宋体" w:eastAsia="宋体" w:hint="default"/>
        </w:rPr>
      </w:pPr>
      <w:r>
        <w:rPr>
          <w:rFonts w:ascii="宋体" w:hAnsi="宋体" w:cs="宋体" w:eastAsia="宋体" w:hint="default"/>
        </w:rPr>
        <w:t>1999</w:t>
      </w:r>
      <w:r>
        <w:rPr>
          <w:rFonts w:ascii="宋体" w:hAnsi="宋体" w:cs="宋体" w:eastAsia="宋体" w:hint="default"/>
          <w:spacing w:val="-58"/>
        </w:rPr>
        <w:t> </w:t>
      </w:r>
      <w:r>
        <w:rPr/>
        <w:t>年</w:t>
      </w:r>
      <w:r>
        <w:rPr>
          <w:spacing w:val="-58"/>
        </w:rPr>
        <w:t> </w:t>
      </w:r>
      <w:r>
        <w:rPr>
          <w:rFonts w:ascii="宋体" w:hAnsi="宋体" w:cs="宋体" w:eastAsia="宋体" w:hint="default"/>
        </w:rPr>
        <w:t>11</w:t>
      </w:r>
    </w:p>
    <w:p>
      <w:pPr>
        <w:spacing w:line="240" w:lineRule="auto" w:before="9"/>
        <w:rPr>
          <w:rFonts w:ascii="宋体" w:hAnsi="宋体" w:cs="宋体" w:eastAsia="宋体" w:hint="default"/>
          <w:sz w:val="14"/>
          <w:szCs w:val="14"/>
        </w:rPr>
      </w:pPr>
      <w:r>
        <w:rPr/>
        <w:br w:type="column"/>
      </w:r>
      <w:r>
        <w:rPr>
          <w:rFonts w:ascii="宋体"/>
          <w:sz w:val="14"/>
        </w:rPr>
      </w:r>
    </w:p>
    <w:p>
      <w:pPr>
        <w:pStyle w:val="BodyText"/>
        <w:spacing w:line="240" w:lineRule="auto" w:before="0"/>
        <w:ind w:right="-13"/>
        <w:jc w:val="left"/>
      </w:pPr>
      <w:r>
        <w:rPr>
          <w:spacing w:val="-1"/>
        </w:rPr>
        <w:t>注册资本</w:t>
      </w:r>
    </w:p>
    <w:p>
      <w:pPr>
        <w:pStyle w:val="BodyText"/>
        <w:spacing w:line="240" w:lineRule="auto" w:before="37"/>
        <w:ind w:right="-9"/>
        <w:jc w:val="left"/>
      </w:pPr>
      <w:r>
        <w:rPr>
          <w:spacing w:val="-2"/>
        </w:rPr>
        <w:t>（万元）</w:t>
      </w:r>
      <w:r>
        <w:rPr/>
      </w:r>
    </w:p>
    <w:p>
      <w:pPr>
        <w:spacing w:line="240" w:lineRule="auto" w:before="8"/>
        <w:rPr>
          <w:rFonts w:ascii="宋体" w:hAnsi="宋体" w:cs="宋体" w:eastAsia="宋体" w:hint="default"/>
          <w:sz w:val="26"/>
          <w:szCs w:val="26"/>
        </w:rPr>
      </w:pPr>
      <w:r>
        <w:rPr/>
        <w:br w:type="column"/>
      </w:r>
      <w:r>
        <w:rPr>
          <w:rFonts w:ascii="宋体"/>
          <w:sz w:val="26"/>
        </w:rPr>
      </w:r>
    </w:p>
    <w:p>
      <w:pPr>
        <w:pStyle w:val="BodyText"/>
        <w:spacing w:line="240" w:lineRule="auto" w:before="0"/>
        <w:ind w:left="106" w:right="0" w:firstLine="472"/>
        <w:jc w:val="left"/>
      </w:pPr>
      <w:r>
        <w:rPr/>
        <w:t>主要经营业务或管理活动</w:t>
      </w:r>
    </w:p>
    <w:p>
      <w:pPr>
        <w:spacing w:line="240" w:lineRule="auto" w:before="5"/>
        <w:rPr>
          <w:rFonts w:ascii="宋体" w:hAnsi="宋体" w:cs="宋体" w:eastAsia="宋体" w:hint="default"/>
          <w:sz w:val="27"/>
          <w:szCs w:val="27"/>
        </w:rPr>
      </w:pPr>
    </w:p>
    <w:p>
      <w:pPr>
        <w:pStyle w:val="BodyText"/>
        <w:spacing w:line="273" w:lineRule="auto" w:before="0"/>
        <w:ind w:left="106" w:right="0"/>
        <w:jc w:val="left"/>
      </w:pPr>
      <w:r>
        <w:rPr>
          <w:spacing w:val="-8"/>
        </w:rPr>
        <w:t>许可经营项目：中、西餐制售，音像</w:t>
      </w:r>
      <w:r>
        <w:rPr>
          <w:spacing w:val="-80"/>
        </w:rPr>
        <w:t> </w:t>
      </w:r>
      <w:r>
        <w:rPr>
          <w:spacing w:val="-80"/>
        </w:rPr>
      </w:r>
      <w:r>
        <w:rPr>
          <w:spacing w:val="-8"/>
        </w:rPr>
        <w:t>制品零售，茶座，卷烟、烟丝、雪茄</w:t>
      </w:r>
      <w:r>
        <w:rPr>
          <w:spacing w:val="-81"/>
        </w:rPr>
        <w:t> </w:t>
      </w:r>
      <w:r>
        <w:rPr>
          <w:spacing w:val="-81"/>
        </w:rPr>
      </w:r>
      <w:r>
        <w:rPr>
          <w:spacing w:val="-8"/>
        </w:rPr>
        <w:t>烟零售，国内版图书、期刊零售，零</w:t>
      </w:r>
      <w:r>
        <w:rPr>
          <w:spacing w:val="-79"/>
        </w:rPr>
        <w:t> </w:t>
      </w:r>
      <w:r>
        <w:rPr>
          <w:spacing w:val="-79"/>
        </w:rPr>
      </w:r>
      <w:r>
        <w:rPr>
          <w:spacing w:val="-2"/>
        </w:rPr>
        <w:t>售各类定型包装食品、饮料、酒类，</w:t>
      </w:r>
      <w:r>
        <w:rPr>
          <w:spacing w:val="-72"/>
        </w:rPr>
        <w:t> </w:t>
      </w:r>
      <w:r>
        <w:rPr>
          <w:spacing w:val="-72"/>
        </w:rPr>
      </w:r>
      <w:r>
        <w:rPr>
          <w:spacing w:val="-14"/>
        </w:rPr>
        <w:t>住宿，酒吧，洗浴，游泳，电讯服务。</w:t>
      </w:r>
    </w:p>
    <w:p>
      <w:pPr>
        <w:pStyle w:val="BodyText"/>
        <w:spacing w:line="273" w:lineRule="auto" w:before="7"/>
        <w:ind w:left="106" w:right="1047"/>
        <w:jc w:val="both"/>
      </w:pPr>
      <w:r>
        <w:rPr>
          <w:spacing w:val="-8"/>
          <w:w w:val="100"/>
        </w:rPr>
        <w:t>（限指定的分支机构经营）一般经营</w:t>
      </w:r>
      <w:r>
        <w:rPr>
          <w:spacing w:val="-99"/>
          <w:w w:val="100"/>
        </w:rPr>
        <w:t> </w:t>
      </w:r>
      <w:r>
        <w:rPr>
          <w:spacing w:val="-99"/>
          <w:w w:val="100"/>
        </w:rPr>
      </w:r>
      <w:r>
        <w:rPr>
          <w:spacing w:val="-8"/>
        </w:rPr>
        <w:t>项目：家用电器及配件的制造、销售</w:t>
      </w:r>
      <w:r>
        <w:rPr>
          <w:spacing w:val="-84"/>
        </w:rPr>
        <w:t> </w:t>
      </w:r>
      <w:r>
        <w:rPr>
          <w:spacing w:val="-84"/>
        </w:rPr>
      </w:r>
      <w:r>
        <w:rPr>
          <w:spacing w:val="-8"/>
        </w:rPr>
        <w:t>及售后服务，汽车专用照明电器、电</w:t>
      </w:r>
      <w:r>
        <w:rPr>
          <w:spacing w:val="-82"/>
        </w:rPr>
        <w:t> </w:t>
      </w:r>
      <w:r>
        <w:rPr>
          <w:spacing w:val="-82"/>
        </w:rPr>
      </w:r>
      <w:r>
        <w:rPr>
          <w:spacing w:val="-8"/>
          <w:w w:val="100"/>
        </w:rPr>
        <w:t>子元件、电工器材和电气信号设备加</w:t>
      </w:r>
      <w:r>
        <w:rPr>
          <w:spacing w:val="-99"/>
          <w:w w:val="100"/>
        </w:rPr>
        <w:t> </w:t>
      </w:r>
      <w:r>
        <w:rPr>
          <w:spacing w:val="-99"/>
          <w:w w:val="100"/>
        </w:rPr>
      </w:r>
      <w:r>
        <w:rPr>
          <w:spacing w:val="-14"/>
        </w:rPr>
        <w:t>工制造，房屋租赁、维修，物业管理，</w:t>
      </w:r>
    </w:p>
    <w:p>
      <w:pPr>
        <w:spacing w:after="0" w:line="273" w:lineRule="auto"/>
        <w:jc w:val="both"/>
        <w:sectPr>
          <w:type w:val="continuous"/>
          <w:pgSz w:w="11910" w:h="16840"/>
          <w:pgMar w:top="1060" w:bottom="1540" w:left="980" w:right="0"/>
          <w:cols w:num="5" w:equalWidth="0">
            <w:col w:w="1836" w:space="92"/>
            <w:col w:w="996" w:space="40"/>
            <w:col w:w="2364" w:space="41"/>
            <w:col w:w="996" w:space="40"/>
            <w:col w:w="4525"/>
          </w:cols>
        </w:sectPr>
      </w:pPr>
    </w:p>
    <w:p>
      <w:pPr>
        <w:pStyle w:val="BodyText"/>
        <w:spacing w:line="152" w:lineRule="exact" w:before="0"/>
        <w:ind w:left="0" w:right="0"/>
        <w:jc w:val="right"/>
      </w:pPr>
      <w:r>
        <w:rPr/>
        <w:t>马晓咏</w:t>
      </w:r>
    </w:p>
    <w:p>
      <w:pPr>
        <w:pStyle w:val="BodyText"/>
        <w:spacing w:line="215" w:lineRule="exact" w:before="0"/>
        <w:ind w:right="0"/>
        <w:jc w:val="left"/>
      </w:pPr>
      <w:r>
        <w:rPr/>
        <w:t>公司</w:t>
      </w:r>
    </w:p>
    <w:p>
      <w:pPr>
        <w:pStyle w:val="BodyText"/>
        <w:spacing w:line="240" w:lineRule="auto" w:before="92"/>
        <w:ind w:right="-17"/>
        <w:jc w:val="left"/>
      </w:pPr>
      <w:r>
        <w:rPr/>
        <w:br w:type="column"/>
      </w:r>
      <w:r>
        <w:rPr/>
        <w:t>月</w:t>
      </w:r>
      <w:r>
        <w:rPr>
          <w:spacing w:val="-52"/>
        </w:rPr>
        <w:t> </w:t>
      </w:r>
      <w:r>
        <w:rPr>
          <w:rFonts w:ascii="宋体" w:hAnsi="宋体" w:cs="宋体" w:eastAsia="宋体" w:hint="default"/>
        </w:rPr>
        <w:t>24</w:t>
      </w:r>
      <w:r>
        <w:rPr>
          <w:rFonts w:ascii="宋体" w:hAnsi="宋体" w:cs="宋体" w:eastAsia="宋体" w:hint="default"/>
          <w:spacing w:val="-54"/>
        </w:rPr>
        <w:t> </w:t>
      </w:r>
      <w:r>
        <w:rPr/>
        <w:t>日</w:t>
      </w:r>
    </w:p>
    <w:p>
      <w:pPr>
        <w:pStyle w:val="BodyText"/>
        <w:tabs>
          <w:tab w:pos="1650" w:val="left" w:leader="none"/>
        </w:tabs>
        <w:spacing w:line="211" w:lineRule="exact" w:before="0"/>
        <w:ind w:right="0"/>
        <w:jc w:val="left"/>
      </w:pPr>
      <w:r>
        <w:rPr/>
        <w:br w:type="column"/>
      </w:r>
      <w:r>
        <w:rPr>
          <w:rFonts w:ascii="宋体" w:hAnsi="宋体" w:cs="宋体" w:eastAsia="宋体" w:hint="default"/>
          <w:w w:val="100"/>
        </w:rPr>
        <w:t>71409</w:t>
      </w:r>
      <w:r>
        <w:rPr>
          <w:rFonts w:ascii="宋体" w:hAnsi="宋体" w:cs="宋体" w:eastAsia="宋体" w:hint="default"/>
          <w:spacing w:val="-3"/>
          <w:w w:val="100"/>
        </w:rPr>
        <w:t>2</w:t>
      </w:r>
      <w:r>
        <w:rPr>
          <w:rFonts w:ascii="宋体" w:hAnsi="宋体" w:cs="宋体" w:eastAsia="宋体" w:hint="default"/>
          <w:w w:val="100"/>
        </w:rPr>
        <w:t>1</w:t>
      </w:r>
      <w:r>
        <w:rPr>
          <w:rFonts w:ascii="宋体" w:hAnsi="宋体" w:cs="宋体" w:eastAsia="宋体" w:hint="default"/>
          <w:spacing w:val="-1"/>
          <w:w w:val="100"/>
        </w:rPr>
        <w:t>0</w:t>
      </w:r>
      <w:r>
        <w:rPr>
          <w:rFonts w:ascii="宋体" w:hAnsi="宋体" w:cs="宋体" w:eastAsia="宋体" w:hint="default"/>
          <w:w w:val="100"/>
        </w:rPr>
        <w:t>-3</w:t>
      </w:r>
      <w:r>
        <w:rPr>
          <w:rFonts w:ascii="宋体" w:hAnsi="宋体" w:cs="宋体" w:eastAsia="宋体" w:hint="default"/>
        </w:rPr>
        <w:tab/>
      </w:r>
      <w:r>
        <w:rPr>
          <w:rFonts w:ascii="宋体" w:hAnsi="宋体" w:cs="宋体" w:eastAsia="宋体" w:hint="default"/>
          <w:w w:val="100"/>
        </w:rPr>
        <w:t>20,000</w:t>
      </w:r>
      <w:r>
        <w:rPr>
          <w:rFonts w:ascii="宋体" w:hAnsi="宋体" w:cs="宋体" w:eastAsia="宋体" w:hint="default"/>
          <w:spacing w:val="-50"/>
        </w:rPr>
        <w:t> </w:t>
      </w:r>
      <w:r>
        <w:rPr>
          <w:w w:val="100"/>
        </w:rPr>
        <w:t>室内</w:t>
      </w:r>
      <w:r>
        <w:rPr>
          <w:spacing w:val="-3"/>
          <w:w w:val="100"/>
        </w:rPr>
        <w:t>装饰</w:t>
      </w:r>
      <w:r>
        <w:rPr>
          <w:spacing w:val="-104"/>
          <w:w w:val="100"/>
        </w:rPr>
        <w:t>，</w:t>
      </w:r>
      <w:r>
        <w:rPr>
          <w:spacing w:val="-3"/>
          <w:w w:val="100"/>
        </w:rPr>
        <w:t>园</w:t>
      </w:r>
      <w:r>
        <w:rPr>
          <w:w w:val="100"/>
        </w:rPr>
        <w:t>林</w:t>
      </w:r>
      <w:r>
        <w:rPr>
          <w:spacing w:val="-3"/>
          <w:w w:val="100"/>
        </w:rPr>
        <w:t>绿</w:t>
      </w:r>
      <w:r>
        <w:rPr>
          <w:w w:val="100"/>
        </w:rPr>
        <w:t>化</w:t>
      </w:r>
      <w:r>
        <w:rPr>
          <w:spacing w:val="-106"/>
          <w:w w:val="100"/>
        </w:rPr>
        <w:t>，</w:t>
      </w:r>
      <w:r>
        <w:rPr>
          <w:w w:val="100"/>
        </w:rPr>
        <w:t>经</w:t>
      </w:r>
      <w:r>
        <w:rPr>
          <w:spacing w:val="-3"/>
          <w:w w:val="100"/>
        </w:rPr>
        <w:t>济</w:t>
      </w:r>
      <w:r>
        <w:rPr>
          <w:w w:val="100"/>
        </w:rPr>
        <w:t>信息</w:t>
      </w:r>
      <w:r>
        <w:rPr>
          <w:spacing w:val="-3"/>
          <w:w w:val="100"/>
        </w:rPr>
        <w:t>咨</w:t>
      </w:r>
      <w:r>
        <w:rPr>
          <w:w w:val="100"/>
        </w:rPr>
        <w:t>询，</w:t>
      </w:r>
    </w:p>
    <w:p>
      <w:pPr>
        <w:pStyle w:val="BodyText"/>
        <w:spacing w:line="273" w:lineRule="auto" w:before="37"/>
        <w:ind w:left="2339" w:right="1045"/>
        <w:jc w:val="left"/>
      </w:pPr>
      <w:r>
        <w:rPr>
          <w:spacing w:val="-8"/>
        </w:rPr>
        <w:t>实业投资，酒店管理，汽车出租，健</w:t>
      </w:r>
      <w:r>
        <w:rPr>
          <w:spacing w:val="-80"/>
        </w:rPr>
        <w:t> </w:t>
      </w:r>
      <w:r>
        <w:rPr>
          <w:spacing w:val="-80"/>
        </w:rPr>
      </w:r>
      <w:r>
        <w:rPr>
          <w:spacing w:val="-8"/>
        </w:rPr>
        <w:t>身服务，票务服务，停车场服务，百</w:t>
      </w:r>
      <w:r>
        <w:rPr>
          <w:spacing w:val="-80"/>
        </w:rPr>
        <w:t> </w:t>
      </w:r>
      <w:r>
        <w:rPr>
          <w:spacing w:val="-80"/>
        </w:rPr>
      </w:r>
      <w:r>
        <w:rPr>
          <w:spacing w:val="-2"/>
        </w:rPr>
        <w:t>货、黄金、珠宝玉器、工艺美术品、</w:t>
      </w:r>
      <w:r>
        <w:rPr>
          <w:spacing w:val="-72"/>
        </w:rPr>
        <w:t> </w:t>
      </w:r>
      <w:r>
        <w:rPr>
          <w:spacing w:val="-72"/>
        </w:rPr>
      </w:r>
      <w:r>
        <w:rPr>
          <w:spacing w:val="-8"/>
        </w:rPr>
        <w:t>鲜花、国产及进口化妆品、电梯、机</w:t>
      </w:r>
      <w:r>
        <w:rPr>
          <w:spacing w:val="-80"/>
        </w:rPr>
        <w:t> </w:t>
      </w:r>
      <w:r>
        <w:rPr>
          <w:spacing w:val="-80"/>
        </w:rPr>
      </w:r>
      <w:r>
        <w:rPr>
          <w:spacing w:val="-14"/>
          <w:w w:val="100"/>
        </w:rPr>
        <w:t>电产品、建筑工程设备、计算机设备、</w:t>
      </w:r>
      <w:r>
        <w:rPr>
          <w:spacing w:val="-96"/>
          <w:w w:val="100"/>
        </w:rPr>
        <w:t> </w:t>
      </w:r>
      <w:r>
        <w:rPr>
          <w:spacing w:val="-96"/>
          <w:w w:val="100"/>
        </w:rPr>
      </w:r>
      <w:r>
        <w:rPr>
          <w:spacing w:val="-2"/>
        </w:rPr>
        <w:t>办公设备的销售，洗衣服务，柜台、</w:t>
      </w:r>
      <w:r>
        <w:rPr>
          <w:spacing w:val="-72"/>
        </w:rPr>
        <w:t> </w:t>
      </w:r>
      <w:r>
        <w:rPr>
          <w:spacing w:val="-72"/>
        </w:rPr>
      </w:r>
      <w:r>
        <w:rPr>
          <w:spacing w:val="-8"/>
        </w:rPr>
        <w:t>场地租赁，国内商品展示服务，企业</w:t>
      </w:r>
      <w:r>
        <w:rPr>
          <w:spacing w:val="-84"/>
        </w:rPr>
        <w:t> </w:t>
      </w:r>
      <w:r>
        <w:rPr>
          <w:spacing w:val="-84"/>
        </w:rPr>
      </w:r>
      <w:r>
        <w:rPr>
          <w:spacing w:val="-8"/>
        </w:rPr>
        <w:t>形象策划，人才培训，自营和代理各</w:t>
      </w:r>
      <w:r>
        <w:rPr>
          <w:spacing w:val="-80"/>
        </w:rPr>
        <w:t> </w:t>
      </w:r>
      <w:r>
        <w:rPr>
          <w:spacing w:val="-80"/>
        </w:rPr>
      </w:r>
      <w:r>
        <w:rPr>
          <w:spacing w:val="-8"/>
          <w:w w:val="100"/>
        </w:rPr>
        <w:t>类商品及技术的进出口业务，计算机</w:t>
      </w:r>
      <w:r>
        <w:rPr>
          <w:spacing w:val="-100"/>
          <w:w w:val="100"/>
        </w:rPr>
        <w:t> </w:t>
      </w:r>
      <w:r>
        <w:rPr>
          <w:spacing w:val="-100"/>
          <w:w w:val="100"/>
        </w:rPr>
      </w:r>
      <w:r>
        <w:rPr/>
        <w:t>软件开发、销售、系统集成。</w:t>
      </w:r>
    </w:p>
    <w:p>
      <w:pPr>
        <w:spacing w:after="0" w:line="273" w:lineRule="auto"/>
        <w:jc w:val="left"/>
        <w:sectPr>
          <w:type w:val="continuous"/>
          <w:pgSz w:w="11910" w:h="16840"/>
          <w:pgMar w:top="1060" w:bottom="1540" w:left="980" w:right="0"/>
          <w:cols w:num="3" w:equalWidth="0">
            <w:col w:w="2667" w:space="205"/>
            <w:col w:w="890" w:space="408"/>
            <w:col w:w="6760"/>
          </w:cols>
        </w:sectPr>
      </w:pPr>
    </w:p>
    <w:p>
      <w:pPr>
        <w:spacing w:line="240" w:lineRule="auto" w:before="1"/>
        <w:rPr>
          <w:rFonts w:ascii="宋体" w:hAnsi="宋体" w:cs="宋体" w:eastAsia="宋体" w:hint="default"/>
          <w:sz w:val="21"/>
          <w:szCs w:val="21"/>
        </w:rPr>
      </w:pPr>
    </w:p>
    <w:p>
      <w:pPr>
        <w:pStyle w:val="Heading2"/>
        <w:spacing w:line="240" w:lineRule="auto" w:before="26"/>
        <w:ind w:right="982"/>
        <w:jc w:val="left"/>
        <w:rPr>
          <w:b w:val="0"/>
          <w:bCs w:val="0"/>
        </w:rPr>
      </w:pPr>
      <w:r>
        <w:rPr/>
        <w:pict>
          <v:group style="position:absolute;margin-left:54.959999pt;margin-top:-388.414368pt;width:483.95pt;height:376.4pt;mso-position-horizontal-relative:page;mso-position-vertical-relative:paragraph;z-index:-1596856" coordorigin="1099,-7768" coordsize="9679,7528">
            <v:group style="position:absolute;left:1111;top:-7754;width:1868;height:312" coordorigin="1111,-7754" coordsize="1868,312">
              <v:shape style="position:absolute;left:1111;top:-7754;width:1868;height:312" coordorigin="1111,-7754" coordsize="1868,312" path="m1111,-7442l2979,-7442,2979,-7754,1111,-7754,1111,-7442xe" filled="true" fillcolor="#d2d2d2" stroked="false">
                <v:path arrowok="t"/>
                <v:fill type="solid"/>
              </v:shape>
            </v:group>
            <v:group style="position:absolute;left:1122;top:-7442;width:2;height:312" coordorigin="1122,-7442" coordsize="2,312">
              <v:shape style="position:absolute;left:1122;top:-7442;width:2;height:312" coordorigin="1122,-7442" coordsize="0,312" path="m1122,-7442l1122,-7130e" filled="false" stroked="true" strokeweight="1.08pt" strokecolor="#d2d2d2">
                <v:path arrowok="t"/>
              </v:shape>
            </v:group>
            <v:group style="position:absolute;left:2967;top:-7442;width:2;height:312" coordorigin="2967,-7442" coordsize="2,312">
              <v:shape style="position:absolute;left:2967;top:-7442;width:2;height:312" coordorigin="2967,-7442" coordsize="0,312" path="m2967,-7442l2967,-7130e" filled="false" stroked="true" strokeweight="1.2pt" strokecolor="#d2d2d2">
                <v:path arrowok="t"/>
              </v:shape>
            </v:group>
            <v:group style="position:absolute;left:1111;top:-7130;width:1868;height:312" coordorigin="1111,-7130" coordsize="1868,312">
              <v:shape style="position:absolute;left:1111;top:-7130;width:1868;height:312" coordorigin="1111,-7130" coordsize="1868,312" path="m1111,-6818l2979,-6818,2979,-7130,1111,-7130,1111,-6818xe" filled="true" fillcolor="#d2d2d2" stroked="false">
                <v:path arrowok="t"/>
                <v:fill type="solid"/>
              </v:shape>
            </v:group>
            <v:group style="position:absolute;left:1133;top:-7442;width:1823;height:312" coordorigin="1133,-7442" coordsize="1823,312">
              <v:shape style="position:absolute;left:1133;top:-7442;width:1823;height:312" coordorigin="1133,-7442" coordsize="1823,312" path="m1133,-7130l2955,-7130,2955,-7442,1133,-7442,1133,-7130xe" filled="true" fillcolor="#d2d2d2" stroked="false">
                <v:path arrowok="t"/>
                <v:fill type="solid"/>
              </v:shape>
            </v:group>
            <v:group style="position:absolute;left:3000;top:-7754;width:2;height:936" coordorigin="3000,-7754" coordsize="2,936">
              <v:shape style="position:absolute;left:3000;top:-7754;width:2;height:936" coordorigin="3000,-7754" coordsize="0,936" path="m3000,-7754l3000,-6818e" filled="false" stroked="true" strokeweight="1.2pt" strokecolor="#d2d2d2">
                <v:path arrowok="t"/>
              </v:shape>
            </v:group>
            <v:group style="position:absolute;left:3960;top:-7754;width:2;height:936" coordorigin="3960,-7754" coordsize="2,936">
              <v:shape style="position:absolute;left:3960;top:-7754;width:2;height:936" coordorigin="3960,-7754" coordsize="0,936" path="m3960,-7754l3960,-6818e" filled="false" stroked="true" strokeweight="1.08pt" strokecolor="#d2d2d2">
                <v:path arrowok="t"/>
              </v:shape>
            </v:group>
            <v:group style="position:absolute;left:3012;top:-7754;width:937;height:312" coordorigin="3012,-7754" coordsize="937,312">
              <v:shape style="position:absolute;left:3012;top:-7754;width:937;height:312" coordorigin="3012,-7754" coordsize="937,312" path="m3012,-7442l3949,-7442,3949,-7754,3012,-7754,3012,-7442xe" filled="true" fillcolor="#d2d2d2" stroked="false">
                <v:path arrowok="t"/>
                <v:fill type="solid"/>
              </v:shape>
            </v:group>
            <v:group style="position:absolute;left:3012;top:-7442;width:937;height:312" coordorigin="3012,-7442" coordsize="937,312">
              <v:shape style="position:absolute;left:3012;top:-7442;width:937;height:312" coordorigin="3012,-7442" coordsize="937,312" path="m3012,-7130l3949,-7130,3949,-7442,3012,-7442,3012,-7130xe" filled="true" fillcolor="#d2d2d2" stroked="false">
                <v:path arrowok="t"/>
                <v:fill type="solid"/>
              </v:shape>
            </v:group>
            <v:group style="position:absolute;left:3012;top:-7130;width:937;height:312" coordorigin="3012,-7130" coordsize="937,312">
              <v:shape style="position:absolute;left:3012;top:-7130;width:937;height:312" coordorigin="3012,-7130" coordsize="937,312" path="m3012,-6818l3949,-6818,3949,-7130,3012,-7130,3012,-6818xe" filled="true" fillcolor="#d2d2d2" stroked="false">
                <v:path arrowok="t"/>
                <v:fill type="solid"/>
              </v:shape>
            </v:group>
            <v:group style="position:absolute;left:3980;top:-7754;width:982;height:312" coordorigin="3980,-7754" coordsize="982,312">
              <v:shape style="position:absolute;left:3980;top:-7754;width:982;height:312" coordorigin="3980,-7754" coordsize="982,312" path="m3980,-7442l4962,-7442,4962,-7754,3980,-7754,3980,-7442xe" filled="true" fillcolor="#d2d2d2" stroked="false">
                <v:path arrowok="t"/>
                <v:fill type="solid"/>
              </v:shape>
            </v:group>
            <v:group style="position:absolute;left:3992;top:-7442;width:2;height:312" coordorigin="3992,-7442" coordsize="2,312">
              <v:shape style="position:absolute;left:3992;top:-7442;width:2;height:312" coordorigin="3992,-7442" coordsize="0,312" path="m3992,-7442l3992,-7130e" filled="false" stroked="true" strokeweight="1.2pt" strokecolor="#d2d2d2">
                <v:path arrowok="t"/>
              </v:shape>
            </v:group>
            <v:group style="position:absolute;left:4950;top:-7442;width:2;height:312" coordorigin="4950,-7442" coordsize="2,312">
              <v:shape style="position:absolute;left:4950;top:-7442;width:2;height:312" coordorigin="4950,-7442" coordsize="0,312" path="m4950,-7442l4950,-7130e" filled="false" stroked="true" strokeweight="1.2pt" strokecolor="#d2d2d2">
                <v:path arrowok="t"/>
              </v:shape>
            </v:group>
            <v:group style="position:absolute;left:3980;top:-7130;width:982;height:312" coordorigin="3980,-7130" coordsize="982,312">
              <v:shape style="position:absolute;left:3980;top:-7130;width:982;height:312" coordorigin="3980,-7130" coordsize="982,312" path="m3980,-6818l4962,-6818,4962,-7130,3980,-7130,3980,-6818xe" filled="true" fillcolor="#d2d2d2" stroked="false">
                <v:path arrowok="t"/>
                <v:fill type="solid"/>
              </v:shape>
            </v:group>
            <v:group style="position:absolute;left:4004;top:-7442;width:934;height:312" coordorigin="4004,-7442" coordsize="934,312">
              <v:shape style="position:absolute;left:4004;top:-7442;width:934;height:312" coordorigin="4004,-7442" coordsize="934,312" path="m4004,-7130l4938,-7130,4938,-7442,4004,-7442,4004,-7130xe" filled="true" fillcolor="#d2d2d2" stroked="false">
                <v:path arrowok="t"/>
                <v:fill type="solid"/>
              </v:shape>
            </v:group>
            <v:group style="position:absolute;left:4971;top:-7754;width:1407;height:312" coordorigin="4971,-7754" coordsize="1407,312">
              <v:shape style="position:absolute;left:4971;top:-7754;width:1407;height:312" coordorigin="4971,-7754" coordsize="1407,312" path="m4971,-7442l6378,-7442,6378,-7754,4971,-7754,4971,-7442xe" filled="true" fillcolor="#d2d2d2" stroked="false">
                <v:path arrowok="t"/>
                <v:fill type="solid"/>
              </v:shape>
            </v:group>
            <v:group style="position:absolute;left:4982;top:-7442;width:2;height:312" coordorigin="4982,-7442" coordsize="2,312">
              <v:shape style="position:absolute;left:4982;top:-7442;width:2;height:312" coordorigin="4982,-7442" coordsize="0,312" path="m4982,-7442l4982,-7130e" filled="false" stroked="true" strokeweight="1.08pt" strokecolor="#d2d2d2">
                <v:path arrowok="t"/>
              </v:shape>
            </v:group>
            <v:group style="position:absolute;left:6366;top:-7442;width:2;height:312" coordorigin="6366,-7442" coordsize="2,312">
              <v:shape style="position:absolute;left:6366;top:-7442;width:2;height:312" coordorigin="6366,-7442" coordsize="0,312" path="m6366,-7442l6366,-7130e" filled="false" stroked="true" strokeweight="1.2pt" strokecolor="#d2d2d2">
                <v:path arrowok="t"/>
              </v:shape>
            </v:group>
            <v:group style="position:absolute;left:4971;top:-7130;width:1407;height:312" coordorigin="4971,-7130" coordsize="1407,312">
              <v:shape style="position:absolute;left:4971;top:-7130;width:1407;height:312" coordorigin="4971,-7130" coordsize="1407,312" path="m4971,-6818l6378,-6818,6378,-7130,4971,-7130,4971,-6818xe" filled="true" fillcolor="#d2d2d2" stroked="false">
                <v:path arrowok="t"/>
                <v:fill type="solid"/>
              </v:shape>
            </v:group>
            <v:group style="position:absolute;left:4993;top:-7442;width:1362;height:312" coordorigin="4993,-7442" coordsize="1362,312">
              <v:shape style="position:absolute;left:4993;top:-7442;width:1362;height:312" coordorigin="4993,-7442" coordsize="1362,312" path="m4993,-7130l6354,-7130,6354,-7442,4993,-7442,4993,-7130xe" filled="true" fillcolor="#d2d2d2" stroked="false">
                <v:path arrowok="t"/>
                <v:fill type="solid"/>
              </v:shape>
            </v:group>
            <v:group style="position:absolute;left:6388;top:-7754;width:1068;height:156" coordorigin="6388,-7754" coordsize="1068,156">
              <v:shape style="position:absolute;left:6388;top:-7754;width:1068;height:156" coordorigin="6388,-7754" coordsize="1068,156" path="m6388,-7598l7456,-7598,7456,-7754,6388,-7754,6388,-7598xe" filled="true" fillcolor="#d2d2d2" stroked="false">
                <v:path arrowok="t"/>
                <v:fill type="solid"/>
              </v:shape>
            </v:group>
            <v:group style="position:absolute;left:6400;top:-7598;width:2;height:624" coordorigin="6400,-7598" coordsize="2,624">
              <v:shape style="position:absolute;left:6400;top:-7598;width:2;height:624" coordorigin="6400,-7598" coordsize="0,624" path="m6400,-7598l6400,-6974e" filled="false" stroked="true" strokeweight="1.2pt" strokecolor="#d2d2d2">
                <v:path arrowok="t"/>
              </v:shape>
            </v:group>
            <v:group style="position:absolute;left:7444;top:-7598;width:2;height:624" coordorigin="7444,-7598" coordsize="2,624">
              <v:shape style="position:absolute;left:7444;top:-7598;width:2;height:624" coordorigin="7444,-7598" coordsize="0,624" path="m7444,-7598l7444,-6974e" filled="false" stroked="true" strokeweight="1.2pt" strokecolor="#d2d2d2">
                <v:path arrowok="t"/>
              </v:shape>
            </v:group>
            <v:group style="position:absolute;left:6388;top:-6974;width:1068;height:156" coordorigin="6388,-6974" coordsize="1068,156">
              <v:shape style="position:absolute;left:6388;top:-6974;width:1068;height:156" coordorigin="6388,-6974" coordsize="1068,156" path="m6388,-6818l7456,-6818,7456,-6974,6388,-6974,6388,-6818xe" filled="true" fillcolor="#d2d2d2" stroked="false">
                <v:path arrowok="t"/>
                <v:fill type="solid"/>
              </v:shape>
            </v:group>
            <v:group style="position:absolute;left:6412;top:-7598;width:1020;height:312" coordorigin="6412,-7598" coordsize="1020,312">
              <v:shape style="position:absolute;left:6412;top:-7598;width:1020;height:312" coordorigin="6412,-7598" coordsize="1020,312" path="m6412,-7286l7432,-7286,7432,-7598,6412,-7598,6412,-7286xe" filled="true" fillcolor="#d2d2d2" stroked="false">
                <v:path arrowok="t"/>
                <v:fill type="solid"/>
              </v:shape>
            </v:group>
            <v:group style="position:absolute;left:6412;top:-7286;width:1020;height:312" coordorigin="6412,-7286" coordsize="1020,312">
              <v:shape style="position:absolute;left:6412;top:-7286;width:1020;height:312" coordorigin="6412,-7286" coordsize="1020,312" path="m6412,-6974l7432,-6974,7432,-7286,6412,-7286,6412,-6974xe" filled="true" fillcolor="#d2d2d2" stroked="false">
                <v:path arrowok="t"/>
                <v:fill type="solid"/>
              </v:shape>
            </v:group>
            <v:group style="position:absolute;left:7465;top:-7754;width:3306;height:312" coordorigin="7465,-7754" coordsize="3306,312">
              <v:shape style="position:absolute;left:7465;top:-7754;width:3306;height:312" coordorigin="7465,-7754" coordsize="3306,312" path="m7465,-7442l10771,-7442,10771,-7754,7465,-7754,7465,-7442xe" filled="true" fillcolor="#d2d2d2" stroked="false">
                <v:path arrowok="t"/>
                <v:fill type="solid"/>
              </v:shape>
            </v:group>
            <v:group style="position:absolute;left:7477;top:-7442;width:2;height:312" coordorigin="7477,-7442" coordsize="2,312">
              <v:shape style="position:absolute;left:7477;top:-7442;width:2;height:312" coordorigin="7477,-7442" coordsize="0,312" path="m7477,-7442l7477,-7130e" filled="false" stroked="true" strokeweight="1.2pt" strokecolor="#d2d2d2">
                <v:path arrowok="t"/>
              </v:shape>
            </v:group>
            <v:group style="position:absolute;left:10759;top:-7442;width:2;height:312" coordorigin="10759,-7442" coordsize="2,312">
              <v:shape style="position:absolute;left:10759;top:-7442;width:2;height:312" coordorigin="10759,-7442" coordsize="0,312" path="m10759,-7442l10759,-7130e" filled="false" stroked="true" strokeweight="1.2pt" strokecolor="#d2d2d2">
                <v:path arrowok="t"/>
              </v:shape>
            </v:group>
            <v:group style="position:absolute;left:7465;top:-7130;width:3306;height:312" coordorigin="7465,-7130" coordsize="3306,312">
              <v:shape style="position:absolute;left:7465;top:-7130;width:3306;height:312" coordorigin="7465,-7130" coordsize="3306,312" path="m7465,-6818l10771,-6818,10771,-7130,7465,-7130,7465,-6818xe" filled="true" fillcolor="#d2d2d2" stroked="false">
                <v:path arrowok="t"/>
                <v:fill type="solid"/>
              </v:shape>
            </v:group>
            <v:group style="position:absolute;left:7489;top:-7442;width:3258;height:312" coordorigin="7489,-7442" coordsize="3258,312">
              <v:shape style="position:absolute;left:7489;top:-7442;width:3258;height:312" coordorigin="7489,-7442" coordsize="3258,312" path="m7489,-7130l10747,-7130,10747,-7442,7489,-7442,7489,-7130xe" filled="true" fillcolor="#d2d2d2" stroked="false">
                <v:path arrowok="t"/>
                <v:fill type="solid"/>
              </v:shape>
            </v:group>
            <v:group style="position:absolute;left:1109;top:-7759;width:1868;height:2" coordorigin="1109,-7759" coordsize="1868,2">
              <v:shape style="position:absolute;left:1109;top:-7759;width:1868;height:2" coordorigin="1109,-7759" coordsize="1868,0" path="m1109,-7759l2976,-7759e" filled="false" stroked="true" strokeweight=".48pt" strokecolor="#000000">
                <v:path arrowok="t"/>
              </v:shape>
            </v:group>
            <v:group style="position:absolute;left:2986;top:-7759;width:985;height:2" coordorigin="2986,-7759" coordsize="985,2">
              <v:shape style="position:absolute;left:2986;top:-7759;width:985;height:2" coordorigin="2986,-7759" coordsize="985,0" path="m2986,-7759l3970,-7759e" filled="false" stroked="true" strokeweight=".48pt" strokecolor="#000000">
                <v:path arrowok="t"/>
              </v:shape>
            </v:group>
            <v:group style="position:absolute;left:3980;top:-7759;width:980;height:2" coordorigin="3980,-7759" coordsize="980,2">
              <v:shape style="position:absolute;left:3980;top:-7759;width:980;height:2" coordorigin="3980,-7759" coordsize="980,0" path="m3980,-7759l4959,-7759e" filled="false" stroked="true" strokeweight=".48pt" strokecolor="#000000">
                <v:path arrowok="t"/>
              </v:shape>
            </v:group>
            <v:group style="position:absolute;left:4969;top:-7759;width:1410;height:2" coordorigin="4969,-7759" coordsize="1410,2">
              <v:shape style="position:absolute;left:4969;top:-7759;width:1410;height:2" coordorigin="4969,-7759" coordsize="1410,0" path="m4969,-7759l6378,-7759e" filled="false" stroked="true" strokeweight=".48pt" strokecolor="#000000">
                <v:path arrowok="t"/>
              </v:shape>
            </v:group>
            <v:group style="position:absolute;left:6388;top:-7759;width:1066;height:2" coordorigin="6388,-7759" coordsize="1066,2">
              <v:shape style="position:absolute;left:6388;top:-7759;width:1066;height:2" coordorigin="6388,-7759" coordsize="1066,0" path="m6388,-7759l7453,-7759e" filled="false" stroked="true" strokeweight=".48pt" strokecolor="#000000">
                <v:path arrowok="t"/>
              </v:shape>
            </v:group>
            <v:group style="position:absolute;left:7463;top:-7759;width:3306;height:2" coordorigin="7463,-7759" coordsize="3306,2">
              <v:shape style="position:absolute;left:7463;top:-7759;width:3306;height:2" coordorigin="7463,-7759" coordsize="3306,0" path="m7463,-7759l10768,-7759e" filled="false" stroked="true" strokeweight=".48pt" strokecolor="#000000">
                <v:path arrowok="t"/>
              </v:shape>
            </v:group>
            <v:group style="position:absolute;left:1109;top:-6813;width:1868;height:2" coordorigin="1109,-6813" coordsize="1868,2">
              <v:shape style="position:absolute;left:1109;top:-6813;width:1868;height:2" coordorigin="1109,-6813" coordsize="1868,0" path="m1109,-6813l2976,-6813e" filled="false" stroked="true" strokeweight=".48pt" strokecolor="#000000">
                <v:path arrowok="t"/>
              </v:shape>
            </v:group>
            <v:group style="position:absolute;left:2986;top:-6813;width:985;height:2" coordorigin="2986,-6813" coordsize="985,2">
              <v:shape style="position:absolute;left:2986;top:-6813;width:985;height:2" coordorigin="2986,-6813" coordsize="985,0" path="m2986,-6813l3970,-6813e" filled="false" stroked="true" strokeweight=".48pt" strokecolor="#000000">
                <v:path arrowok="t"/>
              </v:shape>
            </v:group>
            <v:group style="position:absolute;left:3980;top:-6813;width:980;height:2" coordorigin="3980,-6813" coordsize="980,2">
              <v:shape style="position:absolute;left:3980;top:-6813;width:980;height:2" coordorigin="3980,-6813" coordsize="980,0" path="m3980,-6813l4959,-6813e" filled="false" stroked="true" strokeweight=".48pt" strokecolor="#000000">
                <v:path arrowok="t"/>
              </v:shape>
            </v:group>
            <v:group style="position:absolute;left:4969;top:-6813;width:1410;height:2" coordorigin="4969,-6813" coordsize="1410,2">
              <v:shape style="position:absolute;left:4969;top:-6813;width:1410;height:2" coordorigin="4969,-6813" coordsize="1410,0" path="m4969,-6813l6378,-6813e" filled="false" stroked="true" strokeweight=".48pt" strokecolor="#000000">
                <v:path arrowok="t"/>
              </v:shape>
            </v:group>
            <v:group style="position:absolute;left:6388;top:-6813;width:1066;height:2" coordorigin="6388,-6813" coordsize="1066,2">
              <v:shape style="position:absolute;left:6388;top:-6813;width:1066;height:2" coordorigin="6388,-6813" coordsize="1066,0" path="m6388,-6813l7453,-6813e" filled="false" stroked="true" strokeweight=".48pt" strokecolor="#000000">
                <v:path arrowok="t"/>
              </v:shape>
            </v:group>
            <v:group style="position:absolute;left:7463;top:-6813;width:3306;height:2" coordorigin="7463,-6813" coordsize="3306,2">
              <v:shape style="position:absolute;left:7463;top:-6813;width:3306;height:2" coordorigin="7463,-6813" coordsize="3306,0" path="m7463,-6813l10768,-6813e" filled="false" stroked="true" strokeweight=".48pt" strokecolor="#000000">
                <v:path arrowok="t"/>
              </v:shape>
            </v:group>
            <v:group style="position:absolute;left:1104;top:-7763;width:2;height:7518" coordorigin="1104,-7763" coordsize="2,7518">
              <v:shape style="position:absolute;left:1104;top:-7763;width:2;height:7518" coordorigin="1104,-7763" coordsize="0,7518" path="m1104,-7763l1104,-246e" filled="false" stroked="true" strokeweight=".48pt" strokecolor="#000000">
                <v:path arrowok="t"/>
              </v:shape>
            </v:group>
            <v:group style="position:absolute;left:1109;top:-250;width:1868;height:2" coordorigin="1109,-250" coordsize="1868,2">
              <v:shape style="position:absolute;left:1109;top:-250;width:1868;height:2" coordorigin="1109,-250" coordsize="1868,0" path="m1109,-250l2976,-250e" filled="false" stroked="true" strokeweight=".48pt" strokecolor="#000000">
                <v:path arrowok="t"/>
              </v:shape>
            </v:group>
            <v:group style="position:absolute;left:2981;top:-7763;width:2;height:7518" coordorigin="2981,-7763" coordsize="2,7518">
              <v:shape style="position:absolute;left:2981;top:-7763;width:2;height:7518" coordorigin="2981,-7763" coordsize="0,7518" path="m2981,-7763l2981,-246e" filled="false" stroked="true" strokeweight=".48pt" strokecolor="#000000">
                <v:path arrowok="t"/>
              </v:shape>
            </v:group>
            <v:group style="position:absolute;left:2986;top:-250;width:985;height:2" coordorigin="2986,-250" coordsize="985,2">
              <v:shape style="position:absolute;left:2986;top:-250;width:985;height:2" coordorigin="2986,-250" coordsize="985,0" path="m2986,-250l3970,-250e" filled="false" stroked="true" strokeweight=".48pt" strokecolor="#000000">
                <v:path arrowok="t"/>
              </v:shape>
            </v:group>
            <v:group style="position:absolute;left:3975;top:-7763;width:2;height:7518" coordorigin="3975,-7763" coordsize="2,7518">
              <v:shape style="position:absolute;left:3975;top:-7763;width:2;height:7518" coordorigin="3975,-7763" coordsize="0,7518" path="m3975,-7763l3975,-246e" filled="false" stroked="true" strokeweight=".48pt" strokecolor="#000000">
                <v:path arrowok="t"/>
              </v:shape>
            </v:group>
            <v:group style="position:absolute;left:3980;top:-250;width:980;height:2" coordorigin="3980,-250" coordsize="980,2">
              <v:shape style="position:absolute;left:3980;top:-250;width:980;height:2" coordorigin="3980,-250" coordsize="980,0" path="m3980,-250l4959,-250e" filled="false" stroked="true" strokeweight=".48pt" strokecolor="#000000">
                <v:path arrowok="t"/>
              </v:shape>
            </v:group>
            <v:group style="position:absolute;left:4964;top:-7763;width:2;height:7518" coordorigin="4964,-7763" coordsize="2,7518">
              <v:shape style="position:absolute;left:4964;top:-7763;width:2;height:7518" coordorigin="4964,-7763" coordsize="0,7518" path="m4964,-7763l4964,-246e" filled="false" stroked="true" strokeweight=".48pt" strokecolor="#000000">
                <v:path arrowok="t"/>
              </v:shape>
            </v:group>
            <v:group style="position:absolute;left:4969;top:-250;width:1410;height:2" coordorigin="4969,-250" coordsize="1410,2">
              <v:shape style="position:absolute;left:4969;top:-250;width:1410;height:2" coordorigin="4969,-250" coordsize="1410,0" path="m4969,-250l6378,-250e" filled="false" stroked="true" strokeweight=".48pt" strokecolor="#000000">
                <v:path arrowok="t"/>
              </v:shape>
            </v:group>
            <v:group style="position:absolute;left:6383;top:-7763;width:2;height:7518" coordorigin="6383,-7763" coordsize="2,7518">
              <v:shape style="position:absolute;left:6383;top:-7763;width:2;height:7518" coordorigin="6383,-7763" coordsize="0,7518" path="m6383,-7763l6383,-246e" filled="false" stroked="true" strokeweight=".48pt" strokecolor="#000000">
                <v:path arrowok="t"/>
              </v:shape>
            </v:group>
            <v:group style="position:absolute;left:6388;top:-250;width:1066;height:2" coordorigin="6388,-250" coordsize="1066,2">
              <v:shape style="position:absolute;left:6388;top:-250;width:1066;height:2" coordorigin="6388,-250" coordsize="1066,0" path="m6388,-250l7453,-250e" filled="false" stroked="true" strokeweight=".48pt" strokecolor="#000000">
                <v:path arrowok="t"/>
              </v:shape>
            </v:group>
            <v:group style="position:absolute;left:7458;top:-7763;width:2;height:7518" coordorigin="7458,-7763" coordsize="2,7518">
              <v:shape style="position:absolute;left:7458;top:-7763;width:2;height:7518" coordorigin="7458,-7763" coordsize="0,7518" path="m7458,-7763l7458,-246e" filled="false" stroked="true" strokeweight=".48pt" strokecolor="#000000">
                <v:path arrowok="t"/>
              </v:shape>
            </v:group>
            <v:group style="position:absolute;left:7463;top:-250;width:3306;height:2" coordorigin="7463,-250" coordsize="3306,2">
              <v:shape style="position:absolute;left:7463;top:-250;width:3306;height:2" coordorigin="7463,-250" coordsize="3306,0" path="m7463,-250l10768,-250e" filled="false" stroked="true" strokeweight=".48pt" strokecolor="#000000">
                <v:path arrowok="t"/>
              </v:shape>
            </v:group>
            <v:group style="position:absolute;left:10773;top:-7763;width:2;height:7518" coordorigin="10773,-7763" coordsize="2,7518">
              <v:shape style="position:absolute;left:10773;top:-7763;width:2;height:7518" coordorigin="10773,-7763" coordsize="0,7518" path="m10773,-7763l10773,-246e" filled="false" stroked="true" strokeweight=".48pt" strokecolor="#000000">
                <v:path arrowok="t"/>
              </v:shape>
            </v:group>
            <w10:wrap type="none"/>
          </v:group>
        </w:pict>
      </w:r>
      <w:r>
        <w:rPr/>
        <w:t>四、公司股东及其一致行动人在报告期提出或实施股份增持计划的情况</w:t>
      </w:r>
      <w:r>
        <w:rPr>
          <w:b w:val="0"/>
          <w:bCs w:val="0"/>
        </w:rPr>
      </w:r>
    </w:p>
    <w:p>
      <w:pPr>
        <w:spacing w:line="240" w:lineRule="auto" w:before="10"/>
        <w:rPr>
          <w:rFonts w:ascii="宋体" w:hAnsi="宋体" w:cs="宋体" w:eastAsia="宋体" w:hint="default"/>
          <w:b/>
          <w:bCs/>
          <w:sz w:val="19"/>
          <w:szCs w:val="19"/>
        </w:rPr>
      </w:pPr>
    </w:p>
    <w:p>
      <w:pPr>
        <w:pStyle w:val="BodyText"/>
        <w:spacing w:line="398" w:lineRule="auto" w:before="0"/>
        <w:ind w:right="982" w:firstLine="420"/>
        <w:jc w:val="left"/>
      </w:pPr>
      <w:r>
        <w:rPr>
          <w:rFonts w:ascii="Times New Roman" w:hAnsi="Times New Roman" w:cs="Times New Roman" w:eastAsia="Times New Roman" w:hint="default"/>
          <w:w w:val="100"/>
        </w:rPr>
        <w:t>2012</w:t>
      </w:r>
      <w:r>
        <w:rPr>
          <w:rFonts w:ascii="Times New Roman" w:hAnsi="Times New Roman" w:cs="Times New Roman" w:eastAsia="Times New Roman" w:hint="default"/>
          <w:spacing w:val="-1"/>
          <w:w w:val="100"/>
        </w:rPr>
        <w:t> </w:t>
      </w:r>
      <w:r>
        <w:rPr>
          <w:w w:val="100"/>
        </w:rPr>
        <w:t>年</w:t>
      </w:r>
      <w:r>
        <w:rPr>
          <w:spacing w:val="-51"/>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1"/>
          <w:w w:val="100"/>
        </w:rPr>
        <w:t> </w:t>
      </w:r>
      <w:r>
        <w:rPr>
          <w:w w:val="100"/>
        </w:rPr>
        <w:t>月</w:t>
      </w:r>
      <w:r>
        <w:rPr>
          <w:spacing w:val="-51"/>
          <w:w w:val="100"/>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1"/>
          <w:w w:val="100"/>
        </w:rPr>
        <w:t> </w:t>
      </w:r>
      <w:r>
        <w:rPr>
          <w:spacing w:val="-9"/>
          <w:w w:val="100"/>
        </w:rPr>
        <w:t>日，公司收到第二大股东苏宁电器集团有限公司（以下简称“苏宁电器集团”）的通知，</w:t>
      </w:r>
      <w:r>
        <w:rPr>
          <w:w w:val="100"/>
        </w:rPr>
        <w:t> </w:t>
      </w:r>
      <w:r>
        <w:rPr>
          <w:spacing w:val="-2"/>
        </w:rPr>
        <w:t>基于对公司发展前景的强烈信心，苏宁电器集团计划在未来的三个月内，对公司股票进行增持，增持总金</w:t>
      </w:r>
      <w:r>
        <w:rPr>
          <w:spacing w:val="-43"/>
        </w:rPr>
        <w:t> </w:t>
      </w:r>
      <w:r>
        <w:rPr>
          <w:spacing w:val="-43"/>
        </w:rPr>
      </w:r>
      <w:r>
        <w:rPr>
          <w:spacing w:val="-9"/>
          <w:w w:val="100"/>
        </w:rPr>
        <w:t>额合计不超过十亿元。（详见公司</w:t>
      </w:r>
      <w:r>
        <w:rPr>
          <w:spacing w:val="-48"/>
          <w:w w:val="100"/>
        </w:rPr>
        <w:t> </w:t>
      </w:r>
      <w:r>
        <w:rPr>
          <w:rFonts w:ascii="Times New Roman" w:hAnsi="Times New Roman" w:cs="Times New Roman" w:eastAsia="Times New Roman" w:hint="default"/>
          <w:spacing w:val="-1"/>
          <w:w w:val="100"/>
        </w:rPr>
        <w:t>2012-037</w:t>
      </w:r>
      <w:r>
        <w:rPr>
          <w:rFonts w:ascii="Times New Roman" w:hAnsi="Times New Roman" w:cs="Times New Roman" w:eastAsia="Times New Roman" w:hint="default"/>
          <w:spacing w:val="4"/>
          <w:w w:val="100"/>
        </w:rPr>
        <w:t> </w:t>
      </w:r>
      <w:r>
        <w:rPr>
          <w:spacing w:val="-1"/>
          <w:w w:val="100"/>
        </w:rPr>
        <w:t>号公告）</w:t>
      </w:r>
    </w:p>
    <w:p>
      <w:pPr>
        <w:pStyle w:val="BodyText"/>
        <w:spacing w:line="240" w:lineRule="auto" w:before="64"/>
        <w:ind w:left="573" w:right="982"/>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日公司接到苏宁电器集团关于三个月内增持公司股票计划完成的通知，其于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p>
    <w:p>
      <w:pPr>
        <w:pStyle w:val="BodyText"/>
        <w:spacing w:line="240" w:lineRule="auto" w:before="177"/>
        <w:ind w:right="982"/>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spacing w:val="-4"/>
        </w:rPr>
        <w:t>11 </w:t>
      </w:r>
      <w:r>
        <w:rPr/>
        <w:t>月</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日期间，通过深圳证券交易所系统合计增持本公司股份</w:t>
      </w:r>
      <w:r>
        <w:rPr>
          <w:spacing w:val="-54"/>
        </w:rPr>
        <w:t> </w:t>
      </w:r>
      <w:r>
        <w:rPr>
          <w:rFonts w:ascii="Times New Roman" w:hAnsi="Times New Roman" w:cs="Times New Roman" w:eastAsia="Times New Roman" w:hint="default"/>
        </w:rPr>
        <w:t>67,942,472</w:t>
      </w:r>
      <w:r>
        <w:rPr>
          <w:rFonts w:ascii="Times New Roman" w:hAnsi="Times New Roman" w:cs="Times New Roman" w:eastAsia="Times New Roman" w:hint="default"/>
          <w:spacing w:val="-1"/>
        </w:rPr>
        <w:t> </w:t>
      </w:r>
      <w:r>
        <w:rPr/>
        <w:t>股，增持</w:t>
      </w:r>
    </w:p>
    <w:p>
      <w:pPr>
        <w:pStyle w:val="BodyText"/>
        <w:spacing w:line="386" w:lineRule="auto" w:before="177"/>
        <w:ind w:right="982"/>
        <w:jc w:val="left"/>
      </w:pPr>
      <w:r>
        <w:rPr>
          <w:w w:val="100"/>
        </w:rPr>
        <w:t>总金</w:t>
      </w:r>
      <w:r>
        <w:rPr>
          <w:spacing w:val="-3"/>
          <w:w w:val="100"/>
        </w:rPr>
        <w:t>额</w:t>
      </w:r>
      <w:r>
        <w:rPr>
          <w:w w:val="100"/>
        </w:rPr>
        <w:t>为</w:t>
      </w:r>
      <w:r>
        <w:rPr>
          <w:spacing w:val="-52"/>
        </w:rPr>
        <w:t> </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2,76</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.70</w:t>
      </w:r>
      <w:r>
        <w:rPr>
          <w:rFonts w:ascii="Times New Roman" w:hAnsi="Times New Roman" w:cs="Times New Roman" w:eastAsia="Times New Roman" w:hint="default"/>
          <w:spacing w:val="-3"/>
        </w:rPr>
        <w:t> </w:t>
      </w:r>
      <w:r>
        <w:rPr>
          <w:w w:val="100"/>
        </w:rPr>
        <w:t>万元</w:t>
      </w:r>
      <w:r>
        <w:rPr>
          <w:rFonts w:ascii="Times New Roman" w:hAnsi="Times New Roman" w:cs="Times New Roman" w:eastAsia="Times New Roman" w:hint="default"/>
          <w:spacing w:val="-3"/>
          <w:w w:val="100"/>
        </w:rPr>
        <w:t>,</w:t>
      </w:r>
      <w:r>
        <w:rPr>
          <w:w w:val="100"/>
        </w:rPr>
        <w:t>增持</w:t>
      </w:r>
      <w:r>
        <w:rPr>
          <w:spacing w:val="-3"/>
          <w:w w:val="100"/>
        </w:rPr>
        <w:t>均价</w:t>
      </w:r>
      <w:r>
        <w:rPr>
          <w:w w:val="100"/>
        </w:rPr>
        <w:t>为</w:t>
      </w:r>
      <w:r>
        <w:rPr>
          <w:spacing w:val="-52"/>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元</w:t>
      </w:r>
      <w:r>
        <w:rPr>
          <w:spacing w:val="-89"/>
          <w:w w:val="100"/>
        </w:rPr>
        <w:t>，</w:t>
      </w:r>
      <w:r>
        <w:rPr>
          <w:spacing w:val="-3"/>
          <w:w w:val="100"/>
        </w:rPr>
        <w:t>本次</w:t>
      </w:r>
      <w:r>
        <w:rPr>
          <w:w w:val="100"/>
        </w:rPr>
        <w:t>增持</w:t>
      </w:r>
      <w:r>
        <w:rPr>
          <w:spacing w:val="-3"/>
          <w:w w:val="100"/>
        </w:rPr>
        <w:t>后</w:t>
      </w:r>
      <w:r>
        <w:rPr>
          <w:spacing w:val="-92"/>
          <w:w w:val="100"/>
        </w:rPr>
        <w:t>，</w:t>
      </w:r>
      <w:r>
        <w:rPr>
          <w:w w:val="100"/>
        </w:rPr>
        <w:t>苏</w:t>
      </w:r>
      <w:r>
        <w:rPr>
          <w:spacing w:val="-3"/>
          <w:w w:val="100"/>
        </w:rPr>
        <w:t>宁</w:t>
      </w:r>
      <w:r>
        <w:rPr>
          <w:w w:val="100"/>
        </w:rPr>
        <w:t>电</w:t>
      </w:r>
      <w:r>
        <w:rPr>
          <w:spacing w:val="-3"/>
          <w:w w:val="100"/>
        </w:rPr>
        <w:t>器</w:t>
      </w:r>
      <w:r>
        <w:rPr>
          <w:w w:val="100"/>
        </w:rPr>
        <w:t>集</w:t>
      </w:r>
      <w:r>
        <w:rPr>
          <w:spacing w:val="-3"/>
          <w:w w:val="100"/>
        </w:rPr>
        <w:t>团</w:t>
      </w:r>
      <w:r>
        <w:rPr>
          <w:w w:val="100"/>
        </w:rPr>
        <w:t>持</w:t>
      </w:r>
      <w:r>
        <w:rPr>
          <w:spacing w:val="-3"/>
          <w:w w:val="100"/>
        </w:rPr>
        <w:t>股</w:t>
      </w:r>
      <w:r>
        <w:rPr>
          <w:w w:val="100"/>
        </w:rPr>
        <w:t>总数</w:t>
      </w:r>
      <w:r>
        <w:rPr>
          <w:spacing w:val="-3"/>
          <w:w w:val="100"/>
        </w:rPr>
        <w:t>增加</w:t>
      </w:r>
      <w:r>
        <w:rPr>
          <w:w w:val="100"/>
        </w:rPr>
        <w:t>至</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6,0</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股， 占公</w:t>
      </w:r>
      <w:r>
        <w:rPr>
          <w:spacing w:val="-3"/>
          <w:w w:val="100"/>
        </w:rPr>
        <w:t>司</w:t>
      </w:r>
      <w:r>
        <w:rPr>
          <w:w w:val="100"/>
        </w:rPr>
        <w:t>股</w:t>
      </w:r>
      <w:r>
        <w:rPr>
          <w:spacing w:val="-3"/>
          <w:w w:val="100"/>
        </w:rPr>
        <w:t>份</w:t>
      </w:r>
      <w:r>
        <w:rPr>
          <w:w w:val="100"/>
        </w:rPr>
        <w:t>总</w:t>
      </w:r>
      <w:r>
        <w:rPr>
          <w:spacing w:val="-3"/>
          <w:w w:val="100"/>
        </w:rPr>
        <w:t>额</w:t>
      </w:r>
      <w:r>
        <w:rPr>
          <w:w w:val="100"/>
        </w:rPr>
        <w:t>的</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3.68</w:t>
      </w:r>
      <w:r>
        <w:rPr>
          <w:rFonts w:ascii="Times New Roman" w:hAnsi="Times New Roman" w:cs="Times New Roman" w:eastAsia="Times New Roman" w:hint="default"/>
          <w:spacing w:val="-4"/>
          <w:w w:val="100"/>
        </w:rPr>
        <w:t>%</w:t>
      </w:r>
      <w:r>
        <w:rPr>
          <w:spacing w:val="-106"/>
          <w:w w:val="100"/>
        </w:rPr>
        <w:t>。</w:t>
      </w:r>
      <w:r>
        <w:rPr>
          <w:w w:val="100"/>
        </w:rPr>
        <w:t>（</w:t>
      </w:r>
      <w:r>
        <w:rPr>
          <w:spacing w:val="-3"/>
          <w:w w:val="100"/>
        </w:rPr>
        <w:t>详</w:t>
      </w:r>
      <w:r>
        <w:rPr>
          <w:w w:val="100"/>
        </w:rPr>
        <w:t>见</w:t>
      </w:r>
      <w:r>
        <w:rPr>
          <w:spacing w:val="-3"/>
          <w:w w:val="100"/>
        </w:rPr>
        <w:t>公</w:t>
      </w:r>
      <w:r>
        <w:rPr>
          <w:w w:val="100"/>
        </w:rPr>
        <w:t>司</w:t>
      </w:r>
      <w:r>
        <w:rPr>
          <w:spacing w:val="-52"/>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12</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050</w:t>
      </w:r>
      <w:r>
        <w:rPr>
          <w:rFonts w:ascii="Times New Roman" w:hAnsi="Times New Roman" w:cs="Times New Roman" w:eastAsia="Times New Roman" w:hint="default"/>
        </w:rPr>
        <w:t> </w:t>
      </w:r>
      <w:r>
        <w:rPr>
          <w:spacing w:val="-3"/>
          <w:w w:val="100"/>
        </w:rPr>
        <w:t>号</w:t>
      </w:r>
      <w:r>
        <w:rPr>
          <w:w w:val="100"/>
        </w:rPr>
        <w:t>公告）</w:t>
      </w:r>
    </w:p>
    <w:p>
      <w:pPr>
        <w:spacing w:after="0" w:line="386" w:lineRule="auto"/>
        <w:jc w:val="left"/>
        <w:sectPr>
          <w:type w:val="continuous"/>
          <w:pgSz w:w="11910" w:h="16840"/>
          <w:pgMar w:top="1060" w:bottom="1540" w:left="980" w:right="0"/>
        </w:sectPr>
      </w:pPr>
    </w:p>
    <w:p>
      <w:pPr>
        <w:spacing w:before="15"/>
        <w:ind w:left="0" w:right="1433" w:firstLine="0"/>
        <w:jc w:val="righ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61"/>
        <w:ind w:left="3826" w:right="1183"/>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140" w:right="1183"/>
        <w:jc w:val="left"/>
        <w:rPr>
          <w:b w:val="0"/>
          <w:bCs w:val="0"/>
        </w:rPr>
      </w:pP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BodyText"/>
        <w:spacing w:line="240" w:lineRule="auto" w:before="36"/>
        <w:ind w:left="0" w:right="1176"/>
        <w:jc w:val="right"/>
      </w:pPr>
      <w:r>
        <w:rPr/>
        <w:pict>
          <v:shape style="position:absolute;margin-left:70.320pt;margin-top:-5.856334pt;width:709.1pt;height:273.2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9"/>
                    <w:gridCol w:w="1450"/>
                    <w:gridCol w:w="962"/>
                    <w:gridCol w:w="663"/>
                    <w:gridCol w:w="658"/>
                    <w:gridCol w:w="1728"/>
                    <w:gridCol w:w="1968"/>
                    <w:gridCol w:w="1771"/>
                    <w:gridCol w:w="1256"/>
                    <w:gridCol w:w="1272"/>
                    <w:gridCol w:w="1560"/>
                  </w:tblGrid>
                  <w:tr>
                    <w:trPr>
                      <w:trHeight w:val="634" w:hRule="exact"/>
                    </w:trPr>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55" w:right="0"/>
                          <w:jc w:val="left"/>
                          <w:rPr>
                            <w:rFonts w:ascii="宋体" w:hAnsi="宋体" w:cs="宋体" w:eastAsia="宋体" w:hint="default"/>
                            <w:sz w:val="21"/>
                            <w:szCs w:val="21"/>
                          </w:rPr>
                        </w:pPr>
                        <w:r>
                          <w:rPr>
                            <w:rFonts w:ascii="宋体" w:hAnsi="宋体" w:cs="宋体" w:eastAsia="宋体" w:hint="default"/>
                            <w:sz w:val="21"/>
                            <w:szCs w:val="21"/>
                          </w:rPr>
                          <w:t>任职状态</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115"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34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36"/>
                          <w:jc w:val="right"/>
                          <w:rPr>
                            <w:rFonts w:ascii="宋体" w:hAnsi="宋体" w:cs="宋体" w:eastAsia="宋体" w:hint="default"/>
                            <w:sz w:val="21"/>
                            <w:szCs w:val="21"/>
                          </w:rPr>
                        </w:pPr>
                        <w:r>
                          <w:rPr>
                            <w:rFonts w:ascii="宋体" w:hAnsi="宋体" w:cs="宋体" w:eastAsia="宋体" w:hint="default"/>
                            <w:spacing w:val="-2"/>
                            <w:sz w:val="21"/>
                            <w:szCs w:val="21"/>
                          </w:rPr>
                          <w:t>期初持股数（股）</w:t>
                        </w:r>
                      </w:p>
                    </w:tc>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41" w:firstLine="74"/>
                          <w:jc w:val="left"/>
                          <w:rPr>
                            <w:rFonts w:ascii="宋体" w:hAnsi="宋体" w:cs="宋体" w:eastAsia="宋体" w:hint="default"/>
                            <w:sz w:val="21"/>
                            <w:szCs w:val="21"/>
                          </w:rPr>
                        </w:pPr>
                        <w:r>
                          <w:rPr>
                            <w:rFonts w:ascii="宋体" w:hAnsi="宋体" w:cs="宋体" w:eastAsia="宋体" w:hint="default"/>
                            <w:sz w:val="21"/>
                            <w:szCs w:val="21"/>
                          </w:rPr>
                          <w:t>本期增持股</w:t>
                        </w:r>
                        <w:r>
                          <w:rPr>
                            <w:rFonts w:ascii="宋体" w:hAnsi="宋体" w:cs="宋体" w:eastAsia="宋体" w:hint="default"/>
                            <w:w w:val="100"/>
                            <w:sz w:val="21"/>
                            <w:szCs w:val="21"/>
                          </w:rPr>
                          <w:t> </w:t>
                        </w:r>
                        <w:r>
                          <w:rPr>
                            <w:rFonts w:ascii="宋体" w:hAnsi="宋体" w:cs="宋体" w:eastAsia="宋体" w:hint="default"/>
                            <w:sz w:val="21"/>
                            <w:szCs w:val="21"/>
                          </w:rPr>
                          <w:t>份数量（股）</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25" w:firstLine="81"/>
                          <w:jc w:val="left"/>
                          <w:rPr>
                            <w:rFonts w:ascii="宋体" w:hAnsi="宋体" w:cs="宋体" w:eastAsia="宋体" w:hint="default"/>
                            <w:sz w:val="21"/>
                            <w:szCs w:val="21"/>
                          </w:rPr>
                        </w:pPr>
                        <w:r>
                          <w:rPr>
                            <w:rFonts w:ascii="宋体" w:hAnsi="宋体" w:cs="宋体" w:eastAsia="宋体" w:hint="default"/>
                            <w:sz w:val="21"/>
                            <w:szCs w:val="21"/>
                          </w:rPr>
                          <w:t>本期减持股</w:t>
                        </w:r>
                        <w:r>
                          <w:rPr>
                            <w:rFonts w:ascii="宋体" w:hAnsi="宋体" w:cs="宋体" w:eastAsia="宋体" w:hint="default"/>
                            <w:w w:val="100"/>
                            <w:sz w:val="21"/>
                            <w:szCs w:val="21"/>
                          </w:rPr>
                          <w:t> </w:t>
                        </w:r>
                        <w:r>
                          <w:rPr>
                            <w:rFonts w:ascii="宋体" w:hAnsi="宋体" w:cs="宋体" w:eastAsia="宋体" w:hint="default"/>
                            <w:sz w:val="21"/>
                            <w:szCs w:val="21"/>
                          </w:rPr>
                          <w:t>份数量（股）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pacing w:val="-12"/>
                            <w:sz w:val="21"/>
                            <w:szCs w:val="21"/>
                          </w:rPr>
                          <w:t>期末持股数（股</w:t>
                        </w:r>
                      </w:p>
                    </w:tc>
                  </w:tr>
                  <w:tr>
                    <w:trPr>
                      <w:trHeight w:val="32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张近东</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50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07</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2"/>
                            <w:sz w:val="21"/>
                          </w:rPr>
                          <w:t>1,951,811,430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8"/>
                          <w:jc w:val="right"/>
                          <w:rPr>
                            <w:rFonts w:ascii="Times New Roman" w:hAnsi="Times New Roman" w:cs="Times New Roman" w:eastAsia="Times New Roman" w:hint="default"/>
                            <w:sz w:val="21"/>
                            <w:szCs w:val="21"/>
                          </w:rPr>
                        </w:pPr>
                        <w:r>
                          <w:rPr>
                            <w:rFonts w:ascii="Times New Roman"/>
                            <w:w w:val="100"/>
                            <w:sz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8"/>
                          <w:jc w:val="right"/>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2"/>
                            <w:sz w:val="21"/>
                          </w:rPr>
                          <w:t>1,951,811,430</w:t>
                        </w:r>
                      </w:p>
                    </w:tc>
                  </w:tr>
                  <w:tr>
                    <w:trPr>
                      <w:trHeight w:val="32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孙为民</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07</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1,745,765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987,200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2,732,965</w:t>
                        </w:r>
                      </w:p>
                    </w:tc>
                  </w:tr>
                  <w:tr>
                    <w:trPr>
                      <w:trHeight w:val="32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金</w:t>
                          <w:tab/>
                          <w:t>明</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07</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122,064,007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1,043,400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123,107,407</w:t>
                        </w:r>
                      </w:p>
                    </w:tc>
                  </w:tr>
                  <w:tr>
                    <w:trPr>
                      <w:trHeight w:val="32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孟祥胜</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07</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1,406,498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787,500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2,193,998</w:t>
                        </w:r>
                      </w:p>
                    </w:tc>
                  </w:tr>
                  <w:tr>
                    <w:trPr>
                      <w:trHeight w:val="636"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任</w:t>
                          <w:tab/>
                          <w:t>峻</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60"/>
                          <w:jc w:val="left"/>
                          <w:rPr>
                            <w:rFonts w:ascii="宋体" w:hAnsi="宋体" w:cs="宋体" w:eastAsia="宋体" w:hint="default"/>
                            <w:sz w:val="21"/>
                            <w:szCs w:val="21"/>
                          </w:rPr>
                        </w:pPr>
                        <w:r>
                          <w:rPr>
                            <w:rFonts w:ascii="宋体" w:hAnsi="宋体" w:cs="宋体" w:eastAsia="宋体" w:hint="default"/>
                            <w:sz w:val="21"/>
                            <w:szCs w:val="21"/>
                          </w:rPr>
                          <w:t>董事、副总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董秘</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07</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1,752,900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977,197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2,730,097</w:t>
                        </w:r>
                      </w:p>
                    </w:tc>
                  </w:tr>
                  <w:tr>
                    <w:trPr>
                      <w:trHeight w:val="32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李</w:t>
                          <w:tab/>
                          <w:t>东</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07</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沈坤荣</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07</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孙剑平</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07</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戴新民</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07</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李建颖</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07</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4"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汪晓玲</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07</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w w:val="100"/>
                            <w:sz w:val="21"/>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w w:val="100"/>
                            <w:sz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肖忠祥</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07</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26</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朱</w:t>
                          <w:tab/>
                          <w:t>华</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07</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sz w:val="21"/>
                          </w:rPr>
                          <w:t>--</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sz w:val="21"/>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sz w:val="21"/>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sz w:val="21"/>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sz w:val="21"/>
                          </w:rPr>
                          <w:t>--</w:t>
                        </w:r>
                      </w:p>
                    </w:tc>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sz w:val="21"/>
                          </w:rPr>
                          <w:t>--</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2,078,780,600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3,795,297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2,082,575,897</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478" w:lineRule="exact"/>
        <w:ind w:left="2444"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7.65pt;height:23.95pt;mso-position-horizontal-relative:char;mso-position-vertical-relative:line" coordorigin="0,0" coordsize="953,479">
            <v:group style="position:absolute;left:0;top:0;width:953;height:156" coordorigin="0,0" coordsize="953,156">
              <v:shape style="position:absolute;left:0;top:0;width:953;height:156" coordorigin="0,0" coordsize="953,156" path="m0,156l953,156,953,0,0,0,0,156xe" filled="true" fillcolor="#ffffff" stroked="false">
                <v:path arrowok="t"/>
                <v:fill type="solid"/>
              </v:shape>
            </v:group>
            <v:group style="position:absolute;left:11;top:156;width:2;height:312" coordorigin="11,156" coordsize="2,312">
              <v:shape style="position:absolute;left:11;top:156;width:2;height:312" coordorigin="11,156" coordsize="0,312" path="m11,156l11,468e" filled="false" stroked="true" strokeweight="1.08pt" strokecolor="#ffffff">
                <v:path arrowok="t"/>
              </v:shape>
            </v:group>
            <v:group style="position:absolute;left:22;top:156;width:908;height:312" coordorigin="22,156" coordsize="908,312">
              <v:shape style="position:absolute;left:22;top:156;width:908;height:312" coordorigin="22,156" coordsize="908,312" path="m22,468l929,468,929,156,22,156,22,468xe" filled="true" fillcolor="#ffffff" stroked="false">
                <v:path arrowok="t"/>
                <v:fill type="solid"/>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spacing w:before="0"/>
        <w:ind w:left="7190" w:right="8127" w:firstLine="0"/>
        <w:jc w:val="center"/>
        <w:rPr>
          <w:rFonts w:ascii="Times New Roman" w:hAnsi="Times New Roman" w:cs="Times New Roman" w:eastAsia="Times New Roman" w:hint="default"/>
          <w:sz w:val="18"/>
          <w:szCs w:val="18"/>
        </w:rPr>
      </w:pPr>
      <w:r>
        <w:rPr/>
        <w:pict>
          <v:shape style="position:absolute;margin-left:168.507675pt;margin-top:-279.478668pt;width:65.2pt;height:20.85pt;mso-position-horizontal-relative:page;mso-position-vertical-relative:paragraph;z-index:-1596784" type="#_x0000_t202" filled="false" stroked="false">
            <v:textbox inset="0,0,0,0">
              <w:txbxContent>
                <w:p>
                  <w:pPr>
                    <w:pStyle w:val="BodyText"/>
                    <w:spacing w:line="211" w:lineRule="exact" w:before="0"/>
                    <w:ind w:left="0" w:right="0"/>
                    <w:jc w:val="left"/>
                  </w:pPr>
                  <w:r>
                    <w:rPr/>
                    <w:t>裁、</w:t>
                  </w:r>
                </w:p>
              </w:txbxContent>
            </v:textbox>
            <w10:wrap type="none"/>
          </v:shape>
        </w:pict>
      </w:r>
      <w:r>
        <w:rPr/>
        <w:pict>
          <v:shape style="position:absolute;margin-left:706.919983pt;margin-top:-16.853657pt;width:135pt;height:77pt;mso-position-horizontal-relative:page;mso-position-vertical-relative:paragraph;z-index:2416" type="#_x0000_t75" stroked="false">
            <v:imagedata r:id="rId10" o:title=""/>
          </v:shape>
        </w:pict>
      </w:r>
      <w:r>
        <w:rPr>
          <w:rFonts w:ascii="Times New Roman"/>
          <w:sz w:val="18"/>
        </w:rPr>
        <w:t>74</w:t>
      </w:r>
    </w:p>
    <w:p>
      <w:pPr>
        <w:spacing w:after="0"/>
        <w:jc w:val="center"/>
        <w:rPr>
          <w:rFonts w:ascii="Times New Roman" w:hAnsi="Times New Roman" w:cs="Times New Roman" w:eastAsia="Times New Roman" w:hint="default"/>
          <w:sz w:val="18"/>
          <w:szCs w:val="18"/>
        </w:rPr>
        <w:sectPr>
          <w:headerReference w:type="default" r:id="rId42"/>
          <w:footerReference w:type="default" r:id="rId43"/>
          <w:pgSz w:w="16840" w:h="11910" w:orient="landscape"/>
          <w:pgMar w:header="0" w:footer="0" w:top="800" w:bottom="0" w:left="130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982"/>
        <w:jc w:val="left"/>
        <w:rPr>
          <w:b w:val="0"/>
          <w:bCs w:val="0"/>
        </w:rPr>
      </w:pPr>
      <w:r>
        <w:rPr/>
        <w:t>二、任职情况</w:t>
      </w:r>
      <w:r>
        <w:rPr>
          <w:b w:val="0"/>
          <w:bCs w:val="0"/>
        </w:rPr>
      </w:r>
    </w:p>
    <w:p>
      <w:pPr>
        <w:pStyle w:val="BodyText"/>
        <w:spacing w:line="240" w:lineRule="auto" w:before="103"/>
        <w:ind w:left="573" w:right="982"/>
        <w:jc w:val="left"/>
      </w:pPr>
      <w:r>
        <w:rPr/>
        <w:t>在股东单位任职情况</w:t>
      </w:r>
    </w:p>
    <w:p>
      <w:pPr>
        <w:spacing w:line="240" w:lineRule="auto" w:before="10"/>
        <w:rPr>
          <w:rFonts w:ascii="宋体" w:hAnsi="宋体" w:cs="宋体" w:eastAsia="宋体" w:hint="default"/>
          <w:sz w:val="14"/>
          <w:szCs w:val="14"/>
        </w:rPr>
      </w:pPr>
    </w:p>
    <w:p>
      <w:pPr>
        <w:pStyle w:val="BodyText"/>
        <w:spacing w:line="408" w:lineRule="auto" w:before="0"/>
        <w:ind w:left="573" w:right="8452"/>
        <w:jc w:val="left"/>
      </w:pPr>
      <w:r>
        <w:rPr/>
        <w:t>□ 适用 √</w:t>
      </w:r>
      <w:r>
        <w:rPr>
          <w:spacing w:val="-1"/>
        </w:rPr>
        <w:t> </w:t>
      </w:r>
      <w:r>
        <w:rPr/>
        <w:t>不适用</w:t>
      </w:r>
      <w:r>
        <w:rPr>
          <w:w w:val="100"/>
        </w:rPr>
        <w:t> </w:t>
      </w:r>
      <w:r>
        <w:rPr>
          <w:spacing w:val="-1"/>
        </w:rPr>
        <w:t>在其他单位任职情况</w:t>
      </w:r>
    </w:p>
    <w:p>
      <w:pPr>
        <w:pStyle w:val="BodyText"/>
        <w:spacing w:line="240" w:lineRule="auto"/>
        <w:ind w:left="573" w:right="982"/>
        <w:jc w:val="left"/>
      </w:pPr>
      <w:r>
        <w:rPr/>
        <w:t>□ 适用 √ 不适用</w:t>
      </w:r>
    </w:p>
    <w:p>
      <w:pPr>
        <w:spacing w:line="240" w:lineRule="auto" w:before="10"/>
        <w:rPr>
          <w:rFonts w:ascii="宋体" w:hAnsi="宋体" w:cs="宋体" w:eastAsia="宋体" w:hint="default"/>
          <w:sz w:val="14"/>
          <w:szCs w:val="14"/>
        </w:rPr>
      </w:pPr>
    </w:p>
    <w:p>
      <w:pPr>
        <w:pStyle w:val="BodyText"/>
        <w:spacing w:line="240" w:lineRule="auto" w:before="0"/>
        <w:ind w:left="573" w:right="982"/>
        <w:jc w:val="left"/>
      </w:pPr>
      <w:r>
        <w:rPr/>
        <w:t>公司现任董事、监事、高级管理人员最近</w:t>
      </w:r>
      <w:r>
        <w:rPr>
          <w:spacing w:val="-55"/>
        </w:rPr>
        <w:t> </w:t>
      </w:r>
      <w:r>
        <w:rPr>
          <w:rFonts w:ascii="宋体" w:hAnsi="宋体" w:cs="宋体" w:eastAsia="宋体" w:hint="default"/>
        </w:rPr>
        <w:t>5</w:t>
      </w:r>
      <w:r>
        <w:rPr>
          <w:rFonts w:ascii="宋体" w:hAnsi="宋体" w:cs="宋体" w:eastAsia="宋体" w:hint="default"/>
          <w:spacing w:val="-55"/>
        </w:rPr>
        <w:t> </w:t>
      </w:r>
      <w:r>
        <w:rPr/>
        <w:t>年的主要工作经历：</w:t>
      </w:r>
    </w:p>
    <w:p>
      <w:pPr>
        <w:spacing w:line="240" w:lineRule="auto" w:before="10"/>
        <w:rPr>
          <w:rFonts w:ascii="宋体" w:hAnsi="宋体" w:cs="宋体" w:eastAsia="宋体" w:hint="default"/>
          <w:sz w:val="14"/>
          <w:szCs w:val="14"/>
        </w:rPr>
      </w:pPr>
    </w:p>
    <w:p>
      <w:pPr>
        <w:pStyle w:val="BodyText"/>
        <w:spacing w:line="240" w:lineRule="auto" w:before="0"/>
        <w:ind w:left="573" w:right="982"/>
        <w:jc w:val="left"/>
      </w:pPr>
      <w:r>
        <w:rPr/>
        <w:t>（</w:t>
      </w:r>
      <w:r>
        <w:rPr>
          <w:rFonts w:ascii="宋体" w:hAnsi="宋体" w:cs="宋体" w:eastAsia="宋体" w:hint="default"/>
        </w:rPr>
        <w:t>1</w:t>
      </w:r>
      <w:r>
        <w:rPr/>
        <w:t>）董事</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t>张近东先生</w:t>
      </w:r>
      <w:r>
        <w:rPr>
          <w:spacing w:val="77"/>
        </w:rPr>
        <w:t> </w:t>
      </w:r>
      <w:r>
        <w:rPr/>
        <w:t>公司实际控制人，</w:t>
      </w:r>
      <w:r>
        <w:rPr>
          <w:rFonts w:ascii="宋体" w:hAnsi="宋体" w:cs="宋体" w:eastAsia="宋体" w:hint="default"/>
        </w:rPr>
        <w:t>50</w:t>
      </w:r>
      <w:r>
        <w:rPr/>
        <w:t>岁，汉族，本科学历，曾任江苏苏宁交家电有限公司董事长兼总经</w:t>
      </w:r>
      <w:r>
        <w:rPr>
          <w:w w:val="100"/>
        </w:rPr>
        <w:t> </w:t>
      </w:r>
      <w:r>
        <w:rPr>
          <w:spacing w:val="-2"/>
        </w:rPr>
        <w:t>理、中国人民政治协商会议第十、十一届全国委员会委员、中华全国工商业联合会常委、中华全国工商业</w:t>
      </w:r>
      <w:r>
        <w:rPr>
          <w:spacing w:val="-49"/>
        </w:rPr>
        <w:t> </w:t>
      </w:r>
      <w:r>
        <w:rPr>
          <w:spacing w:val="-49"/>
        </w:rPr>
      </w:r>
      <w:r>
        <w:rPr>
          <w:spacing w:val="-2"/>
        </w:rPr>
        <w:t>联合会副主席、江苏省第十一届人民代表大会代表，现任苏宁云商集团股份有限公司董事长、中国人民政</w:t>
      </w:r>
      <w:r>
        <w:rPr>
          <w:spacing w:val="-45"/>
        </w:rPr>
        <w:t> </w:t>
      </w:r>
      <w:r>
        <w:rPr>
          <w:spacing w:val="-45"/>
        </w:rPr>
      </w:r>
      <w:r>
        <w:rPr>
          <w:spacing w:val="-2"/>
        </w:rPr>
        <w:t>治协商会议第十二届全国委员会委员、中国民间商会副会长、中国上市公司协会副会长。无在其他单位任</w:t>
      </w:r>
      <w:r>
        <w:rPr>
          <w:spacing w:val="-42"/>
        </w:rPr>
        <w:t> </w:t>
      </w:r>
      <w:r>
        <w:rPr>
          <w:spacing w:val="-42"/>
        </w:rPr>
      </w:r>
      <w:r>
        <w:rPr/>
        <w:t>职或兼职情况。</w:t>
      </w:r>
    </w:p>
    <w:p>
      <w:pPr>
        <w:pStyle w:val="BodyText"/>
        <w:tabs>
          <w:tab w:pos="1835" w:val="left" w:leader="none"/>
        </w:tabs>
        <w:spacing w:line="408" w:lineRule="auto"/>
        <w:ind w:right="1025" w:firstLine="420"/>
        <w:jc w:val="left"/>
      </w:pPr>
      <w:r>
        <w:rPr>
          <w:spacing w:val="-1"/>
        </w:rPr>
        <w:t>孙为民先生</w:t>
        <w:tab/>
      </w:r>
      <w:r>
        <w:rPr>
          <w:rFonts w:ascii="宋体" w:hAnsi="宋体" w:cs="宋体" w:eastAsia="宋体" w:hint="default"/>
          <w:spacing w:val="-2"/>
        </w:rPr>
        <w:t>50</w:t>
      </w:r>
      <w:r>
        <w:rPr>
          <w:spacing w:val="-2"/>
        </w:rPr>
        <w:t>岁，汉族，硕士学历，曾在南京理工大学执教，曾任苏宁交家电（集团）有限公司副</w:t>
      </w:r>
      <w:r>
        <w:rPr>
          <w:w w:val="100"/>
        </w:rPr>
        <w:t> </w:t>
      </w:r>
      <w:r>
        <w:rPr>
          <w:spacing w:val="-5"/>
        </w:rPr>
        <w:t>总裁、苏宁电器股份有限公司总裁，现任苏宁云商集团股份有限公司副董事长、中国连锁经营协会副会长、</w:t>
      </w:r>
      <w:r>
        <w:rPr>
          <w:spacing w:val="-3"/>
        </w:rPr>
        <w:t> </w:t>
      </w:r>
      <w:r>
        <w:rPr>
          <w:spacing w:val="-3"/>
        </w:rPr>
      </w:r>
      <w:r>
        <w:rPr>
          <w:spacing w:val="-2"/>
        </w:rPr>
        <w:t>清华大学中国零售研究院专家委员、南京市政协常委、江苏省工商联副主席。孙为民先生还在公司下属子</w:t>
      </w:r>
      <w:r>
        <w:rPr>
          <w:spacing w:val="-44"/>
        </w:rPr>
        <w:t> </w:t>
      </w:r>
      <w:r>
        <w:rPr>
          <w:spacing w:val="-44"/>
        </w:rPr>
      </w:r>
      <w:r>
        <w:rPr>
          <w:spacing w:val="-2"/>
        </w:rPr>
        <w:t>公司—北京苏宁电器有限公司、陕西苏宁电器有限责任公司、深圳市苏宁电器有限公司、江苏苏宁商业投</w:t>
      </w:r>
      <w:r>
        <w:rPr>
          <w:spacing w:val="-47"/>
        </w:rPr>
        <w:t> </w:t>
      </w:r>
      <w:r>
        <w:rPr>
          <w:spacing w:val="-47"/>
        </w:rPr>
      </w:r>
      <w:r>
        <w:rPr/>
        <w:t>资有限公司、西安新城苏宁电器有限公司担任法人代表。</w:t>
      </w:r>
    </w:p>
    <w:p>
      <w:pPr>
        <w:pStyle w:val="BodyText"/>
        <w:spacing w:line="408" w:lineRule="auto"/>
        <w:ind w:right="1127" w:firstLine="420"/>
        <w:jc w:val="both"/>
      </w:pPr>
      <w:r>
        <w:rPr/>
        <w:t>金 明先生</w:t>
      </w:r>
      <w:r>
        <w:rPr>
          <w:spacing w:val="77"/>
        </w:rPr>
        <w:t> </w:t>
      </w:r>
      <w:r>
        <w:rPr>
          <w:rFonts w:ascii="宋体" w:hAnsi="宋体" w:cs="宋体" w:eastAsia="宋体" w:hint="default"/>
        </w:rPr>
        <w:t>42</w:t>
      </w:r>
      <w:r>
        <w:rPr/>
        <w:t>岁，汉族，本科学历，曾任苏宁交家电（集团）有限公司营销管理中心总监，苏宁电</w:t>
      </w:r>
      <w:r>
        <w:rPr>
          <w:w w:val="100"/>
        </w:rPr>
        <w:t> </w:t>
      </w:r>
      <w:r>
        <w:rPr>
          <w:spacing w:val="-2"/>
        </w:rPr>
        <w:t>器股份有限公司副总裁，现任苏宁云商集团股份有限公司董事、总裁，南京电子商务协会理事长。金明先</w:t>
      </w:r>
      <w:r>
        <w:rPr>
          <w:spacing w:val="-48"/>
        </w:rPr>
        <w:t> </w:t>
      </w:r>
      <w:r>
        <w:rPr>
          <w:spacing w:val="-48"/>
        </w:rPr>
      </w:r>
      <w:r>
        <w:rPr/>
        <w:t>生还在公司下属子公司—香港苏宁电器有限公司、</w:t>
      </w:r>
      <w:r>
        <w:rPr>
          <w:rFonts w:ascii="宋体" w:hAnsi="宋体" w:cs="宋体" w:eastAsia="宋体" w:hint="default"/>
        </w:rPr>
        <w:t>GRANDA MAGIC LIMITED </w:t>
      </w:r>
      <w:r>
        <w:rPr/>
        <w:t>、</w:t>
      </w:r>
      <w:r>
        <w:rPr>
          <w:rFonts w:ascii="宋体" w:hAnsi="宋体" w:cs="宋体" w:eastAsia="宋体" w:hint="default"/>
        </w:rPr>
        <w:t>GREAT ELITE</w:t>
      </w:r>
      <w:r>
        <w:rPr>
          <w:rFonts w:ascii="宋体" w:hAnsi="宋体" w:cs="宋体" w:eastAsia="宋体" w:hint="default"/>
          <w:spacing w:val="-31"/>
        </w:rPr>
        <w:t> </w:t>
      </w:r>
      <w:r>
        <w:rPr>
          <w:rFonts w:ascii="宋体" w:hAnsi="宋体" w:cs="宋体" w:eastAsia="宋体" w:hint="default"/>
        </w:rPr>
        <w:t>LIMITED</w:t>
      </w:r>
      <w:r>
        <w:rPr/>
        <w:t>、香港</w:t>
      </w:r>
      <w:r>
        <w:rPr>
          <w:w w:val="100"/>
        </w:rPr>
        <w:t> </w:t>
      </w:r>
      <w:r>
        <w:rPr>
          <w:spacing w:val="-2"/>
        </w:rPr>
        <w:t>苏宁采购有限公司、香港苏宁镭射电器有限公司、香港港宁广告有限公司、超霸发展有限公司等</w:t>
      </w:r>
      <w:r>
        <w:rPr>
          <w:rFonts w:ascii="宋体" w:hAnsi="宋体" w:cs="宋体" w:eastAsia="宋体" w:hint="default"/>
          <w:spacing w:val="-2"/>
        </w:rPr>
        <w:t>32</w:t>
      </w:r>
      <w:r>
        <w:rPr>
          <w:spacing w:val="-2"/>
        </w:rPr>
        <w:t>家公司</w:t>
      </w:r>
      <w:r>
        <w:rPr>
          <w:spacing w:val="-42"/>
        </w:rPr>
        <w:t> </w:t>
      </w:r>
      <w:r>
        <w:rPr/>
        <w:t>子公司担任法人代表。</w:t>
      </w:r>
    </w:p>
    <w:p>
      <w:pPr>
        <w:pStyle w:val="BodyText"/>
        <w:tabs>
          <w:tab w:pos="1835" w:val="left" w:leader="none"/>
        </w:tabs>
        <w:spacing w:line="408" w:lineRule="auto"/>
        <w:ind w:right="1132" w:firstLine="420"/>
        <w:jc w:val="left"/>
      </w:pPr>
      <w:r>
        <w:rPr>
          <w:spacing w:val="-1"/>
        </w:rPr>
        <w:t>孟祥胜先生</w:t>
        <w:tab/>
      </w:r>
      <w:r>
        <w:rPr>
          <w:rFonts w:ascii="宋体" w:hAnsi="宋体" w:cs="宋体" w:eastAsia="宋体" w:hint="default"/>
          <w:spacing w:val="-3"/>
        </w:rPr>
        <w:t>41</w:t>
      </w:r>
      <w:r>
        <w:rPr>
          <w:spacing w:val="-3"/>
        </w:rPr>
        <w:t>岁，汉族，本科学历，曾任海尔药业浙江市场部经理、南京东方智业管理咨询顾问公</w:t>
      </w:r>
      <w:r>
        <w:rPr>
          <w:w w:val="100"/>
        </w:rPr>
        <w:t> </w:t>
      </w:r>
      <w:r>
        <w:rPr/>
        <w:t>司管理顾问，现任苏宁云商集团股份有限公司董事、副总裁。无在其他单位任职或兼职情况。</w:t>
      </w:r>
    </w:p>
    <w:p>
      <w:pPr>
        <w:pStyle w:val="BodyText"/>
        <w:tabs>
          <w:tab w:pos="995" w:val="left" w:leader="none"/>
          <w:tab w:pos="1835" w:val="left" w:leader="none"/>
        </w:tabs>
        <w:spacing w:line="408" w:lineRule="auto"/>
        <w:ind w:right="1124" w:firstLine="420"/>
        <w:jc w:val="left"/>
      </w:pPr>
      <w:r>
        <w:rPr/>
        <w:t>任</w:t>
        <w:tab/>
      </w:r>
      <w:r>
        <w:rPr>
          <w:spacing w:val="-1"/>
        </w:rPr>
        <w:t>峻先生</w:t>
        <w:tab/>
      </w:r>
      <w:r>
        <w:rPr>
          <w:rFonts w:ascii="宋体" w:hAnsi="宋体" w:cs="宋体" w:eastAsia="宋体" w:hint="default"/>
          <w:spacing w:val="-2"/>
        </w:rPr>
        <w:t>36</w:t>
      </w:r>
      <w:r>
        <w:rPr>
          <w:spacing w:val="-2"/>
        </w:rPr>
        <w:t>岁，汉族，本科学历，现任苏宁云商集团股份有限公司董事、副总裁、董事会秘书。</w:t>
      </w:r>
      <w:r>
        <w:rPr>
          <w:w w:val="100"/>
        </w:rPr>
        <w:t> </w:t>
      </w:r>
      <w:r>
        <w:rPr/>
        <w:t>无在其他单位任职或兼职情况。</w:t>
      </w:r>
    </w:p>
    <w:p>
      <w:pPr>
        <w:pStyle w:val="BodyText"/>
        <w:tabs>
          <w:tab w:pos="995" w:val="left" w:leader="none"/>
          <w:tab w:pos="1835" w:val="left" w:leader="none"/>
        </w:tabs>
        <w:spacing w:line="408" w:lineRule="auto"/>
        <w:ind w:right="1132" w:firstLine="420"/>
        <w:jc w:val="left"/>
      </w:pPr>
      <w:r>
        <w:rPr/>
        <w:t>李</w:t>
        <w:tab/>
      </w:r>
      <w:r>
        <w:rPr>
          <w:spacing w:val="-1"/>
        </w:rPr>
        <w:t>东先生</w:t>
        <w:tab/>
      </w:r>
      <w:r>
        <w:rPr>
          <w:rFonts w:ascii="宋体" w:hAnsi="宋体" w:cs="宋体" w:eastAsia="宋体" w:hint="default"/>
          <w:spacing w:val="-2"/>
        </w:rPr>
        <w:t>52</w:t>
      </w:r>
      <w:r>
        <w:rPr>
          <w:spacing w:val="-2"/>
        </w:rPr>
        <w:t>岁，汉族，管理学博士，曾在石油部地球物理勘查局、金陵石化等单位任职，现任江</w:t>
      </w:r>
      <w:r>
        <w:rPr>
          <w:w w:val="100"/>
        </w:rPr>
        <w:t> </w:t>
      </w:r>
      <w:r>
        <w:rPr/>
        <w:t>苏省注册管理顾问师协会理事长，东南大学经济管理学院副院长、博士生导师，本公司董事。</w:t>
      </w:r>
    </w:p>
    <w:p>
      <w:pPr>
        <w:pStyle w:val="BodyText"/>
        <w:tabs>
          <w:tab w:pos="1835" w:val="left" w:leader="none"/>
        </w:tabs>
        <w:spacing w:line="240" w:lineRule="auto"/>
        <w:ind w:right="982" w:firstLine="420"/>
        <w:jc w:val="left"/>
      </w:pPr>
      <w:r>
        <w:rPr>
          <w:spacing w:val="-1"/>
        </w:rPr>
        <w:t>沈坤荣先生</w:t>
        <w:tab/>
      </w:r>
      <w:r>
        <w:rPr>
          <w:rFonts w:ascii="宋体" w:hAnsi="宋体" w:cs="宋体" w:eastAsia="宋体" w:hint="default"/>
          <w:spacing w:val="-2"/>
        </w:rPr>
        <w:t>50</w:t>
      </w:r>
      <w:r>
        <w:rPr>
          <w:spacing w:val="-2"/>
        </w:rPr>
        <w:t>岁，汉族，研究生学历，曾任中国社科院博士后，南京大学经济系教授、博导，美国</w:t>
      </w:r>
    </w:p>
    <w:p>
      <w:pPr>
        <w:spacing w:line="240" w:lineRule="auto" w:before="10"/>
        <w:rPr>
          <w:rFonts w:ascii="宋体" w:hAnsi="宋体" w:cs="宋体" w:eastAsia="宋体" w:hint="default"/>
          <w:sz w:val="14"/>
          <w:szCs w:val="14"/>
        </w:rPr>
      </w:pPr>
    </w:p>
    <w:p>
      <w:pPr>
        <w:pStyle w:val="BodyText"/>
        <w:spacing w:line="240" w:lineRule="auto" w:before="0"/>
        <w:ind w:right="982"/>
        <w:jc w:val="left"/>
      </w:pPr>
      <w:r>
        <w:rPr/>
        <w:t>斯坦福大学高级研究学者，现任南京大学经济学院院长、教授、博导，江苏交通经济研究会会长，本公司</w:t>
      </w:r>
    </w:p>
    <w:p>
      <w:pPr>
        <w:spacing w:after="0" w:line="240" w:lineRule="auto"/>
        <w:jc w:val="left"/>
        <w:sectPr>
          <w:footerReference w:type="default" r:id="rId44"/>
          <w:pgSz w:w="11910" w:h="16840"/>
          <w:pgMar w:footer="1340" w:header="0" w:top="1100" w:bottom="1540" w:left="980" w:right="0"/>
          <w:pgNumType w:start="75"/>
        </w:sectPr>
      </w:pPr>
    </w:p>
    <w:p>
      <w:pPr>
        <w:spacing w:line="240" w:lineRule="auto" w:before="9"/>
        <w:rPr>
          <w:rFonts w:ascii="宋体" w:hAnsi="宋体" w:cs="宋体" w:eastAsia="宋体" w:hint="default"/>
          <w:sz w:val="26"/>
          <w:szCs w:val="26"/>
        </w:rPr>
      </w:pPr>
    </w:p>
    <w:p>
      <w:pPr>
        <w:pStyle w:val="BodyText"/>
        <w:spacing w:line="240" w:lineRule="auto" w:before="36"/>
        <w:ind w:right="0"/>
        <w:jc w:val="both"/>
      </w:pPr>
      <w:r>
        <w:rPr/>
        <w:t>独立董事。</w:t>
      </w:r>
    </w:p>
    <w:p>
      <w:pPr>
        <w:spacing w:line="240" w:lineRule="auto" w:before="10"/>
        <w:rPr>
          <w:rFonts w:ascii="宋体" w:hAnsi="宋体" w:cs="宋体" w:eastAsia="宋体" w:hint="default"/>
          <w:sz w:val="14"/>
          <w:szCs w:val="14"/>
        </w:rPr>
      </w:pPr>
    </w:p>
    <w:p>
      <w:pPr>
        <w:pStyle w:val="BodyText"/>
        <w:spacing w:line="408" w:lineRule="auto" w:before="0"/>
        <w:ind w:right="1127" w:firstLine="420"/>
        <w:jc w:val="both"/>
      </w:pPr>
      <w:r>
        <w:rPr/>
        <w:t>孙剑平先生</w:t>
      </w:r>
      <w:r>
        <w:rPr>
          <w:spacing w:val="78"/>
        </w:rPr>
        <w:t> </w:t>
      </w:r>
      <w:r>
        <w:rPr>
          <w:rFonts w:ascii="宋体" w:hAnsi="宋体" w:cs="宋体" w:eastAsia="宋体" w:hint="default"/>
        </w:rPr>
        <w:t>60</w:t>
      </w:r>
      <w:r>
        <w:rPr/>
        <w:t>岁，汉族，管理学博士，曾任南京理工大学经济学系主任、人文学院副院长，现任南</w:t>
      </w:r>
      <w:r>
        <w:rPr>
          <w:w w:val="100"/>
        </w:rPr>
        <w:t> </w:t>
      </w:r>
      <w:r>
        <w:rPr/>
        <w:t>京理工大学人力资源管理研究中心主任、教授、博士生导师，本公司独立董事。</w:t>
      </w:r>
    </w:p>
    <w:p>
      <w:pPr>
        <w:pStyle w:val="BodyText"/>
        <w:spacing w:line="408" w:lineRule="auto"/>
        <w:ind w:right="1127" w:firstLine="420"/>
        <w:jc w:val="both"/>
      </w:pPr>
      <w:r>
        <w:rPr/>
        <w:t>戴新民先生</w:t>
      </w:r>
      <w:r>
        <w:rPr>
          <w:spacing w:val="78"/>
        </w:rPr>
        <w:t> </w:t>
      </w:r>
      <w:r>
        <w:rPr>
          <w:rFonts w:ascii="宋体" w:hAnsi="宋体" w:cs="宋体" w:eastAsia="宋体" w:hint="default"/>
        </w:rPr>
        <w:t>51</w:t>
      </w:r>
      <w:r>
        <w:rPr/>
        <w:t>岁，汉族，本科学历，注册会计师，曾任安徽工业大学管理学院教师，现任南京理工</w:t>
      </w:r>
      <w:r>
        <w:rPr>
          <w:w w:val="100"/>
        </w:rPr>
        <w:t> </w:t>
      </w:r>
      <w:r>
        <w:rPr/>
        <w:t>大学经济管理学院会计系教授，本公司独立董事。</w:t>
      </w:r>
    </w:p>
    <w:p>
      <w:pPr>
        <w:pStyle w:val="BodyText"/>
        <w:spacing w:line="240" w:lineRule="auto"/>
        <w:ind w:left="573" w:right="982"/>
        <w:jc w:val="left"/>
      </w:pPr>
      <w:r>
        <w:rPr/>
        <w:t>（</w:t>
      </w:r>
      <w:r>
        <w:rPr>
          <w:rFonts w:ascii="宋体" w:hAnsi="宋体" w:cs="宋体" w:eastAsia="宋体" w:hint="default"/>
        </w:rPr>
        <w:t>2</w:t>
      </w:r>
      <w:r>
        <w:rPr/>
        <w:t>）监事</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t>李建颖女士</w:t>
      </w:r>
      <w:r>
        <w:rPr>
          <w:spacing w:val="74"/>
        </w:rPr>
        <w:t> </w:t>
      </w:r>
      <w:r>
        <w:rPr>
          <w:rFonts w:ascii="宋体" w:hAnsi="宋体" w:cs="宋体" w:eastAsia="宋体" w:hint="default"/>
          <w:spacing w:val="-3"/>
        </w:rPr>
        <w:t>44</w:t>
      </w:r>
      <w:r>
        <w:rPr>
          <w:spacing w:val="-3"/>
        </w:rPr>
        <w:t>岁，汉族，本科学历，曾在南京市紫金无线电厂任职，曾任苏宁电器股份有限公司结</w:t>
      </w:r>
      <w:r>
        <w:rPr>
          <w:w w:val="100"/>
        </w:rPr>
        <w:t> </w:t>
      </w:r>
      <w:r>
        <w:rPr>
          <w:spacing w:val="-2"/>
        </w:rPr>
        <w:t>算管理中心总监，现任苏宁云商集团股份有限公司商品经营总部财务管理中心总监，公司监事会主席。无</w:t>
      </w:r>
      <w:r>
        <w:rPr>
          <w:spacing w:val="-43"/>
        </w:rPr>
        <w:t> </w:t>
      </w:r>
      <w:r>
        <w:rPr>
          <w:spacing w:val="-43"/>
        </w:rPr>
      </w:r>
      <w:r>
        <w:rPr/>
        <w:t>在其他单位任职或兼职情况。</w:t>
      </w:r>
    </w:p>
    <w:p>
      <w:pPr>
        <w:pStyle w:val="BodyText"/>
        <w:spacing w:line="408" w:lineRule="auto"/>
        <w:ind w:right="1126" w:firstLine="420"/>
        <w:jc w:val="both"/>
      </w:pPr>
      <w:r>
        <w:rPr/>
        <w:t>汪晓玲女士</w:t>
      </w:r>
      <w:r>
        <w:rPr>
          <w:spacing w:val="74"/>
        </w:rPr>
        <w:t> </w:t>
      </w:r>
      <w:r>
        <w:rPr>
          <w:rFonts w:ascii="宋体" w:hAnsi="宋体" w:cs="宋体" w:eastAsia="宋体" w:hint="default"/>
          <w:spacing w:val="-3"/>
        </w:rPr>
        <w:t>40</w:t>
      </w:r>
      <w:r>
        <w:rPr>
          <w:spacing w:val="-3"/>
        </w:rPr>
        <w:t>岁，汉族，本科学历，曾任南京新闻发展公司办公室主任、苏宁电器股份有限公司财</w:t>
      </w:r>
      <w:r>
        <w:rPr>
          <w:w w:val="100"/>
        </w:rPr>
        <w:t> </w:t>
      </w:r>
      <w:r>
        <w:rPr>
          <w:spacing w:val="-2"/>
        </w:rPr>
        <w:t>务管理中心预算中心总监，现任苏宁云商集团股份有限公司连锁平台经营总部财务管理中心总监、公司监</w:t>
      </w:r>
      <w:r>
        <w:rPr>
          <w:spacing w:val="-43"/>
        </w:rPr>
        <w:t> </w:t>
      </w:r>
      <w:r>
        <w:rPr>
          <w:spacing w:val="-43"/>
        </w:rPr>
      </w:r>
      <w:r>
        <w:rPr/>
        <w:t>事。无在其他单位任职或兼职情况。</w:t>
      </w:r>
    </w:p>
    <w:p>
      <w:pPr>
        <w:pStyle w:val="BodyText"/>
        <w:tabs>
          <w:tab w:pos="1835" w:val="left" w:leader="none"/>
        </w:tabs>
        <w:spacing w:line="408" w:lineRule="auto"/>
        <w:ind w:right="1025" w:firstLine="420"/>
        <w:jc w:val="left"/>
      </w:pPr>
      <w:r>
        <w:rPr>
          <w:spacing w:val="-1"/>
        </w:rPr>
        <w:t>肖忠祥先生</w:t>
        <w:tab/>
      </w:r>
      <w:r>
        <w:rPr>
          <w:rFonts w:ascii="宋体" w:hAnsi="宋体" w:cs="宋体" w:eastAsia="宋体" w:hint="default"/>
          <w:spacing w:val="-5"/>
        </w:rPr>
        <w:t>42</w:t>
      </w:r>
      <w:r>
        <w:rPr>
          <w:spacing w:val="-5"/>
        </w:rPr>
        <w:t>岁，汉族，本科学历，曾任南京无线电八厂会计、苏宁电器股份有限公司财务部经理，</w:t>
      </w:r>
      <w:r>
        <w:rPr>
          <w:w w:val="100"/>
        </w:rPr>
        <w:t> </w:t>
      </w:r>
      <w:r>
        <w:rPr/>
        <w:t>现任公司财务服务中心总监、会计机构负责人、公司监事。无在其他单位任职或兼职情况。</w:t>
      </w:r>
    </w:p>
    <w:p>
      <w:pPr>
        <w:pStyle w:val="BodyText"/>
        <w:spacing w:line="240" w:lineRule="auto"/>
        <w:ind w:left="573" w:right="982"/>
        <w:jc w:val="left"/>
      </w:pPr>
      <w:r>
        <w:rPr/>
        <w:t>（</w:t>
      </w:r>
      <w:r>
        <w:rPr>
          <w:rFonts w:ascii="宋体" w:hAnsi="宋体" w:cs="宋体" w:eastAsia="宋体" w:hint="default"/>
        </w:rPr>
        <w:t>3</w:t>
      </w:r>
      <w:r>
        <w:rPr/>
        <w:t>）高级管理人员</w:t>
      </w:r>
    </w:p>
    <w:p>
      <w:pPr>
        <w:spacing w:line="240" w:lineRule="auto" w:before="10"/>
        <w:rPr>
          <w:rFonts w:ascii="宋体" w:hAnsi="宋体" w:cs="宋体" w:eastAsia="宋体" w:hint="default"/>
          <w:sz w:val="14"/>
          <w:szCs w:val="14"/>
        </w:rPr>
      </w:pPr>
    </w:p>
    <w:p>
      <w:pPr>
        <w:pStyle w:val="BodyText"/>
        <w:tabs>
          <w:tab w:pos="995" w:val="left" w:leader="none"/>
          <w:tab w:pos="1835" w:val="left" w:leader="none"/>
        </w:tabs>
        <w:spacing w:line="408" w:lineRule="auto" w:before="0"/>
        <w:ind w:left="573" w:right="5937"/>
        <w:jc w:val="left"/>
      </w:pPr>
      <w:r>
        <w:rPr/>
        <w:t>金</w:t>
        <w:tab/>
      </w:r>
      <w:r>
        <w:rPr>
          <w:spacing w:val="-1"/>
        </w:rPr>
        <w:t>明先生</w:t>
        <w:tab/>
      </w:r>
      <w:r>
        <w:rPr>
          <w:spacing w:val="-2"/>
        </w:rPr>
        <w:t>总裁。（简历见前述董事介绍）</w:t>
      </w:r>
      <w:r>
        <w:rPr>
          <w:spacing w:val="-79"/>
        </w:rPr>
        <w:t> </w:t>
      </w:r>
      <w:r>
        <w:rPr>
          <w:spacing w:val="-79"/>
        </w:rPr>
      </w:r>
      <w:r>
        <w:rPr>
          <w:spacing w:val="-1"/>
        </w:rPr>
        <w:t>孟祥胜先生</w:t>
        <w:tab/>
      </w:r>
      <w:r>
        <w:rPr>
          <w:spacing w:val="-2"/>
        </w:rPr>
        <w:t>副总裁。（简历见前述董事介绍）</w:t>
      </w:r>
    </w:p>
    <w:p>
      <w:pPr>
        <w:pStyle w:val="BodyText"/>
        <w:tabs>
          <w:tab w:pos="995" w:val="left" w:leader="none"/>
          <w:tab w:pos="1835" w:val="left" w:leader="none"/>
        </w:tabs>
        <w:spacing w:line="240" w:lineRule="auto"/>
        <w:ind w:left="573" w:right="982"/>
        <w:jc w:val="left"/>
      </w:pPr>
      <w:r>
        <w:rPr/>
        <w:t>任</w:t>
        <w:tab/>
      </w:r>
      <w:r>
        <w:rPr>
          <w:spacing w:val="-1"/>
        </w:rPr>
        <w:t>峻先生</w:t>
        <w:tab/>
      </w:r>
      <w:r>
        <w:rPr>
          <w:spacing w:val="-2"/>
        </w:rPr>
        <w:t>副总裁、董事会秘书。（简历见前述董事介绍）</w:t>
      </w:r>
    </w:p>
    <w:p>
      <w:pPr>
        <w:spacing w:line="240" w:lineRule="auto" w:before="10"/>
        <w:rPr>
          <w:rFonts w:ascii="宋体" w:hAnsi="宋体" w:cs="宋体" w:eastAsia="宋体" w:hint="default"/>
          <w:sz w:val="14"/>
          <w:szCs w:val="14"/>
        </w:rPr>
      </w:pPr>
    </w:p>
    <w:p>
      <w:pPr>
        <w:pStyle w:val="BodyText"/>
        <w:spacing w:line="408" w:lineRule="auto" w:before="0"/>
        <w:ind w:right="1129" w:firstLine="420"/>
        <w:jc w:val="both"/>
      </w:pPr>
      <w:r>
        <w:rPr/>
        <w:t>朱 华女士</w:t>
      </w:r>
      <w:r>
        <w:rPr>
          <w:spacing w:val="79"/>
        </w:rPr>
        <w:t> </w:t>
      </w:r>
      <w:r>
        <w:rPr>
          <w:rFonts w:ascii="宋体" w:hAnsi="宋体" w:cs="宋体" w:eastAsia="宋体" w:hint="default"/>
          <w:spacing w:val="-3"/>
        </w:rPr>
        <w:t>48</w:t>
      </w:r>
      <w:r>
        <w:rPr>
          <w:spacing w:val="-3"/>
        </w:rPr>
        <w:t>岁，汉族，大专学历，曾任中外合作乐富来实业有限公司财务部经理，现任公司财务</w:t>
      </w:r>
      <w:r>
        <w:rPr>
          <w:w w:val="100"/>
        </w:rPr>
        <w:t> </w:t>
      </w:r>
      <w:r>
        <w:rPr/>
        <w:t>负责人。无在其他单位任职或兼职情况。</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三、董事、监事、高级管理人员报酬情况</w:t>
      </w:r>
      <w:r>
        <w:rPr>
          <w:b w:val="0"/>
          <w:bCs w:val="0"/>
        </w:rPr>
      </w:r>
    </w:p>
    <w:p>
      <w:pPr>
        <w:spacing w:line="240" w:lineRule="auto" w:before="8"/>
        <w:rPr>
          <w:rFonts w:ascii="宋体" w:hAnsi="宋体" w:cs="宋体" w:eastAsia="宋体" w:hint="default"/>
          <w:b/>
          <w:bCs/>
          <w:sz w:val="30"/>
          <w:szCs w:val="30"/>
        </w:rPr>
      </w:pPr>
    </w:p>
    <w:p>
      <w:pPr>
        <w:pStyle w:val="BodyText"/>
        <w:spacing w:line="410" w:lineRule="auto" w:before="0"/>
        <w:ind w:left="573" w:right="982"/>
        <w:jc w:val="left"/>
      </w:pPr>
      <w:r>
        <w:rPr>
          <w:rFonts w:ascii="宋体" w:hAnsi="宋体" w:cs="宋体" w:eastAsia="宋体" w:hint="default"/>
        </w:rPr>
        <w:t>1</w:t>
      </w:r>
      <w:r>
        <w:rPr/>
        <w:t>、董事、监事、高级管理人员报酬的决策程序及确定依据</w:t>
      </w:r>
      <w:r>
        <w:rPr>
          <w:w w:val="100"/>
        </w:rPr>
        <w:t> </w:t>
      </w:r>
      <w:r>
        <w:rPr>
          <w:spacing w:val="-7"/>
          <w:w w:val="100"/>
        </w:rPr>
        <w:t>经公司</w:t>
      </w:r>
      <w:r>
        <w:rPr>
          <w:rFonts w:ascii="宋体" w:hAnsi="宋体" w:cs="宋体" w:eastAsia="宋体" w:hint="default"/>
          <w:spacing w:val="-7"/>
          <w:w w:val="100"/>
        </w:rPr>
        <w:t>2011</w:t>
      </w:r>
      <w:r>
        <w:rPr>
          <w:spacing w:val="-7"/>
          <w:w w:val="100"/>
        </w:rPr>
        <w:t>年年度股东大会决议通过《关于调整公司董事、高级管理人员薪酬及津贴的议案》、《关于</w:t>
      </w:r>
    </w:p>
    <w:p>
      <w:pPr>
        <w:pStyle w:val="BodyText"/>
        <w:spacing w:line="408" w:lineRule="auto" w:before="44"/>
        <w:ind w:right="1126"/>
        <w:jc w:val="both"/>
      </w:pPr>
      <w:r>
        <w:rPr>
          <w:spacing w:val="-2"/>
          <w:w w:val="100"/>
        </w:rPr>
        <w:t>调整公司部分监事薪酬的议案》，对公司董事、高级管理人员及公司监事李建颖女士、汪晓玲女士自</w:t>
      </w:r>
      <w:r>
        <w:rPr>
          <w:rFonts w:ascii="宋体" w:hAnsi="宋体" w:cs="宋体" w:eastAsia="宋体" w:hint="default"/>
          <w:spacing w:val="-2"/>
          <w:w w:val="100"/>
        </w:rPr>
        <w:t>2012</w:t>
      </w:r>
      <w:r>
        <w:rPr>
          <w:rFonts w:ascii="宋体" w:hAnsi="宋体" w:cs="宋体" w:eastAsia="宋体" w:hint="default"/>
          <w:spacing w:val="-88"/>
          <w:w w:val="100"/>
        </w:rPr>
        <w:t> </w:t>
      </w:r>
      <w:r>
        <w:rPr>
          <w:rFonts w:ascii="宋体" w:hAnsi="宋体" w:cs="宋体" w:eastAsia="宋体" w:hint="default"/>
          <w:spacing w:val="-88"/>
          <w:w w:val="100"/>
        </w:rPr>
      </w:r>
      <w:r>
        <w:rPr>
          <w:spacing w:val="-2"/>
        </w:rPr>
        <w:t>年起的薪酬及津贴进行了调整；另公司监事肖忠祥先生薪酬经公司</w:t>
      </w:r>
      <w:r>
        <w:rPr>
          <w:rFonts w:ascii="宋体" w:hAnsi="宋体" w:cs="宋体" w:eastAsia="宋体" w:hint="default"/>
          <w:spacing w:val="-2"/>
        </w:rPr>
        <w:t>2012</w:t>
      </w:r>
      <w:r>
        <w:rPr>
          <w:spacing w:val="-2"/>
        </w:rPr>
        <w:t>年第一次职工代表大会审议通过予</w:t>
      </w:r>
      <w:r>
        <w:rPr>
          <w:spacing w:val="-39"/>
        </w:rPr>
        <w:t> </w:t>
      </w:r>
      <w:r>
        <w:rPr>
          <w:spacing w:val="-39"/>
        </w:rPr>
      </w:r>
      <w:r>
        <w:rPr/>
        <w:t>以调整。</w:t>
      </w:r>
    </w:p>
    <w:p>
      <w:pPr>
        <w:pStyle w:val="BodyText"/>
        <w:spacing w:line="408" w:lineRule="auto"/>
        <w:ind w:right="1126" w:firstLine="420"/>
        <w:jc w:val="both"/>
      </w:pPr>
      <w:r>
        <w:rPr>
          <w:spacing w:val="-2"/>
        </w:rPr>
        <w:t>公司董事、监事、高级管理人员按其职责根据相关考核指标领取报酬。公司独立董事年度津贴为</w:t>
      </w:r>
      <w:r>
        <w:rPr>
          <w:rFonts w:ascii="宋体" w:hAnsi="宋体" w:cs="宋体" w:eastAsia="宋体" w:hint="default"/>
          <w:spacing w:val="-2"/>
        </w:rPr>
        <w:t>10</w:t>
      </w:r>
      <w:r>
        <w:rPr>
          <w:spacing w:val="-2"/>
        </w:rPr>
        <w:t>万</w:t>
      </w:r>
      <w:r>
        <w:rPr>
          <w:w w:val="100"/>
        </w:rPr>
        <w:t> </w:t>
      </w:r>
      <w:r>
        <w:rPr>
          <w:spacing w:val="-4"/>
          <w:w w:val="100"/>
        </w:rPr>
        <w:t>元</w:t>
      </w:r>
      <w:r>
        <w:rPr>
          <w:rFonts w:ascii="宋体" w:hAnsi="宋体" w:cs="宋体" w:eastAsia="宋体" w:hint="default"/>
          <w:spacing w:val="-4"/>
          <w:w w:val="100"/>
        </w:rPr>
        <w:t>/</w:t>
      </w:r>
      <w:r>
        <w:rPr>
          <w:spacing w:val="-4"/>
          <w:w w:val="100"/>
        </w:rPr>
        <w:t>年（含税）。公司董事会薪酬与考核委员会对董事、监事、高级管理人员取得薪酬情况进行审核。</w:t>
      </w:r>
    </w:p>
    <w:p>
      <w:pPr>
        <w:spacing w:after="0" w:line="408" w:lineRule="auto"/>
        <w:jc w:val="both"/>
        <w:sectPr>
          <w:pgSz w:w="11910" w:h="16840"/>
          <w:pgMar w:header="0" w:footer="1340" w:top="110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240" w:lineRule="auto" w:before="36"/>
        <w:ind w:left="573" w:right="982"/>
        <w:jc w:val="left"/>
      </w:pPr>
      <w:r>
        <w:rPr>
          <w:rFonts w:ascii="宋体" w:hAnsi="宋体" w:cs="宋体" w:eastAsia="宋体" w:hint="default"/>
        </w:rPr>
        <w:t>2</w:t>
      </w:r>
      <w:r>
        <w:rPr/>
        <w:t>、公司报告期内董事、监事和高级管理人员报酬情况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36"/>
        <w:ind w:left="0" w:right="1049"/>
        <w:jc w:val="right"/>
      </w:pPr>
      <w:r>
        <w:rPr/>
        <w:pict>
          <v:shape style="position:absolute;margin-left:390.433838pt;margin-top:2.423701pt;width:79.1pt;height:15.6pt;mso-position-horizontal-relative:page;mso-position-vertical-relative:paragraph;z-index:-1596688" type="#_x0000_t202" filled="false" stroked="false">
            <v:textbox inset="0,0,0,0">
              <w:txbxContent>
                <w:p>
                  <w:pPr>
                    <w:pStyle w:val="BodyText"/>
                    <w:spacing w:line="262" w:lineRule="exact" w:before="0"/>
                    <w:ind w:left="0" w:right="0"/>
                    <w:jc w:val="left"/>
                  </w:pPr>
                  <w:r>
                    <w:rPr>
                      <w:w w:val="100"/>
                    </w:rPr>
                    <w:t>）</w:t>
                  </w:r>
                </w:p>
              </w:txbxContent>
            </v:textbox>
            <w10:wrap type="none"/>
          </v:shape>
        </w:pict>
      </w:r>
      <w:r>
        <w:rPr/>
        <w:pict>
          <v:shape style="position:absolute;margin-left:176.901917pt;margin-top:85.508698pt;width:54.05pt;height:20.85pt;mso-position-horizontal-relative:page;mso-position-vertical-relative:paragraph;z-index:-1596664" type="#_x0000_t202" filled="false" stroked="false">
            <v:textbox inset="0,0,0,0">
              <w:txbxContent>
                <w:p>
                  <w:pPr>
                    <w:pStyle w:val="BodyText"/>
                    <w:spacing w:line="211" w:lineRule="exact" w:before="0"/>
                    <w:ind w:left="0" w:right="0"/>
                    <w:jc w:val="left"/>
                  </w:pPr>
                  <w:r>
                    <w:rPr/>
                    <w:t>裁、</w:t>
                  </w:r>
                </w:p>
              </w:txbxContent>
            </v:textbox>
            <w10:wrap type="none"/>
          </v:shape>
        </w:pict>
      </w:r>
      <w:r>
        <w:rPr/>
        <w:pict>
          <v:shape style="position:absolute;margin-left:54.959999pt;margin-top:-29.256298pt;width:484.2pt;height:272.7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0"/>
                    <w:gridCol w:w="1388"/>
                    <w:gridCol w:w="763"/>
                    <w:gridCol w:w="761"/>
                    <w:gridCol w:w="1121"/>
                    <w:gridCol w:w="1411"/>
                    <w:gridCol w:w="1481"/>
                    <w:gridCol w:w="1354"/>
                  </w:tblGrid>
                  <w:tr>
                    <w:trPr>
                      <w:trHeight w:val="946" w:hRule="exact"/>
                    </w:trPr>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80" w:right="65" w:hanging="209"/>
                          <w:jc w:val="left"/>
                          <w:rPr>
                            <w:rFonts w:ascii="宋体" w:hAnsi="宋体" w:cs="宋体" w:eastAsia="宋体" w:hint="default"/>
                            <w:sz w:val="21"/>
                            <w:szCs w:val="21"/>
                          </w:rPr>
                        </w:pPr>
                        <w:r>
                          <w:rPr>
                            <w:rFonts w:ascii="宋体" w:hAnsi="宋体" w:cs="宋体" w:eastAsia="宋体" w:hint="default"/>
                            <w:sz w:val="21"/>
                            <w:szCs w:val="21"/>
                          </w:rPr>
                          <w:t>从公司获得的</w:t>
                        </w:r>
                        <w:r>
                          <w:rPr>
                            <w:rFonts w:ascii="宋体" w:hAnsi="宋体" w:cs="宋体" w:eastAsia="宋体" w:hint="default"/>
                            <w:w w:val="100"/>
                            <w:sz w:val="21"/>
                            <w:szCs w:val="21"/>
                          </w:rPr>
                          <w:t> </w:t>
                        </w:r>
                        <w:r>
                          <w:rPr>
                            <w:rFonts w:ascii="宋体" w:hAnsi="宋体" w:cs="宋体" w:eastAsia="宋体" w:hint="default"/>
                            <w:sz w:val="21"/>
                            <w:szCs w:val="21"/>
                          </w:rPr>
                          <w:t>报酬总额</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pacing w:val="-3"/>
                            <w:sz w:val="21"/>
                            <w:szCs w:val="21"/>
                          </w:rPr>
                          <w:t>（税前、万元</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7" w:right="99"/>
                          <w:jc w:val="left"/>
                          <w:rPr>
                            <w:rFonts w:ascii="宋体" w:hAnsi="宋体" w:cs="宋体" w:eastAsia="宋体" w:hint="default"/>
                            <w:sz w:val="21"/>
                            <w:szCs w:val="21"/>
                          </w:rPr>
                        </w:pPr>
                        <w:r>
                          <w:rPr>
                            <w:rFonts w:ascii="宋体" w:hAnsi="宋体" w:cs="宋体" w:eastAsia="宋体" w:hint="default"/>
                            <w:sz w:val="21"/>
                            <w:szCs w:val="21"/>
                          </w:rPr>
                          <w:t>从股东单位获</w:t>
                        </w:r>
                        <w:r>
                          <w:rPr>
                            <w:rFonts w:ascii="宋体" w:hAnsi="宋体" w:cs="宋体" w:eastAsia="宋体" w:hint="default"/>
                            <w:w w:val="100"/>
                            <w:sz w:val="21"/>
                            <w:szCs w:val="21"/>
                          </w:rPr>
                          <w:t> </w:t>
                        </w:r>
                        <w:r>
                          <w:rPr>
                            <w:rFonts w:ascii="宋体" w:hAnsi="宋体" w:cs="宋体" w:eastAsia="宋体" w:hint="default"/>
                            <w:sz w:val="21"/>
                            <w:szCs w:val="21"/>
                          </w:rPr>
                          <w:t>得的报酬总额</w:t>
                        </w:r>
                      </w:p>
                      <w:p>
                        <w:pPr>
                          <w:pStyle w:val="TableParagraph"/>
                          <w:spacing w:line="240" w:lineRule="auto" w:before="7"/>
                          <w:ind w:left="26" w:right="-29"/>
                          <w:jc w:val="left"/>
                          <w:rPr>
                            <w:rFonts w:ascii="宋体" w:hAnsi="宋体" w:cs="宋体" w:eastAsia="宋体" w:hint="default"/>
                            <w:sz w:val="21"/>
                            <w:szCs w:val="21"/>
                          </w:rPr>
                        </w:pPr>
                        <w:r>
                          <w:rPr>
                            <w:rFonts w:ascii="宋体" w:hAnsi="宋体" w:cs="宋体" w:eastAsia="宋体" w:hint="default"/>
                            <w:sz w:val="21"/>
                            <w:szCs w:val="21"/>
                          </w:rPr>
                          <w:t>（税前、万元）</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51" w:right="36" w:hanging="209"/>
                          <w:jc w:val="left"/>
                          <w:rPr>
                            <w:rFonts w:ascii="宋体" w:hAnsi="宋体" w:cs="宋体" w:eastAsia="宋体" w:hint="default"/>
                            <w:sz w:val="21"/>
                            <w:szCs w:val="21"/>
                          </w:rPr>
                        </w:pPr>
                        <w:r>
                          <w:rPr>
                            <w:rFonts w:ascii="宋体" w:hAnsi="宋体" w:cs="宋体" w:eastAsia="宋体" w:hint="default"/>
                            <w:sz w:val="21"/>
                            <w:szCs w:val="21"/>
                          </w:rPr>
                          <w:t>报告期末实际</w:t>
                        </w:r>
                        <w:r>
                          <w:rPr>
                            <w:rFonts w:ascii="宋体" w:hAnsi="宋体" w:cs="宋体" w:eastAsia="宋体" w:hint="default"/>
                            <w:w w:val="100"/>
                            <w:sz w:val="21"/>
                            <w:szCs w:val="21"/>
                          </w:rPr>
                          <w:t> </w:t>
                        </w:r>
                        <w:r>
                          <w:rPr>
                            <w:rFonts w:ascii="宋体" w:hAnsi="宋体" w:cs="宋体" w:eastAsia="宋体" w:hint="default"/>
                            <w:sz w:val="21"/>
                            <w:szCs w:val="21"/>
                          </w:rPr>
                          <w:t>所得报酬</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pacing w:val="-12"/>
                            <w:sz w:val="21"/>
                            <w:szCs w:val="21"/>
                          </w:rPr>
                          <w:t>（税前、万元</w:t>
                        </w:r>
                      </w:p>
                    </w:tc>
                  </w:tr>
                  <w:tr>
                    <w:trPr>
                      <w:trHeight w:val="322"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张近东</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50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180.00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180.00</w:t>
                        </w:r>
                      </w:p>
                    </w:tc>
                  </w:tr>
                  <w:tr>
                    <w:trPr>
                      <w:trHeight w:val="322"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孙为民</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50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150.00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150.00</w:t>
                        </w:r>
                      </w:p>
                    </w:tc>
                  </w:tr>
                  <w:tr>
                    <w:trPr>
                      <w:trHeight w:val="32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金</w:t>
                          <w:tab/>
                          <w:t>明</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21"/>
                            <w:szCs w:val="21"/>
                          </w:rPr>
                        </w:pPr>
                        <w:r>
                          <w:rPr>
                            <w:rFonts w:ascii="Times New Roman"/>
                            <w:sz w:val="21"/>
                          </w:rPr>
                          <w:t>42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z w:val="21"/>
                          </w:rPr>
                          <w:t>150.00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z w:val="21"/>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z w:val="21"/>
                          </w:rPr>
                          <w:t>150.00</w:t>
                        </w:r>
                      </w:p>
                    </w:tc>
                  </w:tr>
                  <w:tr>
                    <w:trPr>
                      <w:trHeight w:val="322"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孟祥胜</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41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100.00</w:t>
                        </w:r>
                      </w:p>
                    </w:tc>
                  </w:tr>
                  <w:tr>
                    <w:trPr>
                      <w:trHeight w:val="63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任</w:t>
                          <w:tab/>
                          <w:t>峻</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34"/>
                          <w:jc w:val="left"/>
                          <w:rPr>
                            <w:rFonts w:ascii="宋体" w:hAnsi="宋体" w:cs="宋体" w:eastAsia="宋体" w:hint="default"/>
                            <w:sz w:val="21"/>
                            <w:szCs w:val="21"/>
                          </w:rPr>
                        </w:pPr>
                        <w:r>
                          <w:rPr>
                            <w:rFonts w:ascii="宋体" w:hAnsi="宋体" w:cs="宋体" w:eastAsia="宋体" w:hint="default"/>
                            <w:spacing w:val="-8"/>
                            <w:sz w:val="21"/>
                            <w:szCs w:val="21"/>
                          </w:rPr>
                          <w:t>董事、副总</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董秘</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tc>
                  </w:tr>
                  <w:tr>
                    <w:trPr>
                      <w:trHeight w:val="322"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李</w:t>
                          <w:tab/>
                          <w:t>东</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Times New Roman" w:hAnsi="Times New Roman" w:cs="Times New Roman" w:eastAsia="Times New Roman" w:hint="default"/>
                            <w:sz w:val="21"/>
                            <w:szCs w:val="21"/>
                          </w:rPr>
                        </w:pPr>
                        <w:r>
                          <w:rPr>
                            <w:rFonts w:ascii="Times New Roman"/>
                            <w:sz w:val="21"/>
                          </w:rPr>
                          <w:t>52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z w:val="21"/>
                          </w:rPr>
                          <w:t>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z w:val="21"/>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z w:val="21"/>
                          </w:rPr>
                          <w:t>10.00</w:t>
                        </w:r>
                      </w:p>
                    </w:tc>
                  </w:tr>
                  <w:tr>
                    <w:trPr>
                      <w:trHeight w:val="322"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沈坤荣</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50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10.00</w:t>
                        </w:r>
                      </w:p>
                    </w:tc>
                  </w:tr>
                  <w:tr>
                    <w:trPr>
                      <w:trHeight w:val="322"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孙剑平</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60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10.00</w:t>
                        </w:r>
                      </w:p>
                    </w:tc>
                  </w:tr>
                  <w:tr>
                    <w:trPr>
                      <w:trHeight w:val="32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戴新民</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21"/>
                            <w:szCs w:val="21"/>
                          </w:rPr>
                        </w:pPr>
                        <w:r>
                          <w:rPr>
                            <w:rFonts w:ascii="Times New Roman"/>
                            <w:sz w:val="21"/>
                          </w:rPr>
                          <w:t>51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z w:val="21"/>
                          </w:rPr>
                          <w:t>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z w:val="21"/>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z w:val="21"/>
                          </w:rPr>
                          <w:t>10.00</w:t>
                        </w:r>
                      </w:p>
                    </w:tc>
                  </w:tr>
                  <w:tr>
                    <w:trPr>
                      <w:trHeight w:val="322"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李建颖</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44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40.00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40.00</w:t>
                        </w:r>
                      </w:p>
                    </w:tc>
                  </w:tr>
                  <w:tr>
                    <w:trPr>
                      <w:trHeight w:val="322"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汪晓玲</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40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20.00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20.00</w:t>
                        </w:r>
                      </w:p>
                    </w:tc>
                  </w:tr>
                  <w:tr>
                    <w:trPr>
                      <w:trHeight w:val="322"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肖忠祥</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42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20.00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20.00</w:t>
                        </w:r>
                      </w:p>
                    </w:tc>
                  </w:tr>
                  <w:tr>
                    <w:trPr>
                      <w:trHeight w:val="322"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朱</w:t>
                          <w:tab/>
                          <w:t>华</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48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40.00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40.00</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line="480" w:lineRule="exact"/>
        <w:ind w:left="2906"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37.7pt;height:24pt;mso-position-horizontal-relative:char;mso-position-vertical-relative:line" coordorigin="0,0" coordsize="754,480">
            <v:group style="position:absolute;left:0;top:0;width:754;height:156" coordorigin="0,0" coordsize="754,156">
              <v:shape style="position:absolute;left:0;top:0;width:754;height:156" coordorigin="0,0" coordsize="754,156" path="m0,156l754,156,754,0,0,0,0,156xe" filled="true" fillcolor="#ffffff" stroked="false">
                <v:path arrowok="t"/>
                <v:fill type="solid"/>
              </v:shape>
            </v:group>
            <v:group style="position:absolute;left:12;top:156;width:2;height:312" coordorigin="12,156" coordsize="2,312">
              <v:shape style="position:absolute;left:12;top:156;width:2;height:312" coordorigin="12,156" coordsize="0,312" path="m12,156l12,468e" filled="false" stroked="true" strokeweight="1.2pt" strokecolor="#ffffff">
                <v:path arrowok="t"/>
              </v:shape>
            </v:group>
            <v:group style="position:absolute;left:24;top:156;width:708;height:312" coordorigin="24,156" coordsize="708,312">
              <v:shape style="position:absolute;left:24;top:156;width:708;height:312" coordorigin="24,156" coordsize="708,312" path="m24,468l732,468,732,156,24,156,24,468xe" filled="true" fillcolor="#ffffff" stroked="false">
                <v:path arrowok="t"/>
                <v:fill type="solid"/>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573" w:right="982"/>
        <w:jc w:val="left"/>
      </w:pPr>
      <w:r>
        <w:rPr>
          <w:rFonts w:ascii="宋体" w:hAnsi="宋体" w:cs="宋体" w:eastAsia="宋体" w:hint="default"/>
        </w:rPr>
        <w:t>3</w:t>
      </w:r>
      <w:r>
        <w:rPr/>
        <w:t>、公司董事、监事、高级管理人员报告期内被授予的股权激励情况</w:t>
      </w:r>
    </w:p>
    <w:p>
      <w:pPr>
        <w:spacing w:line="240" w:lineRule="auto" w:before="12"/>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972"/>
        <w:gridCol w:w="970"/>
        <w:gridCol w:w="970"/>
        <w:gridCol w:w="970"/>
        <w:gridCol w:w="970"/>
        <w:gridCol w:w="970"/>
        <w:gridCol w:w="967"/>
        <w:gridCol w:w="970"/>
        <w:gridCol w:w="970"/>
        <w:gridCol w:w="970"/>
      </w:tblGrid>
      <w:tr>
        <w:trPr>
          <w:trHeight w:val="1571" w:hRule="exact"/>
        </w:trPr>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59" w:right="56"/>
              <w:jc w:val="both"/>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可行权股</w:t>
            </w:r>
            <w:r>
              <w:rPr>
                <w:rFonts w:ascii="宋体" w:hAnsi="宋体" w:cs="宋体" w:eastAsia="宋体" w:hint="default"/>
                <w:w w:val="100"/>
                <w:sz w:val="21"/>
                <w:szCs w:val="21"/>
              </w:rPr>
              <w:t> </w:t>
            </w:r>
            <w:r>
              <w:rPr>
                <w:rFonts w:ascii="宋体" w:hAnsi="宋体" w:cs="宋体" w:eastAsia="宋体" w:hint="default"/>
                <w:sz w:val="21"/>
                <w:szCs w:val="21"/>
              </w:rPr>
              <w:t>数（股）</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60" w:right="55"/>
              <w:jc w:val="both"/>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已行权股</w:t>
            </w:r>
            <w:r>
              <w:rPr>
                <w:rFonts w:ascii="宋体" w:hAnsi="宋体" w:cs="宋体" w:eastAsia="宋体" w:hint="default"/>
                <w:w w:val="100"/>
                <w:sz w:val="21"/>
                <w:szCs w:val="21"/>
              </w:rPr>
              <w:t> </w:t>
            </w:r>
            <w:r>
              <w:rPr>
                <w:rFonts w:ascii="宋体" w:hAnsi="宋体" w:cs="宋体" w:eastAsia="宋体" w:hint="default"/>
                <w:sz w:val="21"/>
                <w:szCs w:val="21"/>
              </w:rPr>
              <w:t>数（股）</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0" w:right="55"/>
              <w:jc w:val="center"/>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已行权股</w:t>
            </w:r>
            <w:r>
              <w:rPr>
                <w:rFonts w:ascii="宋体" w:hAnsi="宋体" w:cs="宋体" w:eastAsia="宋体" w:hint="default"/>
                <w:w w:val="100"/>
                <w:sz w:val="21"/>
                <w:szCs w:val="21"/>
              </w:rPr>
              <w:t> </w:t>
            </w:r>
            <w:r>
              <w:rPr>
                <w:rFonts w:ascii="宋体" w:hAnsi="宋体" w:cs="宋体" w:eastAsia="宋体" w:hint="default"/>
                <w:sz w:val="21"/>
                <w:szCs w:val="21"/>
              </w:rPr>
              <w:t>数行权价</w:t>
            </w:r>
            <w:r>
              <w:rPr>
                <w:rFonts w:ascii="宋体" w:hAnsi="宋体" w:cs="宋体" w:eastAsia="宋体" w:hint="default"/>
                <w:w w:val="100"/>
                <w:sz w:val="21"/>
                <w:szCs w:val="21"/>
              </w:rPr>
              <w:t> </w:t>
            </w:r>
            <w:r>
              <w:rPr>
                <w:rFonts w:ascii="宋体" w:hAnsi="宋体" w:cs="宋体" w:eastAsia="宋体" w:hint="default"/>
                <w:sz w:val="21"/>
                <w:szCs w:val="21"/>
              </w:rPr>
              <w:t>格（元</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23" w:right="19" w:hanging="1"/>
              <w:jc w:val="center"/>
              <w:rPr>
                <w:rFonts w:ascii="宋体" w:hAnsi="宋体" w:cs="宋体" w:eastAsia="宋体" w:hint="default"/>
                <w:sz w:val="21"/>
                <w:szCs w:val="21"/>
              </w:rPr>
            </w:pPr>
            <w:r>
              <w:rPr>
                <w:rFonts w:ascii="宋体" w:hAnsi="宋体" w:cs="宋体" w:eastAsia="宋体" w:hint="default"/>
                <w:sz w:val="21"/>
                <w:szCs w:val="21"/>
              </w:rPr>
              <w:t>报告期末</w:t>
            </w:r>
            <w:r>
              <w:rPr>
                <w:rFonts w:ascii="宋体" w:hAnsi="宋体" w:cs="宋体" w:eastAsia="宋体" w:hint="default"/>
                <w:w w:val="100"/>
                <w:sz w:val="21"/>
                <w:szCs w:val="21"/>
              </w:rPr>
              <w:t> </w:t>
            </w:r>
            <w:r>
              <w:rPr>
                <w:rFonts w:ascii="宋体" w:hAnsi="宋体" w:cs="宋体" w:eastAsia="宋体" w:hint="default"/>
                <w:spacing w:val="-8"/>
                <w:sz w:val="21"/>
                <w:szCs w:val="21"/>
              </w:rPr>
              <w:t>市价（元</w:t>
            </w:r>
            <w:r>
              <w:rPr>
                <w:rFonts w:ascii="宋体" w:hAnsi="宋体" w:cs="宋体" w:eastAsia="宋体" w:hint="default"/>
                <w:spacing w:val="-8"/>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60" w:right="53"/>
              <w:jc w:val="both"/>
              <w:rPr>
                <w:rFonts w:ascii="宋体" w:hAnsi="宋体" w:cs="宋体" w:eastAsia="宋体" w:hint="default"/>
                <w:sz w:val="21"/>
                <w:szCs w:val="21"/>
              </w:rPr>
            </w:pPr>
            <w:r>
              <w:rPr>
                <w:rFonts w:ascii="宋体" w:hAnsi="宋体" w:cs="宋体" w:eastAsia="宋体" w:hint="default"/>
                <w:sz w:val="21"/>
                <w:szCs w:val="21"/>
              </w:rPr>
              <w:t>期初持有</w:t>
            </w:r>
            <w:r>
              <w:rPr>
                <w:rFonts w:ascii="宋体" w:hAnsi="宋体" w:cs="宋体" w:eastAsia="宋体" w:hint="default"/>
                <w:w w:val="100"/>
                <w:sz w:val="21"/>
                <w:szCs w:val="21"/>
              </w:rPr>
              <w:t> </w:t>
            </w:r>
            <w:r>
              <w:rPr>
                <w:rFonts w:ascii="宋体" w:hAnsi="宋体" w:cs="宋体" w:eastAsia="宋体" w:hint="default"/>
                <w:sz w:val="21"/>
                <w:szCs w:val="21"/>
              </w:rPr>
              <w:t>限制性股</w:t>
            </w:r>
            <w:r>
              <w:rPr>
                <w:rFonts w:ascii="宋体" w:hAnsi="宋体" w:cs="宋体" w:eastAsia="宋体" w:hint="default"/>
                <w:w w:val="100"/>
                <w:sz w:val="21"/>
                <w:szCs w:val="21"/>
              </w:rPr>
              <w:t> </w:t>
            </w:r>
            <w:r>
              <w:rPr>
                <w:rFonts w:ascii="宋体" w:hAnsi="宋体" w:cs="宋体" w:eastAsia="宋体" w:hint="default"/>
                <w:sz w:val="21"/>
                <w:szCs w:val="21"/>
              </w:rPr>
              <w:t>票数量</w:t>
            </w:r>
          </w:p>
          <w:p>
            <w:pPr>
              <w:pStyle w:val="TableParagraph"/>
              <w:spacing w:line="240" w:lineRule="auto" w:before="7"/>
              <w:ind w:left="16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60" w:right="56"/>
              <w:jc w:val="both"/>
              <w:rPr>
                <w:rFonts w:ascii="宋体" w:hAnsi="宋体" w:cs="宋体" w:eastAsia="宋体" w:hint="default"/>
                <w:sz w:val="21"/>
                <w:szCs w:val="21"/>
              </w:rPr>
            </w:pPr>
            <w:r>
              <w:rPr>
                <w:rFonts w:ascii="宋体" w:hAnsi="宋体" w:cs="宋体" w:eastAsia="宋体" w:hint="default"/>
                <w:sz w:val="21"/>
                <w:szCs w:val="21"/>
              </w:rPr>
              <w:t>报告期新</w:t>
            </w:r>
            <w:r>
              <w:rPr>
                <w:rFonts w:ascii="宋体" w:hAnsi="宋体" w:cs="宋体" w:eastAsia="宋体" w:hint="default"/>
                <w:w w:val="100"/>
                <w:sz w:val="21"/>
                <w:szCs w:val="21"/>
              </w:rPr>
              <w:t> </w:t>
            </w:r>
            <w:r>
              <w:rPr>
                <w:rFonts w:ascii="宋体" w:hAnsi="宋体" w:cs="宋体" w:eastAsia="宋体" w:hint="default"/>
                <w:sz w:val="21"/>
                <w:szCs w:val="21"/>
              </w:rPr>
              <w:t>授予限制</w:t>
            </w:r>
            <w:r>
              <w:rPr>
                <w:rFonts w:ascii="宋体" w:hAnsi="宋体" w:cs="宋体" w:eastAsia="宋体" w:hint="default"/>
                <w:w w:val="100"/>
                <w:sz w:val="21"/>
                <w:szCs w:val="21"/>
              </w:rPr>
              <w:t> </w:t>
            </w:r>
            <w:r>
              <w:rPr>
                <w:rFonts w:ascii="宋体" w:hAnsi="宋体" w:cs="宋体" w:eastAsia="宋体" w:hint="default"/>
                <w:sz w:val="21"/>
                <w:szCs w:val="21"/>
              </w:rPr>
              <w:t>性股票数</w:t>
            </w:r>
            <w:r>
              <w:rPr>
                <w:rFonts w:ascii="宋体" w:hAnsi="宋体" w:cs="宋体" w:eastAsia="宋体" w:hint="default"/>
                <w:w w:val="100"/>
                <w:sz w:val="21"/>
                <w:szCs w:val="21"/>
              </w:rPr>
              <w:t> </w:t>
            </w:r>
            <w:r>
              <w:rPr>
                <w:rFonts w:ascii="宋体" w:hAnsi="宋体" w:cs="宋体" w:eastAsia="宋体" w:hint="default"/>
                <w:sz w:val="21"/>
                <w:szCs w:val="21"/>
              </w:rPr>
              <w:t>量（股）</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23" w:right="19"/>
              <w:jc w:val="center"/>
              <w:rPr>
                <w:rFonts w:ascii="宋体" w:hAnsi="宋体" w:cs="宋体" w:eastAsia="宋体" w:hint="default"/>
                <w:sz w:val="21"/>
                <w:szCs w:val="21"/>
              </w:rPr>
            </w:pPr>
            <w:r>
              <w:rPr>
                <w:rFonts w:ascii="宋体" w:hAnsi="宋体" w:cs="宋体" w:eastAsia="宋体" w:hint="default"/>
                <w:sz w:val="21"/>
                <w:szCs w:val="21"/>
              </w:rPr>
              <w:t>限制性股</w:t>
            </w:r>
            <w:r>
              <w:rPr>
                <w:rFonts w:ascii="宋体" w:hAnsi="宋体" w:cs="宋体" w:eastAsia="宋体" w:hint="default"/>
                <w:w w:val="100"/>
                <w:sz w:val="21"/>
                <w:szCs w:val="21"/>
              </w:rPr>
              <w:t> </w:t>
            </w:r>
            <w:r>
              <w:rPr>
                <w:rFonts w:ascii="宋体" w:hAnsi="宋体" w:cs="宋体" w:eastAsia="宋体" w:hint="default"/>
                <w:sz w:val="21"/>
                <w:szCs w:val="21"/>
              </w:rPr>
              <w:t>票的授予</w:t>
            </w:r>
            <w:r>
              <w:rPr>
                <w:rFonts w:ascii="宋体" w:hAnsi="宋体" w:cs="宋体" w:eastAsia="宋体" w:hint="default"/>
                <w:w w:val="100"/>
                <w:sz w:val="21"/>
                <w:szCs w:val="21"/>
              </w:rPr>
              <w:t> </w:t>
            </w:r>
            <w:r>
              <w:rPr>
                <w:rFonts w:ascii="宋体" w:hAnsi="宋体" w:cs="宋体" w:eastAsia="宋体" w:hint="default"/>
                <w:spacing w:val="-8"/>
                <w:sz w:val="21"/>
                <w:szCs w:val="21"/>
              </w:rPr>
              <w:t>价格（元</w:t>
            </w:r>
            <w:r>
              <w:rPr>
                <w:rFonts w:ascii="宋体" w:hAnsi="宋体" w:cs="宋体" w:eastAsia="宋体" w:hint="default"/>
                <w:spacing w:val="-8"/>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60" w:right="55"/>
              <w:jc w:val="both"/>
              <w:rPr>
                <w:rFonts w:ascii="宋体" w:hAnsi="宋体" w:cs="宋体" w:eastAsia="宋体" w:hint="default"/>
                <w:sz w:val="21"/>
                <w:szCs w:val="21"/>
              </w:rPr>
            </w:pPr>
            <w:r>
              <w:rPr>
                <w:rFonts w:ascii="宋体" w:hAnsi="宋体" w:cs="宋体" w:eastAsia="宋体" w:hint="default"/>
                <w:sz w:val="21"/>
                <w:szCs w:val="21"/>
              </w:rPr>
              <w:t>期末持有</w:t>
            </w:r>
            <w:r>
              <w:rPr>
                <w:rFonts w:ascii="宋体" w:hAnsi="宋体" w:cs="宋体" w:eastAsia="宋体" w:hint="default"/>
                <w:w w:val="100"/>
                <w:sz w:val="21"/>
                <w:szCs w:val="21"/>
              </w:rPr>
              <w:t> </w:t>
            </w:r>
            <w:r>
              <w:rPr>
                <w:rFonts w:ascii="宋体" w:hAnsi="宋体" w:cs="宋体" w:eastAsia="宋体" w:hint="default"/>
                <w:sz w:val="21"/>
                <w:szCs w:val="21"/>
              </w:rPr>
              <w:t>限制性股</w:t>
            </w:r>
            <w:r>
              <w:rPr>
                <w:rFonts w:ascii="宋体" w:hAnsi="宋体" w:cs="宋体" w:eastAsia="宋体" w:hint="default"/>
                <w:w w:val="100"/>
                <w:sz w:val="21"/>
                <w:szCs w:val="21"/>
              </w:rPr>
              <w:t> </w:t>
            </w:r>
            <w:r>
              <w:rPr>
                <w:rFonts w:ascii="宋体" w:hAnsi="宋体" w:cs="宋体" w:eastAsia="宋体" w:hint="default"/>
                <w:sz w:val="21"/>
                <w:szCs w:val="21"/>
              </w:rPr>
              <w:t>票数量</w:t>
            </w:r>
          </w:p>
          <w:p>
            <w:pPr>
              <w:pStyle w:val="TableParagraph"/>
              <w:spacing w:line="240" w:lineRule="auto" w:before="7"/>
              <w:ind w:left="163" w:right="0"/>
              <w:jc w:val="left"/>
              <w:rPr>
                <w:rFonts w:ascii="宋体" w:hAnsi="宋体" w:cs="宋体" w:eastAsia="宋体" w:hint="default"/>
                <w:sz w:val="21"/>
                <w:szCs w:val="21"/>
              </w:rPr>
            </w:pPr>
            <w:r>
              <w:rPr>
                <w:rFonts w:ascii="宋体" w:hAnsi="宋体" w:cs="宋体" w:eastAsia="宋体" w:hint="default"/>
                <w:sz w:val="21"/>
                <w:szCs w:val="21"/>
              </w:rPr>
              <w:t>（股）</w:t>
            </w:r>
          </w:p>
        </w:tc>
      </w:tr>
      <w:tr>
        <w:trPr>
          <w:trHeight w:val="322"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孙为民</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7"/>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750,000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6.65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金</w:t>
              <w:tab/>
              <w:t>明</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91"/>
              <w:jc w:val="left"/>
              <w:rPr>
                <w:rFonts w:ascii="宋体" w:hAnsi="宋体" w:cs="宋体" w:eastAsia="宋体" w:hint="default"/>
                <w:sz w:val="21"/>
                <w:szCs w:val="21"/>
              </w:rPr>
            </w:pPr>
            <w:r>
              <w:rPr>
                <w:rFonts w:ascii="宋体" w:hAnsi="宋体" w:cs="宋体" w:eastAsia="宋体" w:hint="default"/>
                <w:sz w:val="21"/>
                <w:szCs w:val="21"/>
              </w:rPr>
              <w:t>董事、总</w:t>
            </w:r>
            <w:r>
              <w:rPr>
                <w:rFonts w:ascii="宋体" w:hAnsi="宋体" w:cs="宋体" w:eastAsia="宋体" w:hint="default"/>
                <w:w w:val="100"/>
                <w:sz w:val="21"/>
                <w:szCs w:val="21"/>
              </w:rPr>
              <w:t> </w:t>
            </w:r>
            <w:r>
              <w:rPr>
                <w:rFonts w:ascii="宋体" w:hAnsi="宋体" w:cs="宋体" w:eastAsia="宋体" w:hint="default"/>
                <w:sz w:val="21"/>
                <w:szCs w:val="21"/>
              </w:rPr>
              <w:t>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750,000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6.65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孟祥胜</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91"/>
              <w:jc w:val="left"/>
              <w:rPr>
                <w:rFonts w:ascii="宋体" w:hAnsi="宋体" w:cs="宋体" w:eastAsia="宋体" w:hint="default"/>
                <w:sz w:val="21"/>
                <w:szCs w:val="21"/>
              </w:rPr>
            </w:pPr>
            <w:r>
              <w:rPr>
                <w:rFonts w:ascii="宋体" w:hAnsi="宋体" w:cs="宋体" w:eastAsia="宋体" w:hint="default"/>
                <w:sz w:val="21"/>
                <w:szCs w:val="21"/>
              </w:rPr>
              <w:t>董事、副</w:t>
            </w:r>
            <w:r>
              <w:rPr>
                <w:rFonts w:ascii="宋体" w:hAnsi="宋体" w:cs="宋体" w:eastAsia="宋体" w:hint="default"/>
                <w:w w:val="100"/>
                <w:sz w:val="21"/>
                <w:szCs w:val="21"/>
              </w:rPr>
              <w:t> </w:t>
            </w:r>
            <w:r>
              <w:rPr>
                <w:rFonts w:ascii="宋体" w:hAnsi="宋体" w:cs="宋体" w:eastAsia="宋体" w:hint="default"/>
                <w:sz w:val="21"/>
                <w:szCs w:val="21"/>
              </w:rPr>
              <w:t>总裁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6.65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946"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tabs>
                <w:tab w:pos="446" w:val="left" w:leader="none"/>
              </w:tabs>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任</w:t>
              <w:tab/>
              <w:t>峻</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91"/>
              <w:jc w:val="both"/>
              <w:rPr>
                <w:rFonts w:ascii="宋体" w:hAnsi="宋体" w:cs="宋体" w:eastAsia="宋体" w:hint="default"/>
                <w:sz w:val="21"/>
                <w:szCs w:val="21"/>
              </w:rPr>
            </w:pPr>
            <w:r>
              <w:rPr>
                <w:rFonts w:ascii="宋体" w:hAnsi="宋体" w:cs="宋体" w:eastAsia="宋体" w:hint="default"/>
                <w:sz w:val="21"/>
                <w:szCs w:val="21"/>
              </w:rPr>
              <w:t>董事、副</w:t>
            </w:r>
            <w:r>
              <w:rPr>
                <w:rFonts w:ascii="宋体" w:hAnsi="宋体" w:cs="宋体" w:eastAsia="宋体" w:hint="default"/>
                <w:w w:val="100"/>
                <w:sz w:val="21"/>
                <w:szCs w:val="21"/>
              </w:rPr>
              <w:t> </w:t>
            </w:r>
            <w:r>
              <w:rPr>
                <w:rFonts w:ascii="宋体" w:hAnsi="宋体" w:cs="宋体" w:eastAsia="宋体" w:hint="default"/>
                <w:sz w:val="21"/>
                <w:szCs w:val="21"/>
              </w:rPr>
              <w:t>总裁、董</w:t>
            </w:r>
            <w:r>
              <w:rPr>
                <w:rFonts w:ascii="宋体" w:hAnsi="宋体" w:cs="宋体" w:eastAsia="宋体" w:hint="default"/>
                <w:w w:val="100"/>
                <w:sz w:val="21"/>
                <w:szCs w:val="21"/>
              </w:rPr>
              <w:t> </w:t>
            </w:r>
            <w:r>
              <w:rPr>
                <w:rFonts w:ascii="宋体" w:hAnsi="宋体" w:cs="宋体" w:eastAsia="宋体" w:hint="default"/>
                <w:sz w:val="21"/>
                <w:szCs w:val="21"/>
              </w:rPr>
              <w:t>秘</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6.65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auto" w:before="144"/>
              <w:ind w:left="24" w:right="0"/>
              <w:jc w:val="left"/>
              <w:rPr>
                <w:rFonts w:ascii="宋体" w:hAnsi="宋体" w:cs="宋体" w:eastAsia="宋体" w:hint="default"/>
                <w:sz w:val="21"/>
                <w:szCs w:val="21"/>
              </w:rPr>
            </w:pPr>
            <w:r>
              <w:rPr>
                <w:rFonts w:ascii="宋体" w:hAnsi="宋体" w:cs="宋体" w:eastAsia="宋体" w:hint="default"/>
                <w:sz w:val="21"/>
                <w:szCs w:val="21"/>
              </w:rPr>
              <w:t>朱</w:t>
              <w:tab/>
              <w:t>华</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91"/>
              <w:jc w:val="left"/>
              <w:rPr>
                <w:rFonts w:ascii="宋体" w:hAnsi="宋体" w:cs="宋体" w:eastAsia="宋体" w:hint="default"/>
                <w:sz w:val="21"/>
                <w:szCs w:val="21"/>
              </w:rPr>
            </w:pPr>
            <w:r>
              <w:rPr>
                <w:rFonts w:ascii="宋体" w:hAnsi="宋体" w:cs="宋体" w:eastAsia="宋体" w:hint="default"/>
                <w:sz w:val="21"/>
                <w:szCs w:val="21"/>
              </w:rPr>
              <w:t>财务负责</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125,000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6.65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324" w:hRule="exact"/>
        </w:trPr>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3,025,000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6"/>
              <w:ind w:right="9"/>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w:t>
            </w:r>
          </w:p>
        </w:tc>
        <w:tc>
          <w:tcPr>
            <w:tcW w:w="9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0"/>
        <w:rPr>
          <w:rFonts w:ascii="宋体" w:hAnsi="宋体" w:cs="宋体" w:eastAsia="宋体" w:hint="default"/>
          <w:sz w:val="18"/>
          <w:szCs w:val="18"/>
        </w:rPr>
      </w:pPr>
    </w:p>
    <w:p>
      <w:pPr>
        <w:pStyle w:val="Heading2"/>
        <w:spacing w:line="240" w:lineRule="auto" w:before="26"/>
        <w:ind w:right="982"/>
        <w:jc w:val="left"/>
        <w:rPr>
          <w:b w:val="0"/>
          <w:bCs w:val="0"/>
        </w:rPr>
      </w:pPr>
      <w:r>
        <w:rPr/>
        <w:t>四、公司董事、监事、高级管理人员离职和解聘情况</w:t>
      </w:r>
      <w:r>
        <w:rPr>
          <w:b w:val="0"/>
          <w:bCs w:val="0"/>
        </w:rPr>
      </w:r>
    </w:p>
    <w:p>
      <w:pPr>
        <w:spacing w:line="240" w:lineRule="auto" w:before="10"/>
        <w:rPr>
          <w:rFonts w:ascii="宋体" w:hAnsi="宋体" w:cs="宋体" w:eastAsia="宋体" w:hint="default"/>
          <w:b/>
          <w:bCs/>
          <w:sz w:val="19"/>
          <w:szCs w:val="19"/>
        </w:rPr>
      </w:pPr>
    </w:p>
    <w:p>
      <w:pPr>
        <w:pStyle w:val="BodyText"/>
        <w:spacing w:line="240" w:lineRule="auto" w:before="0"/>
        <w:ind w:left="573" w:right="982"/>
        <w:jc w:val="left"/>
      </w:pPr>
      <w:r>
        <w:rPr/>
        <w:t>不适用</w:t>
      </w:r>
    </w:p>
    <w:p>
      <w:pPr>
        <w:spacing w:after="0" w:line="240" w:lineRule="auto"/>
        <w:jc w:val="left"/>
        <w:sectPr>
          <w:pgSz w:w="11910" w:h="16840"/>
          <w:pgMar w:header="0" w:footer="1340" w:top="1100" w:bottom="154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982"/>
        <w:jc w:val="left"/>
        <w:rPr>
          <w:b w:val="0"/>
          <w:bCs w:val="0"/>
        </w:rPr>
      </w:pPr>
      <w:r>
        <w:rPr/>
        <w:t>五、报告期核心技术团队或关键技术人员变动情况（非董事、监事、高级管理人员）</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982"/>
        <w:jc w:val="left"/>
      </w:pPr>
      <w:r>
        <w:rPr/>
        <w:t>不适用</w:t>
      </w:r>
    </w:p>
    <w:p>
      <w:pPr>
        <w:spacing w:line="240" w:lineRule="auto" w:before="11"/>
        <w:rPr>
          <w:rFonts w:ascii="宋体" w:hAnsi="宋体" w:cs="宋体" w:eastAsia="宋体" w:hint="default"/>
          <w:sz w:val="29"/>
          <w:szCs w:val="29"/>
        </w:rPr>
      </w:pPr>
    </w:p>
    <w:p>
      <w:pPr>
        <w:pStyle w:val="Heading2"/>
        <w:spacing w:line="240" w:lineRule="auto"/>
        <w:ind w:right="982"/>
        <w:jc w:val="left"/>
        <w:rPr>
          <w:b w:val="0"/>
          <w:bCs w:val="0"/>
        </w:rPr>
      </w:pPr>
      <w:r>
        <w:rPr/>
        <w:t>六、公司员工情况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982"/>
        <w:jc w:val="left"/>
      </w:pPr>
      <w:r>
        <w:rPr>
          <w:rFonts w:ascii="宋体" w:hAnsi="宋体" w:cs="宋体" w:eastAsia="宋体" w:hint="default"/>
        </w:rPr>
        <w:t>1</w:t>
      </w:r>
      <w:r>
        <w:rPr/>
        <w:t>、截止到</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日，公司母公司（包括总部及南京地区）共有在册员工</w:t>
      </w:r>
      <w:r>
        <w:rPr>
          <w:rFonts w:ascii="宋体" w:hAnsi="宋体" w:cs="宋体" w:eastAsia="宋体" w:hint="default"/>
        </w:rPr>
        <w:t>8,364</w:t>
      </w:r>
      <w:r>
        <w:rPr/>
        <w:t>名。</w:t>
      </w:r>
    </w:p>
    <w:p>
      <w:pPr>
        <w:spacing w:line="240" w:lineRule="auto" w:before="10"/>
        <w:rPr>
          <w:rFonts w:ascii="宋体" w:hAnsi="宋体" w:cs="宋体" w:eastAsia="宋体" w:hint="default"/>
          <w:sz w:val="14"/>
          <w:szCs w:val="14"/>
        </w:rPr>
      </w:pPr>
    </w:p>
    <w:p>
      <w:pPr>
        <w:pStyle w:val="BodyText"/>
        <w:spacing w:line="240" w:lineRule="auto" w:before="0"/>
        <w:ind w:left="573" w:right="982"/>
        <w:jc w:val="left"/>
      </w:pPr>
      <w:r>
        <w:rPr/>
        <w:t>（</w:t>
      </w:r>
      <w:r>
        <w:rPr>
          <w:rFonts w:ascii="宋体" w:hAnsi="宋体" w:cs="宋体" w:eastAsia="宋体" w:hint="default"/>
        </w:rPr>
        <w:t>1</w:t>
      </w:r>
      <w:r>
        <w:rPr/>
        <w:t>）按专业结构分：</w:t>
      </w:r>
    </w:p>
    <w:p>
      <w:pPr>
        <w:spacing w:line="240" w:lineRule="auto" w:before="1"/>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3219"/>
        <w:gridCol w:w="3219"/>
        <w:gridCol w:w="3221"/>
      </w:tblGrid>
      <w:tr>
        <w:trPr>
          <w:trHeight w:val="338" w:hRule="exact"/>
        </w:trPr>
        <w:tc>
          <w:tcPr>
            <w:tcW w:w="3219" w:type="dxa"/>
            <w:tcBorders>
              <w:top w:val="single" w:sz="8" w:space="0" w:color="000000"/>
              <w:left w:val="single" w:sz="6" w:space="0" w:color="000000"/>
              <w:bottom w:val="single" w:sz="8" w:space="0" w:color="000000"/>
              <w:right w:val="single" w:sz="8" w:space="0" w:color="000000"/>
            </w:tcBorders>
            <w:shd w:val="clear" w:color="auto" w:fill="D2D2D2"/>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分工</w:t>
            </w:r>
          </w:p>
        </w:tc>
        <w:tc>
          <w:tcPr>
            <w:tcW w:w="321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59" w:lineRule="exact"/>
              <w:ind w:left="2"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322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59" w:lineRule="exact"/>
              <w:ind w:left="393" w:right="0"/>
              <w:jc w:val="left"/>
              <w:rPr>
                <w:rFonts w:ascii="宋体" w:hAnsi="宋体" w:cs="宋体" w:eastAsia="宋体" w:hint="default"/>
                <w:sz w:val="21"/>
                <w:szCs w:val="21"/>
              </w:rPr>
            </w:pPr>
            <w:r>
              <w:rPr>
                <w:rFonts w:ascii="宋体" w:hAnsi="宋体" w:cs="宋体" w:eastAsia="宋体" w:hint="default"/>
                <w:sz w:val="21"/>
                <w:szCs w:val="21"/>
              </w:rPr>
              <w:t>占母公司员工总数的比例</w:t>
            </w:r>
            <w:r>
              <w:rPr>
                <w:rFonts w:ascii="宋体" w:hAnsi="宋体" w:cs="宋体" w:eastAsia="宋体" w:hint="default"/>
                <w:sz w:val="21"/>
                <w:szCs w:val="21"/>
              </w:rPr>
              <w:t>%</w:t>
            </w:r>
          </w:p>
        </w:tc>
      </w:tr>
      <w:tr>
        <w:trPr>
          <w:trHeight w:val="349" w:hRule="exact"/>
        </w:trPr>
        <w:tc>
          <w:tcPr>
            <w:tcW w:w="3219" w:type="dxa"/>
            <w:tcBorders>
              <w:top w:val="single" w:sz="8" w:space="0" w:color="000000"/>
              <w:left w:val="single" w:sz="6" w:space="0" w:color="000000"/>
              <w:bottom w:val="single" w:sz="8" w:space="0" w:color="000000"/>
              <w:right w:val="single" w:sz="8" w:space="0" w:color="000000"/>
            </w:tcBorders>
            <w:shd w:val="clear" w:color="auto" w:fill="D2D2D2"/>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财务体系人员</w:t>
            </w:r>
          </w:p>
        </w:tc>
        <w:tc>
          <w:tcPr>
            <w:tcW w:w="321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z w:val="21"/>
              </w:rPr>
              <w:t>800</w:t>
            </w:r>
          </w:p>
        </w:tc>
        <w:tc>
          <w:tcPr>
            <w:tcW w:w="322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4"/>
              <w:jc w:val="right"/>
              <w:rPr>
                <w:rFonts w:ascii="Times New Roman" w:hAnsi="Times New Roman" w:cs="Times New Roman" w:eastAsia="Times New Roman" w:hint="default"/>
                <w:sz w:val="21"/>
                <w:szCs w:val="21"/>
              </w:rPr>
            </w:pPr>
            <w:r>
              <w:rPr>
                <w:rFonts w:ascii="Times New Roman"/>
                <w:sz w:val="21"/>
              </w:rPr>
              <w:t>9.57%</w:t>
            </w:r>
          </w:p>
        </w:tc>
      </w:tr>
      <w:tr>
        <w:trPr>
          <w:trHeight w:val="353" w:hRule="exact"/>
        </w:trPr>
        <w:tc>
          <w:tcPr>
            <w:tcW w:w="3219" w:type="dxa"/>
            <w:tcBorders>
              <w:top w:val="single" w:sz="8" w:space="0" w:color="000000"/>
              <w:left w:val="single" w:sz="6" w:space="0" w:color="000000"/>
              <w:bottom w:val="single" w:sz="8" w:space="0" w:color="000000"/>
              <w:right w:val="single" w:sz="8" w:space="0" w:color="000000"/>
            </w:tcBorders>
            <w:shd w:val="clear" w:color="auto" w:fill="D2D2D2"/>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采购体系人员</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1,695</w:t>
            </w:r>
          </w:p>
        </w:tc>
        <w:tc>
          <w:tcPr>
            <w:tcW w:w="32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sz w:val="21"/>
              </w:rPr>
              <w:t>20.27%</w:t>
            </w:r>
          </w:p>
        </w:tc>
      </w:tr>
      <w:tr>
        <w:trPr>
          <w:trHeight w:val="353" w:hRule="exact"/>
        </w:trPr>
        <w:tc>
          <w:tcPr>
            <w:tcW w:w="3219" w:type="dxa"/>
            <w:tcBorders>
              <w:top w:val="single" w:sz="8" w:space="0" w:color="000000"/>
              <w:left w:val="single" w:sz="6" w:space="0" w:color="000000"/>
              <w:bottom w:val="single" w:sz="8" w:space="0" w:color="000000"/>
              <w:right w:val="single" w:sz="8" w:space="0" w:color="000000"/>
            </w:tcBorders>
            <w:shd w:val="clear" w:color="auto" w:fill="D2D2D2"/>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服务体系人员</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442</w:t>
            </w:r>
          </w:p>
        </w:tc>
        <w:tc>
          <w:tcPr>
            <w:tcW w:w="32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sz w:val="21"/>
              </w:rPr>
              <w:t>5.28%</w:t>
            </w:r>
          </w:p>
        </w:tc>
      </w:tr>
      <w:tr>
        <w:trPr>
          <w:trHeight w:val="350" w:hRule="exact"/>
        </w:trPr>
        <w:tc>
          <w:tcPr>
            <w:tcW w:w="3219" w:type="dxa"/>
            <w:tcBorders>
              <w:top w:val="single" w:sz="8" w:space="0" w:color="000000"/>
              <w:left w:val="single" w:sz="6" w:space="0" w:color="000000"/>
              <w:bottom w:val="single" w:sz="8" w:space="0" w:color="000000"/>
              <w:right w:val="single" w:sz="8" w:space="0" w:color="000000"/>
            </w:tcBorders>
            <w:shd w:val="clear" w:color="auto" w:fill="D2D2D2"/>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信息体系人员</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1,751</w:t>
            </w:r>
          </w:p>
        </w:tc>
        <w:tc>
          <w:tcPr>
            <w:tcW w:w="32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20.93%</w:t>
            </w:r>
          </w:p>
        </w:tc>
      </w:tr>
      <w:tr>
        <w:trPr>
          <w:trHeight w:val="353" w:hRule="exact"/>
        </w:trPr>
        <w:tc>
          <w:tcPr>
            <w:tcW w:w="3219" w:type="dxa"/>
            <w:tcBorders>
              <w:top w:val="single" w:sz="8" w:space="0" w:color="000000"/>
              <w:left w:val="single" w:sz="6" w:space="0" w:color="000000"/>
              <w:bottom w:val="single" w:sz="8" w:space="0" w:color="000000"/>
              <w:right w:val="single" w:sz="8" w:space="0" w:color="000000"/>
            </w:tcBorders>
            <w:shd w:val="clear" w:color="auto" w:fill="D2D2D2"/>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运营体系人员</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1,029</w:t>
            </w:r>
          </w:p>
        </w:tc>
        <w:tc>
          <w:tcPr>
            <w:tcW w:w="32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sz w:val="21"/>
              </w:rPr>
              <w:t>12.30%</w:t>
            </w:r>
          </w:p>
        </w:tc>
      </w:tr>
      <w:tr>
        <w:trPr>
          <w:trHeight w:val="353" w:hRule="exact"/>
        </w:trPr>
        <w:tc>
          <w:tcPr>
            <w:tcW w:w="3219" w:type="dxa"/>
            <w:tcBorders>
              <w:top w:val="single" w:sz="8" w:space="0" w:color="000000"/>
              <w:left w:val="single" w:sz="6" w:space="0" w:color="000000"/>
              <w:bottom w:val="single" w:sz="8" w:space="0" w:color="000000"/>
              <w:right w:val="single" w:sz="8" w:space="0" w:color="000000"/>
            </w:tcBorders>
            <w:shd w:val="clear" w:color="auto" w:fill="D2D2D2"/>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职能体系人员</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824</w:t>
            </w:r>
          </w:p>
        </w:tc>
        <w:tc>
          <w:tcPr>
            <w:tcW w:w="32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sz w:val="21"/>
              </w:rPr>
              <w:t>9.85%</w:t>
            </w:r>
          </w:p>
        </w:tc>
      </w:tr>
      <w:tr>
        <w:trPr>
          <w:trHeight w:val="350" w:hRule="exact"/>
        </w:trPr>
        <w:tc>
          <w:tcPr>
            <w:tcW w:w="3219" w:type="dxa"/>
            <w:tcBorders>
              <w:top w:val="single" w:sz="8" w:space="0" w:color="000000"/>
              <w:left w:val="single" w:sz="6" w:space="0" w:color="000000"/>
              <w:bottom w:val="single" w:sz="8" w:space="0" w:color="000000"/>
              <w:right w:val="single" w:sz="8" w:space="0" w:color="000000"/>
            </w:tcBorders>
            <w:shd w:val="clear" w:color="auto" w:fill="D2D2D2"/>
          </w:tcPr>
          <w:p>
            <w:pPr>
              <w:pStyle w:val="TableParagraph"/>
              <w:spacing w:line="272" w:lineRule="exact"/>
              <w:ind w:left="970" w:right="0"/>
              <w:jc w:val="left"/>
              <w:rPr>
                <w:rFonts w:ascii="宋体" w:hAnsi="宋体" w:cs="宋体" w:eastAsia="宋体" w:hint="default"/>
                <w:sz w:val="21"/>
                <w:szCs w:val="21"/>
              </w:rPr>
            </w:pPr>
            <w:r>
              <w:rPr>
                <w:rFonts w:ascii="宋体" w:hAnsi="宋体" w:cs="宋体" w:eastAsia="宋体" w:hint="default"/>
                <w:sz w:val="21"/>
                <w:szCs w:val="21"/>
              </w:rPr>
              <w:t>管理人员小计</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6,541</w:t>
            </w:r>
          </w:p>
        </w:tc>
        <w:tc>
          <w:tcPr>
            <w:tcW w:w="32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78.20%</w:t>
            </w:r>
          </w:p>
        </w:tc>
      </w:tr>
      <w:tr>
        <w:trPr>
          <w:trHeight w:val="353" w:hRule="exact"/>
        </w:trPr>
        <w:tc>
          <w:tcPr>
            <w:tcW w:w="3219" w:type="dxa"/>
            <w:tcBorders>
              <w:top w:val="single" w:sz="8" w:space="0" w:color="000000"/>
              <w:left w:val="single" w:sz="6" w:space="0" w:color="000000"/>
              <w:bottom w:val="single" w:sz="8" w:space="0" w:color="000000"/>
              <w:right w:val="single" w:sz="8" w:space="0" w:color="000000"/>
            </w:tcBorders>
            <w:shd w:val="clear" w:color="auto" w:fill="D2D2D2"/>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终端作业人员</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1,823</w:t>
            </w:r>
          </w:p>
        </w:tc>
        <w:tc>
          <w:tcPr>
            <w:tcW w:w="32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sz w:val="21"/>
              </w:rPr>
              <w:t>21.80%</w:t>
            </w:r>
          </w:p>
        </w:tc>
      </w:tr>
      <w:tr>
        <w:trPr>
          <w:trHeight w:val="353" w:hRule="exact"/>
        </w:trPr>
        <w:tc>
          <w:tcPr>
            <w:tcW w:w="3219" w:type="dxa"/>
            <w:tcBorders>
              <w:top w:val="single" w:sz="8" w:space="0" w:color="000000"/>
              <w:left w:val="single" w:sz="6" w:space="0" w:color="000000"/>
              <w:bottom w:val="single" w:sz="8" w:space="0" w:color="000000"/>
              <w:right w:val="single" w:sz="8" w:space="0" w:color="000000"/>
            </w:tcBorders>
            <w:shd w:val="clear" w:color="auto" w:fill="D2D2D2"/>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8,364</w:t>
            </w:r>
          </w:p>
        </w:tc>
        <w:tc>
          <w:tcPr>
            <w:tcW w:w="32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6"/>
        <w:rPr>
          <w:rFonts w:ascii="宋体" w:hAnsi="宋体" w:cs="宋体" w:eastAsia="宋体" w:hint="default"/>
          <w:sz w:val="2"/>
          <w:szCs w:val="2"/>
        </w:rPr>
      </w:pPr>
    </w:p>
    <w:p>
      <w:pPr>
        <w:spacing w:line="5539" w:lineRule="exact"/>
        <w:ind w:left="460" w:right="0" w:firstLine="0"/>
        <w:rPr>
          <w:rFonts w:ascii="宋体" w:hAnsi="宋体" w:cs="宋体" w:eastAsia="宋体" w:hint="default"/>
          <w:sz w:val="20"/>
          <w:szCs w:val="20"/>
        </w:rPr>
      </w:pPr>
      <w:r>
        <w:rPr>
          <w:rFonts w:ascii="宋体" w:hAnsi="宋体" w:cs="宋体" w:eastAsia="宋体" w:hint="default"/>
          <w:position w:val="-110"/>
          <w:sz w:val="20"/>
          <w:szCs w:val="20"/>
        </w:rPr>
        <w:drawing>
          <wp:inline distT="0" distB="0" distL="0" distR="0">
            <wp:extent cx="5728451" cy="3517391"/>
            <wp:effectExtent l="0" t="0" r="0" b="0"/>
            <wp:docPr id="3" name="image5.png" descr=""/>
            <wp:cNvGraphicFramePr>
              <a:graphicFrameLocks noChangeAspect="1"/>
            </wp:cNvGraphicFramePr>
            <a:graphic>
              <a:graphicData uri="http://schemas.openxmlformats.org/drawingml/2006/picture">
                <pic:pic>
                  <pic:nvPicPr>
                    <pic:cNvPr id="4" name="image5.png"/>
                    <pic:cNvPicPr/>
                  </pic:nvPicPr>
                  <pic:blipFill>
                    <a:blip r:embed="rId45" cstate="print"/>
                    <a:stretch>
                      <a:fillRect/>
                    </a:stretch>
                  </pic:blipFill>
                  <pic:spPr>
                    <a:xfrm>
                      <a:off x="0" y="0"/>
                      <a:ext cx="5728451" cy="3517391"/>
                    </a:xfrm>
                    <a:prstGeom prst="rect">
                      <a:avLst/>
                    </a:prstGeom>
                  </pic:spPr>
                </pic:pic>
              </a:graphicData>
            </a:graphic>
          </wp:inline>
        </w:drawing>
      </w:r>
      <w:r>
        <w:rPr>
          <w:rFonts w:ascii="宋体" w:hAnsi="宋体" w:cs="宋体" w:eastAsia="宋体" w:hint="default"/>
          <w:position w:val="-110"/>
          <w:sz w:val="20"/>
          <w:szCs w:val="20"/>
        </w:rPr>
      </w:r>
    </w:p>
    <w:p>
      <w:pPr>
        <w:spacing w:after="0" w:line="5539" w:lineRule="exact"/>
        <w:rPr>
          <w:rFonts w:ascii="宋体" w:hAnsi="宋体" w:cs="宋体" w:eastAsia="宋体" w:hint="default"/>
          <w:sz w:val="20"/>
          <w:szCs w:val="20"/>
        </w:rPr>
        <w:sectPr>
          <w:pgSz w:w="11910" w:h="16840"/>
          <w:pgMar w:header="0" w:footer="1340" w:top="1100" w:bottom="1540" w:left="980" w:right="0"/>
        </w:sectPr>
      </w:pPr>
    </w:p>
    <w:p>
      <w:pPr>
        <w:spacing w:line="240" w:lineRule="auto" w:before="9"/>
        <w:rPr>
          <w:rFonts w:ascii="宋体" w:hAnsi="宋体" w:cs="宋体" w:eastAsia="宋体" w:hint="default"/>
          <w:sz w:val="26"/>
          <w:szCs w:val="26"/>
        </w:rPr>
      </w:pPr>
    </w:p>
    <w:p>
      <w:pPr>
        <w:pStyle w:val="BodyText"/>
        <w:spacing w:line="240" w:lineRule="auto" w:before="36"/>
        <w:ind w:left="573" w:right="982"/>
        <w:jc w:val="left"/>
      </w:pPr>
      <w:r>
        <w:rPr/>
        <w:t>（</w:t>
      </w:r>
      <w:r>
        <w:rPr>
          <w:rFonts w:ascii="宋体" w:hAnsi="宋体" w:cs="宋体" w:eastAsia="宋体" w:hint="default"/>
        </w:rPr>
        <w:t>2</w:t>
      </w:r>
      <w:r>
        <w:rPr/>
        <w:t>）按受教育程度分：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1676"/>
        <w:gridCol w:w="1916"/>
        <w:gridCol w:w="1913"/>
        <w:gridCol w:w="1910"/>
        <w:gridCol w:w="2245"/>
      </w:tblGrid>
      <w:tr>
        <w:trPr>
          <w:trHeight w:val="665" w:hRule="exact"/>
        </w:trPr>
        <w:tc>
          <w:tcPr>
            <w:tcW w:w="1676" w:type="dxa"/>
            <w:tcBorders>
              <w:top w:val="single" w:sz="8" w:space="0" w:color="000000"/>
              <w:left w:val="single" w:sz="6" w:space="0" w:color="000000"/>
              <w:bottom w:val="single" w:sz="8" w:space="0" w:color="000000"/>
              <w:right w:val="single" w:sz="8" w:space="0" w:color="000000"/>
            </w:tcBorders>
            <w:shd w:val="clear" w:color="auto" w:fill="D2D2D2"/>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学历</w:t>
            </w:r>
          </w:p>
        </w:tc>
        <w:tc>
          <w:tcPr>
            <w:tcW w:w="191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53"/>
              <w:ind w:left="527" w:right="0"/>
              <w:jc w:val="left"/>
              <w:rPr>
                <w:rFonts w:ascii="宋体" w:hAnsi="宋体" w:cs="宋体" w:eastAsia="宋体" w:hint="default"/>
                <w:sz w:val="21"/>
                <w:szCs w:val="21"/>
              </w:rPr>
            </w:pPr>
            <w:r>
              <w:rPr>
                <w:rFonts w:ascii="宋体" w:hAnsi="宋体" w:cs="宋体" w:eastAsia="宋体" w:hint="default"/>
                <w:sz w:val="21"/>
                <w:szCs w:val="21"/>
              </w:rPr>
              <w:t>管理岗位</w:t>
            </w:r>
          </w:p>
        </w:tc>
        <w:tc>
          <w:tcPr>
            <w:tcW w:w="191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53"/>
              <w:ind w:left="527" w:right="0"/>
              <w:jc w:val="left"/>
              <w:rPr>
                <w:rFonts w:ascii="宋体" w:hAnsi="宋体" w:cs="宋体" w:eastAsia="宋体" w:hint="default"/>
                <w:sz w:val="21"/>
                <w:szCs w:val="21"/>
              </w:rPr>
            </w:pPr>
            <w:r>
              <w:rPr>
                <w:rFonts w:ascii="宋体" w:hAnsi="宋体" w:cs="宋体" w:eastAsia="宋体" w:hint="default"/>
                <w:sz w:val="21"/>
                <w:szCs w:val="21"/>
              </w:rPr>
              <w:t>作业岗位</w:t>
            </w:r>
          </w:p>
        </w:tc>
        <w:tc>
          <w:tcPr>
            <w:tcW w:w="191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73" w:lineRule="auto"/>
              <w:ind w:left="955" w:right="58" w:hanging="894"/>
              <w:jc w:val="left"/>
              <w:rPr>
                <w:rFonts w:ascii="宋体" w:hAnsi="宋体" w:cs="宋体" w:eastAsia="宋体" w:hint="default"/>
                <w:sz w:val="21"/>
                <w:szCs w:val="21"/>
              </w:rPr>
            </w:pPr>
            <w:r>
              <w:rPr>
                <w:rFonts w:ascii="宋体" w:hAnsi="宋体" w:cs="宋体" w:eastAsia="宋体" w:hint="default"/>
                <w:sz w:val="21"/>
                <w:szCs w:val="21"/>
              </w:rPr>
              <w:t>占母公司员工总数的比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r>
      <w:tr>
        <w:trPr>
          <w:trHeight w:val="350" w:hRule="exact"/>
        </w:trPr>
        <w:tc>
          <w:tcPr>
            <w:tcW w:w="1676" w:type="dxa"/>
            <w:tcBorders>
              <w:top w:val="single" w:sz="8" w:space="0" w:color="000000"/>
              <w:left w:val="single" w:sz="6" w:space="0" w:color="000000"/>
              <w:bottom w:val="single" w:sz="8" w:space="0" w:color="000000"/>
              <w:right w:val="single" w:sz="8" w:space="0" w:color="000000"/>
            </w:tcBorders>
            <w:shd w:val="clear" w:color="auto" w:fill="D2D2D2"/>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本科及以上</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4,507</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61</w:t>
            </w:r>
          </w:p>
        </w:tc>
        <w:tc>
          <w:tcPr>
            <w:tcW w:w="19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4,568</w:t>
            </w:r>
          </w:p>
        </w:tc>
        <w:tc>
          <w:tcPr>
            <w:tcW w:w="22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54.62%</w:t>
            </w:r>
          </w:p>
        </w:tc>
      </w:tr>
      <w:tr>
        <w:trPr>
          <w:trHeight w:val="353" w:hRule="exact"/>
        </w:trPr>
        <w:tc>
          <w:tcPr>
            <w:tcW w:w="1676" w:type="dxa"/>
            <w:tcBorders>
              <w:top w:val="single" w:sz="8" w:space="0" w:color="000000"/>
              <w:left w:val="single" w:sz="6" w:space="0" w:color="000000"/>
              <w:bottom w:val="single" w:sz="8" w:space="0" w:color="000000"/>
              <w:right w:val="single" w:sz="8" w:space="0" w:color="000000"/>
            </w:tcBorders>
            <w:shd w:val="clear" w:color="auto" w:fill="D2D2D2"/>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1,800</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456</w:t>
            </w:r>
          </w:p>
        </w:tc>
        <w:tc>
          <w:tcPr>
            <w:tcW w:w="19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2,256</w:t>
            </w:r>
          </w:p>
        </w:tc>
        <w:tc>
          <w:tcPr>
            <w:tcW w:w="22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sz w:val="21"/>
              </w:rPr>
              <w:t>26.97%</w:t>
            </w:r>
          </w:p>
        </w:tc>
      </w:tr>
      <w:tr>
        <w:trPr>
          <w:trHeight w:val="353" w:hRule="exact"/>
        </w:trPr>
        <w:tc>
          <w:tcPr>
            <w:tcW w:w="1676" w:type="dxa"/>
            <w:tcBorders>
              <w:top w:val="single" w:sz="8" w:space="0" w:color="000000"/>
              <w:left w:val="single" w:sz="6" w:space="0" w:color="000000"/>
              <w:bottom w:val="single" w:sz="8" w:space="0" w:color="000000"/>
              <w:right w:val="single" w:sz="8" w:space="0" w:color="000000"/>
            </w:tcBorders>
            <w:shd w:val="clear" w:color="auto" w:fill="D2D2D2"/>
          </w:tcPr>
          <w:p>
            <w:pPr>
              <w:pStyle w:val="TableParagraph"/>
              <w:spacing w:line="288" w:lineRule="exact"/>
              <w:ind w:left="2" w:right="0"/>
              <w:jc w:val="center"/>
              <w:rPr>
                <w:rFonts w:ascii="宋体" w:hAnsi="宋体" w:cs="宋体" w:eastAsia="宋体" w:hint="default"/>
                <w:sz w:val="21"/>
                <w:szCs w:val="21"/>
              </w:rPr>
            </w:pPr>
            <w:r>
              <w:rPr>
                <w:rFonts w:ascii="宋体" w:hAnsi="宋体" w:cs="宋体" w:eastAsia="宋体" w:hint="default"/>
                <w:sz w:val="21"/>
                <w:szCs w:val="21"/>
              </w:rPr>
              <w:t>中专</w:t>
            </w:r>
            <w:r>
              <w:rPr>
                <w:rFonts w:ascii="Times New Roman" w:hAnsi="Times New Roman" w:cs="Times New Roman" w:eastAsia="Times New Roman" w:hint="default"/>
                <w:sz w:val="21"/>
                <w:szCs w:val="21"/>
              </w:rPr>
              <w:t>/</w:t>
            </w:r>
            <w:r>
              <w:rPr>
                <w:rFonts w:ascii="宋体" w:hAnsi="宋体" w:cs="宋体" w:eastAsia="宋体" w:hint="default"/>
                <w:sz w:val="21"/>
                <w:szCs w:val="21"/>
              </w:rPr>
              <w:t>高中</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223</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870</w:t>
            </w:r>
          </w:p>
        </w:tc>
        <w:tc>
          <w:tcPr>
            <w:tcW w:w="19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1,093</w:t>
            </w:r>
          </w:p>
        </w:tc>
        <w:tc>
          <w:tcPr>
            <w:tcW w:w="22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13.07%</w:t>
            </w:r>
          </w:p>
        </w:tc>
      </w:tr>
      <w:tr>
        <w:trPr>
          <w:trHeight w:val="350" w:hRule="exact"/>
        </w:trPr>
        <w:tc>
          <w:tcPr>
            <w:tcW w:w="1676" w:type="dxa"/>
            <w:tcBorders>
              <w:top w:val="single" w:sz="8" w:space="0" w:color="000000"/>
              <w:left w:val="single" w:sz="6" w:space="0" w:color="000000"/>
              <w:bottom w:val="single" w:sz="8" w:space="0" w:color="000000"/>
              <w:right w:val="single" w:sz="8" w:space="0" w:color="000000"/>
            </w:tcBorders>
            <w:shd w:val="clear" w:color="auto" w:fill="D2D2D2"/>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436</w:t>
            </w:r>
          </w:p>
        </w:tc>
        <w:tc>
          <w:tcPr>
            <w:tcW w:w="19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447</w:t>
            </w:r>
          </w:p>
        </w:tc>
        <w:tc>
          <w:tcPr>
            <w:tcW w:w="22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5.34%</w:t>
            </w:r>
          </w:p>
        </w:tc>
      </w:tr>
      <w:tr>
        <w:trPr>
          <w:trHeight w:val="353" w:hRule="exact"/>
        </w:trPr>
        <w:tc>
          <w:tcPr>
            <w:tcW w:w="1676" w:type="dxa"/>
            <w:tcBorders>
              <w:top w:val="single" w:sz="8" w:space="0" w:color="000000"/>
              <w:left w:val="single" w:sz="6" w:space="0" w:color="000000"/>
              <w:bottom w:val="single" w:sz="8" w:space="0" w:color="000000"/>
              <w:right w:val="single" w:sz="8" w:space="0" w:color="000000"/>
            </w:tcBorders>
            <w:shd w:val="clear" w:color="auto" w:fill="D2D2D2"/>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6,541</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1,823</w:t>
            </w:r>
          </w:p>
        </w:tc>
        <w:tc>
          <w:tcPr>
            <w:tcW w:w="19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8,364</w:t>
            </w:r>
          </w:p>
        </w:tc>
        <w:tc>
          <w:tcPr>
            <w:tcW w:w="22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4"/>
        <w:rPr>
          <w:rFonts w:ascii="宋体" w:hAnsi="宋体" w:cs="宋体" w:eastAsia="宋体" w:hint="default"/>
          <w:sz w:val="9"/>
          <w:szCs w:val="9"/>
        </w:rPr>
      </w:pPr>
    </w:p>
    <w:p>
      <w:pPr>
        <w:spacing w:line="5019" w:lineRule="exact"/>
        <w:ind w:left="646" w:right="0" w:firstLine="0"/>
        <w:rPr>
          <w:rFonts w:ascii="宋体" w:hAnsi="宋体" w:cs="宋体" w:eastAsia="宋体" w:hint="default"/>
          <w:sz w:val="20"/>
          <w:szCs w:val="20"/>
        </w:rPr>
      </w:pPr>
      <w:r>
        <w:rPr>
          <w:rFonts w:ascii="宋体" w:hAnsi="宋体" w:cs="宋体" w:eastAsia="宋体" w:hint="default"/>
          <w:position w:val="-99"/>
          <w:sz w:val="20"/>
          <w:szCs w:val="20"/>
        </w:rPr>
        <w:drawing>
          <wp:inline distT="0" distB="0" distL="0" distR="0">
            <wp:extent cx="5455997" cy="3187636"/>
            <wp:effectExtent l="0" t="0" r="0" b="0"/>
            <wp:docPr id="5" name="image6.png" descr=""/>
            <wp:cNvGraphicFramePr>
              <a:graphicFrameLocks noChangeAspect="1"/>
            </wp:cNvGraphicFramePr>
            <a:graphic>
              <a:graphicData uri="http://schemas.openxmlformats.org/drawingml/2006/picture">
                <pic:pic>
                  <pic:nvPicPr>
                    <pic:cNvPr id="6" name="image6.png"/>
                    <pic:cNvPicPr/>
                  </pic:nvPicPr>
                  <pic:blipFill>
                    <a:blip r:embed="rId46" cstate="print"/>
                    <a:stretch>
                      <a:fillRect/>
                    </a:stretch>
                  </pic:blipFill>
                  <pic:spPr>
                    <a:xfrm>
                      <a:off x="0" y="0"/>
                      <a:ext cx="5455997" cy="3187636"/>
                    </a:xfrm>
                    <a:prstGeom prst="rect">
                      <a:avLst/>
                    </a:prstGeom>
                  </pic:spPr>
                </pic:pic>
              </a:graphicData>
            </a:graphic>
          </wp:inline>
        </w:drawing>
      </w:r>
      <w:r>
        <w:rPr>
          <w:rFonts w:ascii="宋体" w:hAnsi="宋体" w:cs="宋体" w:eastAsia="宋体" w:hint="default"/>
          <w:position w:val="-99"/>
          <w:sz w:val="20"/>
          <w:szCs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1"/>
        <w:spacing w:line="240" w:lineRule="auto"/>
        <w:ind w:right="3266"/>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2"/>
        <w:jc w:val="left"/>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right="982"/>
        <w:jc w:val="left"/>
      </w:pPr>
      <w:r>
        <w:rPr/>
        <w:t>公司治理与《公司法》和中国证监会相关规定的要求是否存在差异</w:t>
      </w:r>
    </w:p>
    <w:p>
      <w:pPr>
        <w:spacing w:line="240" w:lineRule="auto" w:before="11"/>
        <w:rPr>
          <w:rFonts w:ascii="宋体" w:hAnsi="宋体" w:cs="宋体" w:eastAsia="宋体" w:hint="default"/>
          <w:sz w:val="14"/>
          <w:szCs w:val="14"/>
        </w:rPr>
      </w:pPr>
    </w:p>
    <w:p>
      <w:pPr>
        <w:pStyle w:val="BodyText"/>
        <w:spacing w:line="240" w:lineRule="auto" w:before="0"/>
        <w:ind w:right="982"/>
        <w:jc w:val="left"/>
      </w:pPr>
      <w:r>
        <w:rPr/>
        <w:t>□ 是 √</w:t>
      </w:r>
      <w:r>
        <w:rPr>
          <w:spacing w:val="1"/>
        </w:rPr>
        <w:t> </w:t>
      </w:r>
      <w:r>
        <w:rPr/>
        <w:t>否</w:t>
      </w:r>
    </w:p>
    <w:p>
      <w:pPr>
        <w:spacing w:line="240" w:lineRule="auto" w:before="10"/>
        <w:rPr>
          <w:rFonts w:ascii="宋体" w:hAnsi="宋体" w:cs="宋体" w:eastAsia="宋体" w:hint="default"/>
          <w:sz w:val="14"/>
          <w:szCs w:val="14"/>
        </w:rPr>
      </w:pPr>
    </w:p>
    <w:p>
      <w:pPr>
        <w:pStyle w:val="BodyText"/>
        <w:spacing w:line="408" w:lineRule="auto" w:before="0"/>
        <w:ind w:right="982" w:firstLine="420"/>
        <w:jc w:val="left"/>
      </w:pPr>
      <w:r>
        <w:rPr/>
        <w:t>报告期内，公司严格按照《公司法》、《证券法》、《上市公司治理准则》和《深圳证券交易所股票</w:t>
      </w:r>
      <w:r>
        <w:rPr>
          <w:w w:val="100"/>
        </w:rPr>
        <w:t> </w:t>
      </w:r>
      <w:r>
        <w:rPr>
          <w:spacing w:val="-5"/>
        </w:rPr>
        <w:t>上市规则》等法律、法规的规定，建立健全公司法人治理结构，完善内部控制体系，进一步规范公司运作。</w:t>
      </w:r>
    </w:p>
    <w:p>
      <w:pPr>
        <w:pStyle w:val="BodyText"/>
        <w:spacing w:line="240" w:lineRule="auto"/>
        <w:ind w:left="573" w:right="982"/>
        <w:jc w:val="left"/>
      </w:pPr>
      <w:r>
        <w:rPr>
          <w:rFonts w:ascii="宋体" w:hAnsi="宋体" w:cs="宋体" w:eastAsia="宋体" w:hint="default"/>
        </w:rPr>
        <w:t>1</w:t>
      </w:r>
      <w:r>
        <w:rPr/>
        <w:t>、公司治理结构的建立情况</w:t>
      </w:r>
    </w:p>
    <w:p>
      <w:pPr>
        <w:pStyle w:val="BodyText"/>
        <w:spacing w:line="460" w:lineRule="atLeast" w:before="8"/>
        <w:ind w:left="573" w:right="982"/>
        <w:jc w:val="left"/>
      </w:pPr>
      <w:r>
        <w:rPr/>
        <w:t>（</w:t>
      </w:r>
      <w:r>
        <w:rPr>
          <w:rFonts w:ascii="宋体" w:hAnsi="宋体" w:cs="宋体" w:eastAsia="宋体" w:hint="default"/>
        </w:rPr>
        <w:t>1</w:t>
      </w:r>
      <w:r>
        <w:rPr/>
        <w:t>）关于股东与股东大会</w:t>
      </w:r>
      <w:r>
        <w:rPr>
          <w:w w:val="100"/>
        </w:rPr>
        <w:t> </w:t>
      </w:r>
      <w:r>
        <w:rPr>
          <w:spacing w:val="-5"/>
        </w:rPr>
        <w:t>报告期内，公司严格按照公司《章程》、《股东大会议事规则》的规定和要求，规范股东大会的召集、</w:t>
      </w:r>
    </w:p>
    <w:p>
      <w:pPr>
        <w:spacing w:after="0" w:line="460" w:lineRule="atLeast"/>
        <w:jc w:val="left"/>
        <w:sectPr>
          <w:pgSz w:w="11910" w:h="16840"/>
          <w:pgMar w:header="0" w:footer="1340" w:top="1100" w:bottom="154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982"/>
        <w:jc w:val="left"/>
      </w:pPr>
      <w:r>
        <w:rPr/>
        <w:t>召开、表决程序，平等对待所有股东，确保股东能充分行使权利。</w:t>
      </w:r>
    </w:p>
    <w:p>
      <w:pPr>
        <w:spacing w:line="240" w:lineRule="auto" w:before="10"/>
        <w:rPr>
          <w:rFonts w:ascii="宋体" w:hAnsi="宋体" w:cs="宋体" w:eastAsia="宋体" w:hint="default"/>
          <w:sz w:val="14"/>
          <w:szCs w:val="14"/>
        </w:rPr>
      </w:pPr>
    </w:p>
    <w:p>
      <w:pPr>
        <w:pStyle w:val="BodyText"/>
        <w:spacing w:line="408" w:lineRule="auto" w:before="0"/>
        <w:ind w:left="573" w:right="982"/>
        <w:jc w:val="left"/>
      </w:pPr>
      <w:r>
        <w:rPr/>
        <w:t>（</w:t>
      </w:r>
      <w:r>
        <w:rPr>
          <w:rFonts w:ascii="宋体" w:hAnsi="宋体" w:cs="宋体" w:eastAsia="宋体" w:hint="default"/>
        </w:rPr>
        <w:t>2</w:t>
      </w:r>
      <w:r>
        <w:rPr/>
        <w:t>）关于董事和董事会</w:t>
      </w:r>
      <w:r>
        <w:rPr>
          <w:w w:val="100"/>
        </w:rPr>
        <w:t> </w:t>
      </w:r>
      <w:r>
        <w:rPr>
          <w:spacing w:val="-2"/>
        </w:rPr>
        <w:t>公司严格按照《公司法》、公司《章程》规定的选聘程序选举董事，董事会的人数及结构符合法律法</w:t>
      </w:r>
    </w:p>
    <w:p>
      <w:pPr>
        <w:pStyle w:val="BodyText"/>
        <w:spacing w:line="408" w:lineRule="auto"/>
        <w:ind w:right="1105"/>
        <w:jc w:val="both"/>
      </w:pPr>
      <w:r>
        <w:rPr>
          <w:spacing w:val="-2"/>
        </w:rPr>
        <w:t>规和公司《章程》的要求。全体董事严格按照《公司法》和公司《章程》、《董事会议事规则》的规定，</w:t>
      </w:r>
      <w:r>
        <w:rPr>
          <w:spacing w:val="-21"/>
        </w:rPr>
        <w:t> </w:t>
      </w:r>
      <w:r>
        <w:rPr>
          <w:spacing w:val="-21"/>
        </w:rPr>
      </w:r>
      <w:r>
        <w:rPr>
          <w:spacing w:val="-2"/>
        </w:rPr>
        <w:t>规范董事会的召集、召开和表决程序；认真出席董事会和股东大会，积极参加相关知识的培训，熟悉有关</w:t>
      </w:r>
      <w:r>
        <w:rPr>
          <w:spacing w:val="-49"/>
        </w:rPr>
        <w:t> </w:t>
      </w:r>
      <w:r>
        <w:rPr>
          <w:spacing w:val="-49"/>
        </w:rPr>
      </w:r>
      <w:r>
        <w:rPr>
          <w:spacing w:val="-2"/>
        </w:rPr>
        <w:t>法律法规，勤勉尽责。与此同时，董事会提名委员会、董事会薪酬与考核委员会、董事会审计委员会积极</w:t>
      </w:r>
      <w:r>
        <w:rPr>
          <w:spacing w:val="-43"/>
        </w:rPr>
        <w:t> </w:t>
      </w:r>
      <w:r>
        <w:rPr>
          <w:spacing w:val="-43"/>
        </w:rPr>
      </w:r>
      <w:r>
        <w:rPr/>
        <w:t>履行职责，确保了董事会对公司内部审计、薪酬考核等方面的有效监管。</w:t>
      </w:r>
    </w:p>
    <w:p>
      <w:pPr>
        <w:pStyle w:val="BodyText"/>
        <w:spacing w:line="410" w:lineRule="auto"/>
        <w:ind w:left="573" w:right="982"/>
        <w:jc w:val="left"/>
      </w:pPr>
      <w:r>
        <w:rPr/>
        <w:t>（</w:t>
      </w:r>
      <w:r>
        <w:rPr>
          <w:rFonts w:ascii="宋体" w:hAnsi="宋体" w:cs="宋体" w:eastAsia="宋体" w:hint="default"/>
        </w:rPr>
        <w:t>3</w:t>
      </w:r>
      <w:r>
        <w:rPr/>
        <w:t>）关于监事和监事会</w:t>
      </w:r>
      <w:r>
        <w:rPr>
          <w:w w:val="100"/>
        </w:rPr>
        <w:t> </w:t>
      </w:r>
      <w:r>
        <w:rPr>
          <w:spacing w:val="-2"/>
        </w:rPr>
        <w:t>公司严格按照《公司法》、公司《章程》的规定选举产生监事，监事会的人数及结构符合法律法规和</w:t>
      </w:r>
    </w:p>
    <w:p>
      <w:pPr>
        <w:pStyle w:val="BodyText"/>
        <w:spacing w:line="408" w:lineRule="auto" w:before="44"/>
        <w:ind w:right="982"/>
        <w:jc w:val="left"/>
      </w:pPr>
      <w:r>
        <w:rPr>
          <w:spacing w:val="-5"/>
        </w:rPr>
        <w:t>公司《章程》的要求。全体监事严格按照公司《章程》、《监事会议事规则》的规定，规范监事会的召集、</w:t>
      </w:r>
      <w:r>
        <w:rPr>
          <w:spacing w:val="-6"/>
        </w:rPr>
        <w:t> </w:t>
      </w:r>
      <w:r>
        <w:rPr>
          <w:spacing w:val="-6"/>
        </w:rPr>
      </w:r>
      <w:r>
        <w:rPr>
          <w:spacing w:val="-2"/>
        </w:rPr>
        <w:t>召开和表决程序，公司监事认真履行职责，诚信、勤勉、尽责地对公司财务以及董事、高级管理人员履行</w:t>
      </w:r>
      <w:r>
        <w:rPr>
          <w:spacing w:val="-43"/>
        </w:rPr>
        <w:t> </w:t>
      </w:r>
      <w:r>
        <w:rPr>
          <w:spacing w:val="-43"/>
        </w:rPr>
      </w:r>
      <w:r>
        <w:rPr/>
        <w:t>职责的合法、合规性进行监督，维护公司及股东的合法权益。</w:t>
      </w:r>
    </w:p>
    <w:p>
      <w:pPr>
        <w:pStyle w:val="BodyText"/>
        <w:spacing w:line="408" w:lineRule="auto"/>
        <w:ind w:left="573" w:right="982"/>
        <w:jc w:val="left"/>
      </w:pPr>
      <w:r>
        <w:rPr/>
        <w:t>（</w:t>
      </w:r>
      <w:r>
        <w:rPr>
          <w:rFonts w:ascii="宋体" w:hAnsi="宋体" w:cs="宋体" w:eastAsia="宋体" w:hint="default"/>
        </w:rPr>
        <w:t>4</w:t>
      </w:r>
      <w:r>
        <w:rPr/>
        <w:t>）关于绩效评价与激励约束机制</w:t>
      </w:r>
      <w:r>
        <w:rPr>
          <w:w w:val="100"/>
        </w:rPr>
        <w:t> </w:t>
      </w:r>
      <w:r>
        <w:rPr>
          <w:spacing w:val="-2"/>
        </w:rPr>
        <w:t>公司已经建立相对公正、透明的董事、监事和高级管理人员的绩效评价标准和激励约束机制，公司高</w:t>
      </w:r>
    </w:p>
    <w:p>
      <w:pPr>
        <w:pStyle w:val="BodyText"/>
        <w:spacing w:line="240" w:lineRule="auto"/>
        <w:ind w:right="982"/>
        <w:jc w:val="left"/>
      </w:pPr>
      <w:r>
        <w:rPr/>
        <w:t>管人员的聘任公开、透明，符合法律法规的规定。</w:t>
      </w:r>
    </w:p>
    <w:p>
      <w:pPr>
        <w:spacing w:line="240" w:lineRule="auto" w:before="10"/>
        <w:rPr>
          <w:rFonts w:ascii="宋体" w:hAnsi="宋体" w:cs="宋体" w:eastAsia="宋体" w:hint="default"/>
          <w:sz w:val="14"/>
          <w:szCs w:val="14"/>
        </w:rPr>
      </w:pPr>
    </w:p>
    <w:p>
      <w:pPr>
        <w:pStyle w:val="BodyText"/>
        <w:spacing w:line="408" w:lineRule="auto" w:before="0"/>
        <w:ind w:left="573" w:right="982"/>
        <w:jc w:val="left"/>
      </w:pPr>
      <w:r>
        <w:rPr/>
        <w:t>（</w:t>
      </w:r>
      <w:r>
        <w:rPr>
          <w:rFonts w:ascii="宋体" w:hAnsi="宋体" w:cs="宋体" w:eastAsia="宋体" w:hint="default"/>
        </w:rPr>
        <w:t>5</w:t>
      </w:r>
      <w:r>
        <w:rPr/>
        <w:t>）关于相关利益者</w:t>
      </w:r>
      <w:r>
        <w:rPr>
          <w:w w:val="100"/>
        </w:rPr>
        <w:t> </w:t>
      </w:r>
      <w:r>
        <w:rPr>
          <w:spacing w:val="-5"/>
        </w:rPr>
        <w:t>公司能够充分尊重和维护相关利益者的合法权益，积极与相关利益者合作，加强与各方的沟通和交流，</w:t>
      </w:r>
    </w:p>
    <w:p>
      <w:pPr>
        <w:pStyle w:val="BodyText"/>
        <w:spacing w:line="240" w:lineRule="auto"/>
        <w:ind w:right="982"/>
        <w:jc w:val="left"/>
      </w:pPr>
      <w:r>
        <w:rPr/>
        <w:t>实现股东、员工、社会等各方利益的均衡，以推动公司持续、稳定、健康地发展。</w:t>
      </w:r>
    </w:p>
    <w:p>
      <w:pPr>
        <w:spacing w:line="240" w:lineRule="auto" w:before="10"/>
        <w:rPr>
          <w:rFonts w:ascii="宋体" w:hAnsi="宋体" w:cs="宋体" w:eastAsia="宋体" w:hint="default"/>
          <w:sz w:val="14"/>
          <w:szCs w:val="14"/>
        </w:rPr>
      </w:pPr>
    </w:p>
    <w:p>
      <w:pPr>
        <w:pStyle w:val="BodyText"/>
        <w:spacing w:line="408" w:lineRule="auto" w:before="0"/>
        <w:ind w:left="573" w:right="982"/>
        <w:jc w:val="left"/>
      </w:pPr>
      <w:r>
        <w:rPr/>
        <w:t>（</w:t>
      </w:r>
      <w:r>
        <w:rPr>
          <w:rFonts w:ascii="宋体" w:hAnsi="宋体" w:cs="宋体" w:eastAsia="宋体" w:hint="default"/>
        </w:rPr>
        <w:t>6</w:t>
      </w:r>
      <w:r>
        <w:rPr/>
        <w:t>）关于信息披露与透明度</w:t>
      </w:r>
      <w:r>
        <w:rPr>
          <w:w w:val="100"/>
        </w:rPr>
        <w:t> </w:t>
      </w:r>
      <w:r>
        <w:rPr>
          <w:spacing w:val="-2"/>
        </w:rPr>
        <w:t>公司严格按照《信息披露管理制度》和《投资者关系管理制度》的要求，指定公司董事会秘书负责信</w:t>
      </w:r>
    </w:p>
    <w:p>
      <w:pPr>
        <w:pStyle w:val="BodyText"/>
        <w:spacing w:line="408" w:lineRule="auto"/>
        <w:ind w:right="982"/>
        <w:jc w:val="left"/>
      </w:pPr>
      <w:r>
        <w:rPr>
          <w:spacing w:val="-2"/>
        </w:rPr>
        <w:t>息披露工作、接待股东来访和咨询，严格按照有关规定真实、准确、完整、及时地披露有关信息，确保公</w:t>
      </w:r>
      <w:r>
        <w:rPr>
          <w:spacing w:val="-45"/>
        </w:rPr>
        <w:t> </w:t>
      </w:r>
      <w:r>
        <w:rPr>
          <w:spacing w:val="-45"/>
        </w:rPr>
      </w:r>
      <w:r>
        <w:rPr/>
        <w:t>司所有股东能够以平等的机会获得信息。</w:t>
      </w:r>
    </w:p>
    <w:p>
      <w:pPr>
        <w:pStyle w:val="BodyText"/>
        <w:spacing w:line="240" w:lineRule="auto"/>
        <w:ind w:left="573" w:right="982"/>
        <w:jc w:val="left"/>
      </w:pPr>
      <w:r>
        <w:rPr>
          <w:rFonts w:ascii="宋体" w:hAnsi="宋体" w:cs="宋体" w:eastAsia="宋体" w:hint="default"/>
        </w:rPr>
        <w:t>2</w:t>
      </w:r>
      <w:r>
        <w:rPr/>
        <w:t>、公司治理制度的建立与实施情况</w:t>
      </w:r>
    </w:p>
    <w:p>
      <w:pPr>
        <w:spacing w:line="240" w:lineRule="auto" w:before="11"/>
        <w:rPr>
          <w:rFonts w:ascii="宋体" w:hAnsi="宋体" w:cs="宋体" w:eastAsia="宋体" w:hint="default"/>
          <w:sz w:val="14"/>
          <w:szCs w:val="14"/>
        </w:rPr>
      </w:pPr>
    </w:p>
    <w:p>
      <w:pPr>
        <w:pStyle w:val="BodyText"/>
        <w:spacing w:line="408" w:lineRule="auto" w:before="0"/>
        <w:ind w:right="982" w:firstLine="420"/>
        <w:jc w:val="left"/>
      </w:pPr>
      <w:r>
        <w:rPr/>
        <w:t>（</w:t>
      </w:r>
      <w:r>
        <w:rPr>
          <w:rFonts w:ascii="宋体" w:hAnsi="宋体" w:cs="宋体" w:eastAsia="宋体" w:hint="default"/>
        </w:rPr>
        <w:t>1</w:t>
      </w:r>
      <w:r>
        <w:rPr/>
        <w:t>）公司建立了贯穿整个业务流程及经营管理各层面、各体系的内部控制制度，并且不断结合新的</w:t>
      </w:r>
      <w:r>
        <w:rPr>
          <w:w w:val="100"/>
        </w:rPr>
        <w:t> </w:t>
      </w:r>
      <w:r>
        <w:rPr/>
        <w:t>业务特点、管理要求进行完善和改进，有效地保证了公司的规范运作。</w:t>
      </w:r>
    </w:p>
    <w:p>
      <w:pPr>
        <w:pStyle w:val="BodyText"/>
        <w:spacing w:line="240" w:lineRule="auto"/>
        <w:ind w:left="573" w:right="982"/>
        <w:jc w:val="left"/>
      </w:pPr>
      <w:r>
        <w:rPr/>
        <w:t>公司内部规范制度主要包括：</w:t>
      </w:r>
    </w:p>
    <w:p>
      <w:pPr>
        <w:spacing w:after="0" w:line="240" w:lineRule="auto"/>
        <w:jc w:val="left"/>
        <w:sectPr>
          <w:pgSz w:w="11910" w:h="16840"/>
          <w:pgMar w:header="0" w:footer="1340" w:top="1100" w:bottom="1540" w:left="980" w:right="0"/>
        </w:sectPr>
      </w:pPr>
    </w:p>
    <w:p>
      <w:pPr>
        <w:spacing w:line="240" w:lineRule="auto" w:before="8"/>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2108"/>
        <w:gridCol w:w="7763"/>
      </w:tblGrid>
      <w:tr>
        <w:trPr>
          <w:trHeight w:val="188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管理控制相关</w:t>
            </w:r>
          </w:p>
        </w:tc>
        <w:tc>
          <w:tcPr>
            <w:tcW w:w="7763"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5" w:right="98"/>
              <w:jc w:val="both"/>
              <w:rPr>
                <w:rFonts w:ascii="宋体" w:hAnsi="宋体" w:cs="宋体" w:eastAsia="宋体" w:hint="default"/>
                <w:sz w:val="21"/>
                <w:szCs w:val="21"/>
              </w:rPr>
            </w:pPr>
            <w:r>
              <w:rPr>
                <w:rFonts w:ascii="宋体" w:hAnsi="宋体" w:cs="宋体" w:eastAsia="宋体" w:hint="default"/>
                <w:spacing w:val="-2"/>
                <w:sz w:val="21"/>
                <w:szCs w:val="21"/>
              </w:rPr>
              <w:t>有较为完善的法人治理结构和完备的管理制度，主要包括公司《章程》、《股东大</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会议事规则》、《董事会议事规则》、《监事会议事规则》、《董事会薪酬与考核</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委员会工作细则》、《董事会提名委员会工作细则》、《董事会审计委员会工作细</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则》、《董事、监事和高级管理人员所持公司股份及其变动管理规则》、《总裁工</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作细则》、《董事会秘书工作细则》、《独立董事制度》、《独立董事年报工作制</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度》、《审计委员会年报工作规则》。</w:t>
            </w:r>
          </w:p>
        </w:tc>
      </w:tr>
      <w:tr>
        <w:trPr>
          <w:trHeight w:val="634"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经营控制相关</w:t>
            </w:r>
          </w:p>
        </w:tc>
        <w:tc>
          <w:tcPr>
            <w:tcW w:w="7763"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5" w:right="100"/>
              <w:jc w:val="left"/>
              <w:rPr>
                <w:rFonts w:ascii="宋体" w:hAnsi="宋体" w:cs="宋体" w:eastAsia="宋体" w:hint="default"/>
                <w:sz w:val="21"/>
                <w:szCs w:val="21"/>
              </w:rPr>
            </w:pPr>
            <w:r>
              <w:rPr>
                <w:rFonts w:ascii="宋体" w:hAnsi="宋体" w:cs="宋体" w:eastAsia="宋体" w:hint="default"/>
                <w:spacing w:val="-2"/>
                <w:sz w:val="21"/>
                <w:szCs w:val="21"/>
              </w:rPr>
              <w:t>针对各体系、各层级、各岗位制定明确的工作职责和权限，不断规范和完善各项制</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度、标准和流程，充分运用信息化手段进行固化、完善。</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财务控制相关</w:t>
            </w:r>
          </w:p>
        </w:tc>
        <w:tc>
          <w:tcPr>
            <w:tcW w:w="7763"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建立了较为完善的财务管理制度，包括财务会计制度、发票管理制度等。</w:t>
            </w:r>
          </w:p>
        </w:tc>
      </w:tr>
      <w:tr>
        <w:trPr>
          <w:trHeight w:val="744"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投资决策控制相关</w:t>
            </w:r>
          </w:p>
        </w:tc>
        <w:tc>
          <w:tcPr>
            <w:tcW w:w="7763"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45"/>
              <w:ind w:left="105" w:right="98"/>
              <w:jc w:val="left"/>
              <w:rPr>
                <w:rFonts w:ascii="宋体" w:hAnsi="宋体" w:cs="宋体" w:eastAsia="宋体" w:hint="default"/>
                <w:sz w:val="21"/>
                <w:szCs w:val="21"/>
              </w:rPr>
            </w:pPr>
            <w:r>
              <w:rPr>
                <w:rFonts w:ascii="宋体" w:hAnsi="宋体" w:cs="宋体" w:eastAsia="宋体" w:hint="default"/>
                <w:spacing w:val="-2"/>
                <w:sz w:val="21"/>
                <w:szCs w:val="21"/>
              </w:rPr>
              <w:t>公司制定了《重大投资及财务决策制度》、《对外捐赠管理制度》、《募集资金管</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理制度》、《关联交易决策制度》、《风险投资管理制度》等制度规范。</w:t>
            </w:r>
          </w:p>
        </w:tc>
      </w:tr>
      <w:tr>
        <w:trPr>
          <w:trHeight w:val="713"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信息披露制度相关</w:t>
            </w:r>
          </w:p>
        </w:tc>
        <w:tc>
          <w:tcPr>
            <w:tcW w:w="7763"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8"/>
              <w:ind w:left="105" w:right="102"/>
              <w:jc w:val="left"/>
              <w:rPr>
                <w:rFonts w:ascii="宋体" w:hAnsi="宋体" w:cs="宋体" w:eastAsia="宋体" w:hint="default"/>
                <w:sz w:val="21"/>
                <w:szCs w:val="21"/>
              </w:rPr>
            </w:pPr>
            <w:r>
              <w:rPr>
                <w:rFonts w:ascii="宋体" w:hAnsi="宋体" w:cs="宋体" w:eastAsia="宋体" w:hint="default"/>
                <w:spacing w:val="-8"/>
                <w:sz w:val="21"/>
                <w:szCs w:val="21"/>
              </w:rPr>
              <w:t>公司制订了《信息披露管理制度》、《年报信息披露重大差错责任追究制度》、《投</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资者关系管理制度》、《内幕信息知情人登记管理制度》等制度规范。</w:t>
            </w:r>
          </w:p>
        </w:tc>
      </w:tr>
      <w:tr>
        <w:trPr>
          <w:trHeight w:val="710"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内部审计控制</w:t>
            </w:r>
          </w:p>
        </w:tc>
        <w:tc>
          <w:tcPr>
            <w:tcW w:w="7763"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105" w:right="-5"/>
              <w:jc w:val="left"/>
              <w:rPr>
                <w:rFonts w:ascii="宋体" w:hAnsi="宋体" w:cs="宋体" w:eastAsia="宋体" w:hint="default"/>
                <w:sz w:val="21"/>
                <w:szCs w:val="21"/>
              </w:rPr>
            </w:pPr>
            <w:r>
              <w:rPr>
                <w:rFonts w:ascii="宋体" w:hAnsi="宋体" w:cs="宋体" w:eastAsia="宋体" w:hint="default"/>
                <w:spacing w:val="-5"/>
                <w:sz w:val="21"/>
                <w:szCs w:val="21"/>
              </w:rPr>
              <w:t>公司制定了《内部审计制度》，成立专门审计部门，直接向董事会审计委员会负责，</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开展审计工作。</w:t>
            </w:r>
          </w:p>
        </w:tc>
      </w:tr>
    </w:tbl>
    <w:p>
      <w:pPr>
        <w:pStyle w:val="BodyText"/>
        <w:spacing w:line="408" w:lineRule="auto" w:before="64"/>
        <w:ind w:left="232" w:right="1136" w:firstLine="420"/>
        <w:jc w:val="both"/>
      </w:pPr>
      <w:r>
        <w:rPr/>
        <w:t>（</w:t>
      </w:r>
      <w:r>
        <w:rPr>
          <w:rFonts w:ascii="宋体" w:hAnsi="宋体" w:cs="宋体" w:eastAsia="宋体" w:hint="default"/>
        </w:rPr>
        <w:t>2</w:t>
      </w:r>
      <w:r>
        <w:rPr/>
        <w:t>）报告期内，公司进一步完善公司治理制度，确保从制度层面明确、规范、约束、强化公司治理</w:t>
      </w:r>
      <w:r>
        <w:rPr>
          <w:w w:val="100"/>
        </w:rPr>
        <w:t> </w:t>
      </w:r>
      <w:r>
        <w:rPr/>
        <w:t>水平。</w:t>
      </w:r>
    </w:p>
    <w:p>
      <w:pPr>
        <w:pStyle w:val="BodyText"/>
        <w:spacing w:line="408" w:lineRule="auto"/>
        <w:ind w:left="232" w:right="1126" w:firstLine="420"/>
        <w:jc w:val="both"/>
      </w:pPr>
      <w:r>
        <w:rPr>
          <w:spacing w:val="-2"/>
        </w:rPr>
        <w:t>经公司第四届董事会第二十三次会议审议通过，根据相关规则，为进一步加强对证券事务代表所持股</w:t>
      </w:r>
      <w:r>
        <w:rPr>
          <w:w w:val="100"/>
        </w:rPr>
        <w:t> </w:t>
      </w:r>
      <w:r>
        <w:rPr>
          <w:spacing w:val="-2"/>
        </w:rPr>
        <w:t>份的管理，对《苏宁电器股份有限公司董事、监事和高级管理人员所持本公司股份及其变动管理规则》进</w:t>
      </w:r>
      <w:r>
        <w:rPr>
          <w:spacing w:val="-44"/>
        </w:rPr>
        <w:t> </w:t>
      </w:r>
      <w:r>
        <w:rPr>
          <w:spacing w:val="-44"/>
        </w:rPr>
      </w:r>
      <w:r>
        <w:rPr>
          <w:spacing w:val="-2"/>
        </w:rPr>
        <w:t>行了修订；为进一步完善公司风险投资的内部控制制度，公司根据最新的法规规定，对《苏宁电器股份有</w:t>
      </w:r>
      <w:r>
        <w:rPr>
          <w:spacing w:val="-47"/>
        </w:rPr>
        <w:t> </w:t>
      </w:r>
      <w:r>
        <w:rPr>
          <w:spacing w:val="-47"/>
        </w:rPr>
      </w:r>
      <w:r>
        <w:rPr>
          <w:spacing w:val="-2"/>
        </w:rPr>
        <w:t>限公司风险投资管理制度》进行了修订；为进一步完善对独立董事职责及工作内容的明确，公司根据最新</w:t>
      </w:r>
      <w:r>
        <w:rPr>
          <w:spacing w:val="-45"/>
        </w:rPr>
        <w:t> </w:t>
      </w:r>
      <w:r>
        <w:rPr>
          <w:spacing w:val="-45"/>
        </w:rPr>
      </w:r>
      <w:r>
        <w:rPr/>
        <w:t>法律法规，对《独立董事制度》进行了修订，并经公司</w:t>
      </w:r>
      <w:r>
        <w:rPr>
          <w:rFonts w:ascii="宋体" w:hAnsi="宋体" w:cs="宋体" w:eastAsia="宋体" w:hint="default"/>
        </w:rPr>
        <w:t>2011</w:t>
      </w:r>
      <w:r>
        <w:rPr/>
        <w:t>年年度股东大会审议通过。</w:t>
      </w:r>
    </w:p>
    <w:p>
      <w:pPr>
        <w:pStyle w:val="BodyText"/>
        <w:spacing w:line="408" w:lineRule="auto"/>
        <w:ind w:left="232" w:right="1126" w:firstLine="420"/>
        <w:jc w:val="both"/>
      </w:pPr>
      <w:r>
        <w:rPr>
          <w:spacing w:val="-2"/>
        </w:rPr>
        <w:t>根据中国证券监督管理委员会</w:t>
      </w:r>
      <w:r>
        <w:rPr>
          <w:rFonts w:ascii="宋体" w:hAnsi="宋体" w:cs="宋体" w:eastAsia="宋体" w:hint="default"/>
          <w:spacing w:val="-2"/>
        </w:rPr>
        <w:t>(</w:t>
      </w:r>
      <w:r>
        <w:rPr>
          <w:spacing w:val="-2"/>
        </w:rPr>
        <w:t>以下简称“中国证监会”</w:t>
      </w:r>
      <w:r>
        <w:rPr>
          <w:rFonts w:ascii="宋体" w:hAnsi="宋体" w:cs="宋体" w:eastAsia="宋体" w:hint="default"/>
          <w:spacing w:val="-2"/>
        </w:rPr>
        <w:t>)</w:t>
      </w:r>
      <w:r>
        <w:rPr>
          <w:spacing w:val="-2"/>
        </w:rPr>
        <w:t>《关于进一步落实上市公司现金分红有关事</w:t>
      </w:r>
      <w:r>
        <w:rPr>
          <w:w w:val="100"/>
        </w:rPr>
        <w:t> </w:t>
      </w:r>
      <w:r>
        <w:rPr>
          <w:spacing w:val="-2"/>
        </w:rPr>
        <w:t>项的通知》（证监发</w:t>
      </w:r>
      <w:r>
        <w:rPr>
          <w:rFonts w:ascii="宋体" w:hAnsi="宋体" w:cs="宋体" w:eastAsia="宋体" w:hint="default"/>
          <w:spacing w:val="-2"/>
        </w:rPr>
        <w:t>[2012]37</w:t>
      </w:r>
      <w:r>
        <w:rPr>
          <w:spacing w:val="-2"/>
        </w:rPr>
        <w:t>号）及江苏证监局的有关文件精神，为了进一步完善公司利润分配政策、维</w:t>
      </w:r>
      <w:r>
        <w:rPr>
          <w:spacing w:val="-38"/>
        </w:rPr>
        <w:t> </w:t>
      </w:r>
      <w:r>
        <w:rPr>
          <w:spacing w:val="-38"/>
        </w:rPr>
      </w:r>
      <w:r>
        <w:rPr>
          <w:spacing w:val="-2"/>
        </w:rPr>
        <w:t>护全体股东利益，经</w:t>
      </w:r>
      <w:r>
        <w:rPr>
          <w:rFonts w:ascii="宋体" w:hAnsi="宋体" w:cs="宋体" w:eastAsia="宋体" w:hint="default"/>
          <w:spacing w:val="-2"/>
        </w:rPr>
        <w:t>2012</w:t>
      </w:r>
      <w:r>
        <w:rPr>
          <w:spacing w:val="-2"/>
        </w:rPr>
        <w:t>年第一临时股东大会审议通过，对公司《章程》中与利润分配政策相关的条款第</w:t>
      </w:r>
      <w:r>
        <w:rPr>
          <w:spacing w:val="-40"/>
        </w:rPr>
        <w:t> </w:t>
      </w:r>
      <w:r>
        <w:rPr>
          <w:spacing w:val="-40"/>
        </w:rPr>
      </w:r>
      <w:r>
        <w:rPr>
          <w:spacing w:val="-2"/>
        </w:rPr>
        <w:t>八十二条、第一百六十四条进行修改，进一步完善了公司董事会、股东大会对公司利润分配尤其是现金分</w:t>
      </w:r>
      <w:r>
        <w:rPr>
          <w:spacing w:val="-44"/>
        </w:rPr>
        <w:t> </w:t>
      </w:r>
      <w:r>
        <w:rPr>
          <w:spacing w:val="-44"/>
        </w:rPr>
      </w:r>
      <w:r>
        <w:rPr>
          <w:spacing w:val="-2"/>
        </w:rPr>
        <w:t>红事项的决策程序和机制，明确公司利润分配尤其是现金分红政策的具体内容、利润分配形式、利润分配</w:t>
      </w:r>
      <w:r>
        <w:rPr>
          <w:spacing w:val="-44"/>
        </w:rPr>
        <w:t> </w:t>
      </w:r>
      <w:r>
        <w:rPr>
          <w:spacing w:val="-44"/>
        </w:rPr>
      </w:r>
      <w:r>
        <w:rPr>
          <w:spacing w:val="-2"/>
        </w:rPr>
        <w:t>尤其是现金分红的期间间隔、现金分红的具体条件等。建立健全了公司利润分配制度，充分维护了公司全</w:t>
      </w:r>
      <w:r>
        <w:rPr>
          <w:spacing w:val="-43"/>
        </w:rPr>
        <w:t> </w:t>
      </w:r>
      <w:r>
        <w:rPr>
          <w:spacing w:val="-43"/>
        </w:rPr>
      </w:r>
      <w:r>
        <w:rPr/>
        <w:t>体股东依法享有的资产收益等权利。</w:t>
      </w:r>
    </w:p>
    <w:p>
      <w:pPr>
        <w:pStyle w:val="BodyText"/>
        <w:spacing w:line="408" w:lineRule="auto"/>
        <w:ind w:left="653" w:right="876"/>
        <w:jc w:val="left"/>
      </w:pPr>
      <w:r>
        <w:rPr>
          <w:rFonts w:ascii="宋体" w:hAnsi="宋体" w:cs="宋体" w:eastAsia="宋体" w:hint="default"/>
        </w:rPr>
        <w:t>3</w:t>
      </w:r>
      <w:r>
        <w:rPr/>
        <w:t>、公司治理专项活动开展情况以及内幕信息知情人登记管理制度的制定、实施情况</w:t>
      </w:r>
      <w:r>
        <w:rPr>
          <w:w w:val="100"/>
        </w:rPr>
        <w:t> </w:t>
      </w:r>
      <w:r>
        <w:rPr>
          <w:spacing w:val="-4"/>
          <w:w w:val="100"/>
        </w:rPr>
        <w:t>公司已建立《内幕信息知情人登记管理制度》，从制度上明确了内部信息及内幕信息知情人范围，规</w:t>
      </w:r>
    </w:p>
    <w:p>
      <w:pPr>
        <w:pStyle w:val="BodyText"/>
        <w:spacing w:line="240" w:lineRule="auto"/>
        <w:ind w:left="232" w:right="876"/>
        <w:jc w:val="left"/>
      </w:pPr>
      <w:r>
        <w:rPr/>
        <w:t>定内幕信息的传递、保密工作，建立了内部信息登记备案制度。公司在日常工作中严格按照《内幕信息知</w:t>
      </w:r>
    </w:p>
    <w:p>
      <w:pPr>
        <w:pStyle w:val="BodyText"/>
        <w:spacing w:line="460" w:lineRule="atLeast" w:before="8"/>
        <w:ind w:left="232" w:right="876"/>
        <w:jc w:val="left"/>
      </w:pPr>
      <w:r>
        <w:rPr>
          <w:spacing w:val="-2"/>
        </w:rPr>
        <w:t>情人登记制度》的有关规定对内幕信息知情人进行登记备案，并按照证监会、深交所的相关要求针对公司</w:t>
      </w:r>
      <w:r>
        <w:rPr>
          <w:spacing w:val="-45"/>
        </w:rPr>
        <w:t> </w:t>
      </w:r>
      <w:r>
        <w:rPr>
          <w:spacing w:val="-45"/>
        </w:rPr>
      </w:r>
      <w:r>
        <w:rPr>
          <w:spacing w:val="-2"/>
        </w:rPr>
        <w:t>定期报告、非公开发行事项、公司债券筹划发行事项建立了内幕信息知情人档案，并按规定报送，有效的</w:t>
      </w:r>
    </w:p>
    <w:p>
      <w:pPr>
        <w:spacing w:after="0" w:line="460" w:lineRule="atLeast"/>
        <w:jc w:val="left"/>
        <w:sectPr>
          <w:pgSz w:w="11910" w:h="16840"/>
          <w:pgMar w:header="0" w:footer="1340" w:top="1100" w:bottom="1540" w:left="900" w:right="0"/>
        </w:sectPr>
      </w:pPr>
    </w:p>
    <w:p>
      <w:pPr>
        <w:spacing w:line="240" w:lineRule="auto" w:before="9"/>
        <w:rPr>
          <w:rFonts w:ascii="宋体" w:hAnsi="宋体" w:cs="宋体" w:eastAsia="宋体" w:hint="default"/>
          <w:sz w:val="26"/>
          <w:szCs w:val="26"/>
        </w:rPr>
      </w:pPr>
      <w:r>
        <w:rPr/>
        <w:pict>
          <v:shape style="position:absolute;margin-left:460.320007pt;margin-top:764.919983pt;width:135.0pt;height:77pt;mso-position-horizontal-relative:page;mso-position-vertical-relative:page;z-index:-1596616" type="#_x0000_t75" stroked="false">
            <v:imagedata r:id="rId10" o:title=""/>
          </v:shape>
        </w:pict>
      </w:r>
    </w:p>
    <w:p>
      <w:pPr>
        <w:pStyle w:val="BodyText"/>
        <w:spacing w:line="408" w:lineRule="auto" w:before="36"/>
        <w:ind w:right="982"/>
        <w:jc w:val="left"/>
      </w:pPr>
      <w:r>
        <w:rPr>
          <w:spacing w:val="-2"/>
        </w:rPr>
        <w:t>防止内幕信息泄露，保证信息披露的公平。本报告期内，公司未发生内幕信息泄露的情况，未存在公司董</w:t>
      </w:r>
      <w:r>
        <w:rPr>
          <w:spacing w:val="-50"/>
        </w:rPr>
        <w:t> </w:t>
      </w:r>
      <w:r>
        <w:rPr>
          <w:spacing w:val="-50"/>
        </w:rPr>
      </w:r>
      <w:r>
        <w:rPr/>
        <w:t>事、监事、高级管理人员利用内幕信息违规买卖公司股票情况。</w:t>
      </w:r>
    </w:p>
    <w:p>
      <w:pPr>
        <w:pStyle w:val="BodyText"/>
        <w:spacing w:line="408" w:lineRule="auto"/>
        <w:ind w:right="1105" w:firstLine="420"/>
        <w:jc w:val="both"/>
      </w:pPr>
      <w:r>
        <w:rPr/>
        <w:t>依据深交所《关于做好上市公司</w:t>
      </w:r>
      <w:r>
        <w:rPr>
          <w:spacing w:val="-47"/>
        </w:rPr>
        <w:t> </w:t>
      </w:r>
      <w:r>
        <w:rPr>
          <w:rFonts w:ascii="宋体" w:hAnsi="宋体" w:cs="宋体" w:eastAsia="宋体" w:hint="default"/>
        </w:rPr>
        <w:t>2012</w:t>
      </w:r>
      <w:r>
        <w:rPr>
          <w:rFonts w:ascii="宋体" w:hAnsi="宋体" w:cs="宋体" w:eastAsia="宋体" w:hint="default"/>
          <w:spacing w:val="-47"/>
        </w:rPr>
        <w:t> </w:t>
      </w:r>
      <w:r>
        <w:rPr>
          <w:spacing w:val="-3"/>
        </w:rPr>
        <w:t>年年度报告披露工作的通知》要求，</w:t>
      </w:r>
      <w:r>
        <w:rPr>
          <w:rFonts w:ascii="宋体" w:hAnsi="宋体" w:cs="宋体" w:eastAsia="宋体" w:hint="default"/>
          <w:spacing w:val="-3"/>
        </w:rPr>
        <w:t>2013</w:t>
      </w:r>
      <w:r>
        <w:rPr>
          <w:rFonts w:ascii="宋体" w:hAnsi="宋体" w:cs="宋体" w:eastAsia="宋体" w:hint="default"/>
          <w:spacing w:val="-46"/>
        </w:rPr>
        <w:t> </w:t>
      </w:r>
      <w:r>
        <w:rPr/>
        <w:t>年</w:t>
      </w:r>
      <w:r>
        <w:rPr>
          <w:spacing w:val="-47"/>
        </w:rPr>
        <w:t> </w:t>
      </w:r>
      <w:r>
        <w:rPr>
          <w:rFonts w:ascii="宋体" w:hAnsi="宋体" w:cs="宋体" w:eastAsia="宋体" w:hint="default"/>
        </w:rPr>
        <w:t>3</w:t>
      </w:r>
      <w:r>
        <w:rPr>
          <w:rFonts w:ascii="宋体" w:hAnsi="宋体" w:cs="宋体" w:eastAsia="宋体" w:hint="default"/>
          <w:spacing w:val="-50"/>
        </w:rPr>
        <w:t> </w:t>
      </w:r>
      <w:r>
        <w:rPr>
          <w:spacing w:val="-3"/>
        </w:rPr>
        <w:t>月，公司对</w:t>
      </w:r>
      <w:r>
        <w:rPr>
          <w:spacing w:val="-47"/>
        </w:rPr>
        <w:t> </w:t>
      </w:r>
      <w:r>
        <w:rPr>
          <w:rFonts w:ascii="宋体" w:hAnsi="宋体" w:cs="宋体" w:eastAsia="宋体" w:hint="default"/>
        </w:rPr>
        <w:t>2012</w:t>
      </w:r>
      <w:r>
        <w:rPr>
          <w:rFonts w:ascii="宋体" w:hAnsi="宋体" w:cs="宋体" w:eastAsia="宋体" w:hint="default"/>
          <w:w w:val="100"/>
        </w:rPr>
        <w:t> </w:t>
      </w:r>
      <w:r>
        <w:rPr>
          <w:spacing w:val="-2"/>
        </w:rPr>
        <w:t>年度内部控制开展全面自查工作，从组织机构、内部审计、信息披露、内幕交易、募集资金、关联交易、</w:t>
      </w:r>
      <w:r>
        <w:rPr>
          <w:spacing w:val="-23"/>
        </w:rPr>
        <w:t> </w:t>
      </w:r>
      <w:r>
        <w:rPr>
          <w:spacing w:val="-23"/>
        </w:rPr>
      </w:r>
      <w:r>
        <w:rPr>
          <w:spacing w:val="-2"/>
        </w:rPr>
        <w:t>对外担保、重大投资等方面进行了全面自查。经自查，公司已建立起了符合规定的企业内控管理制度，并</w:t>
      </w:r>
      <w:r>
        <w:rPr>
          <w:spacing w:val="-47"/>
        </w:rPr>
        <w:t> </w:t>
      </w:r>
      <w:r>
        <w:rPr>
          <w:spacing w:val="-47"/>
        </w:rPr>
      </w:r>
      <w:r>
        <w:rPr>
          <w:spacing w:val="-2"/>
        </w:rPr>
        <w:t>严格按照制度规定规范运作，不存在需要整改的情况。公司保荐机构中信证券股份有限公司对公司开展内</w:t>
      </w:r>
      <w:r>
        <w:rPr>
          <w:spacing w:val="-43"/>
        </w:rPr>
        <w:t> </w:t>
      </w:r>
      <w:r>
        <w:rPr>
          <w:spacing w:val="-43"/>
        </w:rPr>
      </w:r>
      <w:r>
        <w:rPr>
          <w:spacing w:val="-2"/>
        </w:rPr>
        <w:t>部控制自查情况进行了核查，并发表了核查意见，认为公司填写的《内部控制规则落实自查表》严格按照</w:t>
      </w:r>
    </w:p>
    <w:p>
      <w:pPr>
        <w:pStyle w:val="BodyText"/>
        <w:spacing w:line="410" w:lineRule="auto"/>
        <w:ind w:right="1208"/>
        <w:jc w:val="left"/>
      </w:pPr>
      <w:r>
        <w:rPr/>
        <w:t>《关于做好上市公司</w:t>
      </w:r>
      <w:r>
        <w:rPr>
          <w:spacing w:val="-56"/>
        </w:rPr>
        <w:t> </w:t>
      </w:r>
      <w:r>
        <w:rPr>
          <w:rFonts w:ascii="宋体" w:hAnsi="宋体" w:cs="宋体" w:eastAsia="宋体" w:hint="default"/>
        </w:rPr>
        <w:t>2012</w:t>
      </w:r>
      <w:r>
        <w:rPr>
          <w:rFonts w:ascii="宋体" w:hAnsi="宋体" w:cs="宋体" w:eastAsia="宋体" w:hint="default"/>
          <w:spacing w:val="-58"/>
        </w:rPr>
        <w:t> </w:t>
      </w:r>
      <w:r>
        <w:rPr/>
        <w:t>年年度报告披露工作的通知》的要求填写，真实的反映了公司对深圳证券交易</w:t>
      </w:r>
      <w:r>
        <w:rPr>
          <w:w w:val="100"/>
        </w:rPr>
        <w:t> </w:t>
      </w:r>
      <w:r>
        <w:rPr/>
        <w:t>所有关内部控制的相关规则的落实情况。</w:t>
      </w:r>
    </w:p>
    <w:p>
      <w:pPr>
        <w:spacing w:line="240" w:lineRule="auto" w:before="6"/>
        <w:rPr>
          <w:rFonts w:ascii="宋体" w:hAnsi="宋体" w:cs="宋体" w:eastAsia="宋体" w:hint="default"/>
          <w:sz w:val="18"/>
          <w:szCs w:val="18"/>
        </w:rPr>
      </w:pPr>
    </w:p>
    <w:p>
      <w:pPr>
        <w:pStyle w:val="Heading2"/>
        <w:spacing w:line="240" w:lineRule="auto"/>
        <w:ind w:right="982"/>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589"/>
        <w:gridCol w:w="991"/>
        <w:gridCol w:w="3829"/>
        <w:gridCol w:w="991"/>
        <w:gridCol w:w="997"/>
        <w:gridCol w:w="1301"/>
      </w:tblGrid>
      <w:tr>
        <w:trPr>
          <w:trHeight w:val="322"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2"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1"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4"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5"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500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5"/>
                <w:szCs w:val="25"/>
              </w:rPr>
            </w:pPr>
          </w:p>
          <w:p>
            <w:pPr>
              <w:pStyle w:val="TableParagraph"/>
              <w:spacing w:line="256" w:lineRule="auto"/>
              <w:ind w:left="24"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年年度股东</w:t>
            </w:r>
            <w:r>
              <w:rPr>
                <w:rFonts w:ascii="宋体" w:hAnsi="宋体" w:cs="宋体" w:eastAsia="宋体" w:hint="default"/>
                <w:w w:val="100"/>
                <w:sz w:val="21"/>
                <w:szCs w:val="21"/>
              </w:rPr>
              <w:t> </w:t>
            </w:r>
            <w:r>
              <w:rPr>
                <w:rFonts w:ascii="宋体" w:hAnsi="宋体" w:cs="宋体" w:eastAsia="宋体" w:hint="default"/>
                <w:sz w:val="21"/>
                <w:szCs w:val="21"/>
              </w:rPr>
              <w:t>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56"/>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工</w:t>
            </w:r>
            <w:r>
              <w:rPr>
                <w:rFonts w:ascii="宋体" w:hAnsi="宋体" w:cs="宋体" w:eastAsia="宋体" w:hint="default"/>
                <w:spacing w:val="-3"/>
                <w:w w:val="100"/>
                <w:sz w:val="21"/>
                <w:szCs w:val="21"/>
              </w:rPr>
              <w:t>作报</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工</w:t>
            </w:r>
            <w:r>
              <w:rPr>
                <w:rFonts w:ascii="宋体" w:hAnsi="宋体" w:cs="宋体" w:eastAsia="宋体" w:hint="default"/>
                <w:spacing w:val="-3"/>
                <w:w w:val="100"/>
                <w:sz w:val="21"/>
                <w:szCs w:val="21"/>
              </w:rPr>
              <w:t>作报</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决</w:t>
            </w:r>
            <w:r>
              <w:rPr>
                <w:rFonts w:ascii="宋体" w:hAnsi="宋体" w:cs="宋体" w:eastAsia="宋体" w:hint="default"/>
                <w:w w:val="100"/>
                <w:sz w:val="21"/>
                <w:szCs w:val="21"/>
              </w:rPr>
              <w:t>算</w:t>
            </w:r>
            <w:r>
              <w:rPr>
                <w:rFonts w:ascii="宋体" w:hAnsi="宋体" w:cs="宋体" w:eastAsia="宋体" w:hint="default"/>
                <w:spacing w:val="-3"/>
                <w:w w:val="100"/>
                <w:sz w:val="21"/>
                <w:szCs w:val="21"/>
              </w:rPr>
              <w:t>报告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56" w:lineRule="auto" w:before="21"/>
              <w:ind w:left="24" w:right="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pacing w:val="-11"/>
                <w:sz w:val="21"/>
                <w:szCs w:val="21"/>
              </w:rPr>
              <w:t>年年度报告》及《</w:t>
            </w:r>
            <w:r>
              <w:rPr>
                <w:rFonts w:ascii="Times New Roman" w:hAnsi="Times New Roman" w:cs="Times New Roman" w:eastAsia="Times New Roman" w:hint="default"/>
                <w:spacing w:val="-11"/>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年年度报告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7"/>
                <w:w w:val="100"/>
                <w:sz w:val="21"/>
                <w:szCs w:val="21"/>
              </w:rPr>
              <w:t>摘要》；</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预案</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56" w:lineRule="auto" w:before="21"/>
              <w:ind w:left="24" w:right="122"/>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年度募集资金存放与使用情</w:t>
            </w:r>
            <w:r>
              <w:rPr>
                <w:rFonts w:ascii="宋体" w:hAnsi="宋体" w:cs="宋体" w:eastAsia="宋体" w:hint="default"/>
                <w:w w:val="100"/>
                <w:sz w:val="21"/>
                <w:szCs w:val="21"/>
              </w:rPr>
              <w:t> </w:t>
            </w:r>
            <w:r>
              <w:rPr>
                <w:rFonts w:ascii="宋体" w:hAnsi="宋体" w:cs="宋体" w:eastAsia="宋体" w:hint="default"/>
                <w:spacing w:val="-15"/>
                <w:w w:val="100"/>
                <w:sz w:val="21"/>
                <w:szCs w:val="21"/>
              </w:rPr>
              <w:t>况的专项报告》；</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续</w:t>
            </w:r>
            <w:r>
              <w:rPr>
                <w:rFonts w:ascii="宋体" w:hAnsi="宋体" w:cs="宋体" w:eastAsia="宋体" w:hint="default"/>
                <w:spacing w:val="-3"/>
                <w:w w:val="100"/>
                <w:sz w:val="21"/>
                <w:szCs w:val="21"/>
              </w:rPr>
              <w:t>聘</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师</w:t>
            </w:r>
            <w:r>
              <w:rPr>
                <w:rFonts w:ascii="宋体" w:hAnsi="宋体" w:cs="宋体" w:eastAsia="宋体" w:hint="default"/>
                <w:spacing w:val="-3"/>
                <w:w w:val="100"/>
                <w:sz w:val="21"/>
                <w:szCs w:val="21"/>
              </w:rPr>
              <w:t>事</w:t>
            </w:r>
            <w:r>
              <w:rPr>
                <w:rFonts w:ascii="宋体" w:hAnsi="宋体" w:cs="宋体" w:eastAsia="宋体" w:hint="default"/>
                <w:w w:val="100"/>
                <w:sz w:val="21"/>
                <w:szCs w:val="21"/>
              </w:rPr>
              <w:t>务</w:t>
            </w:r>
            <w:r>
              <w:rPr>
                <w:rFonts w:ascii="宋体" w:hAnsi="宋体" w:cs="宋体" w:eastAsia="宋体" w:hint="default"/>
                <w:spacing w:val="-3"/>
                <w:w w:val="100"/>
                <w:sz w:val="21"/>
                <w:szCs w:val="21"/>
              </w:rPr>
              <w:t>所</w:t>
            </w:r>
            <w:r>
              <w:rPr>
                <w:rFonts w:ascii="宋体" w:hAnsi="宋体" w:cs="宋体" w:eastAsia="宋体" w:hint="default"/>
                <w:w w:val="100"/>
                <w:sz w:val="21"/>
                <w:szCs w:val="21"/>
              </w:rPr>
              <w:t>的议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73" w:lineRule="auto" w:before="37"/>
              <w:ind w:left="24" w:right="17"/>
              <w:jc w:val="left"/>
              <w:rPr>
                <w:rFonts w:ascii="宋体" w:hAnsi="宋体" w:cs="宋体" w:eastAsia="宋体" w:hint="default"/>
                <w:sz w:val="21"/>
                <w:szCs w:val="21"/>
              </w:rPr>
            </w:pPr>
            <w:r>
              <w:rPr>
                <w:rFonts w:ascii="宋体" w:hAnsi="宋体" w:cs="宋体" w:eastAsia="宋体" w:hint="default"/>
                <w:spacing w:val="-2"/>
                <w:sz w:val="21"/>
                <w:szCs w:val="21"/>
              </w:rPr>
              <w:t>《关于调整公司董事、高级管理人员薪酬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5"/>
                <w:w w:val="100"/>
                <w:sz w:val="21"/>
                <w:szCs w:val="21"/>
              </w:rPr>
              <w:t>及津贴的议案》；</w:t>
            </w:r>
          </w:p>
          <w:p>
            <w:pPr>
              <w:pStyle w:val="TableParagraph"/>
              <w:spacing w:line="240" w:lineRule="auto" w:before="7"/>
              <w:ind w:left="24" w:right="0"/>
              <w:jc w:val="left"/>
              <w:rPr>
                <w:rFonts w:ascii="宋体" w:hAnsi="宋体" w:cs="宋体" w:eastAsia="宋体" w:hint="default"/>
                <w:sz w:val="21"/>
                <w:szCs w:val="21"/>
              </w:rPr>
            </w:pP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调</w:t>
            </w:r>
            <w:r>
              <w:rPr>
                <w:rFonts w:ascii="宋体" w:hAnsi="宋体" w:cs="宋体" w:eastAsia="宋体" w:hint="default"/>
                <w:spacing w:val="-3"/>
                <w:w w:val="100"/>
                <w:sz w:val="21"/>
                <w:szCs w:val="21"/>
              </w:rPr>
              <w:t>整</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部</w:t>
            </w:r>
            <w:r>
              <w:rPr>
                <w:rFonts w:ascii="宋体" w:hAnsi="宋体" w:cs="宋体" w:eastAsia="宋体" w:hint="default"/>
                <w:spacing w:val="-3"/>
                <w:w w:val="100"/>
                <w:sz w:val="21"/>
                <w:szCs w:val="21"/>
              </w:rPr>
              <w:t>分</w:t>
            </w:r>
            <w:r>
              <w:rPr>
                <w:rFonts w:ascii="宋体" w:hAnsi="宋体" w:cs="宋体" w:eastAsia="宋体" w:hint="default"/>
                <w:w w:val="100"/>
                <w:sz w:val="21"/>
                <w:szCs w:val="21"/>
              </w:rPr>
              <w:t>监</w:t>
            </w:r>
            <w:r>
              <w:rPr>
                <w:rFonts w:ascii="宋体" w:hAnsi="宋体" w:cs="宋体" w:eastAsia="宋体" w:hint="default"/>
                <w:spacing w:val="-3"/>
                <w:w w:val="100"/>
                <w:sz w:val="21"/>
                <w:szCs w:val="21"/>
              </w:rPr>
              <w:t>事</w:t>
            </w:r>
            <w:r>
              <w:rPr>
                <w:rFonts w:ascii="宋体" w:hAnsi="宋体" w:cs="宋体" w:eastAsia="宋体" w:hint="default"/>
                <w:w w:val="100"/>
                <w:sz w:val="21"/>
                <w:szCs w:val="21"/>
              </w:rPr>
              <w:t>薪酬</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经</w:t>
            </w:r>
            <w:r>
              <w:rPr>
                <w:rFonts w:ascii="宋体" w:hAnsi="宋体" w:cs="宋体" w:eastAsia="宋体" w:hint="default"/>
                <w:spacing w:val="-3"/>
                <w:w w:val="100"/>
                <w:sz w:val="21"/>
                <w:szCs w:val="21"/>
              </w:rPr>
              <w:t>营</w:t>
            </w:r>
            <w:r>
              <w:rPr>
                <w:rFonts w:ascii="宋体" w:hAnsi="宋体" w:cs="宋体" w:eastAsia="宋体" w:hint="default"/>
                <w:w w:val="100"/>
                <w:sz w:val="21"/>
                <w:szCs w:val="21"/>
              </w:rPr>
              <w:t>范</w:t>
            </w:r>
            <w:r>
              <w:rPr>
                <w:rFonts w:ascii="宋体" w:hAnsi="宋体" w:cs="宋体" w:eastAsia="宋体" w:hint="default"/>
                <w:spacing w:val="-3"/>
                <w:w w:val="100"/>
                <w:sz w:val="21"/>
                <w:szCs w:val="21"/>
              </w:rPr>
              <w:t>围</w:t>
            </w:r>
            <w:r>
              <w:rPr>
                <w:rFonts w:ascii="宋体" w:hAnsi="宋体" w:cs="宋体" w:eastAsia="宋体" w:hint="default"/>
                <w:w w:val="100"/>
                <w:sz w:val="21"/>
                <w:szCs w:val="21"/>
              </w:rPr>
              <w:t>的议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修</w:t>
            </w:r>
            <w:r>
              <w:rPr>
                <w:rFonts w:ascii="宋体" w:hAnsi="宋体" w:cs="宋体" w:eastAsia="宋体" w:hint="default"/>
                <w:spacing w:val="-3"/>
                <w:w w:val="100"/>
                <w:sz w:val="21"/>
                <w:szCs w:val="21"/>
              </w:rPr>
              <w:t>改</w:t>
            </w:r>
            <w:r>
              <w:rPr>
                <w:rFonts w:ascii="宋体" w:hAnsi="宋体" w:cs="宋体" w:eastAsia="宋体" w:hint="default"/>
                <w:w w:val="100"/>
                <w:sz w:val="21"/>
                <w:szCs w:val="21"/>
              </w:rPr>
              <w:t>公</w:t>
            </w:r>
            <w:r>
              <w:rPr>
                <w:rFonts w:ascii="宋体" w:hAnsi="宋体" w:cs="宋体" w:eastAsia="宋体" w:hint="default"/>
                <w:spacing w:val="-2"/>
                <w:w w:val="100"/>
                <w:sz w:val="21"/>
                <w:szCs w:val="21"/>
              </w:rPr>
              <w:t>司</w:t>
            </w:r>
            <w:r>
              <w:rPr>
                <w:rFonts w:ascii="Times New Roman" w:hAnsi="Times New Roman" w:cs="Times New Roman" w:eastAsia="Times New Roman" w:hint="default"/>
                <w:spacing w:val="-2"/>
                <w:w w:val="100"/>
                <w:sz w:val="21"/>
                <w:szCs w:val="21"/>
              </w:rPr>
              <w:t>&lt;</w:t>
            </w:r>
            <w:r>
              <w:rPr>
                <w:rFonts w:ascii="宋体" w:hAnsi="宋体" w:cs="宋体" w:eastAsia="宋体" w:hint="default"/>
                <w:w w:val="100"/>
                <w:sz w:val="21"/>
                <w:szCs w:val="21"/>
              </w:rPr>
              <w:t>章</w:t>
            </w:r>
            <w:r>
              <w:rPr>
                <w:rFonts w:ascii="宋体" w:hAnsi="宋体" w:cs="宋体" w:eastAsia="宋体" w:hint="default"/>
                <w:spacing w:val="-3"/>
                <w:w w:val="100"/>
                <w:sz w:val="21"/>
                <w:szCs w:val="21"/>
              </w:rPr>
              <w:t>程</w:t>
            </w:r>
            <w:r>
              <w:rPr>
                <w:rFonts w:ascii="Times New Roman" w:hAnsi="Times New Roman" w:cs="Times New Roman" w:eastAsia="Times New Roman" w:hint="default"/>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56" w:lineRule="auto" w:before="21"/>
              <w:ind w:left="24" w:right="101"/>
              <w:jc w:val="left"/>
              <w:rPr>
                <w:rFonts w:ascii="宋体" w:hAnsi="宋体" w:cs="宋体" w:eastAsia="宋体" w:hint="default"/>
                <w:sz w:val="21"/>
                <w:szCs w:val="21"/>
              </w:rPr>
            </w:pPr>
            <w:r>
              <w:rPr>
                <w:rFonts w:ascii="宋体" w:hAnsi="宋体" w:cs="宋体" w:eastAsia="宋体" w:hint="default"/>
                <w:spacing w:val="-2"/>
                <w:sz w:val="21"/>
                <w:szCs w:val="21"/>
              </w:rPr>
              <w:t>《关于修订</w:t>
            </w:r>
            <w:r>
              <w:rPr>
                <w:rFonts w:ascii="Times New Roman" w:hAnsi="Times New Roman" w:cs="Times New Roman" w:eastAsia="Times New Roman" w:hint="default"/>
                <w:spacing w:val="-2"/>
                <w:sz w:val="21"/>
                <w:szCs w:val="21"/>
              </w:rPr>
              <w:t>&lt;</w:t>
            </w:r>
            <w:r>
              <w:rPr>
                <w:rFonts w:ascii="宋体" w:hAnsi="宋体" w:cs="宋体" w:eastAsia="宋体" w:hint="default"/>
                <w:spacing w:val="-2"/>
                <w:sz w:val="21"/>
                <w:szCs w:val="21"/>
              </w:rPr>
              <w:t>苏宁电器股份有限公司独立</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董事制度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68" w:lineRule="auto"/>
              <w:ind w:left="23" w:right="67"/>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年年</w:t>
            </w:r>
            <w:r>
              <w:rPr>
                <w:rFonts w:ascii="宋体" w:hAnsi="宋体" w:cs="宋体" w:eastAsia="宋体" w:hint="default"/>
                <w:w w:val="100"/>
                <w:sz w:val="21"/>
                <w:szCs w:val="21"/>
              </w:rPr>
              <w:t> </w:t>
            </w:r>
            <w:r>
              <w:rPr>
                <w:rFonts w:ascii="宋体" w:hAnsi="宋体" w:cs="宋体" w:eastAsia="宋体" w:hint="default"/>
                <w:sz w:val="21"/>
                <w:szCs w:val="21"/>
              </w:rPr>
              <w:t>度股东大</w:t>
            </w:r>
            <w:r>
              <w:rPr>
                <w:rFonts w:ascii="宋体" w:hAnsi="宋体" w:cs="宋体" w:eastAsia="宋体" w:hint="default"/>
                <w:w w:val="100"/>
                <w:sz w:val="21"/>
                <w:szCs w:val="21"/>
              </w:rPr>
              <w:t> </w:t>
            </w:r>
            <w:r>
              <w:rPr>
                <w:rFonts w:ascii="宋体" w:hAnsi="宋体" w:cs="宋体" w:eastAsia="宋体" w:hint="default"/>
                <w:sz w:val="21"/>
                <w:szCs w:val="21"/>
              </w:rPr>
              <w:t>会审议通</w:t>
            </w:r>
            <w:r>
              <w:rPr>
                <w:rFonts w:ascii="宋体" w:hAnsi="宋体" w:cs="宋体" w:eastAsia="宋体" w:hint="default"/>
                <w:w w:val="100"/>
                <w:sz w:val="21"/>
                <w:szCs w:val="21"/>
              </w:rPr>
              <w:t> </w:t>
            </w:r>
            <w:r>
              <w:rPr>
                <w:rFonts w:ascii="宋体" w:hAnsi="宋体" w:cs="宋体" w:eastAsia="宋体" w:hint="default"/>
                <w:sz w:val="21"/>
                <w:szCs w:val="21"/>
              </w:rPr>
              <w:t>过了全部</w:t>
            </w:r>
            <w:r>
              <w:rPr>
                <w:rFonts w:ascii="宋体" w:hAnsi="宋体" w:cs="宋体" w:eastAsia="宋体" w:hint="default"/>
                <w:w w:val="100"/>
                <w:sz w:val="21"/>
                <w:szCs w:val="21"/>
              </w:rPr>
              <w:t> </w:t>
            </w:r>
            <w:r>
              <w:rPr>
                <w:rFonts w:ascii="宋体" w:hAnsi="宋体" w:cs="宋体" w:eastAsia="宋体" w:hint="default"/>
                <w:sz w:val="21"/>
                <w:szCs w:val="21"/>
              </w:rPr>
              <w:t>议案，并</w:t>
            </w:r>
            <w:r>
              <w:rPr>
                <w:rFonts w:ascii="宋体" w:hAnsi="宋体" w:cs="宋体" w:eastAsia="宋体" w:hint="default"/>
                <w:w w:val="100"/>
                <w:sz w:val="21"/>
                <w:szCs w:val="21"/>
              </w:rPr>
              <w:t> </w:t>
            </w:r>
            <w:r>
              <w:rPr>
                <w:rFonts w:ascii="宋体" w:hAnsi="宋体" w:cs="宋体" w:eastAsia="宋体" w:hint="default"/>
                <w:sz w:val="21"/>
                <w:szCs w:val="21"/>
              </w:rPr>
              <w:t>形成了</w:t>
            </w:r>
            <w:r>
              <w:rPr>
                <w:rFonts w:ascii="宋体" w:hAnsi="宋体" w:cs="宋体" w:eastAsia="宋体" w:hint="default"/>
                <w:spacing w:val="-10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年年</w:t>
            </w:r>
            <w:r>
              <w:rPr>
                <w:rFonts w:ascii="宋体" w:hAnsi="宋体" w:cs="宋体" w:eastAsia="宋体" w:hint="default"/>
                <w:w w:val="100"/>
                <w:sz w:val="21"/>
                <w:szCs w:val="21"/>
              </w:rPr>
              <w:t> </w:t>
            </w:r>
            <w:r>
              <w:rPr>
                <w:rFonts w:ascii="宋体" w:hAnsi="宋体" w:cs="宋体" w:eastAsia="宋体" w:hint="default"/>
                <w:sz w:val="21"/>
                <w:szCs w:val="21"/>
              </w:rPr>
              <w:t>度股东大</w:t>
            </w:r>
            <w:r>
              <w:rPr>
                <w:rFonts w:ascii="宋体" w:hAnsi="宋体" w:cs="宋体" w:eastAsia="宋体" w:hint="default"/>
                <w:w w:val="100"/>
                <w:sz w:val="21"/>
                <w:szCs w:val="21"/>
              </w:rPr>
              <w:t> </w:t>
            </w:r>
            <w:r>
              <w:rPr>
                <w:rFonts w:ascii="宋体" w:hAnsi="宋体" w:cs="宋体" w:eastAsia="宋体" w:hint="default"/>
                <w:sz w:val="21"/>
                <w:szCs w:val="21"/>
              </w:rPr>
              <w:t>会决议</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5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公告编号：</w:t>
            </w:r>
          </w:p>
          <w:p>
            <w:pPr>
              <w:pStyle w:val="TableParagraph"/>
              <w:spacing w:line="240" w:lineRule="auto" w:before="84"/>
              <w:ind w:left="23" w:right="0"/>
              <w:jc w:val="left"/>
              <w:rPr>
                <w:rFonts w:ascii="Times New Roman" w:hAnsi="Times New Roman" w:cs="Times New Roman" w:eastAsia="Times New Roman" w:hint="default"/>
                <w:sz w:val="21"/>
                <w:szCs w:val="21"/>
              </w:rPr>
            </w:pPr>
            <w:r>
              <w:rPr>
                <w:rFonts w:ascii="Times New Roman"/>
                <w:sz w:val="21"/>
              </w:rPr>
              <w:t>2012-018</w:t>
            </w:r>
          </w:p>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公告名称：</w:t>
            </w:r>
          </w:p>
          <w:p>
            <w:pPr>
              <w:pStyle w:val="TableParagraph"/>
              <w:spacing w:line="266" w:lineRule="auto" w:before="37"/>
              <w:ind w:left="23" w:right="7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年年</w:t>
            </w:r>
            <w:r>
              <w:rPr>
                <w:rFonts w:ascii="宋体" w:hAnsi="宋体" w:cs="宋体" w:eastAsia="宋体" w:hint="default"/>
                <w:spacing w:val="-3"/>
                <w:w w:val="100"/>
                <w:sz w:val="21"/>
                <w:szCs w:val="21"/>
              </w:rPr>
              <w:t> </w:t>
            </w:r>
            <w:r>
              <w:rPr>
                <w:rFonts w:ascii="宋体" w:hAnsi="宋体" w:cs="宋体" w:eastAsia="宋体" w:hint="default"/>
                <w:sz w:val="21"/>
                <w:szCs w:val="21"/>
              </w:rPr>
              <w:t>度股东大会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决议公告》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巨潮资讯网</w:t>
            </w:r>
          </w:p>
          <w:p>
            <w:pPr>
              <w:pStyle w:val="TableParagraph"/>
              <w:spacing w:line="309" w:lineRule="auto" w:before="61"/>
              <w:ind w:left="23" w:right="72"/>
              <w:jc w:val="left"/>
              <w:rPr>
                <w:rFonts w:ascii="Times New Roman" w:hAnsi="Times New Roman" w:cs="Times New Roman" w:eastAsia="Times New Roman" w:hint="default"/>
                <w:sz w:val="21"/>
                <w:szCs w:val="21"/>
              </w:rPr>
            </w:pPr>
            <w:r>
              <w:rPr>
                <w:rFonts w:ascii="Times New Roman"/>
                <w:spacing w:val="-3"/>
                <w:sz w:val="21"/>
              </w:rPr>
              <w:t>http://www.cn</w:t>
            </w:r>
            <w:r>
              <w:rPr>
                <w:rFonts w:ascii="Times New Roman"/>
                <w:spacing w:val="-35"/>
                <w:sz w:val="21"/>
              </w:rPr>
              <w:t> </w:t>
            </w:r>
            <w:r>
              <w:rPr>
                <w:rFonts w:ascii="Times New Roman"/>
                <w:spacing w:val="-35"/>
                <w:sz w:val="21"/>
              </w:rPr>
            </w:r>
            <w:r>
              <w:rPr>
                <w:rFonts w:ascii="Times New Roman"/>
                <w:sz w:val="21"/>
              </w:rPr>
              <w:t>info.com.cn</w:t>
            </w:r>
          </w:p>
        </w:tc>
      </w:tr>
    </w:tbl>
    <w:p>
      <w:pPr>
        <w:spacing w:line="240" w:lineRule="auto" w:before="4"/>
        <w:rPr>
          <w:rFonts w:ascii="宋体" w:hAnsi="宋体" w:cs="宋体" w:eastAsia="宋体" w:hint="default"/>
          <w:b/>
          <w:bCs/>
          <w:sz w:val="20"/>
          <w:szCs w:val="20"/>
        </w:rPr>
      </w:pPr>
    </w:p>
    <w:p>
      <w:pPr>
        <w:pStyle w:val="Heading4"/>
        <w:spacing w:line="240" w:lineRule="auto" w:before="36"/>
        <w:ind w:right="982"/>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596"/>
        <w:gridCol w:w="955"/>
        <w:gridCol w:w="3829"/>
        <w:gridCol w:w="991"/>
        <w:gridCol w:w="994"/>
        <w:gridCol w:w="1202"/>
      </w:tblGrid>
      <w:tr>
        <w:trPr>
          <w:trHeight w:val="32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74"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2"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1"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1"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77"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157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73" w:lineRule="auto"/>
              <w:ind w:left="24" w:right="36"/>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年第一次临</w:t>
            </w:r>
            <w:r>
              <w:rPr>
                <w:rFonts w:ascii="宋体" w:hAnsi="宋体" w:cs="宋体" w:eastAsia="宋体" w:hint="default"/>
                <w:w w:val="100"/>
                <w:sz w:val="21"/>
                <w:szCs w:val="21"/>
              </w:rPr>
              <w:t> </w:t>
            </w:r>
            <w:r>
              <w:rPr>
                <w:rFonts w:ascii="宋体" w:hAnsi="宋体" w:cs="宋体" w:eastAsia="宋体" w:hint="default"/>
                <w:sz w:val="21"/>
                <w:szCs w:val="21"/>
              </w:rPr>
              <w:t>时股东大会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修</w:t>
            </w:r>
            <w:r>
              <w:rPr>
                <w:rFonts w:ascii="宋体" w:hAnsi="宋体" w:cs="宋体" w:eastAsia="宋体" w:hint="default"/>
                <w:spacing w:val="-3"/>
                <w:w w:val="100"/>
                <w:sz w:val="21"/>
                <w:szCs w:val="21"/>
              </w:rPr>
              <w:t>改</w:t>
            </w:r>
            <w:r>
              <w:rPr>
                <w:rFonts w:ascii="宋体" w:hAnsi="宋体" w:cs="宋体" w:eastAsia="宋体" w:hint="default"/>
                <w:w w:val="100"/>
                <w:sz w:val="21"/>
                <w:szCs w:val="21"/>
              </w:rPr>
              <w:t>公</w:t>
            </w:r>
            <w:r>
              <w:rPr>
                <w:rFonts w:ascii="宋体" w:hAnsi="宋体" w:cs="宋体" w:eastAsia="宋体" w:hint="default"/>
                <w:spacing w:val="-2"/>
                <w:w w:val="100"/>
                <w:sz w:val="21"/>
                <w:szCs w:val="21"/>
              </w:rPr>
              <w:t>司</w:t>
            </w:r>
            <w:r>
              <w:rPr>
                <w:rFonts w:ascii="宋体" w:hAnsi="宋体" w:cs="宋体" w:eastAsia="宋体" w:hint="default"/>
                <w:w w:val="100"/>
                <w:sz w:val="21"/>
                <w:szCs w:val="21"/>
              </w:rPr>
              <w:t>&lt;</w:t>
            </w:r>
            <w:r>
              <w:rPr>
                <w:rFonts w:ascii="宋体" w:hAnsi="宋体" w:cs="宋体" w:eastAsia="宋体" w:hint="default"/>
                <w:spacing w:val="-3"/>
                <w:w w:val="100"/>
                <w:sz w:val="21"/>
                <w:szCs w:val="21"/>
              </w:rPr>
              <w:t>章</w:t>
            </w:r>
            <w:r>
              <w:rPr>
                <w:rFonts w:ascii="宋体" w:hAnsi="宋体" w:cs="宋体" w:eastAsia="宋体" w:hint="default"/>
                <w:w w:val="100"/>
                <w:sz w:val="21"/>
                <w:szCs w:val="21"/>
              </w:rPr>
              <w:t>程</w:t>
            </w:r>
            <w:r>
              <w:rPr>
                <w:rFonts w:ascii="宋体" w:hAnsi="宋体" w:cs="宋体" w:eastAsia="宋体" w:hint="default"/>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73" w:lineRule="auto" w:before="37"/>
              <w:ind w:left="24" w:right="113"/>
              <w:jc w:val="left"/>
              <w:rPr>
                <w:rFonts w:ascii="宋体" w:hAnsi="宋体" w:cs="宋体" w:eastAsia="宋体" w:hint="default"/>
                <w:sz w:val="21"/>
                <w:szCs w:val="21"/>
              </w:rPr>
            </w:pP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公</w:t>
            </w:r>
            <w:r>
              <w:rPr>
                <w:rFonts w:ascii="宋体" w:hAnsi="宋体" w:cs="宋体" w:eastAsia="宋体" w:hint="default"/>
                <w:spacing w:val="-3"/>
                <w:w w:val="100"/>
                <w:sz w:val="21"/>
                <w:szCs w:val="21"/>
              </w:rPr>
              <w:t>开</w:t>
            </w:r>
            <w:r>
              <w:rPr>
                <w:rFonts w:ascii="宋体" w:hAnsi="宋体" w:cs="宋体" w:eastAsia="宋体" w:hint="default"/>
                <w:w w:val="100"/>
                <w:sz w:val="21"/>
                <w:szCs w:val="21"/>
              </w:rPr>
              <w:t>发</w:t>
            </w:r>
            <w:r>
              <w:rPr>
                <w:rFonts w:ascii="宋体" w:hAnsi="宋体" w:cs="宋体" w:eastAsia="宋体" w:hint="default"/>
                <w:spacing w:val="-3"/>
                <w:w w:val="100"/>
                <w:sz w:val="21"/>
                <w:szCs w:val="21"/>
              </w:rPr>
              <w:t>行</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债</w:t>
            </w:r>
            <w:r>
              <w:rPr>
                <w:rFonts w:ascii="宋体" w:hAnsi="宋体" w:cs="宋体" w:eastAsia="宋体" w:hint="default"/>
                <w:spacing w:val="-3"/>
                <w:w w:val="100"/>
                <w:sz w:val="21"/>
                <w:szCs w:val="21"/>
              </w:rPr>
              <w:t>券</w:t>
            </w:r>
            <w:r>
              <w:rPr>
                <w:rFonts w:ascii="宋体" w:hAnsi="宋体" w:cs="宋体" w:eastAsia="宋体" w:hint="default"/>
                <w:w w:val="100"/>
                <w:sz w:val="21"/>
                <w:szCs w:val="21"/>
              </w:rPr>
              <w:t>的议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该议</w:t>
            </w:r>
            <w:r>
              <w:rPr>
                <w:rFonts w:ascii="宋体" w:hAnsi="宋体" w:cs="宋体" w:eastAsia="宋体" w:hint="default"/>
                <w:w w:val="100"/>
                <w:sz w:val="21"/>
                <w:szCs w:val="21"/>
              </w:rPr>
              <w:t> 案需</w:t>
            </w:r>
            <w:r>
              <w:rPr>
                <w:rFonts w:ascii="宋体" w:hAnsi="宋体" w:cs="宋体" w:eastAsia="宋体" w:hint="default"/>
                <w:spacing w:val="-3"/>
                <w:w w:val="100"/>
                <w:sz w:val="21"/>
                <w:szCs w:val="21"/>
              </w:rPr>
              <w:t>逐</w:t>
            </w:r>
            <w:r>
              <w:rPr>
                <w:rFonts w:ascii="宋体" w:hAnsi="宋体" w:cs="宋体" w:eastAsia="宋体" w:hint="default"/>
                <w:w w:val="100"/>
                <w:sz w:val="21"/>
                <w:szCs w:val="21"/>
              </w:rPr>
              <w:t>项</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①</w:t>
            </w:r>
            <w:r>
              <w:rPr>
                <w:rFonts w:ascii="宋体" w:hAnsi="宋体" w:cs="宋体" w:eastAsia="宋体" w:hint="default"/>
                <w:w w:val="100"/>
                <w:sz w:val="21"/>
                <w:szCs w:val="21"/>
              </w:rPr>
              <w:t>发</w:t>
            </w:r>
            <w:r>
              <w:rPr>
                <w:rFonts w:ascii="宋体" w:hAnsi="宋体" w:cs="宋体" w:eastAsia="宋体" w:hint="default"/>
                <w:spacing w:val="-3"/>
                <w:w w:val="100"/>
                <w:sz w:val="21"/>
                <w:szCs w:val="21"/>
              </w:rPr>
              <w:t>行公</w:t>
            </w:r>
            <w:r>
              <w:rPr>
                <w:rFonts w:ascii="宋体" w:hAnsi="宋体" w:cs="宋体" w:eastAsia="宋体" w:hint="default"/>
                <w:w w:val="100"/>
                <w:sz w:val="21"/>
                <w:szCs w:val="21"/>
              </w:rPr>
              <w:t>司债</w:t>
            </w:r>
            <w:r>
              <w:rPr>
                <w:rFonts w:ascii="宋体" w:hAnsi="宋体" w:cs="宋体" w:eastAsia="宋体" w:hint="default"/>
                <w:spacing w:val="-3"/>
                <w:w w:val="100"/>
                <w:sz w:val="21"/>
                <w:szCs w:val="21"/>
              </w:rPr>
              <w:t>券</w:t>
            </w:r>
            <w:r>
              <w:rPr>
                <w:rFonts w:ascii="宋体" w:hAnsi="宋体" w:cs="宋体" w:eastAsia="宋体" w:hint="default"/>
                <w:w w:val="100"/>
                <w:sz w:val="21"/>
                <w:szCs w:val="21"/>
              </w:rPr>
              <w:t>的</w:t>
            </w:r>
            <w:r>
              <w:rPr>
                <w:rFonts w:ascii="宋体" w:hAnsi="宋体" w:cs="宋体" w:eastAsia="宋体" w:hint="default"/>
                <w:spacing w:val="-3"/>
                <w:w w:val="100"/>
                <w:sz w:val="21"/>
                <w:szCs w:val="21"/>
              </w:rPr>
              <w:t>规</w:t>
            </w:r>
            <w:r>
              <w:rPr>
                <w:rFonts w:ascii="宋体" w:hAnsi="宋体" w:cs="宋体" w:eastAsia="宋体" w:hint="default"/>
                <w:w w:val="100"/>
                <w:sz w:val="21"/>
                <w:szCs w:val="21"/>
              </w:rPr>
              <w:t>模</w:t>
            </w:r>
          </w:p>
          <w:p>
            <w:pPr>
              <w:pStyle w:val="TableParagraph"/>
              <w:spacing w:line="240" w:lineRule="auto" w:before="7"/>
              <w:ind w:left="24" w:right="0"/>
              <w:jc w:val="left"/>
              <w:rPr>
                <w:rFonts w:ascii="宋体" w:hAnsi="宋体" w:cs="宋体" w:eastAsia="宋体" w:hint="default"/>
                <w:sz w:val="21"/>
                <w:szCs w:val="21"/>
              </w:rPr>
            </w:pPr>
            <w:r>
              <w:rPr>
                <w:rFonts w:ascii="宋体" w:hAnsi="宋体" w:cs="宋体" w:eastAsia="宋体" w:hint="default"/>
                <w:sz w:val="21"/>
                <w:szCs w:val="21"/>
              </w:rPr>
              <w:t>②发行公司债券向公司股东配售的安排</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③发行公司债券的期限和品种④发行公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23" w:right="6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年第</w:t>
            </w:r>
            <w:r>
              <w:rPr>
                <w:rFonts w:ascii="宋体" w:hAnsi="宋体" w:cs="宋体" w:eastAsia="宋体" w:hint="default"/>
                <w:w w:val="100"/>
                <w:sz w:val="21"/>
                <w:szCs w:val="21"/>
              </w:rPr>
              <w:t> </w:t>
            </w:r>
            <w:r>
              <w:rPr>
                <w:rFonts w:ascii="宋体" w:hAnsi="宋体" w:cs="宋体" w:eastAsia="宋体" w:hint="default"/>
                <w:sz w:val="21"/>
                <w:szCs w:val="21"/>
              </w:rPr>
              <w:t>一次临时</w:t>
            </w:r>
            <w:r>
              <w:rPr>
                <w:rFonts w:ascii="宋体" w:hAnsi="宋体" w:cs="宋体" w:eastAsia="宋体" w:hint="default"/>
                <w:spacing w:val="-3"/>
                <w:w w:val="100"/>
                <w:sz w:val="21"/>
                <w:szCs w:val="21"/>
              </w:rPr>
              <w:t> </w:t>
            </w:r>
            <w:r>
              <w:rPr>
                <w:rFonts w:ascii="宋体" w:hAnsi="宋体" w:cs="宋体" w:eastAsia="宋体" w:hint="default"/>
                <w:sz w:val="21"/>
                <w:szCs w:val="21"/>
              </w:rPr>
              <w:t>股东大会</w:t>
            </w:r>
            <w:r>
              <w:rPr>
                <w:rFonts w:ascii="宋体" w:hAnsi="宋体" w:cs="宋体" w:eastAsia="宋体" w:hint="default"/>
                <w:spacing w:val="-3"/>
                <w:w w:val="100"/>
                <w:sz w:val="21"/>
                <w:szCs w:val="21"/>
              </w:rPr>
              <w:t> </w:t>
            </w:r>
            <w:r>
              <w:rPr>
                <w:rFonts w:ascii="宋体" w:hAnsi="宋体" w:cs="宋体" w:eastAsia="宋体" w:hint="default"/>
                <w:sz w:val="21"/>
                <w:szCs w:val="21"/>
              </w:rPr>
              <w:t>审议通过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pacing w:val="-3"/>
                <w:sz w:val="21"/>
                <w:szCs w:val="21"/>
              </w:rPr>
              <w:t>08</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公告编号：</w:t>
            </w:r>
          </w:p>
          <w:p>
            <w:pPr>
              <w:pStyle w:val="TableParagraph"/>
              <w:spacing w:line="240" w:lineRule="auto" w:before="84"/>
              <w:ind w:left="23" w:right="0"/>
              <w:jc w:val="left"/>
              <w:rPr>
                <w:rFonts w:ascii="Times New Roman" w:hAnsi="Times New Roman" w:cs="Times New Roman" w:eastAsia="Times New Roman" w:hint="default"/>
                <w:sz w:val="21"/>
                <w:szCs w:val="21"/>
              </w:rPr>
            </w:pPr>
            <w:r>
              <w:rPr>
                <w:rFonts w:ascii="Times New Roman"/>
                <w:sz w:val="21"/>
              </w:rPr>
              <w:t>2012-039</w:t>
            </w:r>
          </w:p>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公告名称：</w:t>
            </w:r>
          </w:p>
          <w:p>
            <w:pPr>
              <w:pStyle w:val="TableParagraph"/>
              <w:spacing w:line="256" w:lineRule="auto" w:before="37"/>
              <w:ind w:left="23" w:right="65"/>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年第</w:t>
            </w:r>
            <w:r>
              <w:rPr>
                <w:rFonts w:ascii="宋体" w:hAnsi="宋体" w:cs="宋体" w:eastAsia="宋体" w:hint="default"/>
                <w:spacing w:val="-3"/>
                <w:w w:val="100"/>
                <w:sz w:val="21"/>
                <w:szCs w:val="21"/>
              </w:rPr>
              <w:t> </w:t>
            </w:r>
            <w:r>
              <w:rPr>
                <w:rFonts w:ascii="宋体" w:hAnsi="宋体" w:cs="宋体" w:eastAsia="宋体" w:hint="default"/>
                <w:sz w:val="21"/>
                <w:szCs w:val="21"/>
              </w:rPr>
              <w:t>一次临时股</w:t>
            </w:r>
          </w:p>
        </w:tc>
      </w:tr>
    </w:tbl>
    <w:p>
      <w:pPr>
        <w:spacing w:after="0" w:line="256" w:lineRule="auto"/>
        <w:jc w:val="left"/>
        <w:rPr>
          <w:rFonts w:ascii="宋体" w:hAnsi="宋体" w:cs="宋体" w:eastAsia="宋体" w:hint="default"/>
          <w:sz w:val="21"/>
          <w:szCs w:val="21"/>
        </w:rPr>
        <w:sectPr>
          <w:footerReference w:type="default" r:id="rId47"/>
          <w:pgSz w:w="11910" w:h="16840"/>
          <w:pgMar w:footer="980" w:header="0" w:top="1100" w:bottom="1160" w:left="980" w:right="0"/>
          <w:pgNumType w:start="82"/>
        </w:sectPr>
      </w:pPr>
    </w:p>
    <w:p>
      <w:pPr>
        <w:spacing w:line="240" w:lineRule="auto" w:before="8"/>
        <w:rPr>
          <w:rFonts w:ascii="宋体" w:hAnsi="宋体" w:cs="宋体" w:eastAsia="宋体" w:hint="default"/>
          <w:b/>
          <w:bCs/>
          <w:sz w:val="24"/>
          <w:szCs w:val="24"/>
        </w:rPr>
      </w:pPr>
      <w:r>
        <w:rPr/>
        <w:pict>
          <v:shape style="position:absolute;margin-left:460.320007pt;margin-top:764.919983pt;width:135.0pt;height:77pt;mso-position-horizontal-relative:page;mso-position-vertical-relative:page;z-index:2584" type="#_x0000_t75" stroked="false">
            <v:imagedata r:id="rId10" o:title=""/>
          </v:shape>
        </w:pict>
      </w:r>
    </w:p>
    <w:tbl>
      <w:tblPr>
        <w:tblW w:w="0" w:type="auto"/>
        <w:jc w:val="left"/>
        <w:tblInd w:w="148" w:type="dxa"/>
        <w:tblLayout w:type="fixed"/>
        <w:tblCellMar>
          <w:top w:w="0" w:type="dxa"/>
          <w:left w:w="0" w:type="dxa"/>
          <w:bottom w:w="0" w:type="dxa"/>
          <w:right w:w="0" w:type="dxa"/>
        </w:tblCellMar>
        <w:tblLook w:val="01E0"/>
      </w:tblPr>
      <w:tblGrid>
        <w:gridCol w:w="1596"/>
        <w:gridCol w:w="955"/>
        <w:gridCol w:w="3829"/>
        <w:gridCol w:w="991"/>
        <w:gridCol w:w="994"/>
        <w:gridCol w:w="1202"/>
      </w:tblGrid>
      <w:tr>
        <w:trPr>
          <w:trHeight w:val="2818"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8"/>
              <w:jc w:val="both"/>
              <w:rPr>
                <w:rFonts w:ascii="宋体" w:hAnsi="宋体" w:cs="宋体" w:eastAsia="宋体" w:hint="default"/>
                <w:sz w:val="21"/>
                <w:szCs w:val="21"/>
              </w:rPr>
            </w:pPr>
            <w:r>
              <w:rPr>
                <w:rFonts w:ascii="宋体" w:hAnsi="宋体" w:cs="宋体" w:eastAsia="宋体" w:hint="default"/>
                <w:spacing w:val="-2"/>
                <w:sz w:val="21"/>
                <w:szCs w:val="21"/>
              </w:rPr>
              <w:t>司债券的募集资金用途⑤发行公司债券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的还本付息方式⑥发行公司债券的利率</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水平及确定方式⑦发行公司债券的担保</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安排⑧发行公司债券的上市场所⑨发行</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公司债券偿债保障措施⑩本次发行公司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债券决议的有效期；</w:t>
            </w:r>
          </w:p>
          <w:p>
            <w:pPr>
              <w:pStyle w:val="TableParagraph"/>
              <w:spacing w:line="273" w:lineRule="auto" w:before="7"/>
              <w:ind w:left="24" w:right="219"/>
              <w:jc w:val="both"/>
              <w:rPr>
                <w:rFonts w:ascii="宋体" w:hAnsi="宋体" w:cs="宋体" w:eastAsia="宋体" w:hint="default"/>
                <w:sz w:val="21"/>
                <w:szCs w:val="21"/>
              </w:rPr>
            </w:pPr>
            <w:r>
              <w:rPr>
                <w:rFonts w:ascii="宋体" w:hAnsi="宋体" w:cs="宋体" w:eastAsia="宋体" w:hint="default"/>
                <w:spacing w:val="-2"/>
                <w:sz w:val="21"/>
                <w:szCs w:val="21"/>
              </w:rPr>
              <w:t>《关于提请股东大会授权董事会或董事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会授权人士全权办理本次公开发行公司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债券相关事宜的议案》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60"/>
              <w:jc w:val="both"/>
              <w:rPr>
                <w:rFonts w:ascii="宋体" w:hAnsi="宋体" w:cs="宋体" w:eastAsia="宋体" w:hint="default"/>
                <w:sz w:val="21"/>
                <w:szCs w:val="21"/>
              </w:rPr>
            </w:pPr>
            <w:r>
              <w:rPr>
                <w:rFonts w:ascii="宋体" w:hAnsi="宋体" w:cs="宋体" w:eastAsia="宋体" w:hint="default"/>
                <w:sz w:val="21"/>
                <w:szCs w:val="21"/>
              </w:rPr>
              <w:t>了全部议</w:t>
            </w:r>
            <w:r>
              <w:rPr>
                <w:rFonts w:ascii="宋体" w:hAnsi="宋体" w:cs="宋体" w:eastAsia="宋体" w:hint="default"/>
                <w:w w:val="100"/>
                <w:sz w:val="21"/>
                <w:szCs w:val="21"/>
              </w:rPr>
              <w:t> </w:t>
            </w:r>
            <w:r>
              <w:rPr>
                <w:rFonts w:ascii="宋体" w:hAnsi="宋体" w:cs="宋体" w:eastAsia="宋体" w:hint="default"/>
                <w:sz w:val="21"/>
                <w:szCs w:val="21"/>
              </w:rPr>
              <w:t>案，并形</w:t>
            </w:r>
            <w:r>
              <w:rPr>
                <w:rFonts w:ascii="宋体" w:hAnsi="宋体" w:cs="宋体" w:eastAsia="宋体" w:hint="default"/>
                <w:w w:val="100"/>
                <w:sz w:val="21"/>
                <w:szCs w:val="21"/>
              </w:rPr>
              <w:t> </w:t>
            </w:r>
            <w:r>
              <w:rPr>
                <w:rFonts w:ascii="宋体" w:hAnsi="宋体" w:cs="宋体" w:eastAsia="宋体" w:hint="default"/>
                <w:sz w:val="21"/>
                <w:szCs w:val="21"/>
              </w:rPr>
              <w:t>成了</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w w:val="100"/>
                <w:sz w:val="21"/>
                <w:szCs w:val="21"/>
              </w:rPr>
              <w:t> </w:t>
            </w:r>
            <w:r>
              <w:rPr>
                <w:rFonts w:ascii="宋体" w:hAnsi="宋体" w:cs="宋体" w:eastAsia="宋体" w:hint="default"/>
                <w:sz w:val="21"/>
                <w:szCs w:val="21"/>
              </w:rPr>
              <w:t>年第一次</w:t>
            </w:r>
            <w:r>
              <w:rPr>
                <w:rFonts w:ascii="宋体" w:hAnsi="宋体" w:cs="宋体" w:eastAsia="宋体" w:hint="default"/>
                <w:w w:val="100"/>
                <w:sz w:val="21"/>
                <w:szCs w:val="21"/>
              </w:rPr>
              <w:t> </w:t>
            </w:r>
            <w:r>
              <w:rPr>
                <w:rFonts w:ascii="宋体" w:hAnsi="宋体" w:cs="宋体" w:eastAsia="宋体" w:hint="default"/>
                <w:sz w:val="21"/>
                <w:szCs w:val="21"/>
              </w:rPr>
              <w:t>临时股东</w:t>
            </w:r>
            <w:r>
              <w:rPr>
                <w:rFonts w:ascii="宋体" w:hAnsi="宋体" w:cs="宋体" w:eastAsia="宋体" w:hint="default"/>
                <w:spacing w:val="-3"/>
                <w:w w:val="100"/>
                <w:sz w:val="21"/>
                <w:szCs w:val="21"/>
              </w:rPr>
              <w:t> </w:t>
            </w:r>
            <w:r>
              <w:rPr>
                <w:rFonts w:ascii="宋体" w:hAnsi="宋体" w:cs="宋体" w:eastAsia="宋体" w:hint="default"/>
                <w:sz w:val="21"/>
                <w:szCs w:val="21"/>
              </w:rPr>
              <w:t>大会决议</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79"/>
              <w:jc w:val="left"/>
              <w:rPr>
                <w:rFonts w:ascii="宋体" w:hAnsi="宋体" w:cs="宋体" w:eastAsia="宋体" w:hint="default"/>
                <w:sz w:val="21"/>
                <w:szCs w:val="21"/>
              </w:rPr>
            </w:pPr>
            <w:r>
              <w:rPr>
                <w:rFonts w:ascii="宋体" w:hAnsi="宋体" w:cs="宋体" w:eastAsia="宋体" w:hint="default"/>
                <w:sz w:val="21"/>
                <w:szCs w:val="21"/>
              </w:rPr>
              <w:t>东大会决议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公告》</w:t>
            </w:r>
            <w:r>
              <w:rPr>
                <w:rFonts w:ascii="宋体" w:hAnsi="宋体" w:cs="宋体" w:eastAsia="宋体" w:hint="default"/>
                <w:spacing w:val="-102"/>
                <w:sz w:val="21"/>
                <w:szCs w:val="21"/>
              </w:rPr>
              <w:t> </w:t>
            </w:r>
            <w:r>
              <w:rPr>
                <w:rFonts w:ascii="宋体" w:hAnsi="宋体" w:cs="宋体" w:eastAsia="宋体" w:hint="default"/>
                <w:sz w:val="21"/>
                <w:szCs w:val="21"/>
              </w:rPr>
              <w:t>巨潮资讯网</w:t>
            </w:r>
          </w:p>
          <w:p>
            <w:pPr>
              <w:pStyle w:val="TableParagraph"/>
              <w:spacing w:line="309" w:lineRule="auto" w:before="54"/>
              <w:ind w:left="23" w:right="57"/>
              <w:jc w:val="left"/>
              <w:rPr>
                <w:rFonts w:ascii="Times New Roman" w:hAnsi="Times New Roman" w:cs="Times New Roman" w:eastAsia="Times New Roman" w:hint="default"/>
                <w:sz w:val="21"/>
                <w:szCs w:val="21"/>
              </w:rPr>
            </w:pPr>
            <w:r>
              <w:rPr>
                <w:rFonts w:ascii="Times New Roman"/>
                <w:spacing w:val="-3"/>
                <w:sz w:val="21"/>
              </w:rPr>
              <w:t>http://www.c</w:t>
            </w:r>
            <w:r>
              <w:rPr>
                <w:rFonts w:ascii="Times New Roman"/>
                <w:spacing w:val="-39"/>
                <w:sz w:val="21"/>
              </w:rPr>
              <w:t> </w:t>
            </w:r>
            <w:r>
              <w:rPr>
                <w:rFonts w:ascii="Times New Roman"/>
                <w:spacing w:val="-39"/>
                <w:sz w:val="21"/>
              </w:rPr>
            </w:r>
            <w:r>
              <w:rPr>
                <w:rFonts w:ascii="Times New Roman"/>
                <w:sz w:val="21"/>
              </w:rPr>
              <w:t>ninfo.com.cn</w:t>
            </w:r>
          </w:p>
        </w:tc>
      </w:tr>
    </w:tbl>
    <w:p>
      <w:pPr>
        <w:spacing w:line="240" w:lineRule="auto" w:before="11"/>
        <w:rPr>
          <w:rFonts w:ascii="宋体" w:hAnsi="宋体" w:cs="宋体" w:eastAsia="宋体" w:hint="default"/>
          <w:b/>
          <w:bCs/>
          <w:sz w:val="6"/>
          <w:szCs w:val="6"/>
        </w:rPr>
      </w:pPr>
    </w:p>
    <w:p>
      <w:pPr>
        <w:pStyle w:val="Heading2"/>
        <w:spacing w:line="240" w:lineRule="auto" w:before="26"/>
        <w:ind w:right="982"/>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32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946"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6" w:right="22"/>
              <w:jc w:val="left"/>
              <w:rPr>
                <w:rFonts w:ascii="宋体" w:hAnsi="宋体" w:cs="宋体" w:eastAsia="宋体" w:hint="default"/>
                <w:sz w:val="21"/>
                <w:szCs w:val="21"/>
              </w:rPr>
            </w:pPr>
            <w:r>
              <w:rPr>
                <w:rFonts w:ascii="宋体" w:hAnsi="宋体" w:cs="宋体" w:eastAsia="宋体" w:hint="default"/>
                <w:sz w:val="21"/>
                <w:szCs w:val="21"/>
              </w:rPr>
              <w:t>本报告期应参</w:t>
            </w:r>
            <w:r>
              <w:rPr>
                <w:rFonts w:ascii="宋体" w:hAnsi="宋体" w:cs="宋体" w:eastAsia="宋体" w:hint="default"/>
                <w:w w:val="100"/>
                <w:sz w:val="21"/>
                <w:szCs w:val="21"/>
              </w:rPr>
              <w:t> </w:t>
            </w:r>
            <w:r>
              <w:rPr>
                <w:rFonts w:ascii="宋体" w:hAnsi="宋体" w:cs="宋体" w:eastAsia="宋体" w:hint="default"/>
                <w:sz w:val="21"/>
                <w:szCs w:val="21"/>
              </w:rPr>
              <w:t>加董事会次数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340" w:right="24" w:hanging="315"/>
              <w:jc w:val="left"/>
              <w:rPr>
                <w:rFonts w:ascii="宋体" w:hAnsi="宋体" w:cs="宋体" w:eastAsia="宋体" w:hint="default"/>
                <w:sz w:val="21"/>
                <w:szCs w:val="21"/>
              </w:rPr>
            </w:pPr>
            <w:r>
              <w:rPr>
                <w:rFonts w:ascii="宋体" w:hAnsi="宋体" w:cs="宋体" w:eastAsia="宋体" w:hint="default"/>
                <w:sz w:val="21"/>
                <w:szCs w:val="21"/>
              </w:rPr>
              <w:t>以通讯方式参</w:t>
            </w:r>
            <w:r>
              <w:rPr>
                <w:rFonts w:ascii="宋体" w:hAnsi="宋体" w:cs="宋体" w:eastAsia="宋体" w:hint="default"/>
                <w:w w:val="100"/>
                <w:sz w:val="21"/>
                <w:szCs w:val="21"/>
              </w:rPr>
              <w:t> </w:t>
            </w:r>
            <w:r>
              <w:rPr>
                <w:rFonts w:ascii="宋体" w:hAnsi="宋体" w:cs="宋体" w:eastAsia="宋体" w:hint="default"/>
                <w:sz w:val="21"/>
                <w:szCs w:val="21"/>
              </w:rPr>
              <w:t>加次数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6" w:right="24"/>
              <w:jc w:val="center"/>
              <w:rPr>
                <w:rFonts w:ascii="宋体" w:hAnsi="宋体" w:cs="宋体" w:eastAsia="宋体" w:hint="default"/>
                <w:sz w:val="21"/>
                <w:szCs w:val="21"/>
              </w:rPr>
            </w:pPr>
            <w:r>
              <w:rPr>
                <w:rFonts w:ascii="宋体" w:hAnsi="宋体" w:cs="宋体" w:eastAsia="宋体" w:hint="default"/>
                <w:spacing w:val="-1"/>
                <w:sz w:val="21"/>
                <w:szCs w:val="21"/>
              </w:rPr>
              <w:t>是否连续两次</w:t>
            </w:r>
            <w:r>
              <w:rPr>
                <w:rFonts w:ascii="宋体" w:hAnsi="宋体" w:cs="宋体" w:eastAsia="宋体" w:hint="default"/>
                <w:w w:val="100"/>
                <w:sz w:val="21"/>
                <w:szCs w:val="21"/>
              </w:rPr>
              <w:t> </w:t>
            </w:r>
            <w:r>
              <w:rPr>
                <w:rFonts w:ascii="宋体" w:hAnsi="宋体" w:cs="宋体" w:eastAsia="宋体" w:hint="default"/>
                <w:spacing w:val="-1"/>
                <w:sz w:val="21"/>
                <w:szCs w:val="21"/>
              </w:rPr>
              <w:t>未亲自参加会</w:t>
            </w:r>
            <w:r>
              <w:rPr>
                <w:rFonts w:ascii="宋体" w:hAnsi="宋体" w:cs="宋体" w:eastAsia="宋体" w:hint="default"/>
                <w:w w:val="100"/>
                <w:sz w:val="21"/>
                <w:szCs w:val="21"/>
              </w:rPr>
              <w:t> </w:t>
            </w:r>
            <w:r>
              <w:rPr>
                <w:rFonts w:ascii="宋体" w:hAnsi="宋体" w:cs="宋体" w:eastAsia="宋体" w:hint="default"/>
                <w:sz w:val="21"/>
                <w:szCs w:val="21"/>
              </w:rPr>
              <w:t>议</w:t>
            </w:r>
          </w:p>
        </w:tc>
      </w:tr>
      <w:tr>
        <w:trPr>
          <w:trHeight w:val="32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沈坤荣</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孙剑平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戴新民</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4"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次</w:t>
            </w:r>
          </w:p>
        </w:tc>
      </w:tr>
    </w:tbl>
    <w:p>
      <w:pPr>
        <w:spacing w:line="240" w:lineRule="auto" w:before="3"/>
        <w:rPr>
          <w:rFonts w:ascii="宋体" w:hAnsi="宋体" w:cs="宋体" w:eastAsia="宋体" w:hint="default"/>
          <w:b/>
          <w:bCs/>
          <w:sz w:val="8"/>
          <w:szCs w:val="8"/>
        </w:rPr>
      </w:pPr>
    </w:p>
    <w:p>
      <w:pPr>
        <w:spacing w:line="552" w:lineRule="auto" w:before="36"/>
        <w:ind w:left="152" w:right="2273" w:firstLine="0"/>
        <w:jc w:val="left"/>
        <w:rPr>
          <w:rFonts w:ascii="宋体" w:hAnsi="宋体" w:cs="宋体" w:eastAsia="宋体" w:hint="default"/>
          <w:sz w:val="21"/>
          <w:szCs w:val="21"/>
        </w:rPr>
      </w:pPr>
      <w:r>
        <w:rPr>
          <w:rFonts w:ascii="宋体" w:hAnsi="宋体" w:cs="宋体" w:eastAsia="宋体" w:hint="default"/>
          <w:spacing w:val="-2"/>
          <w:sz w:val="21"/>
          <w:szCs w:val="21"/>
        </w:rPr>
        <w:t>连续两次未亲自出席董事会的说明：报告期内，公司独立董事均亲自出席董事会。</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100"/>
          <w:sz w:val="21"/>
          <w:szCs w:val="21"/>
        </w:rPr>
        <w:t> </w:t>
      </w:r>
      <w:r>
        <w:rPr>
          <w:rFonts w:ascii="宋体" w:hAnsi="宋体" w:cs="宋体" w:eastAsia="宋体" w:hint="default"/>
          <w:sz w:val="21"/>
          <w:szCs w:val="21"/>
        </w:rPr>
        <w:t>报告期内独立董事对公司有关事项未提出异议。</w:t>
      </w:r>
    </w:p>
    <w:p>
      <w:pPr>
        <w:pStyle w:val="Heading4"/>
        <w:spacing w:line="240" w:lineRule="auto" w:before="143"/>
        <w:ind w:right="982"/>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right="982"/>
        <w:jc w:val="left"/>
      </w:pPr>
      <w:r>
        <w:rPr/>
        <w:t>独立董事对公司有关建议是否被采纳</w:t>
      </w:r>
    </w:p>
    <w:p>
      <w:pPr>
        <w:spacing w:line="240" w:lineRule="auto" w:before="10"/>
        <w:rPr>
          <w:rFonts w:ascii="宋体" w:hAnsi="宋体" w:cs="宋体" w:eastAsia="宋体" w:hint="default"/>
          <w:sz w:val="14"/>
          <w:szCs w:val="14"/>
        </w:rPr>
      </w:pPr>
    </w:p>
    <w:p>
      <w:pPr>
        <w:pStyle w:val="BodyText"/>
        <w:spacing w:line="240" w:lineRule="auto" w:before="0"/>
        <w:ind w:right="982"/>
        <w:jc w:val="left"/>
      </w:pPr>
      <w:r>
        <w:rPr/>
        <w:t>√ 是 □</w:t>
      </w:r>
      <w:r>
        <w:rPr>
          <w:spacing w:val="1"/>
        </w:rPr>
        <w:t> </w:t>
      </w:r>
      <w:r>
        <w:rPr/>
        <w:t>否</w:t>
      </w:r>
    </w:p>
    <w:p>
      <w:pPr>
        <w:spacing w:line="240" w:lineRule="auto" w:before="11"/>
        <w:rPr>
          <w:rFonts w:ascii="宋体" w:hAnsi="宋体" w:cs="宋体" w:eastAsia="宋体" w:hint="default"/>
          <w:sz w:val="14"/>
          <w:szCs w:val="14"/>
        </w:rPr>
      </w:pPr>
    </w:p>
    <w:p>
      <w:pPr>
        <w:pStyle w:val="BodyText"/>
        <w:spacing w:line="408" w:lineRule="auto" w:before="0"/>
        <w:ind w:left="573" w:right="982"/>
        <w:jc w:val="left"/>
        <w:rPr>
          <w:rFonts w:ascii="宋体" w:hAnsi="宋体" w:cs="宋体" w:eastAsia="宋体" w:hint="default"/>
        </w:rPr>
      </w:pPr>
      <w:r>
        <w:rPr/>
        <w:t>（</w:t>
      </w:r>
      <w:r>
        <w:rPr>
          <w:rFonts w:ascii="宋体" w:hAnsi="宋体" w:cs="宋体" w:eastAsia="宋体" w:hint="default"/>
        </w:rPr>
        <w:t>1</w:t>
      </w:r>
      <w:r>
        <w:rPr/>
        <w:t>）独立董事办公考察情况</w:t>
      </w:r>
      <w:r>
        <w:rPr>
          <w:w w:val="100"/>
        </w:rPr>
        <w:t> </w:t>
      </w:r>
      <w:r>
        <w:rPr>
          <w:spacing w:val="-2"/>
        </w:rPr>
        <w:t>报告期内，独立董事沈坤荣先生、孙剑平先生、戴新民先生在公司累计现场办公时间分别为</w:t>
      </w:r>
      <w:r>
        <w:rPr>
          <w:rFonts w:ascii="宋体" w:hAnsi="宋体" w:cs="宋体" w:eastAsia="宋体" w:hint="default"/>
          <w:spacing w:val="-2"/>
        </w:rPr>
        <w:t>12</w:t>
      </w:r>
      <w:r>
        <w:rPr>
          <w:spacing w:val="-2"/>
        </w:rPr>
        <w:t>天、</w:t>
      </w:r>
      <w:r>
        <w:rPr>
          <w:rFonts w:ascii="宋体" w:hAnsi="宋体" w:cs="宋体" w:eastAsia="宋体" w:hint="default"/>
          <w:spacing w:val="-2"/>
        </w:rPr>
        <w:t>12</w:t>
      </w:r>
      <w:r>
        <w:rPr>
          <w:rFonts w:ascii="宋体" w:hAnsi="宋体" w:cs="宋体" w:eastAsia="宋体" w:hint="default"/>
        </w:rPr>
      </w:r>
    </w:p>
    <w:p>
      <w:pPr>
        <w:pStyle w:val="BodyText"/>
        <w:spacing w:line="408" w:lineRule="auto"/>
        <w:ind w:right="1126"/>
        <w:jc w:val="both"/>
      </w:pPr>
      <w:r>
        <w:rPr>
          <w:spacing w:val="-2"/>
        </w:rPr>
        <w:t>天、</w:t>
      </w:r>
      <w:r>
        <w:rPr>
          <w:rFonts w:ascii="宋体" w:hAnsi="宋体" w:cs="宋体" w:eastAsia="宋体" w:hint="default"/>
          <w:spacing w:val="-2"/>
        </w:rPr>
        <w:t>12</w:t>
      </w:r>
      <w:r>
        <w:rPr>
          <w:spacing w:val="-2"/>
        </w:rPr>
        <w:t>天。各位董事在公司办公考察期间，深入公司实地考察，与公司董事、监事、高级管理人员、内部</w:t>
      </w:r>
      <w:r>
        <w:rPr>
          <w:spacing w:val="-44"/>
        </w:rPr>
        <w:t> </w:t>
      </w:r>
      <w:r>
        <w:rPr>
          <w:spacing w:val="-44"/>
        </w:rPr>
      </w:r>
      <w:r>
        <w:rPr>
          <w:spacing w:val="-2"/>
        </w:rPr>
        <w:t>审计部门、会计师等充分沟通交流，了解公司经营状况和内部控制建设及董事会决议执行情况。办公考察</w:t>
      </w:r>
      <w:r>
        <w:rPr>
          <w:spacing w:val="-46"/>
        </w:rPr>
        <w:t> </w:t>
      </w:r>
      <w:r>
        <w:rPr>
          <w:spacing w:val="-46"/>
        </w:rPr>
      </w:r>
      <w:r>
        <w:rPr>
          <w:spacing w:val="-2"/>
        </w:rPr>
        <w:t>期间，独立董事发挥专业知识，对公司经营和发展提出了合理化的意见和建议，对董事会决策的科学性和</w:t>
      </w:r>
      <w:r>
        <w:rPr>
          <w:spacing w:val="-43"/>
        </w:rPr>
        <w:t> </w:t>
      </w:r>
      <w:r>
        <w:rPr>
          <w:spacing w:val="-43"/>
        </w:rPr>
      </w:r>
      <w:r>
        <w:rPr/>
        <w:t>客观性及公司的良性发展都起到了积极的作用。</w:t>
      </w:r>
    </w:p>
    <w:p>
      <w:pPr>
        <w:spacing w:after="0" w:line="408" w:lineRule="auto"/>
        <w:jc w:val="both"/>
        <w:sectPr>
          <w:pgSz w:w="11910" w:h="16840"/>
          <w:pgMar w:header="0"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left="653" w:right="876"/>
        <w:jc w:val="left"/>
      </w:pPr>
      <w:r>
        <w:rPr/>
        <w:t>（</w:t>
      </w:r>
      <w:r>
        <w:rPr>
          <w:rFonts w:ascii="宋体" w:hAnsi="宋体" w:cs="宋体" w:eastAsia="宋体" w:hint="default"/>
        </w:rPr>
        <w:t>2</w:t>
      </w:r>
      <w:r>
        <w:rPr/>
        <w:t>）独立董事发表独立意见情况</w:t>
      </w:r>
      <w:r>
        <w:rPr>
          <w:w w:val="100"/>
        </w:rPr>
        <w:t> </w:t>
      </w:r>
      <w:r>
        <w:rPr>
          <w:spacing w:val="-2"/>
        </w:rPr>
        <w:t>本报告期内，公司独立董事对关联交易、对外担保、募集资金置换、利润分配方案政策、内部控制、</w:t>
      </w:r>
    </w:p>
    <w:p>
      <w:pPr>
        <w:pStyle w:val="BodyText"/>
        <w:spacing w:line="408" w:lineRule="auto"/>
        <w:ind w:left="232" w:right="1125"/>
        <w:jc w:val="both"/>
      </w:pPr>
      <w:r>
        <w:rPr>
          <w:spacing w:val="-2"/>
        </w:rPr>
        <w:t>董事、高级管理人员薪酬及津贴调整、续聘会计师事务所等事项发表了独立认同意见。公司独立董事在审</w:t>
      </w:r>
      <w:r>
        <w:rPr>
          <w:spacing w:val="-42"/>
        </w:rPr>
        <w:t> </w:t>
      </w:r>
      <w:r>
        <w:rPr>
          <w:spacing w:val="-42"/>
        </w:rPr>
      </w:r>
      <w:r>
        <w:rPr>
          <w:spacing w:val="-2"/>
        </w:rPr>
        <w:t>议每项议案时，收取、审阅相关议案事项，积极深入和公司管理层沟通交流，听取管理层就相关事项的汇</w:t>
      </w:r>
      <w:r>
        <w:rPr>
          <w:spacing w:val="-46"/>
        </w:rPr>
        <w:t> </w:t>
      </w:r>
      <w:r>
        <w:rPr>
          <w:spacing w:val="-46"/>
        </w:rPr>
      </w:r>
      <w:r>
        <w:rPr>
          <w:spacing w:val="-2"/>
        </w:rPr>
        <w:t>报，充分发挥独立董事专业知识，提高公司决策水平。年度内，公司独立董事积极履行职责，不受公司和</w:t>
      </w:r>
      <w:r>
        <w:rPr>
          <w:spacing w:val="-43"/>
        </w:rPr>
        <w:t> </w:t>
      </w:r>
      <w:r>
        <w:rPr>
          <w:spacing w:val="-43"/>
        </w:rPr>
      </w:r>
      <w:r>
        <w:rPr/>
        <w:t>主要股东的影响，切实维护了中小股东的利益。</w:t>
      </w:r>
    </w:p>
    <w:p>
      <w:pPr>
        <w:pStyle w:val="BodyText"/>
        <w:spacing w:line="240" w:lineRule="auto"/>
        <w:ind w:left="653" w:right="876"/>
        <w:jc w:val="left"/>
      </w:pPr>
      <w:r>
        <w:rPr/>
        <w:t>报告期内，公司独立董事发表独立意见如下：</w:t>
      </w:r>
    </w:p>
    <w:p>
      <w:pPr>
        <w:spacing w:line="240" w:lineRule="auto" w:before="10"/>
        <w:rPr>
          <w:rFonts w:ascii="宋体" w:hAnsi="宋体" w:cs="宋体" w:eastAsia="宋体"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2391"/>
        <w:gridCol w:w="7480"/>
      </w:tblGrid>
      <w:tr>
        <w:trPr>
          <w:trHeight w:val="317" w:hRule="exact"/>
        </w:trPr>
        <w:tc>
          <w:tcPr>
            <w:tcW w:w="2391" w:type="dxa"/>
            <w:tcBorders>
              <w:top w:val="nil" w:sz="6" w:space="0" w:color="auto"/>
              <w:left w:val="nil" w:sz="6" w:space="0" w:color="auto"/>
              <w:bottom w:val="single" w:sz="4" w:space="0" w:color="000000"/>
              <w:right w:val="single" w:sz="4" w:space="0" w:color="000000"/>
            </w:tcBorders>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sz w:val="21"/>
                <w:szCs w:val="21"/>
              </w:rPr>
              <w:t>独立意见发表时间</w:t>
            </w:r>
          </w:p>
        </w:tc>
        <w:tc>
          <w:tcPr>
            <w:tcW w:w="7480" w:type="dxa"/>
            <w:tcBorders>
              <w:top w:val="nil" w:sz="6" w:space="0" w:color="auto"/>
              <w:left w:val="single" w:sz="4" w:space="0" w:color="000000"/>
              <w:bottom w:val="single" w:sz="4"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独立意见内容</w:t>
            </w:r>
          </w:p>
        </w:tc>
      </w:tr>
      <w:tr>
        <w:trPr>
          <w:trHeight w:val="404" w:hRule="exact"/>
        </w:trPr>
        <w:tc>
          <w:tcPr>
            <w:tcW w:w="2391" w:type="dxa"/>
            <w:tcBorders>
              <w:top w:val="single" w:sz="4" w:space="0" w:color="000000"/>
              <w:left w:val="nil" w:sz="6" w:space="0" w:color="auto"/>
              <w:bottom w:val="nil" w:sz="6" w:space="0" w:color="auto"/>
              <w:right w:val="single" w:sz="4" w:space="0" w:color="000000"/>
            </w:tcBorders>
          </w:tcPr>
          <w:p>
            <w:pPr>
              <w:pStyle w:val="TableParagraph"/>
              <w:spacing w:line="240" w:lineRule="auto" w:before="29"/>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480" w:type="dxa"/>
            <w:tcBorders>
              <w:top w:val="single" w:sz="4" w:space="0" w:color="000000"/>
              <w:left w:val="single" w:sz="4" w:space="0" w:color="000000"/>
              <w:bottom w:val="nil" w:sz="6" w:space="0" w:color="auto"/>
              <w:right w:val="nil" w:sz="6" w:space="0" w:color="auto"/>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《关于公司向关联方租赁物业的关联交易的独立意见》</w:t>
            </w:r>
          </w:p>
        </w:tc>
      </w:tr>
      <w:tr>
        <w:trPr>
          <w:trHeight w:val="392" w:hRule="exact"/>
        </w:trPr>
        <w:tc>
          <w:tcPr>
            <w:tcW w:w="239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48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left="105" w:right="0"/>
              <w:jc w:val="left"/>
              <w:rPr>
                <w:rFonts w:ascii="宋体" w:hAnsi="宋体" w:cs="宋体" w:eastAsia="宋体" w:hint="default"/>
                <w:sz w:val="21"/>
                <w:szCs w:val="21"/>
              </w:rPr>
            </w:pPr>
            <w:r>
              <w:rPr>
                <w:rFonts w:ascii="宋体" w:hAnsi="宋体" w:cs="宋体" w:eastAsia="宋体" w:hint="default"/>
                <w:sz w:val="21"/>
                <w:szCs w:val="21"/>
              </w:rPr>
              <w:t>《关于日常关联交易的独立意见》</w:t>
            </w:r>
          </w:p>
        </w:tc>
      </w:tr>
      <w:tr>
        <w:trPr>
          <w:trHeight w:val="392" w:hRule="exact"/>
        </w:trPr>
        <w:tc>
          <w:tcPr>
            <w:tcW w:w="2391"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48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年度关联交易的审核意见》</w:t>
            </w:r>
          </w:p>
        </w:tc>
      </w:tr>
      <w:tr>
        <w:trPr>
          <w:trHeight w:val="391" w:hRule="exact"/>
        </w:trPr>
        <w:tc>
          <w:tcPr>
            <w:tcW w:w="239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48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left="105" w:right="0"/>
              <w:jc w:val="left"/>
              <w:rPr>
                <w:rFonts w:ascii="宋体" w:hAnsi="宋体" w:cs="宋体" w:eastAsia="宋体" w:hint="default"/>
                <w:sz w:val="21"/>
                <w:szCs w:val="21"/>
              </w:rPr>
            </w:pPr>
            <w:r>
              <w:rPr>
                <w:rFonts w:ascii="宋体" w:hAnsi="宋体" w:cs="宋体" w:eastAsia="宋体" w:hint="default"/>
                <w:sz w:val="21"/>
                <w:szCs w:val="21"/>
              </w:rPr>
              <w:t>《关于续聘会计师事务所的独立意见》</w:t>
            </w:r>
          </w:p>
        </w:tc>
      </w:tr>
      <w:tr>
        <w:trPr>
          <w:trHeight w:val="392" w:hRule="exact"/>
        </w:trPr>
        <w:tc>
          <w:tcPr>
            <w:tcW w:w="239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48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left="105" w:right="0"/>
              <w:jc w:val="left"/>
              <w:rPr>
                <w:rFonts w:ascii="宋体" w:hAnsi="宋体" w:cs="宋体" w:eastAsia="宋体" w:hint="default"/>
                <w:sz w:val="21"/>
                <w:szCs w:val="21"/>
              </w:rPr>
            </w:pPr>
            <w:r>
              <w:rPr>
                <w:rFonts w:ascii="宋体" w:hAnsi="宋体" w:cs="宋体" w:eastAsia="宋体" w:hint="default"/>
                <w:sz w:val="21"/>
                <w:szCs w:val="21"/>
              </w:rPr>
              <w:t>《关于公司与关联方资金往来、公司累计和当期对外担保情况的独立意见》</w:t>
            </w:r>
          </w:p>
        </w:tc>
      </w:tr>
      <w:tr>
        <w:trPr>
          <w:trHeight w:val="392" w:hRule="exact"/>
        </w:trPr>
        <w:tc>
          <w:tcPr>
            <w:tcW w:w="2391"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48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《关于公司内部控制评价报告的独立意见》</w:t>
            </w:r>
          </w:p>
        </w:tc>
      </w:tr>
      <w:tr>
        <w:trPr>
          <w:trHeight w:val="391" w:hRule="exact"/>
        </w:trPr>
        <w:tc>
          <w:tcPr>
            <w:tcW w:w="239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48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left="105" w:right="0"/>
              <w:jc w:val="left"/>
              <w:rPr>
                <w:rFonts w:ascii="宋体" w:hAnsi="宋体" w:cs="宋体" w:eastAsia="宋体" w:hint="default"/>
                <w:sz w:val="21"/>
                <w:szCs w:val="21"/>
              </w:rPr>
            </w:pPr>
            <w:r>
              <w:rPr>
                <w:rFonts w:ascii="宋体" w:hAnsi="宋体" w:cs="宋体" w:eastAsia="宋体" w:hint="default"/>
                <w:sz w:val="21"/>
                <w:szCs w:val="21"/>
              </w:rPr>
              <w:t>《关于调整公司董事、高级管理人员薪酬及津贴的独立意见》</w:t>
            </w:r>
          </w:p>
        </w:tc>
      </w:tr>
      <w:tr>
        <w:trPr>
          <w:trHeight w:val="392" w:hRule="exact"/>
        </w:trPr>
        <w:tc>
          <w:tcPr>
            <w:tcW w:w="239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48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left="105" w:right="0"/>
              <w:jc w:val="left"/>
              <w:rPr>
                <w:rFonts w:ascii="宋体" w:hAnsi="宋体" w:cs="宋体" w:eastAsia="宋体" w:hint="default"/>
                <w:sz w:val="21"/>
                <w:szCs w:val="21"/>
              </w:rPr>
            </w:pPr>
            <w:r>
              <w:rPr>
                <w:rFonts w:ascii="宋体" w:hAnsi="宋体" w:cs="宋体" w:eastAsia="宋体" w:hint="default"/>
                <w:sz w:val="21"/>
                <w:szCs w:val="21"/>
              </w:rPr>
              <w:t>《关于日常关联交易的独立意见》</w:t>
            </w:r>
          </w:p>
        </w:tc>
      </w:tr>
      <w:tr>
        <w:trPr>
          <w:trHeight w:val="393" w:hRule="exact"/>
        </w:trPr>
        <w:tc>
          <w:tcPr>
            <w:tcW w:w="2391"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48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《关于以募集资金置换预先已投入部分募投项目的自筹资金的独立意见》</w:t>
            </w:r>
          </w:p>
        </w:tc>
      </w:tr>
      <w:tr>
        <w:trPr>
          <w:trHeight w:val="391" w:hRule="exact"/>
        </w:trPr>
        <w:tc>
          <w:tcPr>
            <w:tcW w:w="239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48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left="105" w:right="0"/>
              <w:jc w:val="left"/>
              <w:rPr>
                <w:rFonts w:ascii="宋体" w:hAnsi="宋体" w:cs="宋体" w:eastAsia="宋体" w:hint="default"/>
                <w:sz w:val="21"/>
                <w:szCs w:val="21"/>
              </w:rPr>
            </w:pPr>
            <w:r>
              <w:rPr>
                <w:rFonts w:ascii="宋体" w:hAnsi="宋体" w:cs="宋体" w:eastAsia="宋体" w:hint="default"/>
                <w:sz w:val="21"/>
                <w:szCs w:val="21"/>
              </w:rPr>
              <w:t>《关于修改公司</w:t>
            </w:r>
            <w:r>
              <w:rPr>
                <w:rFonts w:ascii="Times New Roman" w:hAnsi="Times New Roman" w:cs="Times New Roman" w:eastAsia="Times New Roman" w:hint="default"/>
                <w:sz w:val="21"/>
                <w:szCs w:val="21"/>
              </w:rPr>
              <w:t>&lt;</w:t>
            </w:r>
            <w:r>
              <w:rPr>
                <w:rFonts w:ascii="宋体" w:hAnsi="宋体" w:cs="宋体" w:eastAsia="宋体" w:hint="default"/>
                <w:sz w:val="21"/>
                <w:szCs w:val="21"/>
              </w:rPr>
              <w:t>章程</w:t>
            </w:r>
            <w:r>
              <w:rPr>
                <w:rFonts w:ascii="Times New Roman" w:hAnsi="Times New Roman" w:cs="Times New Roman" w:eastAsia="Times New Roman" w:hint="default"/>
                <w:sz w:val="21"/>
                <w:szCs w:val="21"/>
              </w:rPr>
              <w:t>&gt;</w:t>
            </w:r>
            <w:r>
              <w:rPr>
                <w:rFonts w:ascii="宋体" w:hAnsi="宋体" w:cs="宋体" w:eastAsia="宋体" w:hint="default"/>
                <w:sz w:val="21"/>
                <w:szCs w:val="21"/>
              </w:rPr>
              <w:t>中利润分配政策条款的独立意见》</w:t>
            </w:r>
          </w:p>
        </w:tc>
      </w:tr>
      <w:tr>
        <w:trPr>
          <w:trHeight w:val="392" w:hRule="exact"/>
        </w:trPr>
        <w:tc>
          <w:tcPr>
            <w:tcW w:w="239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48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left="105" w:right="0"/>
              <w:jc w:val="left"/>
              <w:rPr>
                <w:rFonts w:ascii="宋体" w:hAnsi="宋体" w:cs="宋体" w:eastAsia="宋体" w:hint="default"/>
                <w:sz w:val="21"/>
                <w:szCs w:val="21"/>
              </w:rPr>
            </w:pPr>
            <w:r>
              <w:rPr>
                <w:rFonts w:ascii="宋体" w:hAnsi="宋体" w:cs="宋体" w:eastAsia="宋体" w:hint="default"/>
                <w:sz w:val="21"/>
                <w:szCs w:val="21"/>
              </w:rPr>
              <w:t>《关于公司与关联方资金往来、公司累计和当期对外担保情况的独立意见》</w:t>
            </w:r>
          </w:p>
        </w:tc>
      </w:tr>
      <w:tr>
        <w:trPr>
          <w:trHeight w:val="392" w:hRule="exact"/>
        </w:trPr>
        <w:tc>
          <w:tcPr>
            <w:tcW w:w="2391"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3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48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《关于以募集资金置换预先已投入部分募投项目的自筹资金的独立意见》</w:t>
            </w:r>
          </w:p>
        </w:tc>
      </w:tr>
      <w:tr>
        <w:trPr>
          <w:trHeight w:val="391" w:hRule="exact"/>
        </w:trPr>
        <w:tc>
          <w:tcPr>
            <w:tcW w:w="239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48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left="105" w:right="0"/>
              <w:jc w:val="left"/>
              <w:rPr>
                <w:rFonts w:ascii="宋体" w:hAnsi="宋体" w:cs="宋体" w:eastAsia="宋体" w:hint="default"/>
                <w:sz w:val="21"/>
                <w:szCs w:val="21"/>
              </w:rPr>
            </w:pPr>
            <w:r>
              <w:rPr>
                <w:rFonts w:ascii="宋体" w:hAnsi="宋体" w:cs="宋体" w:eastAsia="宋体" w:hint="default"/>
                <w:sz w:val="21"/>
                <w:szCs w:val="21"/>
              </w:rPr>
              <w:t>《关于公司拟与股东投资设立子公司的关联交易的独立意见》</w:t>
            </w:r>
          </w:p>
        </w:tc>
      </w:tr>
      <w:tr>
        <w:trPr>
          <w:trHeight w:val="391" w:hRule="exact"/>
        </w:trPr>
        <w:tc>
          <w:tcPr>
            <w:tcW w:w="2391" w:type="dxa"/>
            <w:tcBorders>
              <w:top w:val="nil" w:sz="6" w:space="0" w:color="auto"/>
              <w:left w:val="nil" w:sz="6" w:space="0" w:color="auto"/>
              <w:bottom w:val="single" w:sz="4" w:space="0" w:color="000000"/>
              <w:right w:val="single" w:sz="4" w:space="0" w:color="000000"/>
            </w:tcBorders>
          </w:tcPr>
          <w:p>
            <w:pPr>
              <w:pStyle w:val="TableParagraph"/>
              <w:spacing w:line="240" w:lineRule="auto" w:before="20"/>
              <w:ind w:left="3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480" w:type="dxa"/>
            <w:tcBorders>
              <w:top w:val="nil" w:sz="6" w:space="0" w:color="auto"/>
              <w:left w:val="single" w:sz="4" w:space="0" w:color="000000"/>
              <w:bottom w:val="single" w:sz="4" w:space="0" w:color="000000"/>
              <w:right w:val="nil" w:sz="6" w:space="0" w:color="auto"/>
            </w:tcBorders>
          </w:tcPr>
          <w:p>
            <w:pPr>
              <w:pStyle w:val="TableParagraph"/>
              <w:spacing w:line="240" w:lineRule="auto" w:before="20"/>
              <w:ind w:left="105" w:right="0"/>
              <w:jc w:val="left"/>
              <w:rPr>
                <w:rFonts w:ascii="宋体" w:hAnsi="宋体" w:cs="宋体" w:eastAsia="宋体" w:hint="default"/>
                <w:sz w:val="21"/>
                <w:szCs w:val="21"/>
              </w:rPr>
            </w:pPr>
            <w:r>
              <w:rPr>
                <w:rFonts w:ascii="宋体" w:hAnsi="宋体" w:cs="宋体" w:eastAsia="宋体" w:hint="default"/>
                <w:sz w:val="21"/>
                <w:szCs w:val="21"/>
              </w:rPr>
              <w:t>《关于公司向关联方租赁物业的关联交易独立意见》</w:t>
            </w:r>
          </w:p>
        </w:tc>
      </w:tr>
    </w:tbl>
    <w:p>
      <w:pPr>
        <w:spacing w:line="240" w:lineRule="auto" w:before="11"/>
        <w:rPr>
          <w:rFonts w:ascii="宋体" w:hAnsi="宋体" w:cs="宋体" w:eastAsia="宋体" w:hint="default"/>
          <w:sz w:val="17"/>
          <w:szCs w:val="17"/>
        </w:rPr>
      </w:pPr>
    </w:p>
    <w:p>
      <w:pPr>
        <w:pStyle w:val="Heading2"/>
        <w:spacing w:line="240" w:lineRule="auto" w:before="26"/>
        <w:ind w:left="232" w:right="876"/>
        <w:jc w:val="left"/>
        <w:rPr>
          <w:b w:val="0"/>
          <w:bCs w:val="0"/>
        </w:rPr>
      </w:pPr>
      <w:r>
        <w:rPr/>
        <w:t>四、董事会下设专门委员会在报告期内履行职责情况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653" w:right="2762"/>
        <w:jc w:val="left"/>
      </w:pPr>
      <w:r>
        <w:rPr>
          <w:rFonts w:ascii="宋体" w:hAnsi="宋体" w:cs="宋体" w:eastAsia="宋体" w:hint="default"/>
        </w:rPr>
        <w:t>1</w:t>
      </w:r>
      <w:r>
        <w:rPr/>
        <w:t>、董事会提名委员会</w:t>
      </w:r>
      <w:r>
        <w:rPr>
          <w:w w:val="100"/>
        </w:rPr>
        <w:t> </w:t>
      </w:r>
      <w:r>
        <w:rPr>
          <w:spacing w:val="-2"/>
        </w:rPr>
        <w:t>报告期内，董事会成员没有变动，故公司未召开提名委员会。</w:t>
      </w:r>
      <w:r>
        <w:rPr>
          <w:spacing w:val="-52"/>
        </w:rPr>
        <w:t> </w:t>
      </w:r>
      <w:r>
        <w:rPr>
          <w:spacing w:val="-52"/>
        </w:rPr>
      </w:r>
      <w:r>
        <w:rPr>
          <w:rFonts w:ascii="宋体" w:hAnsi="宋体" w:cs="宋体" w:eastAsia="宋体" w:hint="default"/>
        </w:rPr>
        <w:t>2</w:t>
      </w:r>
      <w:r>
        <w:rPr/>
        <w:t>、董事会薪酬与考核委员会</w:t>
      </w:r>
    </w:p>
    <w:p>
      <w:pPr>
        <w:pStyle w:val="BodyText"/>
        <w:spacing w:line="408" w:lineRule="auto"/>
        <w:ind w:left="232" w:right="1126" w:firstLine="420"/>
        <w:jc w:val="both"/>
      </w:pPr>
      <w:r>
        <w:rPr>
          <w:spacing w:val="-2"/>
        </w:rPr>
        <w:t>报告期内，董事会薪酬与考核委员审议并通过了《关于审核</w:t>
      </w:r>
      <w:r>
        <w:rPr>
          <w:rFonts w:ascii="宋体" w:hAnsi="宋体" w:cs="宋体" w:eastAsia="宋体" w:hint="default"/>
          <w:spacing w:val="-2"/>
        </w:rPr>
        <w:t>2011</w:t>
      </w:r>
      <w:r>
        <w:rPr>
          <w:spacing w:val="-2"/>
        </w:rPr>
        <w:t>年度公司董事、高级管理人员报酬的</w:t>
      </w:r>
      <w:r>
        <w:rPr>
          <w:w w:val="100"/>
        </w:rPr>
        <w:t> </w:t>
      </w:r>
      <w:r>
        <w:rPr>
          <w:spacing w:val="-2"/>
        </w:rPr>
        <w:t>议案》、《关于调整</w:t>
      </w:r>
      <w:r>
        <w:rPr>
          <w:rFonts w:ascii="宋体" w:hAnsi="宋体" w:cs="宋体" w:eastAsia="宋体" w:hint="default"/>
          <w:spacing w:val="-2"/>
        </w:rPr>
        <w:t>2012</w:t>
      </w:r>
      <w:r>
        <w:rPr>
          <w:spacing w:val="-2"/>
        </w:rPr>
        <w:t>年度公司董事、高级管理人员薪酬及津贴的议案》，同意自</w:t>
      </w:r>
      <w:r>
        <w:rPr>
          <w:rFonts w:ascii="宋体" w:hAnsi="宋体" w:cs="宋体" w:eastAsia="宋体" w:hint="default"/>
          <w:spacing w:val="-2"/>
        </w:rPr>
        <w:t>2012</w:t>
      </w:r>
      <w:r>
        <w:rPr>
          <w:spacing w:val="-2"/>
        </w:rPr>
        <w:t>年起调整公司董</w:t>
      </w:r>
      <w:r>
        <w:rPr>
          <w:spacing w:val="-37"/>
        </w:rPr>
        <w:t> </w:t>
      </w:r>
      <w:r>
        <w:rPr>
          <w:spacing w:val="-37"/>
        </w:rPr>
      </w:r>
      <w:r>
        <w:rPr/>
        <w:t>事、高级管理人员薪酬及津贴。</w:t>
      </w:r>
    </w:p>
    <w:p>
      <w:pPr>
        <w:pStyle w:val="BodyText"/>
        <w:spacing w:line="240" w:lineRule="auto"/>
        <w:ind w:left="653" w:right="876"/>
        <w:jc w:val="left"/>
      </w:pPr>
      <w:r>
        <w:rPr>
          <w:rFonts w:ascii="宋体" w:hAnsi="宋体" w:cs="宋体" w:eastAsia="宋体" w:hint="default"/>
        </w:rPr>
        <w:t>3</w:t>
      </w:r>
      <w:r>
        <w:rPr/>
        <w:t>、董事会审计委员会</w:t>
      </w:r>
    </w:p>
    <w:p>
      <w:pPr>
        <w:spacing w:line="240" w:lineRule="auto" w:before="10"/>
        <w:rPr>
          <w:rFonts w:ascii="宋体" w:hAnsi="宋体" w:cs="宋体" w:eastAsia="宋体" w:hint="default"/>
          <w:sz w:val="14"/>
          <w:szCs w:val="14"/>
        </w:rPr>
      </w:pPr>
    </w:p>
    <w:p>
      <w:pPr>
        <w:pStyle w:val="BodyText"/>
        <w:spacing w:line="240" w:lineRule="auto" w:before="0"/>
        <w:ind w:left="653" w:right="876"/>
        <w:jc w:val="left"/>
      </w:pPr>
      <w:r>
        <w:rPr/>
        <w:t>报告期内，董事会审计委员会积极履行职责：内部审计方面，仔细听取公司内部审计部门</w:t>
      </w:r>
      <w:r>
        <w:rPr>
          <w:rFonts w:ascii="宋体" w:hAnsi="宋体" w:cs="宋体" w:eastAsia="宋体" w:hint="default"/>
        </w:rPr>
        <w:t>2011</w:t>
      </w:r>
      <w:r>
        <w:rPr/>
        <w:t>年度工</w:t>
      </w:r>
    </w:p>
    <w:p>
      <w:pPr>
        <w:spacing w:after="0" w:line="240" w:lineRule="auto"/>
        <w:jc w:val="left"/>
        <w:sectPr>
          <w:footerReference w:type="default" r:id="rId48"/>
          <w:pgSz w:w="11910" w:h="16840"/>
          <w:pgMar w:footer="1340" w:header="0" w:top="1100" w:bottom="1540" w:left="900" w:right="0"/>
          <w:pgNumType w:start="84"/>
        </w:sectPr>
      </w:pPr>
    </w:p>
    <w:p>
      <w:pPr>
        <w:spacing w:line="240" w:lineRule="auto" w:before="9"/>
        <w:rPr>
          <w:rFonts w:ascii="宋体" w:hAnsi="宋体" w:cs="宋体" w:eastAsia="宋体" w:hint="default"/>
          <w:sz w:val="26"/>
          <w:szCs w:val="26"/>
        </w:rPr>
      </w:pPr>
    </w:p>
    <w:p>
      <w:pPr>
        <w:pStyle w:val="BodyText"/>
        <w:spacing w:line="408" w:lineRule="auto" w:before="36"/>
        <w:ind w:left="232" w:right="1126"/>
        <w:jc w:val="both"/>
      </w:pPr>
      <w:r>
        <w:rPr>
          <w:spacing w:val="-2"/>
        </w:rPr>
        <w:t>作总结报告和</w:t>
      </w:r>
      <w:r>
        <w:rPr>
          <w:rFonts w:ascii="宋体" w:hAnsi="宋体" w:cs="宋体" w:eastAsia="宋体" w:hint="default"/>
          <w:spacing w:val="-2"/>
        </w:rPr>
        <w:t>2012</w:t>
      </w:r>
      <w:r>
        <w:rPr>
          <w:spacing w:val="-2"/>
        </w:rPr>
        <w:t>年度内部审计工作计划，认真了解公司内审部门在审计工作中计划开展情况，定期核查</w:t>
      </w:r>
      <w:r>
        <w:rPr>
          <w:spacing w:val="-38"/>
        </w:rPr>
        <w:t> </w:t>
      </w:r>
      <w:r>
        <w:rPr>
          <w:spacing w:val="-38"/>
        </w:rPr>
      </w:r>
      <w:r>
        <w:rPr>
          <w:spacing w:val="-2"/>
        </w:rPr>
        <w:t>审计工作结果；财务报告方面，审计委员会积极与公司会计部门、外聘会计师沟通，审核公司财务制度规</w:t>
      </w:r>
      <w:r>
        <w:rPr>
          <w:spacing w:val="-50"/>
        </w:rPr>
        <w:t> </w:t>
      </w:r>
      <w:r>
        <w:rPr>
          <w:spacing w:val="-50"/>
        </w:rPr>
      </w:r>
      <w:r>
        <w:rPr>
          <w:spacing w:val="-2"/>
        </w:rPr>
        <w:t>范、财务报告编制流程，确保公司财务报告内容准确、完整；内部控制方面，审计委员会一致认为，公司</w:t>
      </w:r>
      <w:r>
        <w:rPr>
          <w:spacing w:val="-42"/>
        </w:rPr>
        <w:t> </w:t>
      </w:r>
      <w:r>
        <w:rPr>
          <w:spacing w:val="-42"/>
        </w:rPr>
      </w:r>
      <w:r>
        <w:rPr>
          <w:spacing w:val="-2"/>
        </w:rPr>
        <w:t>建立了较为完善的内部控制组织机构，公司内控部严格按照内部控制相关制度规范，全面开展公司内部控</w:t>
      </w:r>
      <w:r>
        <w:rPr>
          <w:spacing w:val="-44"/>
        </w:rPr>
        <w:t> </w:t>
      </w:r>
      <w:r>
        <w:rPr>
          <w:spacing w:val="-44"/>
        </w:rPr>
      </w:r>
      <w:r>
        <w:rPr/>
        <w:t>制测试流程，有效防控公司内部控制缺陷，提高公司内部控制水平。</w:t>
      </w:r>
    </w:p>
    <w:p>
      <w:pPr>
        <w:pStyle w:val="BodyText"/>
        <w:spacing w:line="240" w:lineRule="auto"/>
        <w:ind w:left="653" w:right="876"/>
        <w:jc w:val="left"/>
      </w:pPr>
      <w:r>
        <w:rPr/>
        <w:t>报告期内，公司董事会审计委员会审议议案情况：</w:t>
      </w:r>
    </w:p>
    <w:p>
      <w:pPr>
        <w:spacing w:line="240" w:lineRule="auto" w:before="10"/>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1541"/>
        <w:gridCol w:w="3971"/>
        <w:gridCol w:w="4359"/>
      </w:tblGrid>
      <w:tr>
        <w:trPr>
          <w:trHeight w:val="317" w:hRule="exact"/>
        </w:trPr>
        <w:tc>
          <w:tcPr>
            <w:tcW w:w="1541" w:type="dxa"/>
            <w:tcBorders>
              <w:top w:val="nil" w:sz="6" w:space="0" w:color="auto"/>
              <w:left w:val="nil" w:sz="6" w:space="0" w:color="auto"/>
              <w:bottom w:val="single" w:sz="4" w:space="0" w:color="000000"/>
              <w:right w:val="single" w:sz="4" w:space="0" w:color="000000"/>
            </w:tcBorders>
          </w:tcPr>
          <w:p>
            <w:pPr>
              <w:pStyle w:val="TableParagraph"/>
              <w:spacing w:line="262" w:lineRule="exact"/>
              <w:ind w:left="19"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3971"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届次</w:t>
            </w:r>
          </w:p>
        </w:tc>
        <w:tc>
          <w:tcPr>
            <w:tcW w:w="4359" w:type="dxa"/>
            <w:tcBorders>
              <w:top w:val="nil" w:sz="6" w:space="0" w:color="auto"/>
              <w:left w:val="single" w:sz="4" w:space="0" w:color="000000"/>
              <w:bottom w:val="single" w:sz="4"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议案</w:t>
            </w:r>
          </w:p>
        </w:tc>
      </w:tr>
      <w:tr>
        <w:trPr>
          <w:trHeight w:val="634"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22" w:right="0"/>
              <w:jc w:val="center"/>
              <w:rPr>
                <w:rFonts w:ascii="宋体" w:hAnsi="宋体" w:cs="宋体" w:eastAsia="宋体" w:hint="default"/>
                <w:sz w:val="21"/>
                <w:szCs w:val="21"/>
              </w:rPr>
            </w:pPr>
            <w:r>
              <w:rPr>
                <w:rFonts w:ascii="宋体"/>
                <w:sz w:val="21"/>
              </w:rPr>
              <w:t>2012-2-24</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第四届董事会审计委员会第十一次会议</w:t>
            </w:r>
          </w:p>
        </w:tc>
        <w:tc>
          <w:tcPr>
            <w:tcW w:w="4359"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24"/>
                <w:sz w:val="21"/>
                <w:szCs w:val="21"/>
              </w:rPr>
              <w:t> </w:t>
            </w:r>
            <w:r>
              <w:rPr>
                <w:rFonts w:ascii="宋体" w:hAnsi="宋体" w:cs="宋体" w:eastAsia="宋体" w:hint="default"/>
                <w:spacing w:val="-8"/>
                <w:sz w:val="21"/>
                <w:szCs w:val="21"/>
              </w:rPr>
              <w:t>年度内部审计工作总结报告》、《</w:t>
            </w:r>
            <w:r>
              <w:rPr>
                <w:rFonts w:ascii="宋体" w:hAnsi="宋体" w:cs="宋体" w:eastAsia="宋体" w:hint="default"/>
                <w:spacing w:val="-8"/>
                <w:sz w:val="21"/>
                <w:szCs w:val="21"/>
              </w:rPr>
              <w:t>2012</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年度内部审计工作计划》</w:t>
            </w:r>
          </w:p>
        </w:tc>
      </w:tr>
      <w:tr>
        <w:trPr>
          <w:trHeight w:val="157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2" w:right="0"/>
              <w:jc w:val="center"/>
              <w:rPr>
                <w:rFonts w:ascii="宋体" w:hAnsi="宋体" w:cs="宋体" w:eastAsia="宋体" w:hint="default"/>
                <w:sz w:val="21"/>
                <w:szCs w:val="21"/>
              </w:rPr>
            </w:pPr>
            <w:r>
              <w:rPr>
                <w:rFonts w:ascii="宋体"/>
                <w:sz w:val="21"/>
              </w:rPr>
              <w:t>2012-3-29</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第四届董事会审计委员会第十二次会议</w:t>
            </w:r>
          </w:p>
        </w:tc>
        <w:tc>
          <w:tcPr>
            <w:tcW w:w="4359"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8"/>
                <w:sz w:val="21"/>
                <w:szCs w:val="21"/>
              </w:rPr>
              <w:t> </w:t>
            </w:r>
            <w:r>
              <w:rPr>
                <w:rFonts w:ascii="宋体" w:hAnsi="宋体" w:cs="宋体" w:eastAsia="宋体" w:hint="default"/>
                <w:spacing w:val="17"/>
                <w:sz w:val="21"/>
                <w:szCs w:val="21"/>
              </w:rPr>
              <w:t>关于审核财务会计报表和财务报告的议</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案》、《关于会计师事务所从事 </w:t>
            </w: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年度公</w:t>
            </w:r>
            <w:r>
              <w:rPr>
                <w:rFonts w:ascii="宋体" w:hAnsi="宋体" w:cs="宋体" w:eastAsia="宋体" w:hint="default"/>
                <w:w w:val="100"/>
                <w:sz w:val="21"/>
                <w:szCs w:val="21"/>
              </w:rPr>
              <w:t> </w:t>
            </w:r>
            <w:r>
              <w:rPr>
                <w:rFonts w:ascii="宋体" w:hAnsi="宋体" w:cs="宋体" w:eastAsia="宋体" w:hint="default"/>
                <w:spacing w:val="-5"/>
                <w:sz w:val="21"/>
                <w:szCs w:val="21"/>
              </w:rPr>
              <w:t>司审计工作的总结报告》、《关于续聘会计师</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事务所的议案》、《</w:t>
            </w:r>
            <w:r>
              <w:rPr>
                <w:rFonts w:ascii="宋体" w:hAnsi="宋体" w:cs="宋体" w:eastAsia="宋体" w:hint="default"/>
                <w:sz w:val="21"/>
                <w:szCs w:val="21"/>
              </w:rPr>
              <w:t>2011</w:t>
            </w:r>
            <w:r>
              <w:rPr>
                <w:rFonts w:ascii="宋体" w:hAnsi="宋体" w:cs="宋体" w:eastAsia="宋体" w:hint="default"/>
                <w:spacing w:val="40"/>
                <w:sz w:val="21"/>
                <w:szCs w:val="21"/>
              </w:rPr>
              <w:t> </w:t>
            </w:r>
            <w:r>
              <w:rPr>
                <w:rFonts w:ascii="宋体" w:hAnsi="宋体" w:cs="宋体" w:eastAsia="宋体" w:hint="default"/>
                <w:sz w:val="21"/>
                <w:szCs w:val="21"/>
              </w:rPr>
              <w:t>年度内部控制评价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报告》</w:t>
            </w:r>
          </w:p>
        </w:tc>
      </w:tr>
      <w:tr>
        <w:trPr>
          <w:trHeight w:val="634"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22" w:right="0"/>
              <w:jc w:val="center"/>
              <w:rPr>
                <w:rFonts w:ascii="宋体" w:hAnsi="宋体" w:cs="宋体" w:eastAsia="宋体" w:hint="default"/>
                <w:sz w:val="21"/>
                <w:szCs w:val="21"/>
              </w:rPr>
            </w:pPr>
            <w:r>
              <w:rPr>
                <w:rFonts w:ascii="宋体"/>
                <w:sz w:val="21"/>
              </w:rPr>
              <w:t>2012-4-26</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第四届董事会审计委员会第十三次会议</w:t>
            </w:r>
          </w:p>
        </w:tc>
        <w:tc>
          <w:tcPr>
            <w:tcW w:w="4359"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1"/>
              <w:jc w:val="left"/>
              <w:rPr>
                <w:rFonts w:ascii="宋体" w:hAnsi="宋体" w:cs="宋体" w:eastAsia="宋体" w:hint="default"/>
                <w:sz w:val="21"/>
                <w:szCs w:val="21"/>
              </w:rPr>
            </w:pPr>
            <w:r>
              <w:rPr>
                <w:rFonts w:ascii="宋体" w:hAnsi="宋体" w:cs="宋体" w:eastAsia="宋体" w:hint="default"/>
                <w:sz w:val="21"/>
                <w:szCs w:val="21"/>
              </w:rPr>
              <w:t>《苏宁电器股份有限公司 </w:t>
            </w: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年第一季度报</w:t>
            </w:r>
            <w:r>
              <w:rPr>
                <w:rFonts w:ascii="宋体" w:hAnsi="宋体" w:cs="宋体" w:eastAsia="宋体" w:hint="default"/>
                <w:w w:val="100"/>
                <w:sz w:val="21"/>
                <w:szCs w:val="21"/>
              </w:rPr>
              <w:t> </w:t>
            </w:r>
            <w:r>
              <w:rPr>
                <w:rFonts w:ascii="宋体" w:hAnsi="宋体" w:cs="宋体" w:eastAsia="宋体" w:hint="default"/>
                <w:sz w:val="21"/>
                <w:szCs w:val="21"/>
              </w:rPr>
              <w:t>告》、《</w:t>
            </w: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年第一季度审计工作总结报告》</w:t>
            </w:r>
          </w:p>
        </w:tc>
      </w:tr>
      <w:tr>
        <w:trPr>
          <w:trHeight w:val="126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sz w:val="21"/>
              </w:rPr>
              <w:t>2012-8-30</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第四届董事会审计委员会第十四次会议</w:t>
            </w:r>
          </w:p>
        </w:tc>
        <w:tc>
          <w:tcPr>
            <w:tcW w:w="4359"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《苏宁电器股份有限公司 </w:t>
            </w:r>
            <w:r>
              <w:rPr>
                <w:rFonts w:ascii="宋体" w:hAnsi="宋体" w:cs="宋体" w:eastAsia="宋体" w:hint="default"/>
                <w:sz w:val="21"/>
                <w:szCs w:val="21"/>
              </w:rPr>
              <w:t>2012</w:t>
            </w:r>
            <w:r>
              <w:rPr>
                <w:rFonts w:ascii="宋体" w:hAnsi="宋体" w:cs="宋体" w:eastAsia="宋体" w:hint="default"/>
                <w:spacing w:val="58"/>
                <w:sz w:val="21"/>
                <w:szCs w:val="21"/>
              </w:rPr>
              <w:t> </w:t>
            </w:r>
            <w:r>
              <w:rPr>
                <w:rFonts w:ascii="宋体" w:hAnsi="宋体" w:cs="宋体" w:eastAsia="宋体" w:hint="default"/>
                <w:spacing w:val="5"/>
                <w:sz w:val="21"/>
                <w:szCs w:val="21"/>
              </w:rPr>
              <w:t>年半年度报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告》及《苏宁电器股份有限公司 </w:t>
            </w:r>
            <w:r>
              <w:rPr>
                <w:rFonts w:ascii="宋体" w:hAnsi="宋体" w:cs="宋体" w:eastAsia="宋体" w:hint="default"/>
                <w:sz w:val="21"/>
                <w:szCs w:val="21"/>
              </w:rPr>
              <w:t>2012</w:t>
            </w:r>
            <w:r>
              <w:rPr>
                <w:rFonts w:ascii="宋体" w:hAnsi="宋体" w:cs="宋体" w:eastAsia="宋体" w:hint="default"/>
                <w:spacing w:val="-60"/>
                <w:sz w:val="21"/>
                <w:szCs w:val="21"/>
              </w:rPr>
              <w:t> </w:t>
            </w:r>
            <w:r>
              <w:rPr>
                <w:rFonts w:ascii="宋体" w:hAnsi="宋体" w:cs="宋体" w:eastAsia="宋体" w:hint="default"/>
                <w:sz w:val="21"/>
                <w:szCs w:val="21"/>
              </w:rPr>
              <w:t>年半年</w:t>
            </w:r>
          </w:p>
          <w:p>
            <w:pPr>
              <w:pStyle w:val="TableParagraph"/>
              <w:spacing w:line="273" w:lineRule="auto" w:before="37"/>
              <w:ind w:left="103" w:right="103"/>
              <w:jc w:val="left"/>
              <w:rPr>
                <w:rFonts w:ascii="宋体" w:hAnsi="宋体" w:cs="宋体" w:eastAsia="宋体" w:hint="default"/>
                <w:sz w:val="21"/>
                <w:szCs w:val="21"/>
              </w:rPr>
            </w:pPr>
            <w:r>
              <w:rPr>
                <w:rFonts w:ascii="宋体" w:hAnsi="宋体" w:cs="宋体" w:eastAsia="宋体" w:hint="default"/>
                <w:spacing w:val="-8"/>
                <w:sz w:val="21"/>
                <w:szCs w:val="21"/>
              </w:rPr>
              <w:t>度报告摘要》、《苏宁电器股份有限公司</w:t>
            </w:r>
            <w:r>
              <w:rPr>
                <w:rFonts w:ascii="宋体" w:hAnsi="宋体" w:cs="宋体" w:eastAsia="宋体" w:hint="default"/>
                <w:spacing w:val="-29"/>
                <w:sz w:val="21"/>
                <w:szCs w:val="21"/>
              </w:rPr>
              <w:t> </w:t>
            </w:r>
            <w:r>
              <w:rPr>
                <w:rFonts w:ascii="宋体" w:hAnsi="宋体" w:cs="宋体" w:eastAsia="宋体" w:hint="default"/>
                <w:sz w:val="21"/>
                <w:szCs w:val="21"/>
              </w:rPr>
              <w:t>2012</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年第二季度审计工作总结报告》</w:t>
            </w:r>
          </w:p>
        </w:tc>
      </w:tr>
      <w:tr>
        <w:trPr>
          <w:trHeight w:val="634"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left="22" w:right="0"/>
              <w:jc w:val="center"/>
              <w:rPr>
                <w:rFonts w:ascii="宋体" w:hAnsi="宋体" w:cs="宋体" w:eastAsia="宋体" w:hint="default"/>
                <w:sz w:val="21"/>
                <w:szCs w:val="21"/>
              </w:rPr>
            </w:pPr>
            <w:r>
              <w:rPr>
                <w:rFonts w:ascii="宋体"/>
                <w:sz w:val="21"/>
              </w:rPr>
              <w:t>2012-10-30</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宋体" w:hAnsi="宋体" w:cs="宋体" w:eastAsia="宋体" w:hint="default"/>
                <w:sz w:val="21"/>
                <w:szCs w:val="21"/>
              </w:rPr>
            </w:pPr>
            <w:r>
              <w:rPr>
                <w:rFonts w:ascii="宋体" w:hAnsi="宋体" w:cs="宋体" w:eastAsia="宋体" w:hint="default"/>
                <w:sz w:val="21"/>
                <w:szCs w:val="21"/>
              </w:rPr>
              <w:t>第四届董事会审计委员会第十五次会议</w:t>
            </w:r>
          </w:p>
        </w:tc>
        <w:tc>
          <w:tcPr>
            <w:tcW w:w="4359"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1"/>
              <w:jc w:val="left"/>
              <w:rPr>
                <w:rFonts w:ascii="宋体" w:hAnsi="宋体" w:cs="宋体" w:eastAsia="宋体" w:hint="default"/>
                <w:sz w:val="21"/>
                <w:szCs w:val="21"/>
              </w:rPr>
            </w:pPr>
            <w:r>
              <w:rPr>
                <w:rFonts w:ascii="宋体" w:hAnsi="宋体" w:cs="宋体" w:eastAsia="宋体" w:hint="default"/>
                <w:sz w:val="21"/>
                <w:szCs w:val="21"/>
              </w:rPr>
              <w:t>《苏宁电器股份有限公司 </w:t>
            </w: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年第三季度报</w:t>
            </w:r>
            <w:r>
              <w:rPr>
                <w:rFonts w:ascii="宋体" w:hAnsi="宋体" w:cs="宋体" w:eastAsia="宋体" w:hint="default"/>
                <w:w w:val="100"/>
                <w:sz w:val="21"/>
                <w:szCs w:val="21"/>
              </w:rPr>
              <w:t> </w:t>
            </w:r>
            <w:r>
              <w:rPr>
                <w:rFonts w:ascii="宋体" w:hAnsi="宋体" w:cs="宋体" w:eastAsia="宋体" w:hint="default"/>
                <w:sz w:val="21"/>
                <w:szCs w:val="21"/>
              </w:rPr>
              <w:t>告》、《</w:t>
            </w: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年第三季度审计工作总结报告》</w:t>
            </w:r>
          </w:p>
        </w:tc>
      </w:tr>
      <w:tr>
        <w:trPr>
          <w:trHeight w:val="634"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22" w:right="0"/>
              <w:jc w:val="center"/>
              <w:rPr>
                <w:rFonts w:ascii="宋体" w:hAnsi="宋体" w:cs="宋体" w:eastAsia="宋体" w:hint="default"/>
                <w:sz w:val="21"/>
                <w:szCs w:val="21"/>
              </w:rPr>
            </w:pPr>
            <w:r>
              <w:rPr>
                <w:rFonts w:ascii="宋体"/>
                <w:sz w:val="21"/>
              </w:rPr>
              <w:t>2012-12-28</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第四届董事会审计委员会第十六次会议</w:t>
            </w:r>
          </w:p>
        </w:tc>
        <w:tc>
          <w:tcPr>
            <w:tcW w:w="4359"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与年审注册会计师就 </w:t>
            </w:r>
            <w:r>
              <w:rPr>
                <w:rFonts w:ascii="宋体" w:hAnsi="宋体" w:cs="宋体" w:eastAsia="宋体" w:hint="default"/>
                <w:sz w:val="21"/>
                <w:szCs w:val="21"/>
              </w:rPr>
              <w:t>2012</w:t>
            </w:r>
            <w:r>
              <w:rPr>
                <w:rFonts w:ascii="宋体" w:hAnsi="宋体" w:cs="宋体" w:eastAsia="宋体" w:hint="default"/>
                <w:spacing w:val="-59"/>
                <w:sz w:val="21"/>
                <w:szCs w:val="21"/>
              </w:rPr>
              <w:t> </w:t>
            </w:r>
            <w:r>
              <w:rPr>
                <w:rFonts w:ascii="宋体" w:hAnsi="宋体" w:cs="宋体" w:eastAsia="宋体" w:hint="default"/>
                <w:sz w:val="21"/>
                <w:szCs w:val="21"/>
              </w:rPr>
              <w:t>年年报审计工作进</w:t>
            </w:r>
            <w:r>
              <w:rPr>
                <w:rFonts w:ascii="宋体" w:hAnsi="宋体" w:cs="宋体" w:eastAsia="宋体" w:hint="default"/>
                <w:w w:val="100"/>
                <w:sz w:val="21"/>
                <w:szCs w:val="21"/>
              </w:rPr>
              <w:t> </w:t>
            </w:r>
            <w:r>
              <w:rPr>
                <w:rFonts w:ascii="宋体" w:hAnsi="宋体" w:cs="宋体" w:eastAsia="宋体" w:hint="default"/>
                <w:sz w:val="21"/>
                <w:szCs w:val="21"/>
              </w:rPr>
              <w:t>行沟通</w:t>
            </w:r>
          </w:p>
        </w:tc>
      </w:tr>
    </w:tbl>
    <w:p>
      <w:pPr>
        <w:spacing w:line="240" w:lineRule="auto" w:before="1"/>
        <w:rPr>
          <w:rFonts w:ascii="宋体" w:hAnsi="宋体" w:cs="宋体" w:eastAsia="宋体" w:hint="default"/>
          <w:sz w:val="18"/>
          <w:szCs w:val="18"/>
        </w:rPr>
      </w:pPr>
    </w:p>
    <w:p>
      <w:pPr>
        <w:pStyle w:val="Heading2"/>
        <w:spacing w:line="240" w:lineRule="auto" w:before="26"/>
        <w:ind w:left="232" w:right="876"/>
        <w:jc w:val="left"/>
        <w:rPr>
          <w:b w:val="0"/>
          <w:bCs w:val="0"/>
        </w:rPr>
      </w:pPr>
      <w:r>
        <w:rPr/>
        <w:t>五、监事会工作情况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before="0"/>
        <w:ind w:left="232" w:right="876"/>
        <w:jc w:val="left"/>
      </w:pPr>
      <w:r>
        <w:rPr/>
        <w:t>监事会在报告期内的监督活动中发现公司是否存在风险</w:t>
      </w:r>
    </w:p>
    <w:p>
      <w:pPr>
        <w:pStyle w:val="BodyText"/>
        <w:spacing w:line="314" w:lineRule="auto" w:before="82"/>
        <w:ind w:left="232" w:right="6103"/>
        <w:jc w:val="left"/>
      </w:pPr>
      <w:r>
        <w:rPr/>
        <w:t>□ 是 √ 否</w:t>
      </w:r>
      <w:r>
        <w:rPr>
          <w:spacing w:val="-104"/>
        </w:rPr>
        <w:t> </w:t>
      </w:r>
      <w:r>
        <w:rPr>
          <w:spacing w:val="-104"/>
        </w:rPr>
      </w:r>
      <w:r>
        <w:rPr>
          <w:spacing w:val="-2"/>
        </w:rPr>
        <w:t>监事会对报告期内的监督事项无异议。</w:t>
      </w:r>
    </w:p>
    <w:p>
      <w:pPr>
        <w:spacing w:line="240" w:lineRule="auto" w:before="7"/>
        <w:rPr>
          <w:rFonts w:ascii="宋体" w:hAnsi="宋体" w:cs="宋体" w:eastAsia="宋体" w:hint="default"/>
          <w:sz w:val="20"/>
          <w:szCs w:val="20"/>
        </w:rPr>
      </w:pPr>
    </w:p>
    <w:p>
      <w:pPr>
        <w:pStyle w:val="Heading2"/>
        <w:spacing w:line="240" w:lineRule="auto"/>
        <w:ind w:left="232" w:right="876"/>
        <w:jc w:val="left"/>
        <w:rPr>
          <w:b w:val="0"/>
          <w:bCs w:val="0"/>
        </w:rPr>
      </w:pPr>
      <w:r>
        <w:rPr/>
        <w:t>六、公司相对于控股股东在业务、人员、资产、机构、财务等方面的独立完整情况</w:t>
      </w:r>
      <w:r>
        <w:rPr>
          <w:b w:val="0"/>
          <w:bCs w:val="0"/>
        </w:rPr>
      </w:r>
    </w:p>
    <w:p>
      <w:pPr>
        <w:spacing w:line="240" w:lineRule="auto" w:before="8"/>
        <w:rPr>
          <w:rFonts w:ascii="宋体" w:hAnsi="宋体" w:cs="宋体" w:eastAsia="宋体" w:hint="default"/>
          <w:b/>
          <w:bCs/>
          <w:sz w:val="16"/>
          <w:szCs w:val="16"/>
        </w:rPr>
      </w:pPr>
    </w:p>
    <w:p>
      <w:pPr>
        <w:pStyle w:val="BodyText"/>
        <w:spacing w:line="460" w:lineRule="atLeast" w:before="0"/>
        <w:ind w:left="232" w:right="876" w:firstLine="420"/>
        <w:jc w:val="left"/>
      </w:pPr>
      <w:r>
        <w:rPr/>
        <w:t>因公司控股股东为自然人，故不存在公司与控股股东在业务、人员、资产、机构等方面的问题，同时</w:t>
      </w:r>
      <w:r>
        <w:rPr>
          <w:w w:val="100"/>
        </w:rPr>
        <w:t> </w:t>
      </w:r>
      <w:r>
        <w:rPr>
          <w:spacing w:val="-2"/>
        </w:rPr>
        <w:t>公司的控股股东及其关联公司未以任何非经营性形式占用公司的货币资金或其他资产，公司与控股股东及</w:t>
      </w:r>
      <w:r>
        <w:rPr>
          <w:spacing w:val="-44"/>
        </w:rPr>
        <w:t> </w:t>
      </w:r>
      <w:r>
        <w:rPr>
          <w:spacing w:val="-44"/>
        </w:rPr>
      </w:r>
      <w:r>
        <w:rPr>
          <w:spacing w:val="-2"/>
        </w:rPr>
        <w:t>其关联公司在业务、人员、资产、机构、财务等方面完全分开，具有独立完整的业务及自主经营能力。公</w:t>
      </w:r>
      <w:r>
        <w:rPr>
          <w:spacing w:val="-45"/>
        </w:rPr>
        <w:t> </w:t>
      </w:r>
      <w:r>
        <w:rPr>
          <w:spacing w:val="-45"/>
        </w:rPr>
      </w:r>
      <w:r>
        <w:rPr>
          <w:spacing w:val="-5"/>
        </w:rPr>
        <w:t>司与控股股东关联法人之间发生的关联交易，定价公平合理，审批程序符合相关法律、法规及公司《章程》</w:t>
      </w:r>
      <w:r>
        <w:rPr>
          <w:spacing w:val="-10"/>
        </w:rPr>
        <w:t> </w:t>
      </w:r>
      <w:r>
        <w:rPr>
          <w:spacing w:val="-10"/>
        </w:rPr>
      </w:r>
      <w:r>
        <w:rPr/>
        <w:t>的规定。</w:t>
      </w:r>
    </w:p>
    <w:p>
      <w:pPr>
        <w:spacing w:after="0" w:line="460" w:lineRule="atLeast"/>
        <w:jc w:val="left"/>
        <w:sectPr>
          <w:pgSz w:w="11910" w:h="16840"/>
          <w:pgMar w:header="0" w:footer="1340" w:top="1100" w:bottom="1540" w:left="900" w:right="0"/>
        </w:sectPr>
      </w:pPr>
    </w:p>
    <w:p>
      <w:pPr>
        <w:spacing w:line="240" w:lineRule="auto" w:before="9"/>
        <w:rPr>
          <w:rFonts w:ascii="宋体" w:hAnsi="宋体" w:cs="宋体" w:eastAsia="宋体" w:hint="default"/>
          <w:sz w:val="19"/>
          <w:szCs w:val="19"/>
        </w:rPr>
      </w:pPr>
    </w:p>
    <w:p>
      <w:pPr>
        <w:pStyle w:val="Heading2"/>
        <w:spacing w:line="240" w:lineRule="auto" w:before="26"/>
        <w:ind w:right="982"/>
        <w:jc w:val="left"/>
        <w:rPr>
          <w:b w:val="0"/>
          <w:bCs w:val="0"/>
        </w:rPr>
      </w:pPr>
      <w:r>
        <w:rPr/>
        <w:t>七、同业竞争情况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26" w:firstLine="420"/>
        <w:jc w:val="both"/>
      </w:pPr>
      <w:r>
        <w:rPr>
          <w:spacing w:val="-2"/>
        </w:rPr>
        <w:t>为避免同业竞争损害本公司及其他股东的利益，公司股东张近东先生、苏宁电器集团有限公司、陈金</w:t>
      </w:r>
      <w:r>
        <w:rPr>
          <w:w w:val="100"/>
        </w:rPr>
        <w:t> </w:t>
      </w:r>
      <w:r>
        <w:rPr>
          <w:spacing w:val="-2"/>
        </w:rPr>
        <w:t>凤女士、赵蓓女士已于</w:t>
      </w:r>
      <w:r>
        <w:rPr>
          <w:rFonts w:ascii="宋体" w:hAnsi="宋体" w:cs="宋体" w:eastAsia="宋体" w:hint="default"/>
          <w:spacing w:val="-2"/>
        </w:rPr>
        <w:t>2002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15</w:t>
      </w:r>
      <w:r>
        <w:rPr>
          <w:spacing w:val="-2"/>
        </w:rPr>
        <w:t>日分别向公司出具《不竞争承诺函》；苏宁电器集团有限公司</w:t>
      </w:r>
      <w:r>
        <w:rPr>
          <w:rFonts w:ascii="宋体" w:hAnsi="宋体" w:cs="宋体" w:eastAsia="宋体" w:hint="default"/>
          <w:spacing w:val="-2"/>
        </w:rPr>
        <w:t>2003</w:t>
      </w:r>
      <w:r>
        <w:rPr>
          <w:spacing w:val="-2"/>
        </w:rPr>
        <w:t>年</w:t>
      </w:r>
      <w:r>
        <w:rPr>
          <w:spacing w:val="-36"/>
        </w:rPr>
        <w:t> </w:t>
      </w:r>
      <w:r>
        <w:rPr>
          <w:rFonts w:ascii="宋体" w:hAnsi="宋体" w:cs="宋体" w:eastAsia="宋体" w:hint="default"/>
        </w:rPr>
        <w:t>3</w:t>
      </w:r>
      <w:r>
        <w:rPr/>
        <w:t>月</w:t>
      </w:r>
      <w:r>
        <w:rPr>
          <w:rFonts w:ascii="宋体" w:hAnsi="宋体" w:cs="宋体" w:eastAsia="宋体" w:hint="default"/>
        </w:rPr>
        <w:t>6</w:t>
      </w:r>
      <w:r>
        <w:rPr/>
        <w:t>日出具承诺函，保证今后避免发生除正常业务外的一切资金往来。</w:t>
      </w:r>
    </w:p>
    <w:p>
      <w:pPr>
        <w:spacing w:line="240" w:lineRule="auto" w:before="8"/>
        <w:rPr>
          <w:rFonts w:ascii="宋体" w:hAnsi="宋体" w:cs="宋体" w:eastAsia="宋体" w:hint="default"/>
          <w:sz w:val="18"/>
          <w:szCs w:val="18"/>
        </w:rPr>
      </w:pPr>
    </w:p>
    <w:p>
      <w:pPr>
        <w:pStyle w:val="Heading2"/>
        <w:spacing w:line="240" w:lineRule="auto"/>
        <w:ind w:right="982"/>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公司建立了较为健全的考评和激励机制，以公司规范化管理以及经营效益稳步提升为基础，与公司管</w:t>
      </w:r>
      <w:r>
        <w:rPr>
          <w:w w:val="100"/>
        </w:rPr>
        <w:t> </w:t>
      </w:r>
      <w:r>
        <w:rPr>
          <w:spacing w:val="-2"/>
        </w:rPr>
        <w:t>理人员签订岗位目标责任书，并以量化的考核指标定期对高级管理人员进行业绩考核。经过考评，</w:t>
      </w:r>
      <w:r>
        <w:rPr>
          <w:rFonts w:ascii="宋体" w:hAnsi="宋体" w:cs="宋体" w:eastAsia="宋体" w:hint="default"/>
          <w:spacing w:val="-2"/>
        </w:rPr>
        <w:t>2012</w:t>
      </w:r>
      <w:r>
        <w:rPr>
          <w:spacing w:val="-2"/>
        </w:rPr>
        <w:t>年</w:t>
      </w:r>
      <w:r>
        <w:rPr>
          <w:spacing w:val="-40"/>
        </w:rPr>
        <w:t> </w:t>
      </w:r>
      <w:r>
        <w:rPr/>
        <w:t>度公司高管人员认真履行了工作职责。</w:t>
      </w:r>
    </w:p>
    <w:p>
      <w:pPr>
        <w:spacing w:line="240" w:lineRule="auto" w:before="0"/>
        <w:rPr>
          <w:rFonts w:ascii="宋体" w:hAnsi="宋体" w:cs="宋体" w:eastAsia="宋体" w:hint="default"/>
          <w:sz w:val="20"/>
          <w:szCs w:val="20"/>
        </w:rPr>
      </w:pPr>
    </w:p>
    <w:p>
      <w:pPr>
        <w:pStyle w:val="Heading1"/>
        <w:spacing w:line="240" w:lineRule="auto" w:before="174"/>
        <w:ind w:right="3266"/>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right="982"/>
        <w:jc w:val="left"/>
        <w:rPr>
          <w:b w:val="0"/>
          <w:bCs w:val="0"/>
        </w:rPr>
      </w:pPr>
      <w:r>
        <w:rPr/>
        <w:t>一、</w:t>
      </w:r>
      <w:r>
        <w:rPr>
          <w:spacing w:val="-94"/>
        </w:rPr>
        <w:t> </w:t>
      </w:r>
      <w:r>
        <w:rPr/>
        <w:t>内部控制建设情况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26" w:firstLine="420"/>
        <w:jc w:val="both"/>
      </w:pPr>
      <w:r>
        <w:rPr>
          <w:spacing w:val="-11"/>
          <w:w w:val="100"/>
        </w:rPr>
        <w:t>为规范经营，保证企业的健康发展，根据《公司法》、《证劵法》、《企业内部控制应用指引》等法律法</w:t>
      </w:r>
      <w:r>
        <w:rPr>
          <w:w w:val="100"/>
        </w:rPr>
        <w:t> </w:t>
      </w:r>
      <w:r>
        <w:rPr>
          <w:spacing w:val="-2"/>
        </w:rPr>
        <w:t>规、规范性文件及上市公司的相关要求，结合公司自身经营发展需要，公司已建立了一套较为完善的内部</w:t>
      </w:r>
      <w:r>
        <w:rPr>
          <w:spacing w:val="-43"/>
        </w:rPr>
        <w:t> </w:t>
      </w:r>
      <w:r>
        <w:rPr>
          <w:spacing w:val="-43"/>
        </w:rPr>
      </w:r>
      <w:r>
        <w:rPr/>
        <w:t>控制体系，并制订了贯穿各业务流程、渗透各管理层级的内部控制管理制度。</w:t>
      </w:r>
    </w:p>
    <w:p>
      <w:pPr>
        <w:pStyle w:val="BodyText"/>
        <w:spacing w:line="398" w:lineRule="auto"/>
        <w:ind w:right="1104" w:firstLine="42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41"/>
        </w:rPr>
        <w:t> </w:t>
      </w:r>
      <w:r>
        <w:rPr>
          <w:spacing w:val="-4"/>
        </w:rPr>
        <w:t>年根据中国证劵监督管理委员会江苏监管局《关于做好江苏上市公司实施内部控制规范有关工作</w:t>
      </w:r>
      <w:r>
        <w:rPr>
          <w:w w:val="100"/>
        </w:rPr>
        <w:t> </w:t>
      </w:r>
      <w:r>
        <w:rPr>
          <w:spacing w:val="-7"/>
          <w:w w:val="100"/>
        </w:rPr>
        <w:t>的通知》（苏证监公司字</w:t>
      </w:r>
      <w:r>
        <w:rPr>
          <w:rFonts w:ascii="Times New Roman" w:hAnsi="Times New Roman" w:cs="Times New Roman" w:eastAsia="Times New Roman" w:hint="default"/>
          <w:spacing w:val="-7"/>
          <w:w w:val="100"/>
        </w:rPr>
        <w:t>[2012]101</w:t>
      </w:r>
      <w:r>
        <w:rPr>
          <w:rFonts w:ascii="Times New Roman" w:hAnsi="Times New Roman" w:cs="Times New Roman" w:eastAsia="Times New Roman" w:hint="default"/>
          <w:w w:val="100"/>
        </w:rPr>
        <w:t> </w:t>
      </w:r>
      <w:r>
        <w:rPr>
          <w:spacing w:val="-2"/>
          <w:w w:val="100"/>
        </w:rPr>
        <w:t>号）要求，公司主动申请加入江苏省上市公司实施内控规范试点公司范</w:t>
      </w:r>
      <w:r>
        <w:rPr>
          <w:spacing w:val="-77"/>
          <w:w w:val="100"/>
        </w:rPr>
        <w:t> </w:t>
      </w:r>
      <w:r>
        <w:rPr>
          <w:spacing w:val="-77"/>
          <w:w w:val="100"/>
        </w:rPr>
      </w:r>
      <w:r>
        <w:rPr>
          <w:spacing w:val="-2"/>
        </w:rPr>
        <w:t>围，并通过系统化支持，以每年两次自评的形式实现对公司内部控制的有效监测。同时扩大了公司自评范</w:t>
      </w:r>
      <w:r>
        <w:rPr>
          <w:spacing w:val="-43"/>
        </w:rPr>
        <w:t> </w:t>
      </w:r>
      <w:r>
        <w:rPr>
          <w:spacing w:val="-43"/>
        </w:rPr>
      </w:r>
      <w:r>
        <w:rPr>
          <w:spacing w:val="-2"/>
        </w:rPr>
        <w:t>围，将内控自评工作渗透到除电器总部及大区以外的苏宁易购公司、乐购仕（中国）公司及香港子公司，</w:t>
      </w:r>
      <w:r>
        <w:rPr>
          <w:spacing w:val="-20"/>
        </w:rPr>
        <w:t> </w:t>
      </w:r>
      <w:r>
        <w:rPr>
          <w:spacing w:val="-20"/>
        </w:rPr>
      </w:r>
      <w:r>
        <w:rPr>
          <w:spacing w:val="-2"/>
        </w:rPr>
        <w:t>力求最大程度的保证公司资金、资产的安全，保证公司的合法合规经营，促进公司发展战略的顺利实现。</w:t>
      </w:r>
    </w:p>
    <w:p>
      <w:pPr>
        <w:spacing w:line="240" w:lineRule="auto" w:before="4"/>
        <w:rPr>
          <w:rFonts w:ascii="宋体" w:hAnsi="宋体" w:cs="宋体" w:eastAsia="宋体" w:hint="default"/>
          <w:sz w:val="19"/>
          <w:szCs w:val="19"/>
        </w:rPr>
      </w:pPr>
    </w:p>
    <w:p>
      <w:pPr>
        <w:pStyle w:val="Heading2"/>
        <w:spacing w:line="240" w:lineRule="auto"/>
        <w:ind w:right="982"/>
        <w:jc w:val="left"/>
        <w:rPr>
          <w:b w:val="0"/>
          <w:bCs w:val="0"/>
        </w:rPr>
      </w:pPr>
      <w:r>
        <w:rPr/>
        <w:t>二、董事会关于内部控制责任的声明</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04" w:firstLine="420"/>
        <w:jc w:val="both"/>
      </w:pPr>
      <w:r>
        <w:rPr>
          <w:spacing w:val="-2"/>
        </w:rPr>
        <w:t>建立健全并有效实施内部控制是公司董事会的责任；监事会对董事会建立与实施内部控制进行监督；</w:t>
      </w:r>
      <w:r>
        <w:rPr>
          <w:w w:val="100"/>
        </w:rPr>
        <w:t> </w:t>
      </w:r>
      <w:r>
        <w:rPr>
          <w:spacing w:val="-2"/>
        </w:rPr>
        <w:t>以总裁为代表的经营团队负责内部控制制度的具体制定，并保证该制度的有效执行。公司内部控制的目标</w:t>
      </w:r>
      <w:r>
        <w:rPr>
          <w:spacing w:val="-42"/>
        </w:rPr>
        <w:t> </w:t>
      </w:r>
      <w:r>
        <w:rPr>
          <w:spacing w:val="-42"/>
        </w:rPr>
      </w:r>
      <w:r>
        <w:rPr>
          <w:spacing w:val="-2"/>
        </w:rPr>
        <w:t>是：通过建立和不断完善公司内部控制制度和流程，促进对法律、法规和公司政策的遵循，确保经营合法</w:t>
      </w:r>
      <w:r>
        <w:rPr>
          <w:spacing w:val="-47"/>
        </w:rPr>
        <w:t> </w:t>
      </w:r>
      <w:r>
        <w:rPr>
          <w:spacing w:val="-47"/>
        </w:rPr>
      </w:r>
      <w:r>
        <w:rPr>
          <w:spacing w:val="-2"/>
        </w:rPr>
        <w:t>合规，切实维护资产安全，合理保证财务报告及相关信息的真实完整，提高公司经营效率和效果，促进公</w:t>
      </w:r>
      <w:r>
        <w:rPr>
          <w:spacing w:val="-50"/>
        </w:rPr>
        <w:t> </w:t>
      </w:r>
      <w:r>
        <w:rPr>
          <w:spacing w:val="-50"/>
        </w:rPr>
      </w:r>
      <w:r>
        <w:rPr/>
        <w:t>司实现发展战略。</w:t>
      </w:r>
    </w:p>
    <w:p>
      <w:pPr>
        <w:pStyle w:val="BodyText"/>
        <w:spacing w:line="240" w:lineRule="auto"/>
        <w:ind w:left="573" w:right="982"/>
        <w:jc w:val="left"/>
      </w:pPr>
      <w:r>
        <w:rPr/>
        <w:t>本次内部控制自我评价报告的内容和结论，符合五部委关于《企业内部控制评价指引》中所要求的全</w:t>
      </w:r>
    </w:p>
    <w:p>
      <w:pPr>
        <w:spacing w:after="0" w:line="240" w:lineRule="auto"/>
        <w:jc w:val="left"/>
        <w:sectPr>
          <w:pgSz w:w="11910" w:h="16840"/>
          <w:pgMar w:header="0" w:footer="1340" w:top="1100" w:bottom="1540" w:left="980" w:right="0"/>
        </w:sectPr>
      </w:pPr>
    </w:p>
    <w:p>
      <w:pPr>
        <w:spacing w:line="240" w:lineRule="auto" w:before="9"/>
        <w:rPr>
          <w:rFonts w:ascii="宋体" w:hAnsi="宋体" w:cs="宋体" w:eastAsia="宋体" w:hint="default"/>
          <w:sz w:val="26"/>
          <w:szCs w:val="26"/>
        </w:rPr>
      </w:pPr>
    </w:p>
    <w:p>
      <w:pPr>
        <w:pStyle w:val="BodyText"/>
        <w:spacing w:line="408" w:lineRule="auto" w:before="36"/>
        <w:ind w:left="573" w:right="982" w:hanging="421"/>
        <w:jc w:val="left"/>
      </w:pPr>
      <w:r>
        <w:rPr/>
        <w:t>面性、重要性、客观性原则。由于内部控制存在固有局限性，故仅能对实现上述目标提供合理保证。</w:t>
      </w:r>
      <w:r>
        <w:rPr>
          <w:w w:val="100"/>
        </w:rPr>
        <w:t> </w:t>
      </w:r>
      <w:r>
        <w:rPr>
          <w:spacing w:val="-2"/>
        </w:rPr>
        <w:t>公司董事会及全体董事保证本报告内容不存在任何虚假记载、误导性陈述或重大遗漏，并对报告内容</w:t>
      </w:r>
    </w:p>
    <w:p>
      <w:pPr>
        <w:pStyle w:val="BodyText"/>
        <w:spacing w:line="240" w:lineRule="auto"/>
        <w:ind w:right="982"/>
        <w:jc w:val="left"/>
      </w:pPr>
      <w:r>
        <w:rPr/>
        <w:t>的真实性、准确性和完整性承担个别及连带责任。</w:t>
      </w:r>
    </w:p>
    <w:p>
      <w:pPr>
        <w:spacing w:line="240" w:lineRule="auto" w:before="11"/>
        <w:rPr>
          <w:rFonts w:ascii="宋体" w:hAnsi="宋体" w:cs="宋体" w:eastAsia="宋体" w:hint="default"/>
          <w:sz w:val="29"/>
          <w:szCs w:val="29"/>
        </w:rPr>
      </w:pPr>
    </w:p>
    <w:p>
      <w:pPr>
        <w:pStyle w:val="Heading2"/>
        <w:spacing w:line="240" w:lineRule="auto"/>
        <w:ind w:right="982"/>
        <w:jc w:val="left"/>
        <w:rPr>
          <w:b w:val="0"/>
          <w:bCs w:val="0"/>
        </w:rPr>
      </w:pPr>
      <w:r>
        <w:rPr/>
        <w:t>三、建立财务报告内部控制的依据</w:t>
      </w:r>
      <w:r>
        <w:rPr>
          <w:b w:val="0"/>
          <w:bCs w:val="0"/>
        </w:rPr>
      </w:r>
    </w:p>
    <w:p>
      <w:pPr>
        <w:spacing w:line="240" w:lineRule="auto" w:before="10"/>
        <w:rPr>
          <w:rFonts w:ascii="宋体" w:hAnsi="宋体" w:cs="宋体" w:eastAsia="宋体" w:hint="default"/>
          <w:b/>
          <w:bCs/>
          <w:sz w:val="30"/>
          <w:szCs w:val="30"/>
        </w:rPr>
      </w:pPr>
    </w:p>
    <w:p>
      <w:pPr>
        <w:pStyle w:val="BodyText"/>
        <w:spacing w:line="400" w:lineRule="auto" w:before="0"/>
        <w:ind w:right="1126" w:firstLine="420"/>
        <w:jc w:val="both"/>
      </w:pPr>
      <w:r>
        <w:rPr>
          <w:spacing w:val="-2"/>
        </w:rPr>
        <w:t>公司依据会计法、税法、企业会计准则等国家有关法律法规及规范性文件，制定公司财务报表编制手</w:t>
      </w:r>
      <w:r>
        <w:rPr>
          <w:w w:val="100"/>
        </w:rPr>
        <w:t> </w:t>
      </w:r>
      <w:r>
        <w:rPr>
          <w:spacing w:val="-4"/>
        </w:rPr>
        <w:t>册、会计科目使用说明，健全公司财务报告核算、编制、审核制度。同时，公司通过 </w:t>
      </w:r>
      <w:r>
        <w:rPr>
          <w:rFonts w:ascii="Times New Roman" w:hAnsi="Times New Roman" w:cs="Times New Roman" w:eastAsia="Times New Roman" w:hint="default"/>
        </w:rPr>
        <w:t>SAP </w:t>
      </w:r>
      <w:r>
        <w:rPr>
          <w:spacing w:val="-4"/>
        </w:rPr>
        <w:t>系统、对货币资</w:t>
      </w:r>
      <w:r>
        <w:rPr>
          <w:spacing w:val="-85"/>
        </w:rPr>
        <w:t> </w:t>
      </w:r>
      <w:r>
        <w:rPr>
          <w:spacing w:val="-85"/>
        </w:rPr>
      </w:r>
      <w:r>
        <w:rPr>
          <w:spacing w:val="-2"/>
        </w:rPr>
        <w:t>金、销售与收款、固定资产、存货等建立了严格的内部审批程序，规定了相应的审批权限，对财务报告的</w:t>
      </w:r>
      <w:r>
        <w:rPr>
          <w:spacing w:val="-42"/>
        </w:rPr>
        <w:t> </w:t>
      </w:r>
      <w:r>
        <w:rPr>
          <w:spacing w:val="-42"/>
        </w:rPr>
      </w:r>
      <w:r>
        <w:rPr/>
        <w:t>编制过程建立了多人审核机制，实施有效控制。</w:t>
      </w:r>
    </w:p>
    <w:p>
      <w:pPr>
        <w:spacing w:line="240" w:lineRule="auto" w:before="2"/>
        <w:rPr>
          <w:rFonts w:ascii="宋体" w:hAnsi="宋体" w:cs="宋体" w:eastAsia="宋体" w:hint="default"/>
          <w:sz w:val="19"/>
          <w:szCs w:val="19"/>
        </w:rPr>
      </w:pPr>
    </w:p>
    <w:p>
      <w:pPr>
        <w:pStyle w:val="Heading2"/>
        <w:spacing w:line="240" w:lineRule="auto"/>
        <w:ind w:right="982"/>
        <w:jc w:val="left"/>
        <w:rPr>
          <w:b w:val="0"/>
          <w:bCs w:val="0"/>
        </w:rPr>
      </w:pPr>
      <w:r>
        <w:rPr/>
        <w:t>四、内部控制自我评价报告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46"/>
        <w:gridCol w:w="6025"/>
      </w:tblGrid>
      <w:tr>
        <w:trPr>
          <w:trHeight w:val="32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522" w:right="0"/>
              <w:jc w:val="left"/>
              <w:rPr>
                <w:rFonts w:ascii="宋体" w:hAnsi="宋体" w:cs="宋体" w:eastAsia="宋体" w:hint="default"/>
                <w:sz w:val="21"/>
                <w:szCs w:val="21"/>
              </w:rPr>
            </w:pPr>
            <w:r>
              <w:rPr>
                <w:rFonts w:ascii="宋体" w:hAnsi="宋体" w:cs="宋体" w:eastAsia="宋体" w:hint="default"/>
                <w:sz w:val="21"/>
                <w:szCs w:val="21"/>
              </w:rPr>
              <w:t>内部控制自我评价报告中报告期内发现的内部控制重大缺陷的具体情况</w:t>
            </w:r>
          </w:p>
        </w:tc>
      </w:tr>
      <w:tr>
        <w:trPr>
          <w:trHeight w:val="32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报告期内未发现内部控制重大缺陷。</w:t>
            </w:r>
          </w:p>
        </w:tc>
      </w:tr>
      <w:tr>
        <w:trPr>
          <w:trHeight w:val="324"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20"/>
              <w:jc w:val="center"/>
              <w:rPr>
                <w:rFonts w:ascii="宋体" w:hAnsi="宋体" w:cs="宋体" w:eastAsia="宋体" w:hint="default"/>
                <w:sz w:val="21"/>
                <w:szCs w:val="21"/>
              </w:rPr>
            </w:pPr>
            <w:r>
              <w:rPr>
                <w:rFonts w:ascii="宋体" w:hAnsi="宋体" w:cs="宋体" w:eastAsia="宋体" w:hint="default"/>
                <w:sz w:val="21"/>
                <w:szCs w:val="21"/>
              </w:rPr>
              <w:t>内部控制自我评价报告全文披露日期</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20"/>
              <w:jc w:val="center"/>
              <w:rPr>
                <w:rFonts w:ascii="宋体" w:hAnsi="宋体" w:cs="宋体" w:eastAsia="宋体" w:hint="default"/>
                <w:sz w:val="21"/>
                <w:szCs w:val="21"/>
              </w:rPr>
            </w:pPr>
            <w:r>
              <w:rPr>
                <w:rFonts w:ascii="宋体" w:hAnsi="宋体" w:cs="宋体" w:eastAsia="宋体" w:hint="default"/>
                <w:sz w:val="21"/>
                <w:szCs w:val="21"/>
              </w:rPr>
              <w:t>内部控制自我评价报告全文披露索引</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hyperlink r:id="rId13">
              <w:r>
                <w:rPr>
                  <w:rFonts w:ascii="Times New Roman"/>
                  <w:sz w:val="21"/>
                </w:rPr>
                <w:t>www.cninfo.com.cn</w:t>
              </w:r>
            </w:hyperlink>
          </w:p>
        </w:tc>
      </w:tr>
    </w:tbl>
    <w:p>
      <w:pPr>
        <w:spacing w:line="240" w:lineRule="auto" w:before="11"/>
        <w:rPr>
          <w:rFonts w:ascii="宋体" w:hAnsi="宋体" w:cs="宋体" w:eastAsia="宋体" w:hint="default"/>
          <w:b/>
          <w:bCs/>
          <w:sz w:val="6"/>
          <w:szCs w:val="6"/>
        </w:rPr>
      </w:pPr>
    </w:p>
    <w:p>
      <w:pPr>
        <w:pStyle w:val="Heading2"/>
        <w:spacing w:line="240" w:lineRule="auto" w:before="26"/>
        <w:ind w:right="982"/>
        <w:jc w:val="left"/>
        <w:rPr>
          <w:b w:val="0"/>
          <w:bCs w:val="0"/>
        </w:rPr>
      </w:pPr>
      <w:r>
        <w:rPr/>
        <w:t>五、内部控制审计报告</w:t>
      </w:r>
      <w:r>
        <w:rPr>
          <w:b w:val="0"/>
          <w:bCs w:val="0"/>
        </w:rPr>
      </w:r>
    </w:p>
    <w:p>
      <w:pPr>
        <w:pStyle w:val="BodyText"/>
        <w:spacing w:line="240" w:lineRule="auto" w:before="66"/>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7"/>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546"/>
        <w:gridCol w:w="6025"/>
      </w:tblGrid>
      <w:tr>
        <w:trPr>
          <w:trHeight w:val="32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内部控制审计报告中的审议意见段</w:t>
            </w:r>
          </w:p>
        </w:tc>
      </w:tr>
      <w:tr>
        <w:trPr>
          <w:trHeight w:val="63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4" w:right="17"/>
              <w:jc w:val="left"/>
              <w:rPr>
                <w:rFonts w:ascii="宋体" w:hAnsi="宋体" w:cs="宋体" w:eastAsia="宋体" w:hint="default"/>
                <w:sz w:val="21"/>
                <w:szCs w:val="21"/>
              </w:rPr>
            </w:pPr>
            <w:r>
              <w:rPr>
                <w:rFonts w:ascii="宋体" w:hAnsi="宋体" w:cs="宋体" w:eastAsia="宋体" w:hint="default"/>
                <w:spacing w:val="-3"/>
                <w:sz w:val="21"/>
                <w:szCs w:val="21"/>
              </w:rPr>
              <w:t>“我们认为，贵公司于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日按照《企业内部控制基本规范》和相关规定在所有重大方面保</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w w:val="100"/>
                <w:sz w:val="21"/>
                <w:szCs w:val="21"/>
              </w:rPr>
              <w:t>持了有效的财务报告内部控制。”</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内部控制审计报告全文披露日期</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内部控制审计报告全文披露索引</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hyperlink r:id="rId13">
              <w:r>
                <w:rPr>
                  <w:rFonts w:ascii="Times New Roman"/>
                  <w:sz w:val="21"/>
                </w:rPr>
                <w:t>www.cninfo.com.cn</w:t>
              </w:r>
            </w:hyperlink>
          </w:p>
        </w:tc>
      </w:tr>
    </w:tbl>
    <w:p>
      <w:pPr>
        <w:pStyle w:val="BodyText"/>
        <w:spacing w:line="262" w:lineRule="exact" w:before="0"/>
        <w:ind w:right="982"/>
        <w:jc w:val="left"/>
      </w:pPr>
      <w:r>
        <w:rPr/>
        <w:t>会计师事务所是否出具非标准意见的内部控制审计报告</w:t>
      </w:r>
    </w:p>
    <w:p>
      <w:pPr>
        <w:pStyle w:val="BodyText"/>
        <w:spacing w:line="290" w:lineRule="auto" w:before="78"/>
        <w:ind w:right="35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会计师事务所出具的内部控制审计报告与董事会的自我评价报告意见是否一致</w:t>
      </w:r>
    </w:p>
    <w:p>
      <w:pPr>
        <w:pStyle w:val="BodyText"/>
        <w:spacing w:line="240" w:lineRule="auto" w:before="34"/>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8"/>
        <w:rPr>
          <w:rFonts w:ascii="宋体" w:hAnsi="宋体" w:cs="宋体" w:eastAsia="宋体" w:hint="default"/>
          <w:sz w:val="22"/>
          <w:szCs w:val="22"/>
        </w:rPr>
      </w:pPr>
    </w:p>
    <w:p>
      <w:pPr>
        <w:pStyle w:val="Heading2"/>
        <w:spacing w:line="240" w:lineRule="auto"/>
        <w:ind w:right="982"/>
        <w:jc w:val="left"/>
        <w:rPr>
          <w:b w:val="0"/>
          <w:bCs w:val="0"/>
        </w:rPr>
      </w:pPr>
      <w:r>
        <w:rPr/>
        <w:t>六、年度报告重大差错责任追究制度的建立与执行情况</w:t>
      </w:r>
      <w:r>
        <w:rPr>
          <w:b w:val="0"/>
          <w:bCs w:val="0"/>
        </w:rPr>
      </w:r>
    </w:p>
    <w:p>
      <w:pPr>
        <w:spacing w:line="240" w:lineRule="auto" w:before="11"/>
        <w:rPr>
          <w:rFonts w:ascii="宋体" w:hAnsi="宋体" w:cs="宋体" w:eastAsia="宋体" w:hint="default"/>
          <w:b/>
          <w:bCs/>
          <w:sz w:val="30"/>
          <w:szCs w:val="30"/>
        </w:rPr>
      </w:pPr>
    </w:p>
    <w:p>
      <w:pPr>
        <w:pStyle w:val="BodyText"/>
        <w:spacing w:line="408" w:lineRule="auto" w:before="0"/>
        <w:ind w:right="982" w:firstLine="420"/>
        <w:jc w:val="left"/>
      </w:pPr>
      <w:r>
        <w:rPr>
          <w:spacing w:val="-5"/>
          <w:w w:val="100"/>
        </w:rPr>
        <w:t>公司已建立《年报信息披露重大差错责任追究制度》，明确年度报告编制相关人员的责任，报告期内，</w:t>
      </w:r>
      <w:r>
        <w:rPr>
          <w:w w:val="100"/>
        </w:rPr>
        <w:t> </w:t>
      </w:r>
      <w:r>
        <w:rPr/>
        <w:t>公司严格按照年度报告编制制度执行年报编制工作，执行情况良好，不存在发生重大会计差错更正、重大</w:t>
      </w:r>
      <w:r>
        <w:rPr>
          <w:w w:val="100"/>
        </w:rPr>
        <w:t> </w:t>
      </w:r>
      <w:r>
        <w:rPr/>
        <w:t>遗漏信息补充等情况。</w:t>
      </w:r>
    </w:p>
    <w:p>
      <w:pPr>
        <w:spacing w:after="0" w:line="408" w:lineRule="auto"/>
        <w:jc w:val="left"/>
        <w:sectPr>
          <w:pgSz w:w="11910" w:h="16840"/>
          <w:pgMar w:header="0" w:footer="1340" w:top="110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right="3265"/>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82"/>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普华永道中天会计师事务所有限公司</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普华永道中天审字</w:t>
            </w:r>
            <w:r>
              <w:rPr>
                <w:rFonts w:ascii="宋体" w:hAnsi="宋体" w:cs="宋体" w:eastAsia="宋体" w:hint="default"/>
                <w:sz w:val="21"/>
                <w:szCs w:val="21"/>
              </w:rPr>
              <w:t>(2013)</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z w:val="21"/>
                <w:szCs w:val="21"/>
              </w:rPr>
              <w:t>10073</w:t>
            </w:r>
            <w:r>
              <w:rPr>
                <w:rFonts w:ascii="宋体" w:hAnsi="宋体" w:cs="宋体" w:eastAsia="宋体" w:hint="default"/>
                <w:spacing w:val="-52"/>
                <w:sz w:val="21"/>
                <w:szCs w:val="21"/>
              </w:rPr>
              <w:t> </w:t>
            </w:r>
            <w:r>
              <w:rPr>
                <w:rFonts w:ascii="宋体" w:hAnsi="宋体" w:cs="宋体" w:eastAsia="宋体" w:hint="default"/>
                <w:sz w:val="21"/>
                <w:szCs w:val="21"/>
              </w:rPr>
              <w:t>号</w:t>
            </w:r>
          </w:p>
        </w:tc>
      </w:tr>
    </w:tbl>
    <w:p>
      <w:pPr>
        <w:pStyle w:val="BodyText"/>
        <w:spacing w:line="240" w:lineRule="auto" w:before="64"/>
        <w:ind w:left="2290" w:right="2845"/>
        <w:jc w:val="center"/>
      </w:pPr>
      <w:r>
        <w:rPr/>
        <w:t>审计报告正文</w:t>
      </w:r>
    </w:p>
    <w:p>
      <w:pPr>
        <w:spacing w:line="240" w:lineRule="auto" w:before="1"/>
        <w:rPr>
          <w:rFonts w:ascii="宋体" w:hAnsi="宋体" w:cs="宋体" w:eastAsia="宋体" w:hint="default"/>
          <w:sz w:val="12"/>
          <w:szCs w:val="12"/>
        </w:rPr>
      </w:pPr>
    </w:p>
    <w:p>
      <w:pPr>
        <w:pStyle w:val="BodyText"/>
        <w:spacing w:line="408" w:lineRule="auto" w:before="36"/>
        <w:ind w:left="573" w:right="982"/>
        <w:jc w:val="left"/>
      </w:pPr>
      <w:r>
        <w:rPr/>
        <w:t>苏宁云商集团股份有限公司全体股东：</w:t>
      </w:r>
      <w:r>
        <w:rPr>
          <w:w w:val="100"/>
        </w:rPr>
        <w:t> </w:t>
      </w:r>
      <w:r>
        <w:rPr>
          <w:spacing w:val="-2"/>
        </w:rPr>
        <w:t>我们审计了后附的苏宁云商集团股份有限公司</w:t>
      </w:r>
      <w:r>
        <w:rPr>
          <w:rFonts w:ascii="宋体" w:hAnsi="宋体" w:cs="宋体" w:eastAsia="宋体" w:hint="default"/>
          <w:spacing w:val="-2"/>
        </w:rPr>
        <w:t>(</w:t>
      </w:r>
      <w:r>
        <w:rPr>
          <w:spacing w:val="-2"/>
        </w:rPr>
        <w:t>原“苏宁电器股份有限公司”，以下简称“贵公司”)</w:t>
      </w:r>
    </w:p>
    <w:p>
      <w:pPr>
        <w:pStyle w:val="BodyText"/>
        <w:spacing w:line="408" w:lineRule="auto"/>
        <w:ind w:right="982"/>
        <w:jc w:val="left"/>
      </w:pPr>
      <w:r>
        <w:rPr>
          <w:spacing w:val="-2"/>
        </w:rPr>
        <w:t>的财务报表，包括</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日的合并及公司资产负债表，</w:t>
      </w:r>
      <w:r>
        <w:rPr>
          <w:rFonts w:ascii="宋体" w:hAnsi="宋体" w:cs="宋体" w:eastAsia="宋体" w:hint="default"/>
          <w:spacing w:val="-2"/>
        </w:rPr>
        <w:t>2012</w:t>
      </w:r>
      <w:r>
        <w:rPr>
          <w:spacing w:val="-2"/>
        </w:rPr>
        <w:t>年度的合并及公司利润表、合并及公司</w:t>
      </w:r>
      <w:r>
        <w:rPr>
          <w:spacing w:val="-35"/>
        </w:rPr>
        <w:t> </w:t>
      </w:r>
      <w:r>
        <w:rPr>
          <w:spacing w:val="-35"/>
        </w:rPr>
      </w:r>
      <w:r>
        <w:rPr/>
        <w:t>现金流量表和合并及公司股东权益变动表以及财务报表附注。</w:t>
      </w:r>
    </w:p>
    <w:p>
      <w:pPr>
        <w:pStyle w:val="BodyText"/>
        <w:spacing w:line="408" w:lineRule="auto"/>
        <w:ind w:left="573" w:right="1633"/>
        <w:jc w:val="left"/>
      </w:pPr>
      <w:r>
        <w:rPr/>
        <w:t>一、管理层对财务报表的责任</w:t>
      </w:r>
      <w:r>
        <w:rPr>
          <w:w w:val="100"/>
        </w:rPr>
        <w:t> </w:t>
      </w:r>
      <w:r>
        <w:rPr/>
        <w:t>编制和公允列报财务报表是贵公司管理层的责任。这种责任包括：</w:t>
      </w:r>
      <w:r>
        <w:rPr>
          <w:w w:val="100"/>
        </w:rPr>
        <w:t> </w:t>
      </w:r>
      <w:r>
        <w:rPr>
          <w:rFonts w:ascii="宋体" w:hAnsi="宋体" w:cs="宋体" w:eastAsia="宋体" w:hint="default"/>
        </w:rPr>
        <w:t>(1)</w:t>
      </w:r>
      <w:r>
        <w:rPr/>
        <w:t>按照企业会计准则的规定编制财务报表，并使其实现公允反映；</w:t>
      </w:r>
      <w:r>
        <w:rPr>
          <w:w w:val="100"/>
        </w:rPr>
        <w:t> </w:t>
      </w:r>
      <w:r>
        <w:rPr>
          <w:rFonts w:ascii="宋体" w:hAnsi="宋体" w:cs="宋体" w:eastAsia="宋体" w:hint="default"/>
          <w:spacing w:val="-2"/>
        </w:rPr>
        <w:t>(2)</w:t>
      </w:r>
      <w:r>
        <w:rPr>
          <w:spacing w:val="-2"/>
        </w:rPr>
        <w:t>设计、执行和维护必要的内部控制，以使财务报表不存在由于舞弊或错误导致的重大错报。</w:t>
      </w:r>
      <w:r>
        <w:rPr>
          <w:spacing w:val="-26"/>
        </w:rPr>
        <w:t> </w:t>
      </w:r>
      <w:r>
        <w:rPr>
          <w:spacing w:val="-26"/>
        </w:rPr>
      </w:r>
      <w:r>
        <w:rPr/>
        <w:t>二、注册会计师的责任</w:t>
      </w:r>
    </w:p>
    <w:p>
      <w:pPr>
        <w:pStyle w:val="BodyText"/>
        <w:spacing w:line="408" w:lineRule="auto"/>
        <w:ind w:right="1126" w:firstLine="420"/>
        <w:jc w:val="both"/>
      </w:pPr>
      <w:r>
        <w:rPr>
          <w:spacing w:val="-2"/>
        </w:rPr>
        <w:t>我们的责任是在执行审计工作的基础上对财务报表发表审计意见。我们按照中国注册会计师审计准则</w:t>
      </w:r>
      <w:r>
        <w:rPr>
          <w:w w:val="100"/>
        </w:rPr>
        <w:t> </w:t>
      </w: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pStyle w:val="BodyText"/>
        <w:spacing w:line="408" w:lineRule="auto"/>
        <w:ind w:right="1126" w:firstLine="420"/>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会计师考虑与财务报表编制和公允列报相关的内部控制，以设计恰当的审计程序。审计工作还包括评价管</w:t>
      </w:r>
      <w:r>
        <w:rPr>
          <w:spacing w:val="-42"/>
        </w:rPr>
        <w:t> </w:t>
      </w:r>
      <w:r>
        <w:rPr>
          <w:spacing w:val="-42"/>
        </w:rPr>
      </w:r>
      <w:r>
        <w:rPr/>
        <w:t>理层选用会计政策的恰当性和作出会计估计的合理性，以及评价财务报表的总体列报。</w:t>
      </w:r>
    </w:p>
    <w:p>
      <w:pPr>
        <w:pStyle w:val="BodyText"/>
        <w:spacing w:line="408" w:lineRule="auto"/>
        <w:ind w:left="573" w:right="2273"/>
        <w:jc w:val="left"/>
      </w:pPr>
      <w:r>
        <w:rPr>
          <w:spacing w:val="-2"/>
        </w:rPr>
        <w:t>我们相信，我们获取的审计证据是充分、适当的，为发表审计意见提供了基础。</w:t>
      </w:r>
      <w:r>
        <w:rPr>
          <w:spacing w:val="-38"/>
        </w:rPr>
        <w:t> </w:t>
      </w:r>
      <w:r>
        <w:rPr>
          <w:spacing w:val="-38"/>
        </w:rPr>
      </w:r>
      <w:r>
        <w:rPr/>
        <w:t>三、审计意见</w:t>
      </w:r>
    </w:p>
    <w:p>
      <w:pPr>
        <w:pStyle w:val="BodyText"/>
        <w:spacing w:line="408" w:lineRule="auto"/>
        <w:ind w:right="1126" w:firstLine="420"/>
        <w:jc w:val="both"/>
      </w:pPr>
      <w:r>
        <w:rPr>
          <w:spacing w:val="-2"/>
        </w:rPr>
        <w:t>我们认为，上述贵公司的财务报表在所有重大方面按照企业会计准则的规定编制，公允反映了贵公司</w:t>
      </w:r>
      <w:r>
        <w:rPr>
          <w:w w:val="100"/>
        </w:rPr>
        <w:t> </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日的合并及公司财务状况以及</w:t>
      </w:r>
      <w:r>
        <w:rPr>
          <w:rFonts w:ascii="宋体" w:hAnsi="宋体" w:cs="宋体" w:eastAsia="宋体" w:hint="default"/>
        </w:rPr>
        <w:t>2012</w:t>
      </w:r>
      <w:r>
        <w:rPr/>
        <w:t>年度的合并及公司经营成果和现金流量。</w:t>
      </w:r>
    </w:p>
    <w:p>
      <w:pPr>
        <w:spacing w:after="0" w:line="408" w:lineRule="auto"/>
        <w:jc w:val="both"/>
        <w:sectPr>
          <w:pgSz w:w="11910" w:h="16840"/>
          <w:pgMar w:header="0" w:footer="1340" w:top="1100" w:bottom="1540" w:left="980" w:right="0"/>
        </w:sectPr>
      </w:pPr>
    </w:p>
    <w:p>
      <w:pPr>
        <w:pStyle w:val="Heading3"/>
        <w:spacing w:line="240" w:lineRule="auto" w:before="36"/>
        <w:ind w:left="921" w:right="1021"/>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w:t>
      </w:r>
      <w:r>
        <w:rPr>
          <w:rFonts w:ascii="黑体" w:hAnsi="黑体" w:cs="黑体" w:eastAsia="黑体" w:hint="default"/>
          <w:spacing w:val="-62"/>
        </w:rPr>
        <w:t> </w:t>
      </w:r>
      <w:r>
        <w:rPr>
          <w:rFonts w:ascii="Arial" w:hAnsi="Arial" w:cs="Arial" w:eastAsia="Arial" w:hint="default"/>
        </w:rPr>
        <w:t>12</w:t>
      </w:r>
      <w:r>
        <w:rPr>
          <w:rFonts w:ascii="Arial" w:hAnsi="Arial" w:cs="Arial" w:eastAsia="Arial" w:hint="default"/>
          <w:spacing w:val="-8"/>
        </w:rPr>
        <w:t> </w:t>
      </w:r>
      <w:r>
        <w:rPr>
          <w:rFonts w:ascii="黑体" w:hAnsi="黑体" w:cs="黑体" w:eastAsia="黑体" w:hint="default"/>
        </w:rPr>
        <w:t>月</w:t>
      </w:r>
      <w:r>
        <w:rPr>
          <w:rFonts w:ascii="黑体" w:hAnsi="黑体" w:cs="黑体" w:eastAsia="黑体" w:hint="default"/>
          <w:spacing w:val="-64"/>
        </w:rPr>
        <w:t> </w:t>
      </w:r>
      <w:r>
        <w:rPr>
          <w:rFonts w:ascii="Arial" w:hAnsi="Arial" w:cs="Arial" w:eastAsia="Arial" w:hint="default"/>
        </w:rPr>
        <w:t>31</w:t>
      </w:r>
      <w:r>
        <w:rPr>
          <w:rFonts w:ascii="Arial" w:hAnsi="Arial" w:cs="Arial" w:eastAsia="Arial" w:hint="default"/>
          <w:spacing w:val="-8"/>
        </w:rPr>
        <w:t> </w:t>
      </w:r>
      <w:r>
        <w:rPr>
          <w:rFonts w:ascii="黑体" w:hAnsi="黑体" w:cs="黑体" w:eastAsia="黑体" w:hint="default"/>
        </w:rPr>
        <w:t>日合并及公司资产负债表</w:t>
      </w:r>
    </w:p>
    <w:p>
      <w:pPr>
        <w:spacing w:before="27"/>
        <w:ind w:left="921" w:right="1021"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1666"/>
        <w:gridCol w:w="1280"/>
        <w:gridCol w:w="1728"/>
        <w:gridCol w:w="1728"/>
        <w:gridCol w:w="1729"/>
        <w:gridCol w:w="1726"/>
      </w:tblGrid>
      <w:tr>
        <w:trPr>
          <w:trHeight w:val="63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4"/>
                <w:szCs w:val="14"/>
              </w:rPr>
            </w:pPr>
          </w:p>
          <w:p>
            <w:pPr>
              <w:pStyle w:val="TableParagraph"/>
              <w:tabs>
                <w:tab w:pos="1056" w:val="left" w:leader="none"/>
              </w:tabs>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资</w:t>
              <w:tab/>
              <w:t>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280"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30,067,365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22,740,084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spacing w:val="-1"/>
                <w:sz w:val="18"/>
              </w:rPr>
              <w:t>22,239,390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15,885,801</w:t>
            </w:r>
          </w:p>
        </w:tc>
      </w:tr>
      <w:tr>
        <w:trPr>
          <w:trHeight w:val="32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w w:val="95"/>
                <w:sz w:val="18"/>
              </w:rPr>
              <w:t>2,987</w:t>
            </w:r>
            <w:r>
              <w:rPr>
                <w:rFonts w:ascii="Arial"/>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w w:val="95"/>
                <w:sz w:val="18"/>
              </w:rPr>
              <w:t>7,265</w:t>
            </w:r>
            <w:r>
              <w:rPr>
                <w:rFonts w:ascii="Arial"/>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2,987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7,265</w:t>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w:t>
            </w:r>
            <w:r>
              <w:rPr>
                <w:rFonts w:ascii="宋体" w:hAnsi="宋体" w:cs="宋体" w:eastAsia="宋体" w:hint="default"/>
                <w:sz w:val="18"/>
                <w:szCs w:val="18"/>
              </w:rPr>
              <w:t>、十五</w:t>
            </w:r>
            <w:r>
              <w:rPr>
                <w:rFonts w:ascii="宋体" w:hAnsi="宋体" w:cs="宋体" w:eastAsia="宋体" w:hint="default"/>
                <w:sz w:val="18"/>
                <w:szCs w:val="18"/>
              </w:rPr>
              <w:t>.1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1,270,502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1,841,778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spacing w:val="-1"/>
                <w:sz w:val="18"/>
              </w:rPr>
              <w:t>14,674,494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10,767,455</w:t>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3,104,874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2,334,507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spacing w:val="-1"/>
                <w:sz w:val="18"/>
              </w:rPr>
              <w:t>2,959,796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1,557,972</w:t>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87,729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74,821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Arial" w:hAnsi="Arial" w:cs="Arial" w:eastAsia="Arial" w:hint="default"/>
                <w:sz w:val="18"/>
                <w:szCs w:val="18"/>
              </w:rPr>
            </w:pPr>
            <w:r>
              <w:rPr>
                <w:rFonts w:ascii="Arial"/>
                <w:spacing w:val="-1"/>
                <w:sz w:val="18"/>
              </w:rPr>
              <w:t>62,609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59,271</w:t>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.5</w:t>
            </w:r>
            <w:r>
              <w:rPr>
                <w:rFonts w:ascii="宋体" w:hAnsi="宋体" w:cs="宋体" w:eastAsia="宋体" w:hint="default"/>
                <w:sz w:val="18"/>
                <w:szCs w:val="18"/>
              </w:rPr>
              <w:t>、十五</w:t>
            </w:r>
            <w:r>
              <w:rPr>
                <w:rFonts w:ascii="宋体" w:hAnsi="宋体" w:cs="宋体" w:eastAsia="宋体" w:hint="default"/>
                <w:sz w:val="18"/>
                <w:szCs w:val="18"/>
              </w:rPr>
              <w:t>.2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425,728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382,375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spacing w:val="-1"/>
                <w:sz w:val="18"/>
              </w:rPr>
              <w:t>122,224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2"/>
                <w:sz w:val="18"/>
              </w:rPr>
              <w:t>2,203,115</w:t>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17,222,484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13,426,741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Arial" w:hAnsi="Arial" w:cs="Arial" w:eastAsia="Arial" w:hint="default"/>
                <w:sz w:val="18"/>
                <w:szCs w:val="18"/>
              </w:rPr>
            </w:pPr>
            <w:r>
              <w:rPr>
                <w:rFonts w:ascii="Arial"/>
                <w:spacing w:val="-1"/>
                <w:sz w:val="18"/>
              </w:rPr>
              <w:t>12,066,926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10,005,021</w:t>
            </w:r>
          </w:p>
        </w:tc>
      </w:tr>
      <w:tr>
        <w:trPr>
          <w:trHeight w:val="32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1,245,460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1,309,062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20,676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31,063</w:t>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280"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53,427,129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2"/>
                <w:sz w:val="18"/>
              </w:rPr>
              <w:t>42,116,633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spacing w:val="-1"/>
                <w:sz w:val="18"/>
              </w:rPr>
              <w:t>52,149,102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40,516,963</w:t>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280"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十一</w:t>
            </w:r>
            <w:r>
              <w:rPr>
                <w:rFonts w:ascii="宋体" w:hAnsi="宋体" w:cs="宋体" w:eastAsia="宋体" w:hint="default"/>
                <w:sz w:val="18"/>
                <w:szCs w:val="18"/>
              </w:rPr>
              <w:t>.4(b)</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w w:val="95"/>
                <w:sz w:val="18"/>
              </w:rPr>
              <w:t>982</w:t>
            </w:r>
            <w:r>
              <w:rPr>
                <w:rFonts w:ascii="Arial"/>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w w:val="95"/>
                <w:sz w:val="18"/>
              </w:rPr>
              <w:t>1,764</w:t>
            </w:r>
            <w:r>
              <w:rPr>
                <w:rFonts w:ascii="Arial"/>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w w:val="99"/>
                <w:sz w:val="18"/>
              </w:rPr>
              <w:t>-</w:t>
            </w:r>
            <w:r>
              <w:rPr>
                <w:rFonts w:ascii="Arial"/>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499,675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476,564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spacing w:val="-1"/>
                <w:sz w:val="18"/>
              </w:rPr>
              <w:t>922,661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32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.9</w:t>
            </w:r>
            <w:r>
              <w:rPr>
                <w:rFonts w:ascii="宋体" w:hAnsi="宋体" w:cs="宋体" w:eastAsia="宋体" w:hint="default"/>
                <w:sz w:val="18"/>
                <w:szCs w:val="18"/>
              </w:rPr>
              <w:t>、十五</w:t>
            </w:r>
            <w:r>
              <w:rPr>
                <w:rFonts w:ascii="宋体" w:hAnsi="宋体" w:cs="宋体" w:eastAsia="宋体" w:hint="default"/>
                <w:sz w:val="18"/>
                <w:szCs w:val="18"/>
              </w:rPr>
              <w:t>.3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574,279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554,793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Arial" w:hAnsi="Arial" w:cs="Arial" w:eastAsia="Arial" w:hint="default"/>
                <w:sz w:val="18"/>
                <w:szCs w:val="18"/>
              </w:rPr>
            </w:pPr>
            <w:r>
              <w:rPr>
                <w:rFonts w:ascii="Arial"/>
                <w:spacing w:val="-1"/>
                <w:sz w:val="18"/>
              </w:rPr>
              <w:t>12,313,598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8,720,525</w:t>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.11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1,270,242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684,420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spacing w:val="-1"/>
                <w:sz w:val="18"/>
              </w:rPr>
              <w:t>389,428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.12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8,579,277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7,347,467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spacing w:val="-2"/>
                <w:sz w:val="18"/>
              </w:rPr>
              <w:t>2,715,611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2,544,958</w:t>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.13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2,478,083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1,251,501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Arial" w:hAnsi="Arial" w:cs="Arial" w:eastAsia="Arial" w:hint="default"/>
                <w:sz w:val="18"/>
                <w:szCs w:val="18"/>
              </w:rPr>
            </w:pPr>
            <w:r>
              <w:rPr>
                <w:rFonts w:ascii="Arial"/>
                <w:spacing w:val="-1"/>
                <w:sz w:val="18"/>
              </w:rPr>
              <w:t>99,667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290,359</w:t>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5"/>
                <w:sz w:val="18"/>
              </w:rPr>
              <w:t>7,772</w:t>
            </w:r>
            <w:r>
              <w:rPr>
                <w:rFonts w:ascii="Arial"/>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5"/>
                <w:sz w:val="18"/>
              </w:rPr>
              <w:t>2,002</w:t>
            </w:r>
            <w:r>
              <w:rPr>
                <w:rFonts w:ascii="Arial"/>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w:t>
            </w:r>
            <w:r>
              <w:rPr>
                <w:rFonts w:ascii="Arial"/>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5"/>
                <w:sz w:val="18"/>
              </w:rPr>
              <w:t>65</w:t>
            </w:r>
            <w:r>
              <w:rPr>
                <w:rFonts w:ascii="Arial"/>
                <w:sz w:val="18"/>
              </w:rPr>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.14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6,039,735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4,368,264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spacing w:val="-1"/>
                <w:sz w:val="18"/>
              </w:rPr>
              <w:t>540,791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436,977</w:t>
            </w:r>
          </w:p>
        </w:tc>
      </w:tr>
      <w:tr>
        <w:trPr>
          <w:trHeight w:val="32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.14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42,297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93,898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20,551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75,713</w:t>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.15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185,094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226,623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w w:val="99"/>
                <w:sz w:val="18"/>
              </w:rPr>
              <w:t>-</w:t>
            </w:r>
            <w:r>
              <w:rPr>
                <w:rFonts w:ascii="Arial"/>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.16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839,352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841,692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spacing w:val="-1"/>
                <w:sz w:val="18"/>
              </w:rPr>
              <w:t>247,838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226,981</w:t>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.18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756,221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512,150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Arial" w:hAnsi="Arial" w:cs="Arial" w:eastAsia="Arial" w:hint="default"/>
                <w:sz w:val="18"/>
                <w:szCs w:val="18"/>
              </w:rPr>
            </w:pPr>
            <w:r>
              <w:rPr>
                <w:rFonts w:ascii="Arial"/>
                <w:spacing w:val="-1"/>
                <w:sz w:val="18"/>
              </w:rPr>
              <w:t>35,632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46,232</w:t>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.17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1,461,363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1,308,702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Arial" w:hAnsi="Arial" w:cs="Arial" w:eastAsia="Arial" w:hint="default"/>
                <w:sz w:val="18"/>
                <w:szCs w:val="18"/>
              </w:rPr>
            </w:pPr>
            <w:r>
              <w:rPr>
                <w:rFonts w:ascii="Arial"/>
                <w:spacing w:val="-1"/>
                <w:sz w:val="18"/>
              </w:rPr>
              <w:t>92,426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280"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22,734,372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17,669,840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spacing w:val="-1"/>
                <w:sz w:val="18"/>
              </w:rPr>
              <w:t>17,378,203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12,341,810</w:t>
            </w:r>
          </w:p>
        </w:tc>
      </w:tr>
      <w:tr>
        <w:trPr>
          <w:trHeight w:val="324" w:hRule="exact"/>
        </w:trPr>
        <w:tc>
          <w:tcPr>
            <w:tcW w:w="166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280"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76,161,501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59,786,473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spacing w:val="-1"/>
                <w:sz w:val="18"/>
              </w:rPr>
              <w:t>69,527,305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52,858,773</w:t>
            </w:r>
          </w:p>
        </w:tc>
      </w:tr>
    </w:tbl>
    <w:p>
      <w:pPr>
        <w:spacing w:after="0" w:line="240" w:lineRule="auto"/>
        <w:jc w:val="right"/>
        <w:rPr>
          <w:rFonts w:ascii="Arial" w:hAnsi="Arial" w:cs="Arial" w:eastAsia="Arial" w:hint="default"/>
          <w:sz w:val="18"/>
          <w:szCs w:val="18"/>
        </w:rPr>
        <w:sectPr>
          <w:headerReference w:type="default" r:id="rId49"/>
          <w:pgSz w:w="11910" w:h="16840"/>
          <w:pgMar w:header="927" w:footer="1340" w:top="1160" w:bottom="1540" w:left="920" w:right="0"/>
        </w:sectPr>
      </w:pPr>
    </w:p>
    <w:p>
      <w:pPr>
        <w:pStyle w:val="Heading3"/>
        <w:spacing w:line="240" w:lineRule="auto" w:before="36"/>
        <w:ind w:left="921" w:right="1021"/>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w:t>
      </w:r>
      <w:r>
        <w:rPr>
          <w:rFonts w:ascii="黑体" w:hAnsi="黑体" w:cs="黑体" w:eastAsia="黑体" w:hint="default"/>
          <w:spacing w:val="-62"/>
        </w:rPr>
        <w:t> </w:t>
      </w:r>
      <w:r>
        <w:rPr>
          <w:rFonts w:ascii="Arial" w:hAnsi="Arial" w:cs="Arial" w:eastAsia="Arial" w:hint="default"/>
        </w:rPr>
        <w:t>12</w:t>
      </w:r>
      <w:r>
        <w:rPr>
          <w:rFonts w:ascii="Arial" w:hAnsi="Arial" w:cs="Arial" w:eastAsia="Arial" w:hint="default"/>
          <w:spacing w:val="-8"/>
        </w:rPr>
        <w:t> </w:t>
      </w:r>
      <w:r>
        <w:rPr>
          <w:rFonts w:ascii="黑体" w:hAnsi="黑体" w:cs="黑体" w:eastAsia="黑体" w:hint="default"/>
        </w:rPr>
        <w:t>月</w:t>
      </w:r>
      <w:r>
        <w:rPr>
          <w:rFonts w:ascii="黑体" w:hAnsi="黑体" w:cs="黑体" w:eastAsia="黑体" w:hint="default"/>
          <w:spacing w:val="-64"/>
        </w:rPr>
        <w:t> </w:t>
      </w:r>
      <w:r>
        <w:rPr>
          <w:rFonts w:ascii="Arial" w:hAnsi="Arial" w:cs="Arial" w:eastAsia="Arial" w:hint="default"/>
        </w:rPr>
        <w:t>31</w:t>
      </w:r>
      <w:r>
        <w:rPr>
          <w:rFonts w:ascii="Arial" w:hAnsi="Arial" w:cs="Arial" w:eastAsia="Arial" w:hint="default"/>
          <w:spacing w:val="-8"/>
        </w:rPr>
        <w:t> </w:t>
      </w:r>
      <w:r>
        <w:rPr>
          <w:rFonts w:ascii="黑体" w:hAnsi="黑体" w:cs="黑体" w:eastAsia="黑体" w:hint="default"/>
        </w:rPr>
        <w:t>日合并及公司资产负债表（续）</w:t>
      </w:r>
    </w:p>
    <w:p>
      <w:pPr>
        <w:spacing w:before="27"/>
        <w:ind w:left="921" w:right="1021"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2093"/>
        <w:gridCol w:w="711"/>
        <w:gridCol w:w="1764"/>
        <w:gridCol w:w="1764"/>
        <w:gridCol w:w="1765"/>
        <w:gridCol w:w="1759"/>
      </w:tblGrid>
      <w:tr>
        <w:trPr>
          <w:trHeight w:val="63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负 债 及 股 东 权 益</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12</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31</w:t>
            </w:r>
            <w:r>
              <w:rPr>
                <w:rFonts w:ascii="Arial" w:hAnsi="Arial" w:cs="Arial" w:eastAsia="Arial" w:hint="default"/>
                <w:spacing w:val="-10"/>
                <w:sz w:val="18"/>
                <w:szCs w:val="18"/>
              </w:rPr>
              <w:t> </w:t>
            </w:r>
            <w:r>
              <w:rPr>
                <w:rFonts w:ascii="宋体" w:hAnsi="宋体" w:cs="宋体" w:eastAsia="宋体" w:hint="default"/>
                <w:sz w:val="18"/>
                <w:szCs w:val="18"/>
              </w:rPr>
              <w:t>日</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12</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31</w:t>
            </w:r>
            <w:r>
              <w:rPr>
                <w:rFonts w:ascii="Arial" w:hAnsi="Arial" w:cs="Arial" w:eastAsia="Arial" w:hint="default"/>
                <w:spacing w:val="-9"/>
                <w:sz w:val="18"/>
                <w:szCs w:val="18"/>
              </w:rPr>
              <w:t> </w:t>
            </w:r>
            <w:r>
              <w:rPr>
                <w:rFonts w:ascii="宋体" w:hAnsi="宋体" w:cs="宋体" w:eastAsia="宋体" w:hint="default"/>
                <w:sz w:val="18"/>
                <w:szCs w:val="18"/>
              </w:rPr>
              <w:t>日</w:t>
            </w:r>
          </w:p>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公司</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黑体" w:hAnsi="黑体" w:cs="黑体" w:eastAsia="黑体" w:hint="default"/>
                <w:b/>
                <w:bCs/>
                <w:sz w:val="18"/>
                <w:szCs w:val="18"/>
              </w:rPr>
              <w:t>流动负债</w:t>
            </w:r>
            <w:r>
              <w:rPr>
                <w:rFonts w:ascii="黑体" w:hAnsi="黑体" w:cs="黑体" w:eastAsia="黑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1,752,492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1,665,686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625,000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772,686</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24,229,852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20,617,593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16,349,378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16,334,152</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10,457,733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8,525,857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spacing w:val="-1"/>
                <w:sz w:val="18"/>
              </w:rPr>
              <w:t>6,953,017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6,240,028</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542,171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350,051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19,101,379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2"/>
                <w:sz w:val="18"/>
              </w:rPr>
              <w:t>11,879,395</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258,838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273,558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31,376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spacing w:val="-1"/>
                <w:sz w:val="18"/>
              </w:rPr>
              <w:t>41,151</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123,312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790,756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w w:val="95"/>
                <w:sz w:val="18"/>
              </w:rPr>
              <w:t>8,086</w:t>
            </w:r>
            <w:r>
              <w:rPr>
                <w:rFonts w:ascii="Arial"/>
                <w:sz w:val="18"/>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323,986</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13,810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5"/>
                <w:sz w:val="18"/>
              </w:rPr>
              <w:t>5,305</w:t>
            </w:r>
            <w:r>
              <w:rPr>
                <w:rFonts w:ascii="Arial"/>
                <w:sz w:val="18"/>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sz w:val="18"/>
              </w:rPr>
              <w:t>10,880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6"/>
                <w:sz w:val="18"/>
              </w:rPr>
              <w:t>3,111</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3,346,992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2,743,925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720,894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1,142,037</w:t>
            </w:r>
          </w:p>
        </w:tc>
      </w:tr>
      <w:tr>
        <w:trPr>
          <w:trHeight w:val="63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7"/>
                <w:sz w:val="18"/>
                <w:szCs w:val="18"/>
              </w:rPr>
              <w:t>一年内到期的非流动负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101"/>
              <w:jc w:val="right"/>
              <w:rPr>
                <w:rFonts w:ascii="Arial" w:hAnsi="Arial" w:cs="Arial" w:eastAsia="Arial" w:hint="default"/>
                <w:sz w:val="18"/>
                <w:szCs w:val="18"/>
              </w:rPr>
            </w:pPr>
            <w:r>
              <w:rPr>
                <w:rFonts w:ascii="Arial"/>
                <w:spacing w:val="-1"/>
                <w:sz w:val="18"/>
              </w:rPr>
              <w:t>44,868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100"/>
              <w:jc w:val="right"/>
              <w:rPr>
                <w:rFonts w:ascii="Arial" w:hAnsi="Arial" w:cs="Arial" w:eastAsia="Arial" w:hint="default"/>
                <w:sz w:val="18"/>
                <w:szCs w:val="18"/>
              </w:rPr>
            </w:pPr>
            <w:r>
              <w:rPr>
                <w:rFonts w:ascii="Arial"/>
                <w:spacing w:val="-1"/>
                <w:sz w:val="18"/>
              </w:rPr>
              <w:t>120,029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100"/>
              <w:jc w:val="right"/>
              <w:rPr>
                <w:rFonts w:ascii="Arial" w:hAnsi="Arial" w:cs="Arial" w:eastAsia="Arial" w:hint="default"/>
                <w:sz w:val="18"/>
                <w:szCs w:val="18"/>
              </w:rPr>
            </w:pPr>
            <w:r>
              <w:rPr>
                <w:rFonts w:ascii="Arial"/>
                <w:w w:val="95"/>
                <w:sz w:val="18"/>
              </w:rPr>
              <w:t>7,505</w:t>
            </w:r>
            <w:r>
              <w:rPr>
                <w:rFonts w:ascii="Arial"/>
                <w:sz w:val="18"/>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102"/>
              <w:jc w:val="right"/>
              <w:rPr>
                <w:rFonts w:ascii="Arial" w:hAnsi="Arial" w:cs="Arial" w:eastAsia="Arial" w:hint="default"/>
                <w:sz w:val="18"/>
                <w:szCs w:val="18"/>
              </w:rPr>
            </w:pPr>
            <w:r>
              <w:rPr>
                <w:rFonts w:ascii="Arial"/>
                <w:spacing w:val="-1"/>
                <w:sz w:val="18"/>
              </w:rPr>
              <w:t>25,622</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475,188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545,502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14,864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18,590</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黑体" w:hAnsi="黑体" w:cs="黑体" w:eastAsia="黑体" w:hint="default"/>
                <w:b/>
                <w:bCs/>
                <w:sz w:val="18"/>
                <w:szCs w:val="18"/>
              </w:rPr>
              <w:t>流动负债合计</w:t>
            </w:r>
            <w:r>
              <w:rPr>
                <w:rFonts w:ascii="黑体" w:hAnsi="黑体" w:cs="黑体" w:eastAsia="黑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41,245,256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35,638,262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43,822,379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spacing w:val="-1"/>
                <w:sz w:val="18"/>
              </w:rPr>
              <w:t>36,780,758</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黑体" w:hAnsi="黑体" w:cs="黑体" w:eastAsia="黑体" w:hint="default"/>
                <w:b/>
                <w:bCs/>
                <w:sz w:val="18"/>
                <w:szCs w:val="18"/>
              </w:rPr>
              <w:t>非流动负债</w:t>
            </w:r>
            <w:r>
              <w:rPr>
                <w:rFonts w:ascii="黑体" w:hAnsi="黑体" w:cs="黑体" w:eastAsia="黑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4,465,405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4,465,405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spacing w:val="-1"/>
                <w:sz w:val="18"/>
              </w:rPr>
              <w:t>62,915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101,135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w w:val="99"/>
                <w:sz w:val="18"/>
              </w:rPr>
              <w:t>-</w:t>
            </w:r>
            <w:r>
              <w:rPr>
                <w:rFonts w:ascii="Arial"/>
                <w:sz w:val="18"/>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163,175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183,239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w w:val="99"/>
                <w:sz w:val="18"/>
              </w:rPr>
              <w:t>-</w:t>
            </w:r>
            <w:r>
              <w:rPr>
                <w:rFonts w:ascii="Arial"/>
                <w:sz w:val="18"/>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2"/>
                <w:sz w:val="18"/>
              </w:rPr>
              <w:t>1,113,215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sz w:val="18"/>
              </w:rPr>
              <w:t>833,299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sz w:val="18"/>
              </w:rPr>
              <w:t>817,690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672,756</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黑体" w:hAnsi="黑体" w:cs="黑体" w:eastAsia="黑体" w:hint="default"/>
                <w:sz w:val="18"/>
                <w:szCs w:val="18"/>
              </w:rPr>
              <w:t>非流动负债合计</w:t>
            </w:r>
          </w:p>
        </w:tc>
        <w:tc>
          <w:tcPr>
            <w:tcW w:w="711"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5,804,710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2"/>
                <w:sz w:val="18"/>
              </w:rPr>
              <w:t>1,117,673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spacing w:val="-1"/>
                <w:sz w:val="18"/>
              </w:rPr>
              <w:t>5,283,095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672,756</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黑体" w:hAnsi="黑体" w:cs="黑体" w:eastAsia="黑体" w:hint="default"/>
                <w:sz w:val="18"/>
                <w:szCs w:val="18"/>
              </w:rPr>
            </w:pPr>
            <w:r>
              <w:rPr>
                <w:rFonts w:ascii="黑体" w:hAnsi="黑体" w:cs="黑体" w:eastAsia="黑体" w:hint="default"/>
                <w:b/>
                <w:bCs/>
                <w:sz w:val="18"/>
                <w:szCs w:val="18"/>
              </w:rPr>
              <w:t>负债合计</w:t>
            </w:r>
            <w:r>
              <w:rPr>
                <w:rFonts w:ascii="黑体" w:hAnsi="黑体" w:cs="黑体" w:eastAsia="黑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47,049,966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36,755,935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49,105,474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37,453,514</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黑体" w:hAnsi="黑体" w:cs="黑体" w:eastAsia="黑体" w:hint="default"/>
                <w:b/>
                <w:bCs/>
                <w:sz w:val="18"/>
                <w:szCs w:val="18"/>
              </w:rPr>
              <w:t>股东权益</w:t>
            </w:r>
            <w:r>
              <w:rPr>
                <w:rFonts w:ascii="黑体" w:hAnsi="黑体" w:cs="黑体" w:eastAsia="黑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7,383,043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6,996,212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spacing w:val="-1"/>
                <w:sz w:val="18"/>
              </w:rPr>
              <w:t>7,383,043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6,996,212</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4,679,471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517,074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spacing w:val="-1"/>
                <w:sz w:val="18"/>
              </w:rPr>
              <w:t>5,065,208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18"/>
                <w:szCs w:val="18"/>
              </w:rPr>
            </w:pPr>
            <w:r>
              <w:rPr>
                <w:rFonts w:ascii="Arial"/>
                <w:spacing w:val="-1"/>
                <w:sz w:val="18"/>
              </w:rPr>
              <w:t>863,397</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1,154,866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1,007,130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spacing w:val="-1"/>
                <w:sz w:val="18"/>
              </w:rPr>
              <w:t>1,154,866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1,007,130</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15,272,189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13,793,238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6,818,714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6,538,520</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711"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Arial" w:hAnsi="Arial" w:cs="Arial" w:eastAsia="Arial" w:hint="default"/>
                <w:sz w:val="18"/>
                <w:szCs w:val="18"/>
              </w:rPr>
            </w:pPr>
            <w:r>
              <w:rPr>
                <w:rFonts w:ascii="Arial"/>
                <w:spacing w:val="-1"/>
                <w:sz w:val="18"/>
              </w:rPr>
              <w:t>(30,439)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spacing w:val="-1"/>
                <w:sz w:val="18"/>
              </w:rPr>
              <w:t>14,680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w w:val="99"/>
                <w:sz w:val="18"/>
              </w:rPr>
              <w:t>-</w:t>
            </w:r>
            <w:r>
              <w:rPr>
                <w:rFonts w:ascii="Arial"/>
                <w:sz w:val="18"/>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63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黑体" w:hAnsi="黑体" w:cs="黑体" w:eastAsia="黑体" w:hint="default"/>
                <w:sz w:val="18"/>
                <w:szCs w:val="18"/>
              </w:rPr>
            </w:pPr>
            <w:r>
              <w:rPr>
                <w:rFonts w:ascii="黑体" w:hAnsi="黑体" w:cs="黑体" w:eastAsia="黑体" w:hint="default"/>
                <w:spacing w:val="7"/>
                <w:sz w:val="18"/>
                <w:szCs w:val="18"/>
              </w:rPr>
              <w:t>归属于母公司股东权益</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z w:val="18"/>
                <w:szCs w:val="18"/>
              </w:rPr>
              <w:t>合计</w:t>
            </w:r>
          </w:p>
        </w:tc>
        <w:tc>
          <w:tcPr>
            <w:tcW w:w="711"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5"/>
              <w:ind w:right="100"/>
              <w:jc w:val="right"/>
              <w:rPr>
                <w:rFonts w:ascii="Arial" w:hAnsi="Arial" w:cs="Arial" w:eastAsia="Arial" w:hint="default"/>
                <w:sz w:val="18"/>
                <w:szCs w:val="18"/>
              </w:rPr>
            </w:pPr>
            <w:r>
              <w:rPr>
                <w:rFonts w:ascii="Arial"/>
                <w:spacing w:val="-1"/>
                <w:sz w:val="18"/>
              </w:rPr>
              <w:t>28,459,130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5"/>
              <w:ind w:right="100"/>
              <w:jc w:val="right"/>
              <w:rPr>
                <w:rFonts w:ascii="Arial" w:hAnsi="Arial" w:cs="Arial" w:eastAsia="Arial" w:hint="default"/>
                <w:sz w:val="18"/>
                <w:szCs w:val="18"/>
              </w:rPr>
            </w:pPr>
            <w:r>
              <w:rPr>
                <w:rFonts w:ascii="Arial"/>
                <w:spacing w:val="-1"/>
                <w:sz w:val="18"/>
              </w:rPr>
              <w:t>22,328,334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5"/>
              <w:ind w:right="100"/>
              <w:jc w:val="right"/>
              <w:rPr>
                <w:rFonts w:ascii="Arial" w:hAnsi="Arial" w:cs="Arial" w:eastAsia="Arial" w:hint="default"/>
                <w:sz w:val="18"/>
                <w:szCs w:val="18"/>
              </w:rPr>
            </w:pPr>
            <w:r>
              <w:rPr>
                <w:rFonts w:ascii="Arial"/>
                <w:spacing w:val="-1"/>
                <w:sz w:val="18"/>
              </w:rPr>
              <w:t>20,421,831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5"/>
              <w:ind w:right="101"/>
              <w:jc w:val="right"/>
              <w:rPr>
                <w:rFonts w:ascii="Arial" w:hAnsi="Arial" w:cs="Arial" w:eastAsia="Arial" w:hint="default"/>
                <w:sz w:val="18"/>
                <w:szCs w:val="18"/>
              </w:rPr>
            </w:pPr>
            <w:r>
              <w:rPr>
                <w:rFonts w:ascii="Arial"/>
                <w:spacing w:val="-1"/>
                <w:sz w:val="18"/>
              </w:rPr>
              <w:t>15,405,259</w:t>
            </w:r>
            <w:r>
              <w:rPr>
                <w:rFonts w:ascii="Arial"/>
                <w:sz w:val="18"/>
              </w:rPr>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黑体" w:hAnsi="黑体" w:cs="黑体" w:eastAsia="黑体" w:hint="default"/>
                <w:sz w:val="18"/>
                <w:szCs w:val="18"/>
              </w:rPr>
              <w:t>少数股东权益</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652,405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702,204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w w:val="99"/>
                <w:sz w:val="18"/>
              </w:rPr>
              <w:t>-</w:t>
            </w:r>
            <w:r>
              <w:rPr>
                <w:rFonts w:ascii="Arial"/>
                <w:sz w:val="18"/>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黑体" w:hAnsi="黑体" w:cs="黑体" w:eastAsia="黑体" w:hint="default"/>
                <w:b/>
                <w:bCs/>
                <w:sz w:val="18"/>
                <w:szCs w:val="18"/>
              </w:rPr>
              <w:t>股东权益合计</w:t>
            </w:r>
            <w:r>
              <w:rPr>
                <w:rFonts w:ascii="黑体" w:hAnsi="黑体" w:cs="黑体" w:eastAsia="黑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3"/>
                <w:w w:val="95"/>
                <w:sz w:val="18"/>
              </w:rPr>
              <w:t>29,111,535</w:t>
            </w:r>
            <w:r>
              <w:rPr>
                <w:rFonts w:ascii="Arial"/>
                <w:spacing w:val="-3"/>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23,030,538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20,421,831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spacing w:val="-1"/>
                <w:sz w:val="18"/>
              </w:rPr>
              <w:t>15,405,259</w:t>
            </w:r>
            <w:r>
              <w:rPr>
                <w:rFonts w:ascii="Arial"/>
                <w:sz w:val="18"/>
              </w:rPr>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黑体" w:hAnsi="黑体" w:cs="黑体" w:eastAsia="黑体" w:hint="default"/>
                <w:sz w:val="18"/>
                <w:szCs w:val="18"/>
              </w:rPr>
            </w:pPr>
            <w:r>
              <w:rPr>
                <w:rFonts w:ascii="黑体" w:hAnsi="黑体" w:cs="黑体" w:eastAsia="黑体" w:hint="default"/>
                <w:b/>
                <w:bCs/>
                <w:sz w:val="18"/>
                <w:szCs w:val="18"/>
              </w:rPr>
              <w:t>负债及股东权益总计</w:t>
            </w:r>
            <w:r>
              <w:rPr>
                <w:rFonts w:ascii="黑体" w:hAnsi="黑体" w:cs="黑体" w:eastAsia="黑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76,161,501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59,786,473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69,527,305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52,858,773</w:t>
            </w:r>
          </w:p>
        </w:tc>
      </w:tr>
    </w:tbl>
    <w:p>
      <w:pPr>
        <w:spacing w:before="49"/>
        <w:ind w:left="212" w:right="1021"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458" w:val="left" w:leader="none"/>
          <w:tab w:pos="7150" w:val="left" w:leader="none"/>
        </w:tabs>
        <w:spacing w:before="114"/>
        <w:ind w:left="212" w:right="1021" w:firstLine="0"/>
        <w:jc w:val="left"/>
        <w:rPr>
          <w:rFonts w:ascii="宋体" w:hAnsi="宋体" w:cs="宋体" w:eastAsia="宋体" w:hint="default"/>
          <w:sz w:val="18"/>
          <w:szCs w:val="18"/>
        </w:rPr>
      </w:pPr>
      <w:r>
        <w:rPr>
          <w:rFonts w:ascii="宋体" w:hAnsi="宋体" w:cs="宋体" w:eastAsia="宋体" w:hint="default"/>
          <w:sz w:val="18"/>
          <w:szCs w:val="18"/>
        </w:rPr>
        <w:t>企业负责人：</w:t>
      </w:r>
      <w:r>
        <w:rPr>
          <w:rFonts w:ascii="宋体" w:hAnsi="宋体" w:cs="宋体" w:eastAsia="宋体" w:hint="default"/>
          <w:spacing w:val="1"/>
          <w:sz w:val="18"/>
          <w:szCs w:val="18"/>
        </w:rPr>
        <w:t> </w:t>
      </w:r>
      <w:r>
        <w:rPr>
          <w:rFonts w:ascii="宋体" w:hAnsi="宋体" w:cs="宋体" w:eastAsia="宋体" w:hint="default"/>
          <w:sz w:val="18"/>
          <w:szCs w:val="18"/>
        </w:rPr>
        <w:t>张近东</w:t>
        <w:tab/>
        <w:t>主管会计工作的负责人：</w:t>
      </w:r>
      <w:r>
        <w:rPr>
          <w:rFonts w:ascii="宋体" w:hAnsi="宋体" w:cs="宋体" w:eastAsia="宋体" w:hint="default"/>
          <w:spacing w:val="-2"/>
          <w:sz w:val="18"/>
          <w:szCs w:val="18"/>
        </w:rPr>
        <w:t> </w:t>
      </w:r>
      <w:r>
        <w:rPr>
          <w:rFonts w:ascii="宋体" w:hAnsi="宋体" w:cs="宋体" w:eastAsia="宋体" w:hint="default"/>
          <w:sz w:val="18"/>
          <w:szCs w:val="18"/>
        </w:rPr>
        <w:t>朱华</w:t>
        <w:tab/>
        <w:t>会计机构负责人：肖忠祥</w:t>
      </w:r>
    </w:p>
    <w:p>
      <w:pPr>
        <w:spacing w:after="0"/>
        <w:jc w:val="left"/>
        <w:rPr>
          <w:rFonts w:ascii="宋体" w:hAnsi="宋体" w:cs="宋体" w:eastAsia="宋体" w:hint="default"/>
          <w:sz w:val="18"/>
          <w:szCs w:val="18"/>
        </w:rPr>
        <w:sectPr>
          <w:pgSz w:w="11910" w:h="16840"/>
          <w:pgMar w:header="927" w:footer="1340" w:top="1160" w:bottom="1540" w:left="920" w:right="0"/>
        </w:sectPr>
      </w:pPr>
    </w:p>
    <w:p>
      <w:pPr>
        <w:pStyle w:val="Heading3"/>
        <w:spacing w:line="240" w:lineRule="auto" w:before="36"/>
        <w:ind w:left="921" w:right="1021"/>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9"/>
        </w:rPr>
        <w:t> </w:t>
      </w:r>
      <w:r>
        <w:rPr>
          <w:rFonts w:ascii="黑体" w:hAnsi="黑体" w:cs="黑体" w:eastAsia="黑体" w:hint="default"/>
        </w:rPr>
        <w:t>年度合并及公司利润表</w:t>
      </w:r>
    </w:p>
    <w:p>
      <w:pPr>
        <w:spacing w:before="27"/>
        <w:ind w:left="921" w:right="1021"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2943"/>
        <w:gridCol w:w="1277"/>
        <w:gridCol w:w="1409"/>
        <w:gridCol w:w="1409"/>
        <w:gridCol w:w="1409"/>
        <w:gridCol w:w="1409"/>
      </w:tblGrid>
      <w:tr>
        <w:trPr>
          <w:trHeight w:val="63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4"/>
                <w:szCs w:val="14"/>
              </w:rPr>
            </w:pPr>
          </w:p>
          <w:p>
            <w:pPr>
              <w:pStyle w:val="TableParagraph"/>
              <w:tabs>
                <w:tab w:pos="1829" w:val="left" w:leader="none"/>
              </w:tabs>
              <w:spacing w:line="240" w:lineRule="auto"/>
              <w:ind w:left="92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8"/>
              <w:ind w:left="518" w:right="293" w:hanging="224"/>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年度 合并</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8"/>
              <w:ind w:left="518" w:right="300" w:hanging="216"/>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年度 合并</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8"/>
              <w:ind w:left="518" w:right="293" w:hanging="224"/>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年度 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8"/>
              <w:ind w:left="518" w:right="300" w:hanging="216"/>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年度 公司</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黑体" w:hAnsi="黑体" w:cs="黑体" w:eastAsia="黑体" w:hint="default"/>
                <w:b/>
                <w:bCs/>
                <w:sz w:val="18"/>
                <w:szCs w:val="18"/>
              </w:rPr>
              <w:t>一、营业收入</w:t>
            </w:r>
            <w:r>
              <w:rPr>
                <w:rFonts w:ascii="黑体" w:hAnsi="黑体" w:cs="黑体" w:eastAsia="黑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Arial" w:hAnsi="Arial" w:cs="Arial" w:eastAsia="Arial" w:hint="default"/>
                <w:sz w:val="18"/>
                <w:szCs w:val="18"/>
              </w:rPr>
            </w:pPr>
            <w:r>
              <w:rPr>
                <w:rFonts w:ascii="宋体" w:hAnsi="宋体" w:cs="宋体" w:eastAsia="宋体" w:hint="default"/>
                <w:spacing w:val="-7"/>
                <w:sz w:val="18"/>
                <w:szCs w:val="18"/>
              </w:rPr>
              <w:t>五</w:t>
            </w:r>
            <w:r>
              <w:rPr>
                <w:rFonts w:ascii="Arial" w:hAnsi="Arial" w:cs="Arial" w:eastAsia="Arial" w:hint="default"/>
                <w:spacing w:val="-7"/>
                <w:sz w:val="18"/>
                <w:szCs w:val="18"/>
              </w:rPr>
              <w:t>.38</w:t>
            </w:r>
            <w:r>
              <w:rPr>
                <w:rFonts w:ascii="宋体" w:hAnsi="宋体" w:cs="宋体" w:eastAsia="宋体" w:hint="default"/>
                <w:spacing w:val="-7"/>
                <w:sz w:val="18"/>
                <w:szCs w:val="18"/>
              </w:rPr>
              <w:t>、十五</w:t>
            </w:r>
            <w:r>
              <w:rPr>
                <w:rFonts w:ascii="Arial" w:hAnsi="Arial" w:cs="Arial" w:eastAsia="Arial" w:hint="default"/>
                <w:spacing w:val="-7"/>
                <w:sz w:val="18"/>
                <w:szCs w:val="18"/>
              </w:rPr>
              <w:t>.4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Arial" w:hAnsi="Arial" w:cs="Arial" w:eastAsia="Arial" w:hint="default"/>
                <w:sz w:val="18"/>
                <w:szCs w:val="18"/>
              </w:rPr>
            </w:pPr>
            <w:r>
              <w:rPr>
                <w:rFonts w:ascii="Arial"/>
                <w:spacing w:val="-1"/>
                <w:sz w:val="18"/>
              </w:rPr>
              <w:t>98,357,161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Arial" w:hAnsi="Arial" w:cs="Arial" w:eastAsia="Arial" w:hint="default"/>
                <w:sz w:val="18"/>
                <w:szCs w:val="18"/>
              </w:rPr>
            </w:pPr>
            <w:r>
              <w:rPr>
                <w:rFonts w:ascii="Arial"/>
                <w:spacing w:val="-1"/>
                <w:sz w:val="18"/>
              </w:rPr>
              <w:t>93,888,580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Arial" w:hAnsi="Arial" w:cs="Arial" w:eastAsia="Arial" w:hint="default"/>
                <w:sz w:val="18"/>
                <w:szCs w:val="18"/>
              </w:rPr>
            </w:pPr>
            <w:r>
              <w:rPr>
                <w:rFonts w:ascii="Arial"/>
                <w:spacing w:val="-1"/>
                <w:sz w:val="18"/>
              </w:rPr>
              <w:t>67,570,499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Arial" w:hAnsi="Arial" w:cs="Arial" w:eastAsia="Arial" w:hint="default"/>
                <w:sz w:val="18"/>
                <w:szCs w:val="18"/>
              </w:rPr>
            </w:pPr>
            <w:r>
              <w:rPr>
                <w:rFonts w:ascii="Arial"/>
                <w:spacing w:val="-1"/>
                <w:sz w:val="18"/>
              </w:rPr>
              <w:t>67,539,448</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Arial" w:hAnsi="Arial" w:cs="Arial" w:eastAsia="Arial" w:hint="default"/>
                <w:sz w:val="18"/>
                <w:szCs w:val="18"/>
              </w:rPr>
            </w:pPr>
            <w:r>
              <w:rPr>
                <w:rFonts w:ascii="宋体" w:hAnsi="宋体" w:cs="宋体" w:eastAsia="宋体" w:hint="default"/>
                <w:spacing w:val="-7"/>
                <w:sz w:val="18"/>
                <w:szCs w:val="18"/>
              </w:rPr>
              <w:t>五</w:t>
            </w:r>
            <w:r>
              <w:rPr>
                <w:rFonts w:ascii="Arial" w:hAnsi="Arial" w:cs="Arial" w:eastAsia="Arial" w:hint="default"/>
                <w:spacing w:val="-7"/>
                <w:sz w:val="18"/>
                <w:szCs w:val="18"/>
              </w:rPr>
              <w:t>.38</w:t>
            </w:r>
            <w:r>
              <w:rPr>
                <w:rFonts w:ascii="宋体" w:hAnsi="宋体" w:cs="宋体" w:eastAsia="宋体" w:hint="default"/>
                <w:spacing w:val="-7"/>
                <w:sz w:val="18"/>
                <w:szCs w:val="18"/>
              </w:rPr>
              <w:t>、十五</w:t>
            </w:r>
            <w:r>
              <w:rPr>
                <w:rFonts w:ascii="Arial" w:hAnsi="Arial" w:cs="Arial" w:eastAsia="Arial" w:hint="default"/>
                <w:spacing w:val="-7"/>
                <w:sz w:val="18"/>
                <w:szCs w:val="18"/>
              </w:rPr>
              <w:t>.4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(80,884,646)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Arial" w:hAnsi="Arial" w:cs="Arial" w:eastAsia="Arial" w:hint="default"/>
                <w:sz w:val="18"/>
                <w:szCs w:val="18"/>
              </w:rPr>
            </w:pPr>
            <w:r>
              <w:rPr>
                <w:rFonts w:ascii="Arial"/>
                <w:spacing w:val="-1"/>
                <w:sz w:val="18"/>
              </w:rPr>
              <w:t>(76,104,656)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(64,156,583)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Arial" w:hAnsi="Arial" w:cs="Arial" w:eastAsia="Arial" w:hint="default"/>
                <w:sz w:val="18"/>
                <w:szCs w:val="18"/>
              </w:rPr>
            </w:pPr>
            <w:r>
              <w:rPr>
                <w:rFonts w:ascii="Arial"/>
                <w:spacing w:val="-1"/>
                <w:sz w:val="18"/>
              </w:rPr>
              <w:t>(62,539,367)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right"/>
              <w:rPr>
                <w:rFonts w:ascii="Arial" w:hAnsi="Arial" w:cs="Arial" w:eastAsia="Arial" w:hint="default"/>
                <w:sz w:val="18"/>
                <w:szCs w:val="18"/>
              </w:rPr>
            </w:pPr>
            <w:r>
              <w:rPr>
                <w:rFonts w:ascii="Arial"/>
                <w:spacing w:val="-1"/>
                <w:sz w:val="18"/>
              </w:rPr>
              <w:t>(313,081)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right"/>
              <w:rPr>
                <w:rFonts w:ascii="Arial" w:hAnsi="Arial" w:cs="Arial" w:eastAsia="Arial" w:hint="default"/>
                <w:sz w:val="18"/>
                <w:szCs w:val="18"/>
              </w:rPr>
            </w:pPr>
            <w:r>
              <w:rPr>
                <w:rFonts w:ascii="Arial"/>
                <w:spacing w:val="-1"/>
                <w:sz w:val="18"/>
              </w:rPr>
              <w:t>(369,751)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right"/>
              <w:rPr>
                <w:rFonts w:ascii="Arial" w:hAnsi="Arial" w:cs="Arial" w:eastAsia="Arial" w:hint="default"/>
                <w:sz w:val="18"/>
                <w:szCs w:val="18"/>
              </w:rPr>
            </w:pPr>
            <w:r>
              <w:rPr>
                <w:rFonts w:ascii="Arial"/>
                <w:spacing w:val="-1"/>
                <w:sz w:val="18"/>
              </w:rPr>
              <w:t>(22,259)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right"/>
              <w:rPr>
                <w:rFonts w:ascii="Arial" w:hAnsi="Arial" w:cs="Arial" w:eastAsia="Arial" w:hint="default"/>
                <w:sz w:val="18"/>
                <w:szCs w:val="18"/>
              </w:rPr>
            </w:pPr>
            <w:r>
              <w:rPr>
                <w:rFonts w:ascii="Arial"/>
                <w:spacing w:val="-1"/>
                <w:sz w:val="18"/>
              </w:rPr>
              <w:t>(69,924)</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2"/>
                <w:sz w:val="18"/>
              </w:rPr>
              <w:t>(11,810,941)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(9,367,346)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(1,021,951)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Arial" w:hAnsi="Arial" w:cs="Arial" w:eastAsia="Arial" w:hint="default"/>
                <w:sz w:val="18"/>
                <w:szCs w:val="18"/>
              </w:rPr>
            </w:pPr>
            <w:r>
              <w:rPr>
                <w:rFonts w:ascii="Arial"/>
                <w:spacing w:val="-2"/>
                <w:sz w:val="18"/>
              </w:rPr>
              <w:t>(990,114)</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(2,350,107)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(2,088,637)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(919,275)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Arial" w:hAnsi="Arial" w:cs="Arial" w:eastAsia="Arial" w:hint="default"/>
                <w:sz w:val="18"/>
                <w:szCs w:val="18"/>
              </w:rPr>
            </w:pPr>
            <w:r>
              <w:rPr>
                <w:rFonts w:ascii="Arial"/>
                <w:spacing w:val="-1"/>
                <w:sz w:val="18"/>
              </w:rPr>
              <w:t>(990,957)</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财务收入</w:t>
            </w:r>
            <w:r>
              <w:rPr>
                <w:rFonts w:ascii="Arial" w:hAnsi="Arial" w:cs="Arial" w:eastAsia="Arial" w:hint="default"/>
                <w:sz w:val="18"/>
                <w:szCs w:val="18"/>
              </w:rPr>
              <w:t>-</w:t>
            </w:r>
            <w:r>
              <w:rPr>
                <w:rFonts w:ascii="宋体" w:hAnsi="宋体" w:cs="宋体" w:eastAsia="宋体" w:hint="default"/>
                <w:sz w:val="18"/>
                <w:szCs w:val="18"/>
              </w:rPr>
              <w:t>净额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Arial" w:hAnsi="Arial" w:cs="Arial" w:eastAsia="Arial" w:hint="default"/>
                <w:sz w:val="18"/>
                <w:szCs w:val="18"/>
              </w:rPr>
            </w:pPr>
            <w:r>
              <w:rPr>
                <w:rFonts w:ascii="Arial"/>
                <w:spacing w:val="-1"/>
                <w:sz w:val="18"/>
              </w:rPr>
              <w:t>186,083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Arial" w:hAnsi="Arial" w:cs="Arial" w:eastAsia="Arial" w:hint="default"/>
                <w:sz w:val="18"/>
                <w:szCs w:val="18"/>
              </w:rPr>
            </w:pPr>
            <w:r>
              <w:rPr>
                <w:rFonts w:ascii="Arial"/>
                <w:spacing w:val="-1"/>
                <w:sz w:val="18"/>
              </w:rPr>
              <w:t>403,236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Arial" w:hAnsi="Arial" w:cs="Arial" w:eastAsia="Arial" w:hint="default"/>
                <w:sz w:val="18"/>
                <w:szCs w:val="18"/>
              </w:rPr>
            </w:pPr>
            <w:r>
              <w:rPr>
                <w:rFonts w:ascii="Arial"/>
                <w:spacing w:val="-1"/>
                <w:sz w:val="18"/>
              </w:rPr>
              <w:t>384,924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Arial" w:hAnsi="Arial" w:cs="Arial" w:eastAsia="Arial" w:hint="default"/>
                <w:sz w:val="18"/>
                <w:szCs w:val="18"/>
              </w:rPr>
            </w:pPr>
            <w:r>
              <w:rPr>
                <w:rFonts w:ascii="Arial"/>
                <w:spacing w:val="-1"/>
                <w:sz w:val="18"/>
              </w:rPr>
              <w:t>614,888</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.19</w:t>
            </w:r>
            <w:r>
              <w:rPr>
                <w:rFonts w:ascii="宋体" w:hAnsi="宋体" w:cs="宋体" w:eastAsia="宋体" w:hint="default"/>
                <w:sz w:val="18"/>
                <w:szCs w:val="18"/>
              </w:rPr>
              <w:t>、五</w:t>
            </w:r>
            <w:r>
              <w:rPr>
                <w:rFonts w:ascii="Arial" w:hAnsi="Arial" w:cs="Arial" w:eastAsia="Arial" w:hint="default"/>
                <w:sz w:val="18"/>
                <w:szCs w:val="18"/>
              </w:rPr>
              <w:t>.44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(179,548)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Arial" w:hAnsi="Arial" w:cs="Arial" w:eastAsia="Arial" w:hint="default"/>
                <w:sz w:val="18"/>
                <w:szCs w:val="18"/>
              </w:rPr>
            </w:pPr>
            <w:r>
              <w:rPr>
                <w:rFonts w:ascii="Arial"/>
                <w:spacing w:val="-1"/>
                <w:sz w:val="18"/>
              </w:rPr>
              <w:t>(69,537)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(69,066)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Arial" w:hAnsi="Arial" w:cs="Arial" w:eastAsia="Arial" w:hint="default"/>
                <w:sz w:val="18"/>
                <w:szCs w:val="18"/>
              </w:rPr>
            </w:pPr>
            <w:r>
              <w:rPr>
                <w:rFonts w:ascii="Arial"/>
                <w:spacing w:val="-1"/>
                <w:sz w:val="18"/>
              </w:rPr>
              <w:t>(38,133)</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加：公允价值变动损益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
              <w:jc w:val="right"/>
              <w:rPr>
                <w:rFonts w:ascii="Arial" w:hAnsi="Arial" w:cs="Arial" w:eastAsia="Arial" w:hint="default"/>
                <w:sz w:val="18"/>
                <w:szCs w:val="18"/>
              </w:rPr>
            </w:pPr>
            <w:r>
              <w:rPr>
                <w:rFonts w:ascii="Arial"/>
                <w:w w:val="95"/>
                <w:sz w:val="18"/>
              </w:rPr>
              <w:t>(3,826)</w:t>
            </w:r>
            <w:r>
              <w:rPr>
                <w:rFonts w:ascii="Arial"/>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7"/>
              <w:jc w:val="right"/>
              <w:rPr>
                <w:rFonts w:ascii="Arial" w:hAnsi="Arial" w:cs="Arial" w:eastAsia="Arial" w:hint="default"/>
                <w:sz w:val="18"/>
                <w:szCs w:val="18"/>
              </w:rPr>
            </w:pPr>
            <w:r>
              <w:rPr>
                <w:rFonts w:ascii="Arial"/>
                <w:w w:val="99"/>
                <w:sz w:val="18"/>
              </w:rPr>
              <w:t>-</w:t>
            </w:r>
            <w:r>
              <w:rPr>
                <w:rFonts w:ascii="Arial"/>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7"/>
              <w:jc w:val="right"/>
              <w:rPr>
                <w:rFonts w:ascii="Arial" w:hAnsi="Arial" w:cs="Arial" w:eastAsia="Arial" w:hint="default"/>
                <w:sz w:val="18"/>
                <w:szCs w:val="18"/>
              </w:rPr>
            </w:pPr>
            <w:r>
              <w:rPr>
                <w:rFonts w:ascii="Arial"/>
                <w:w w:val="99"/>
                <w:sz w:val="18"/>
              </w:rPr>
              <w:t>-</w:t>
            </w:r>
            <w:r>
              <w:rPr>
                <w:rFonts w:ascii="Arial"/>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7"/>
              <w:jc w:val="right"/>
              <w:rPr>
                <w:rFonts w:ascii="Arial" w:hAnsi="Arial" w:cs="Arial" w:eastAsia="Arial" w:hint="default"/>
                <w:sz w:val="18"/>
                <w:szCs w:val="18"/>
              </w:rPr>
            </w:pPr>
            <w:r>
              <w:rPr>
                <w:rFonts w:ascii="Arial"/>
                <w:w w:val="99"/>
                <w:sz w:val="18"/>
              </w:rPr>
              <w:t>-</w:t>
            </w:r>
            <w:r>
              <w:rPr>
                <w:rFonts w:ascii="Arial"/>
                <w:sz w:val="18"/>
              </w:rPr>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Arial" w:hAnsi="Arial" w:cs="Arial" w:eastAsia="Arial" w:hint="default"/>
                <w:sz w:val="18"/>
                <w:szCs w:val="18"/>
              </w:rPr>
            </w:pPr>
            <w:r>
              <w:rPr>
                <w:rFonts w:ascii="宋体" w:hAnsi="宋体" w:cs="宋体" w:eastAsia="宋体" w:hint="default"/>
                <w:spacing w:val="-7"/>
                <w:sz w:val="18"/>
                <w:szCs w:val="18"/>
              </w:rPr>
              <w:t>五</w:t>
            </w:r>
            <w:r>
              <w:rPr>
                <w:rFonts w:ascii="Arial" w:hAnsi="Arial" w:cs="Arial" w:eastAsia="Arial" w:hint="default"/>
                <w:spacing w:val="-7"/>
                <w:sz w:val="18"/>
                <w:szCs w:val="18"/>
              </w:rPr>
              <w:t>.43</w:t>
            </w:r>
            <w:r>
              <w:rPr>
                <w:rFonts w:ascii="宋体" w:hAnsi="宋体" w:cs="宋体" w:eastAsia="宋体" w:hint="default"/>
                <w:spacing w:val="-7"/>
                <w:sz w:val="18"/>
                <w:szCs w:val="18"/>
              </w:rPr>
              <w:t>、十五</w:t>
            </w:r>
            <w:r>
              <w:rPr>
                <w:rFonts w:ascii="Arial" w:hAnsi="Arial" w:cs="Arial" w:eastAsia="Arial" w:hint="default"/>
                <w:spacing w:val="-7"/>
                <w:sz w:val="18"/>
                <w:szCs w:val="18"/>
              </w:rPr>
              <w:t>.5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right"/>
              <w:rPr>
                <w:rFonts w:ascii="Arial" w:hAnsi="Arial" w:cs="Arial" w:eastAsia="Arial" w:hint="default"/>
                <w:sz w:val="18"/>
                <w:szCs w:val="18"/>
              </w:rPr>
            </w:pPr>
            <w:r>
              <w:rPr>
                <w:rFonts w:ascii="Arial"/>
                <w:spacing w:val="-1"/>
                <w:sz w:val="18"/>
              </w:rPr>
              <w:t>12,508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right"/>
              <w:rPr>
                <w:rFonts w:ascii="Arial" w:hAnsi="Arial" w:cs="Arial" w:eastAsia="Arial" w:hint="default"/>
                <w:sz w:val="18"/>
                <w:szCs w:val="18"/>
              </w:rPr>
            </w:pPr>
            <w:r>
              <w:rPr>
                <w:rFonts w:ascii="Arial"/>
                <w:spacing w:val="-1"/>
                <w:sz w:val="18"/>
              </w:rPr>
              <w:t>152,192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right"/>
              <w:rPr>
                <w:rFonts w:ascii="Arial" w:hAnsi="Arial" w:cs="Arial" w:eastAsia="Arial" w:hint="default"/>
                <w:sz w:val="18"/>
                <w:szCs w:val="18"/>
              </w:rPr>
            </w:pPr>
            <w:r>
              <w:rPr>
                <w:rFonts w:ascii="Arial"/>
                <w:spacing w:val="-1"/>
                <w:sz w:val="18"/>
              </w:rPr>
              <w:t>12,000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right"/>
              <w:rPr>
                <w:rFonts w:ascii="Arial" w:hAnsi="Arial" w:cs="Arial" w:eastAsia="Arial" w:hint="default"/>
                <w:sz w:val="18"/>
                <w:szCs w:val="18"/>
              </w:rPr>
            </w:pPr>
            <w:r>
              <w:rPr>
                <w:rFonts w:ascii="Arial"/>
                <w:spacing w:val="-1"/>
                <w:sz w:val="18"/>
              </w:rPr>
              <w:t>17,974</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其中：对联营企业的投资收益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right"/>
              <w:rPr>
                <w:rFonts w:ascii="Arial" w:hAnsi="Arial" w:cs="Arial" w:eastAsia="Arial" w:hint="default"/>
                <w:sz w:val="18"/>
                <w:szCs w:val="18"/>
              </w:rPr>
            </w:pPr>
            <w:r>
              <w:rPr>
                <w:rFonts w:ascii="Arial"/>
                <w:w w:val="99"/>
                <w:sz w:val="18"/>
              </w:rPr>
              <w:t>-</w:t>
            </w:r>
            <w:r>
              <w:rPr>
                <w:rFonts w:ascii="Arial"/>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Arial" w:hAnsi="Arial" w:cs="Arial" w:eastAsia="Arial" w:hint="default"/>
                <w:sz w:val="18"/>
                <w:szCs w:val="18"/>
              </w:rPr>
            </w:pPr>
            <w:r>
              <w:rPr>
                <w:rFonts w:ascii="Arial"/>
                <w:spacing w:val="-1"/>
                <w:sz w:val="18"/>
              </w:rPr>
              <w:t>140,192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Arial" w:hAnsi="Arial" w:cs="Arial" w:eastAsia="Arial" w:hint="default"/>
                <w:sz w:val="18"/>
                <w:szCs w:val="18"/>
              </w:rPr>
            </w:pPr>
            <w:r>
              <w:rPr>
                <w:rFonts w:ascii="Arial"/>
                <w:w w:val="99"/>
                <w:sz w:val="18"/>
              </w:rPr>
              <w:t>-</w:t>
            </w:r>
            <w:r>
              <w:rPr>
                <w:rFonts w:ascii="Arial"/>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黑体" w:hAnsi="黑体" w:cs="黑体" w:eastAsia="黑体" w:hint="default"/>
                <w:b/>
                <w:bCs/>
                <w:sz w:val="18"/>
                <w:szCs w:val="18"/>
              </w:rPr>
              <w:t>二、营业利润</w:t>
            </w:r>
            <w:r>
              <w:rPr>
                <w:rFonts w:ascii="黑体" w:hAnsi="黑体" w:cs="黑体" w:eastAsia="黑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3,013,603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6,444,081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right"/>
              <w:rPr>
                <w:rFonts w:ascii="Arial" w:hAnsi="Arial" w:cs="Arial" w:eastAsia="Arial" w:hint="default"/>
                <w:sz w:val="18"/>
                <w:szCs w:val="18"/>
              </w:rPr>
            </w:pPr>
            <w:r>
              <w:rPr>
                <w:rFonts w:ascii="Arial"/>
                <w:spacing w:val="-1"/>
                <w:sz w:val="18"/>
              </w:rPr>
              <w:t>1,778,289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3,543,815</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Arial" w:hAnsi="Arial" w:cs="Arial" w:eastAsia="Arial" w:hint="default"/>
                <w:sz w:val="18"/>
                <w:szCs w:val="18"/>
              </w:rPr>
            </w:pPr>
            <w:r>
              <w:rPr>
                <w:rFonts w:ascii="Arial"/>
                <w:spacing w:val="-1"/>
                <w:sz w:val="18"/>
              </w:rPr>
              <w:t>354,445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2"/>
                <w:w w:val="95"/>
                <w:sz w:val="18"/>
              </w:rPr>
              <w:t>117,555</w:t>
            </w:r>
            <w:r>
              <w:rPr>
                <w:rFonts w:ascii="Arial"/>
                <w:spacing w:val="-2"/>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Arial" w:hAnsi="Arial" w:cs="Arial" w:eastAsia="Arial" w:hint="default"/>
                <w:sz w:val="18"/>
                <w:szCs w:val="18"/>
              </w:rPr>
            </w:pPr>
            <w:r>
              <w:rPr>
                <w:rFonts w:ascii="Arial"/>
                <w:spacing w:val="-1"/>
                <w:sz w:val="18"/>
              </w:rPr>
              <w:t>186,427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Arial" w:hAnsi="Arial" w:cs="Arial" w:eastAsia="Arial" w:hint="default"/>
                <w:sz w:val="18"/>
                <w:szCs w:val="18"/>
              </w:rPr>
            </w:pPr>
            <w:r>
              <w:rPr>
                <w:rFonts w:ascii="Arial"/>
                <w:spacing w:val="-1"/>
                <w:sz w:val="18"/>
              </w:rPr>
              <w:t>12,516</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(126,450)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Arial" w:hAnsi="Arial" w:cs="Arial" w:eastAsia="Arial" w:hint="default"/>
                <w:sz w:val="18"/>
                <w:szCs w:val="18"/>
              </w:rPr>
            </w:pPr>
            <w:r>
              <w:rPr>
                <w:rFonts w:ascii="Arial"/>
                <w:spacing w:val="-1"/>
                <w:sz w:val="18"/>
              </w:rPr>
              <w:t>(88,410)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(15,528)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Arial" w:hAnsi="Arial" w:cs="Arial" w:eastAsia="Arial" w:hint="default"/>
                <w:sz w:val="18"/>
                <w:szCs w:val="18"/>
              </w:rPr>
            </w:pPr>
            <w:r>
              <w:rPr>
                <w:rFonts w:ascii="Arial"/>
                <w:spacing w:val="-1"/>
                <w:sz w:val="18"/>
              </w:rPr>
              <w:t>(19,932)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right"/>
              <w:rPr>
                <w:rFonts w:ascii="Arial" w:hAnsi="Arial" w:cs="Arial" w:eastAsia="Arial" w:hint="default"/>
                <w:sz w:val="18"/>
                <w:szCs w:val="18"/>
              </w:rPr>
            </w:pPr>
            <w:r>
              <w:rPr>
                <w:rFonts w:ascii="Arial"/>
                <w:w w:val="95"/>
                <w:sz w:val="18"/>
              </w:rPr>
              <w:t>(5,841)</w:t>
            </w:r>
            <w:r>
              <w:rPr>
                <w:rFonts w:ascii="Arial"/>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right"/>
              <w:rPr>
                <w:rFonts w:ascii="Arial" w:hAnsi="Arial" w:cs="Arial" w:eastAsia="Arial" w:hint="default"/>
                <w:sz w:val="18"/>
                <w:szCs w:val="18"/>
              </w:rPr>
            </w:pPr>
            <w:r>
              <w:rPr>
                <w:rFonts w:ascii="Arial"/>
                <w:spacing w:val="-1"/>
                <w:sz w:val="18"/>
              </w:rPr>
              <w:t>(4,439)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right"/>
              <w:rPr>
                <w:rFonts w:ascii="Arial" w:hAnsi="Arial" w:cs="Arial" w:eastAsia="Arial" w:hint="default"/>
                <w:sz w:val="18"/>
                <w:szCs w:val="18"/>
              </w:rPr>
            </w:pPr>
            <w:r>
              <w:rPr>
                <w:rFonts w:ascii="Arial"/>
                <w:w w:val="95"/>
                <w:sz w:val="18"/>
              </w:rPr>
              <w:t>(761)</w:t>
            </w:r>
            <w:r>
              <w:rPr>
                <w:rFonts w:ascii="Arial"/>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right"/>
              <w:rPr>
                <w:rFonts w:ascii="Arial" w:hAnsi="Arial" w:cs="Arial" w:eastAsia="Arial" w:hint="default"/>
                <w:sz w:val="18"/>
                <w:szCs w:val="18"/>
              </w:rPr>
            </w:pPr>
            <w:r>
              <w:rPr>
                <w:rFonts w:ascii="Arial"/>
                <w:w w:val="95"/>
                <w:sz w:val="18"/>
              </w:rPr>
              <w:t>(435)</w:t>
            </w:r>
            <w:r>
              <w:rPr>
                <w:rFonts w:ascii="Arial"/>
                <w:sz w:val="18"/>
              </w:rPr>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黑体" w:hAnsi="黑体" w:cs="黑体" w:eastAsia="黑体" w:hint="default"/>
                <w:b/>
                <w:bCs/>
                <w:sz w:val="18"/>
                <w:szCs w:val="18"/>
              </w:rPr>
              <w:t>三、利润总额</w:t>
            </w:r>
            <w:r>
              <w:rPr>
                <w:rFonts w:ascii="黑体" w:hAnsi="黑体" w:cs="黑体" w:eastAsia="黑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3,241,598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6,473,226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right"/>
              <w:rPr>
                <w:rFonts w:ascii="Arial" w:hAnsi="Arial" w:cs="Arial" w:eastAsia="Arial" w:hint="default"/>
                <w:sz w:val="18"/>
                <w:szCs w:val="18"/>
              </w:rPr>
            </w:pPr>
            <w:r>
              <w:rPr>
                <w:rFonts w:ascii="Arial"/>
                <w:spacing w:val="-1"/>
                <w:sz w:val="18"/>
              </w:rPr>
              <w:t>1,949,188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3,536,399</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(736,136)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(1,587,220)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(471,826)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Arial" w:hAnsi="Arial" w:cs="Arial" w:eastAsia="Arial" w:hint="default"/>
                <w:sz w:val="18"/>
                <w:szCs w:val="18"/>
              </w:rPr>
            </w:pPr>
            <w:r>
              <w:rPr>
                <w:rFonts w:ascii="Arial"/>
                <w:spacing w:val="-1"/>
                <w:sz w:val="18"/>
              </w:rPr>
              <w:t>(930,385)</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黑体" w:hAnsi="黑体" w:cs="黑体" w:eastAsia="黑体" w:hint="default"/>
                <w:b/>
                <w:bCs/>
                <w:sz w:val="18"/>
                <w:szCs w:val="18"/>
              </w:rPr>
              <w:t>四、净利润</w:t>
            </w:r>
            <w:r>
              <w:rPr>
                <w:rFonts w:ascii="黑体" w:hAnsi="黑体" w:cs="黑体" w:eastAsia="黑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2,505,462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4,886,006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right"/>
              <w:rPr>
                <w:rFonts w:ascii="Arial" w:hAnsi="Arial" w:cs="Arial" w:eastAsia="Arial" w:hint="default"/>
                <w:sz w:val="18"/>
                <w:szCs w:val="18"/>
              </w:rPr>
            </w:pPr>
            <w:r>
              <w:rPr>
                <w:rFonts w:ascii="Arial"/>
                <w:spacing w:val="-1"/>
                <w:sz w:val="18"/>
              </w:rPr>
              <w:t>1,477,362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2,606,014</w:t>
            </w:r>
          </w:p>
        </w:tc>
      </w:tr>
      <w:tr>
        <w:trPr>
          <w:trHeight w:val="63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4" w:firstLine="182"/>
              <w:jc w:val="left"/>
              <w:rPr>
                <w:rFonts w:ascii="宋体" w:hAnsi="宋体" w:cs="宋体" w:eastAsia="宋体" w:hint="default"/>
                <w:sz w:val="18"/>
                <w:szCs w:val="18"/>
              </w:rPr>
            </w:pPr>
            <w:r>
              <w:rPr>
                <w:rFonts w:ascii="宋体" w:hAnsi="宋体" w:cs="宋体" w:eastAsia="宋体" w:hint="default"/>
                <w:sz w:val="18"/>
                <w:szCs w:val="18"/>
              </w:rPr>
              <w:t>其中：同一控制下企业合并中被 合并方在合并前实现的净利润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5"/>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7"/>
              <w:ind w:right="-7"/>
              <w:jc w:val="right"/>
              <w:rPr>
                <w:rFonts w:ascii="Arial" w:hAnsi="Arial" w:cs="Arial" w:eastAsia="Arial" w:hint="default"/>
                <w:sz w:val="18"/>
                <w:szCs w:val="18"/>
              </w:rPr>
            </w:pPr>
            <w:r>
              <w:rPr>
                <w:rFonts w:ascii="Arial"/>
                <w:w w:val="95"/>
                <w:sz w:val="18"/>
              </w:rPr>
              <w:t>(25)</w:t>
            </w:r>
            <w:r>
              <w:rPr>
                <w:rFonts w:ascii="Arial"/>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7"/>
              <w:ind w:right="-5"/>
              <w:jc w:val="right"/>
              <w:rPr>
                <w:rFonts w:ascii="Arial" w:hAnsi="Arial" w:cs="Arial" w:eastAsia="Arial" w:hint="default"/>
                <w:sz w:val="18"/>
                <w:szCs w:val="18"/>
              </w:rPr>
            </w:pPr>
            <w:r>
              <w:rPr>
                <w:rFonts w:ascii="Arial"/>
                <w:w w:val="99"/>
                <w:sz w:val="18"/>
              </w:rPr>
              <w:t>-</w:t>
            </w:r>
            <w:r>
              <w:rPr>
                <w:rFonts w:ascii="Arial"/>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7"/>
              <w:ind w:right="-5"/>
              <w:jc w:val="right"/>
              <w:rPr>
                <w:rFonts w:ascii="Arial" w:hAnsi="Arial" w:cs="Arial" w:eastAsia="Arial" w:hint="default"/>
                <w:sz w:val="18"/>
                <w:szCs w:val="18"/>
              </w:rPr>
            </w:pPr>
            <w:r>
              <w:rPr>
                <w:rFonts w:ascii="Arial"/>
                <w:w w:val="99"/>
                <w:sz w:val="18"/>
              </w:rPr>
              <w:t>-</w:t>
            </w:r>
            <w:r>
              <w:rPr>
                <w:rFonts w:ascii="Arial"/>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7"/>
              <w:ind w:right="-5"/>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Arial" w:hAnsi="Arial" w:cs="Arial" w:eastAsia="Arial" w:hint="default"/>
                <w:sz w:val="18"/>
                <w:szCs w:val="18"/>
              </w:rPr>
            </w:pPr>
            <w:r>
              <w:rPr>
                <w:rFonts w:ascii="Arial"/>
                <w:spacing w:val="-2"/>
                <w:sz w:val="18"/>
              </w:rPr>
              <w:t>2,676,119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4,820,594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right"/>
              <w:rPr>
                <w:rFonts w:ascii="Arial" w:hAnsi="Arial" w:cs="Arial" w:eastAsia="Arial" w:hint="default"/>
                <w:sz w:val="18"/>
                <w:szCs w:val="18"/>
              </w:rPr>
            </w:pPr>
            <w:r>
              <w:rPr>
                <w:rFonts w:ascii="Arial"/>
                <w:spacing w:val="-1"/>
                <w:sz w:val="18"/>
              </w:rPr>
              <w:t>1,477,362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2,606,014</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(170,657)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Arial" w:hAnsi="Arial" w:cs="Arial" w:eastAsia="Arial" w:hint="default"/>
                <w:sz w:val="18"/>
                <w:szCs w:val="18"/>
              </w:rPr>
            </w:pPr>
            <w:r>
              <w:rPr>
                <w:rFonts w:ascii="Arial"/>
                <w:spacing w:val="-1"/>
                <w:sz w:val="18"/>
              </w:rPr>
              <w:t>65,412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Arial" w:hAnsi="Arial" w:cs="Arial" w:eastAsia="Arial" w:hint="default"/>
                <w:sz w:val="18"/>
                <w:szCs w:val="18"/>
              </w:rPr>
            </w:pPr>
            <w:r>
              <w:rPr>
                <w:rFonts w:ascii="Arial"/>
                <w:w w:val="99"/>
                <w:sz w:val="18"/>
              </w:rPr>
              <w:t>-</w:t>
            </w:r>
            <w:r>
              <w:rPr>
                <w:rFonts w:ascii="Arial"/>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黑体" w:hAnsi="黑体" w:cs="黑体" w:eastAsia="黑体" w:hint="default"/>
                <w:b/>
                <w:bCs/>
                <w:sz w:val="18"/>
                <w:szCs w:val="18"/>
              </w:rPr>
              <w:t>五、每股收益</w:t>
            </w:r>
            <w:r>
              <w:rPr>
                <w:rFonts w:ascii="黑体" w:hAnsi="黑体" w:cs="黑体" w:eastAsia="黑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Arial" w:hAnsi="Arial" w:cs="Arial" w:eastAsia="Arial" w:hint="default"/>
                <w:sz w:val="18"/>
                <w:szCs w:val="18"/>
              </w:rPr>
            </w:pPr>
            <w:r>
              <w:rPr>
                <w:rFonts w:ascii="宋体" w:hAnsi="宋体" w:cs="宋体" w:eastAsia="宋体" w:hint="default"/>
                <w:sz w:val="18"/>
                <w:szCs w:val="18"/>
              </w:rPr>
              <w:t>基本每股收益</w:t>
            </w:r>
            <w:r>
              <w:rPr>
                <w:rFonts w:ascii="Arial" w:hAnsi="Arial" w:cs="Arial" w:eastAsia="Arial" w:hint="default"/>
                <w:sz w:val="18"/>
                <w:szCs w:val="18"/>
              </w:rPr>
              <w:t>(</w:t>
            </w:r>
            <w:r>
              <w:rPr>
                <w:rFonts w:ascii="宋体" w:hAnsi="宋体" w:cs="宋体" w:eastAsia="宋体" w:hint="default"/>
                <w:sz w:val="18"/>
                <w:szCs w:val="18"/>
              </w:rPr>
              <w:t>人民币元</w:t>
            </w:r>
            <w:r>
              <w:rPr>
                <w:rFonts w:ascii="Arial" w:hAnsi="Arial" w:cs="Arial" w:eastAsia="Arial"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Arial" w:hAnsi="Arial" w:cs="Arial" w:eastAsia="Arial" w:hint="default"/>
                <w:sz w:val="18"/>
                <w:szCs w:val="18"/>
              </w:rPr>
            </w:pPr>
            <w:r>
              <w:rPr>
                <w:rFonts w:ascii="Arial"/>
                <w:w w:val="95"/>
                <w:sz w:val="18"/>
              </w:rPr>
              <w:t>0.37</w:t>
            </w:r>
            <w:r>
              <w:rPr>
                <w:rFonts w:ascii="Arial"/>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Arial" w:hAnsi="Arial" w:cs="Arial" w:eastAsia="Arial" w:hint="default"/>
                <w:sz w:val="18"/>
                <w:szCs w:val="18"/>
              </w:rPr>
            </w:pPr>
            <w:r>
              <w:rPr>
                <w:rFonts w:ascii="Arial"/>
                <w:w w:val="95"/>
                <w:sz w:val="18"/>
              </w:rPr>
              <w:t>0.69</w:t>
            </w:r>
            <w:r>
              <w:rPr>
                <w:rFonts w:ascii="Arial"/>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6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6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4" w:right="0"/>
              <w:jc w:val="left"/>
              <w:rPr>
                <w:rFonts w:ascii="Arial" w:hAnsi="Arial" w:cs="Arial" w:eastAsia="Arial" w:hint="default"/>
                <w:sz w:val="18"/>
                <w:szCs w:val="18"/>
              </w:rPr>
            </w:pPr>
            <w:r>
              <w:rPr>
                <w:rFonts w:ascii="宋体" w:hAnsi="宋体" w:cs="宋体" w:eastAsia="宋体" w:hint="default"/>
                <w:sz w:val="18"/>
                <w:szCs w:val="18"/>
              </w:rPr>
              <w:t>稀释每股收益</w:t>
            </w:r>
            <w:r>
              <w:rPr>
                <w:rFonts w:ascii="Arial" w:hAnsi="Arial" w:cs="Arial" w:eastAsia="Arial" w:hint="default"/>
                <w:sz w:val="18"/>
                <w:szCs w:val="18"/>
              </w:rPr>
              <w:t>(</w:t>
            </w:r>
            <w:r>
              <w:rPr>
                <w:rFonts w:ascii="宋体" w:hAnsi="宋体" w:cs="宋体" w:eastAsia="宋体" w:hint="default"/>
                <w:sz w:val="18"/>
                <w:szCs w:val="18"/>
              </w:rPr>
              <w:t>人民币元</w:t>
            </w:r>
            <w:r>
              <w:rPr>
                <w:rFonts w:ascii="Arial" w:hAnsi="Arial" w:cs="Arial" w:eastAsia="Arial"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right"/>
              <w:rPr>
                <w:rFonts w:ascii="Arial" w:hAnsi="Arial" w:cs="Arial" w:eastAsia="Arial" w:hint="default"/>
                <w:sz w:val="18"/>
                <w:szCs w:val="18"/>
              </w:rPr>
            </w:pPr>
            <w:r>
              <w:rPr>
                <w:rFonts w:ascii="Arial"/>
                <w:w w:val="95"/>
                <w:sz w:val="18"/>
              </w:rPr>
              <w:t>0.37</w:t>
            </w:r>
            <w:r>
              <w:rPr>
                <w:rFonts w:ascii="Arial"/>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right"/>
              <w:rPr>
                <w:rFonts w:ascii="Arial" w:hAnsi="Arial" w:cs="Arial" w:eastAsia="Arial" w:hint="default"/>
                <w:sz w:val="18"/>
                <w:szCs w:val="18"/>
              </w:rPr>
            </w:pPr>
            <w:r>
              <w:rPr>
                <w:rFonts w:ascii="Arial"/>
                <w:w w:val="95"/>
                <w:sz w:val="18"/>
              </w:rPr>
              <w:t>0.69</w:t>
            </w:r>
            <w:r>
              <w:rPr>
                <w:rFonts w:ascii="Arial"/>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6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黑体" w:hAnsi="黑体" w:cs="黑体" w:eastAsia="黑体" w:hint="default"/>
                <w:b/>
                <w:bCs/>
                <w:sz w:val="18"/>
                <w:szCs w:val="18"/>
              </w:rPr>
              <w:t>六、其他综合收益</w:t>
            </w:r>
            <w:r>
              <w:rPr>
                <w:rFonts w:ascii="黑体" w:hAnsi="黑体" w:cs="黑体" w:eastAsia="黑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
              <w:jc w:val="right"/>
              <w:rPr>
                <w:rFonts w:ascii="Arial" w:hAnsi="Arial" w:cs="Arial" w:eastAsia="Arial" w:hint="default"/>
                <w:sz w:val="18"/>
                <w:szCs w:val="18"/>
              </w:rPr>
            </w:pPr>
            <w:r>
              <w:rPr>
                <w:rFonts w:ascii="Arial"/>
                <w:spacing w:val="-1"/>
                <w:sz w:val="18"/>
              </w:rPr>
              <w:t>(88,775)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
              <w:jc w:val="right"/>
              <w:rPr>
                <w:rFonts w:ascii="Arial" w:hAnsi="Arial" w:cs="Arial" w:eastAsia="Arial" w:hint="default"/>
                <w:sz w:val="18"/>
                <w:szCs w:val="18"/>
              </w:rPr>
            </w:pPr>
            <w:r>
              <w:rPr>
                <w:rFonts w:ascii="Arial"/>
                <w:spacing w:val="-1"/>
                <w:sz w:val="18"/>
              </w:rPr>
              <w:t>(4,021)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
              <w:jc w:val="right"/>
              <w:rPr>
                <w:rFonts w:ascii="Arial" w:hAnsi="Arial" w:cs="Arial" w:eastAsia="Arial" w:hint="default"/>
                <w:sz w:val="18"/>
                <w:szCs w:val="18"/>
              </w:rPr>
            </w:pPr>
            <w:r>
              <w:rPr>
                <w:rFonts w:ascii="Arial"/>
                <w:w w:val="99"/>
                <w:sz w:val="18"/>
              </w:rPr>
              <w:t>-</w:t>
            </w:r>
            <w:r>
              <w:rPr>
                <w:rFonts w:ascii="Arial"/>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黑体" w:hAnsi="黑体" w:cs="黑体" w:eastAsia="黑体" w:hint="default"/>
                <w:b/>
                <w:bCs/>
                <w:sz w:val="18"/>
                <w:szCs w:val="18"/>
              </w:rPr>
              <w:t>七、综合收益总额</w:t>
            </w:r>
            <w:r>
              <w:rPr>
                <w:rFonts w:ascii="黑体" w:hAnsi="黑体" w:cs="黑体" w:eastAsia="黑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2,416,687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4,881,985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right"/>
              <w:rPr>
                <w:rFonts w:ascii="Arial" w:hAnsi="Arial" w:cs="Arial" w:eastAsia="Arial" w:hint="default"/>
                <w:sz w:val="18"/>
                <w:szCs w:val="18"/>
              </w:rPr>
            </w:pPr>
            <w:r>
              <w:rPr>
                <w:rFonts w:ascii="Arial"/>
                <w:spacing w:val="-1"/>
                <w:sz w:val="18"/>
              </w:rPr>
              <w:t>1,477,362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2,606,014</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right"/>
              <w:rPr>
                <w:rFonts w:ascii="Arial" w:hAnsi="Arial" w:cs="Arial" w:eastAsia="Arial" w:hint="default"/>
                <w:sz w:val="18"/>
                <w:szCs w:val="18"/>
              </w:rPr>
            </w:pPr>
            <w:r>
              <w:rPr>
                <w:rFonts w:ascii="Arial"/>
                <w:spacing w:val="-1"/>
                <w:sz w:val="18"/>
              </w:rPr>
              <w:t>2,630,771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right"/>
              <w:rPr>
                <w:rFonts w:ascii="Arial" w:hAnsi="Arial" w:cs="Arial" w:eastAsia="Arial" w:hint="default"/>
                <w:sz w:val="18"/>
                <w:szCs w:val="18"/>
              </w:rPr>
            </w:pPr>
            <w:r>
              <w:rPr>
                <w:rFonts w:ascii="Arial"/>
                <w:spacing w:val="-1"/>
                <w:sz w:val="18"/>
              </w:rPr>
              <w:t>4,828,367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right"/>
              <w:rPr>
                <w:rFonts w:ascii="Arial" w:hAnsi="Arial" w:cs="Arial" w:eastAsia="Arial" w:hint="default"/>
                <w:sz w:val="18"/>
                <w:szCs w:val="18"/>
              </w:rPr>
            </w:pPr>
            <w:r>
              <w:rPr>
                <w:rFonts w:ascii="Arial"/>
                <w:spacing w:val="-1"/>
                <w:sz w:val="18"/>
              </w:rPr>
              <w:t>1,477,362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right"/>
              <w:rPr>
                <w:rFonts w:ascii="Arial" w:hAnsi="Arial" w:cs="Arial" w:eastAsia="Arial" w:hint="default"/>
                <w:sz w:val="18"/>
                <w:szCs w:val="18"/>
              </w:rPr>
            </w:pPr>
            <w:r>
              <w:rPr>
                <w:rFonts w:ascii="Arial"/>
                <w:spacing w:val="-1"/>
                <w:sz w:val="18"/>
              </w:rPr>
              <w:t>2,606,014</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Arial" w:hAnsi="Arial" w:cs="Arial" w:eastAsia="Arial" w:hint="default"/>
                <w:sz w:val="18"/>
                <w:szCs w:val="18"/>
              </w:rPr>
            </w:pPr>
            <w:r>
              <w:rPr>
                <w:rFonts w:ascii="Arial"/>
                <w:spacing w:val="-1"/>
                <w:sz w:val="18"/>
              </w:rPr>
              <w:t>(214,084)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Arial" w:hAnsi="Arial" w:cs="Arial" w:eastAsia="Arial" w:hint="default"/>
                <w:sz w:val="18"/>
                <w:szCs w:val="18"/>
              </w:rPr>
            </w:pPr>
            <w:r>
              <w:rPr>
                <w:rFonts w:ascii="Arial"/>
                <w:spacing w:val="-1"/>
                <w:sz w:val="18"/>
              </w:rPr>
              <w:t>53,618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Arial" w:hAnsi="Arial" w:cs="Arial" w:eastAsia="Arial" w:hint="default"/>
                <w:sz w:val="18"/>
                <w:szCs w:val="18"/>
              </w:rPr>
            </w:pPr>
            <w:r>
              <w:rPr>
                <w:rFonts w:ascii="Arial"/>
                <w:w w:val="99"/>
                <w:sz w:val="18"/>
              </w:rPr>
              <w:t>-</w:t>
            </w:r>
            <w:r>
              <w:rPr>
                <w:rFonts w:ascii="Arial"/>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Arial" w:hAnsi="Arial" w:cs="Arial" w:eastAsia="Arial" w:hint="default"/>
                <w:sz w:val="18"/>
                <w:szCs w:val="18"/>
              </w:rPr>
            </w:pPr>
            <w:r>
              <w:rPr>
                <w:rFonts w:ascii="Arial"/>
                <w:w w:val="99"/>
                <w:sz w:val="18"/>
              </w:rPr>
              <w:t>-</w:t>
            </w:r>
            <w:r>
              <w:rPr>
                <w:rFonts w:ascii="Arial"/>
                <w:sz w:val="18"/>
              </w:rPr>
            </w:r>
          </w:p>
        </w:tc>
      </w:tr>
    </w:tbl>
    <w:p>
      <w:pPr>
        <w:spacing w:before="49"/>
        <w:ind w:left="212" w:right="1021"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1"/>
        <w:rPr>
          <w:rFonts w:ascii="宋体" w:hAnsi="宋体" w:cs="宋体" w:eastAsia="宋体" w:hint="default"/>
          <w:sz w:val="14"/>
          <w:szCs w:val="14"/>
        </w:rPr>
      </w:pPr>
    </w:p>
    <w:p>
      <w:pPr>
        <w:tabs>
          <w:tab w:pos="3818" w:val="left" w:leader="none"/>
          <w:tab w:pos="7690" w:val="left" w:leader="none"/>
        </w:tabs>
        <w:spacing w:before="0"/>
        <w:ind w:left="573" w:right="1021" w:firstLine="0"/>
        <w:jc w:val="left"/>
        <w:rPr>
          <w:rFonts w:ascii="宋体" w:hAnsi="宋体" w:cs="宋体" w:eastAsia="宋体" w:hint="default"/>
          <w:sz w:val="18"/>
          <w:szCs w:val="18"/>
        </w:rPr>
      </w:pPr>
      <w:r>
        <w:rPr>
          <w:rFonts w:ascii="宋体" w:hAnsi="宋体" w:cs="宋体" w:eastAsia="宋体" w:hint="default"/>
          <w:sz w:val="18"/>
          <w:szCs w:val="18"/>
        </w:rPr>
        <w:t>企业负责人：</w:t>
      </w:r>
      <w:r>
        <w:rPr>
          <w:rFonts w:ascii="宋体" w:hAnsi="宋体" w:cs="宋体" w:eastAsia="宋体" w:hint="default"/>
          <w:spacing w:val="1"/>
          <w:sz w:val="18"/>
          <w:szCs w:val="18"/>
        </w:rPr>
        <w:t> </w:t>
      </w:r>
      <w:r>
        <w:rPr>
          <w:rFonts w:ascii="宋体" w:hAnsi="宋体" w:cs="宋体" w:eastAsia="宋体" w:hint="default"/>
          <w:sz w:val="18"/>
          <w:szCs w:val="18"/>
        </w:rPr>
        <w:t>张近东</w:t>
        <w:tab/>
        <w:t>主管会计工作的负责人：</w:t>
      </w:r>
      <w:r>
        <w:rPr>
          <w:rFonts w:ascii="宋体" w:hAnsi="宋体" w:cs="宋体" w:eastAsia="宋体" w:hint="default"/>
          <w:spacing w:val="-2"/>
          <w:sz w:val="18"/>
          <w:szCs w:val="18"/>
        </w:rPr>
        <w:t> </w:t>
      </w:r>
      <w:r>
        <w:rPr>
          <w:rFonts w:ascii="宋体" w:hAnsi="宋体" w:cs="宋体" w:eastAsia="宋体" w:hint="default"/>
          <w:sz w:val="18"/>
          <w:szCs w:val="18"/>
        </w:rPr>
        <w:t>朱华</w:t>
        <w:tab/>
        <w:t>会计机构负责人：肖忠祥</w:t>
      </w:r>
    </w:p>
    <w:p>
      <w:pPr>
        <w:spacing w:after="0"/>
        <w:jc w:val="left"/>
        <w:rPr>
          <w:rFonts w:ascii="宋体" w:hAnsi="宋体" w:cs="宋体" w:eastAsia="宋体" w:hint="default"/>
          <w:sz w:val="18"/>
          <w:szCs w:val="18"/>
        </w:rPr>
        <w:sectPr>
          <w:pgSz w:w="11910" w:h="16840"/>
          <w:pgMar w:header="927" w:footer="1340" w:top="1160" w:bottom="1540" w:left="920" w:right="0"/>
        </w:sectPr>
      </w:pPr>
    </w:p>
    <w:p>
      <w:pPr>
        <w:pStyle w:val="Heading3"/>
        <w:spacing w:line="240" w:lineRule="auto" w:before="36"/>
        <w:ind w:left="921" w:right="1021"/>
        <w:jc w:val="left"/>
        <w:rPr>
          <w:rFonts w:ascii="黑体" w:hAnsi="黑体" w:cs="黑体" w:eastAsia="黑体" w:hint="default"/>
        </w:rPr>
      </w:pPr>
      <w:r>
        <w:rPr/>
        <w:pict>
          <v:shape style="position:absolute;margin-left:460.320007pt;margin-top:764.919983pt;width:135.0pt;height:77pt;mso-position-horizontal-relative:page;mso-position-vertical-relative:page;z-index:-1596568" type="#_x0000_t75" stroked="false">
            <v:imagedata r:id="rId10" o:title=""/>
          </v:shape>
        </w:pict>
      </w:r>
      <w:r>
        <w:rPr>
          <w:rFonts w:ascii="Arial" w:hAnsi="Arial" w:cs="Arial" w:eastAsia="Arial" w:hint="default"/>
        </w:rPr>
        <w:t>2012</w:t>
      </w:r>
      <w:r>
        <w:rPr>
          <w:rFonts w:ascii="Arial" w:hAnsi="Arial" w:cs="Arial" w:eastAsia="Arial" w:hint="default"/>
          <w:spacing w:val="-9"/>
        </w:rPr>
        <w:t> </w:t>
      </w:r>
      <w:r>
        <w:rPr>
          <w:rFonts w:ascii="黑体" w:hAnsi="黑体" w:cs="黑体" w:eastAsia="黑体" w:hint="default"/>
        </w:rPr>
        <w:t>年度合并及公司现金流量表</w:t>
      </w:r>
    </w:p>
    <w:p>
      <w:pPr>
        <w:spacing w:before="27"/>
        <w:ind w:left="921" w:right="1021"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1"/>
        <w:rPr>
          <w:rFonts w:ascii="Arial" w:hAnsi="Arial" w:cs="Arial" w:eastAsia="Arial"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3654"/>
        <w:gridCol w:w="1133"/>
        <w:gridCol w:w="1457"/>
        <w:gridCol w:w="1310"/>
        <w:gridCol w:w="1311"/>
        <w:gridCol w:w="1310"/>
      </w:tblGrid>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4"/>
                <w:szCs w:val="14"/>
              </w:rPr>
            </w:pPr>
          </w:p>
          <w:p>
            <w:pPr>
              <w:pStyle w:val="TableParagraph"/>
              <w:tabs>
                <w:tab w:pos="904" w:val="left" w:leader="none"/>
              </w:tabs>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8"/>
              <w:ind w:left="545" w:right="312" w:hanging="222"/>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4"/>
                <w:sz w:val="18"/>
                <w:szCs w:val="18"/>
              </w:rPr>
              <w:t> </w:t>
            </w:r>
            <w:r>
              <w:rPr>
                <w:rFonts w:ascii="宋体" w:hAnsi="宋体" w:cs="宋体" w:eastAsia="宋体" w:hint="default"/>
                <w:sz w:val="18"/>
                <w:szCs w:val="18"/>
              </w:rPr>
              <w:t>年度 合并</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8"/>
              <w:ind w:left="475" w:right="245" w:hanging="216"/>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年度 合并</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8"/>
              <w:ind w:left="475" w:right="239" w:hanging="224"/>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年度 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8"/>
              <w:ind w:left="472" w:right="247" w:hanging="216"/>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年度 公司</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黑体" w:hAnsi="黑体" w:cs="黑体" w:eastAsia="黑体" w:hint="default"/>
                <w:b/>
                <w:bCs/>
                <w:sz w:val="18"/>
                <w:szCs w:val="18"/>
              </w:rPr>
              <w:t>一、经营活动产生的现金流量</w:t>
            </w:r>
            <w:r>
              <w:rPr>
                <w:rFonts w:ascii="黑体" w:hAnsi="黑体" w:cs="黑体" w:eastAsia="黑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3" w:right="0"/>
              <w:jc w:val="left"/>
              <w:rPr>
                <w:rFonts w:ascii="Arial" w:hAnsi="Arial" w:cs="Arial" w:eastAsia="Arial" w:hint="default"/>
                <w:sz w:val="18"/>
                <w:szCs w:val="18"/>
              </w:rPr>
            </w:pPr>
            <w:r>
              <w:rPr>
                <w:rFonts w:ascii="Arial"/>
                <w:sz w:val="18"/>
              </w:rPr>
              <w:t>112,468,540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5"/>
              <w:jc w:val="right"/>
              <w:rPr>
                <w:rFonts w:ascii="Arial" w:hAnsi="Arial" w:cs="Arial" w:eastAsia="Arial" w:hint="default"/>
                <w:sz w:val="18"/>
                <w:szCs w:val="18"/>
              </w:rPr>
            </w:pPr>
            <w:r>
              <w:rPr>
                <w:rFonts w:ascii="Arial"/>
                <w:spacing w:val="-1"/>
                <w:sz w:val="18"/>
              </w:rPr>
              <w:t>107,078,755</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5"/>
              <w:jc w:val="right"/>
              <w:rPr>
                <w:rFonts w:ascii="Arial" w:hAnsi="Arial" w:cs="Arial" w:eastAsia="Arial" w:hint="default"/>
                <w:sz w:val="18"/>
                <w:szCs w:val="18"/>
              </w:rPr>
            </w:pPr>
            <w:r>
              <w:rPr>
                <w:rFonts w:ascii="Arial"/>
                <w:spacing w:val="-1"/>
                <w:sz w:val="18"/>
              </w:rPr>
              <w:t>71,062,464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0" w:right="0"/>
              <w:jc w:val="left"/>
              <w:rPr>
                <w:rFonts w:ascii="Arial" w:hAnsi="Arial" w:cs="Arial" w:eastAsia="Arial" w:hint="default"/>
                <w:sz w:val="18"/>
                <w:szCs w:val="18"/>
              </w:rPr>
            </w:pPr>
            <w:r>
              <w:rPr>
                <w:rFonts w:ascii="Arial"/>
                <w:sz w:val="18"/>
              </w:rPr>
              <w:t>69,982,469</w:t>
            </w:r>
          </w:p>
        </w:tc>
      </w:tr>
      <w:tr>
        <w:trPr>
          <w:trHeight w:val="32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1"/>
              <w:jc w:val="right"/>
              <w:rPr>
                <w:rFonts w:ascii="Arial" w:hAnsi="Arial" w:cs="Arial" w:eastAsia="Arial" w:hint="default"/>
                <w:sz w:val="18"/>
                <w:szCs w:val="18"/>
              </w:rPr>
            </w:pPr>
            <w:r>
              <w:rPr>
                <w:rFonts w:ascii="Arial"/>
                <w:w w:val="95"/>
                <w:sz w:val="18"/>
              </w:rPr>
              <w:t>3,122</w:t>
            </w:r>
            <w:r>
              <w:rPr>
                <w:rFonts w:ascii="Arial"/>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5"/>
              <w:jc w:val="right"/>
              <w:rPr>
                <w:rFonts w:ascii="Arial" w:hAnsi="Arial" w:cs="Arial" w:eastAsia="Arial" w:hint="default"/>
                <w:sz w:val="18"/>
                <w:szCs w:val="18"/>
              </w:rPr>
            </w:pPr>
            <w:r>
              <w:rPr>
                <w:rFonts w:ascii="Arial"/>
                <w:w w:val="95"/>
                <w:sz w:val="18"/>
              </w:rPr>
              <w:t>2,986</w:t>
            </w:r>
            <w:r>
              <w:rPr>
                <w:rFonts w:ascii="Arial"/>
                <w:sz w:val="18"/>
              </w:rPr>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5"/>
              <w:jc w:val="right"/>
              <w:rPr>
                <w:rFonts w:ascii="Arial" w:hAnsi="Arial" w:cs="Arial" w:eastAsia="Arial" w:hint="default"/>
                <w:sz w:val="18"/>
                <w:szCs w:val="18"/>
              </w:rPr>
            </w:pPr>
            <w:r>
              <w:rPr>
                <w:rFonts w:ascii="Arial"/>
                <w:w w:val="99"/>
                <w:sz w:val="18"/>
              </w:rPr>
              <w:t>-</w:t>
            </w:r>
            <w:r>
              <w:rPr>
                <w:rFonts w:ascii="Arial"/>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7"/>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.50(a)</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0" w:right="0"/>
              <w:jc w:val="left"/>
              <w:rPr>
                <w:rFonts w:ascii="Arial" w:hAnsi="Arial" w:cs="Arial" w:eastAsia="Arial" w:hint="default"/>
                <w:sz w:val="18"/>
                <w:szCs w:val="18"/>
              </w:rPr>
            </w:pPr>
            <w:r>
              <w:rPr>
                <w:rFonts w:ascii="Arial"/>
                <w:sz w:val="18"/>
              </w:rPr>
              <w:t>1,604,338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5"/>
              <w:jc w:val="right"/>
              <w:rPr>
                <w:rFonts w:ascii="Arial" w:hAnsi="Arial" w:cs="Arial" w:eastAsia="Arial" w:hint="default"/>
                <w:sz w:val="18"/>
                <w:szCs w:val="18"/>
              </w:rPr>
            </w:pPr>
            <w:r>
              <w:rPr>
                <w:rFonts w:ascii="Arial"/>
                <w:spacing w:val="-1"/>
                <w:sz w:val="18"/>
              </w:rPr>
              <w:t>2,809,980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7"/>
              <w:jc w:val="right"/>
              <w:rPr>
                <w:rFonts w:ascii="Arial" w:hAnsi="Arial" w:cs="Arial" w:eastAsia="Arial" w:hint="default"/>
                <w:sz w:val="18"/>
                <w:szCs w:val="18"/>
              </w:rPr>
            </w:pPr>
            <w:r>
              <w:rPr>
                <w:rFonts w:ascii="Arial"/>
                <w:spacing w:val="-1"/>
                <w:sz w:val="18"/>
              </w:rPr>
              <w:t>561,636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7" w:right="0"/>
              <w:jc w:val="left"/>
              <w:rPr>
                <w:rFonts w:ascii="Arial" w:hAnsi="Arial" w:cs="Arial" w:eastAsia="Arial" w:hint="default"/>
                <w:sz w:val="18"/>
                <w:szCs w:val="18"/>
              </w:rPr>
            </w:pPr>
            <w:r>
              <w:rPr>
                <w:rFonts w:ascii="Arial"/>
                <w:sz w:val="18"/>
              </w:rPr>
              <w:t>403,002</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2" w:right="0"/>
              <w:jc w:val="left"/>
              <w:rPr>
                <w:rFonts w:ascii="黑体" w:hAnsi="黑体" w:cs="黑体" w:eastAsia="黑体" w:hint="default"/>
                <w:sz w:val="18"/>
                <w:szCs w:val="18"/>
              </w:rPr>
            </w:pPr>
            <w:r>
              <w:rPr>
                <w:rFonts w:ascii="黑体" w:hAnsi="黑体" w:cs="黑体" w:eastAsia="黑体" w:hint="default"/>
                <w:b/>
                <w:bCs/>
                <w:sz w:val="18"/>
                <w:szCs w:val="18"/>
              </w:rPr>
              <w:t>经营活动现金流入小计</w:t>
            </w:r>
            <w:r>
              <w:rPr>
                <w:rFonts w:ascii="黑体" w:hAnsi="黑体" w:cs="黑体" w:eastAsia="黑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1"/>
              <w:jc w:val="right"/>
              <w:rPr>
                <w:rFonts w:ascii="Arial" w:hAnsi="Arial" w:cs="Arial" w:eastAsia="Arial" w:hint="default"/>
                <w:sz w:val="18"/>
                <w:szCs w:val="18"/>
              </w:rPr>
            </w:pPr>
            <w:r>
              <w:rPr>
                <w:rFonts w:ascii="Arial"/>
                <w:spacing w:val="-2"/>
                <w:sz w:val="18"/>
              </w:rPr>
              <w:t>114,076,000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8"/>
              <w:jc w:val="right"/>
              <w:rPr>
                <w:rFonts w:ascii="Arial" w:hAnsi="Arial" w:cs="Arial" w:eastAsia="Arial" w:hint="default"/>
                <w:sz w:val="18"/>
                <w:szCs w:val="18"/>
              </w:rPr>
            </w:pPr>
            <w:r>
              <w:rPr>
                <w:rFonts w:ascii="Arial"/>
                <w:spacing w:val="-1"/>
                <w:sz w:val="18"/>
              </w:rPr>
              <w:t>109,891,721</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5"/>
              <w:jc w:val="right"/>
              <w:rPr>
                <w:rFonts w:ascii="Arial" w:hAnsi="Arial" w:cs="Arial" w:eastAsia="Arial" w:hint="default"/>
                <w:sz w:val="18"/>
                <w:szCs w:val="18"/>
              </w:rPr>
            </w:pPr>
            <w:r>
              <w:rPr>
                <w:rFonts w:ascii="Arial"/>
                <w:spacing w:val="-1"/>
                <w:sz w:val="18"/>
              </w:rPr>
              <w:t>71,624,100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0" w:right="0"/>
              <w:jc w:val="left"/>
              <w:rPr>
                <w:rFonts w:ascii="Arial" w:hAnsi="Arial" w:cs="Arial" w:eastAsia="Arial" w:hint="default"/>
                <w:sz w:val="18"/>
                <w:szCs w:val="18"/>
              </w:rPr>
            </w:pPr>
            <w:r>
              <w:rPr>
                <w:rFonts w:ascii="Arial"/>
                <w:sz w:val="18"/>
              </w:rPr>
              <w:t>70,385,471</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0"/>
              <w:jc w:val="right"/>
              <w:rPr>
                <w:rFonts w:ascii="Arial" w:hAnsi="Arial" w:cs="Arial" w:eastAsia="Arial" w:hint="default"/>
                <w:sz w:val="18"/>
                <w:szCs w:val="18"/>
              </w:rPr>
            </w:pPr>
            <w:r>
              <w:rPr>
                <w:rFonts w:ascii="Arial"/>
                <w:spacing w:val="-1"/>
                <w:sz w:val="18"/>
              </w:rPr>
              <w:t>(91,204,379)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Arial" w:hAnsi="Arial" w:cs="Arial" w:eastAsia="Arial" w:hint="default"/>
                <w:sz w:val="18"/>
                <w:szCs w:val="18"/>
              </w:rPr>
            </w:pPr>
            <w:r>
              <w:rPr>
                <w:rFonts w:ascii="Arial"/>
                <w:spacing w:val="-1"/>
                <w:sz w:val="18"/>
              </w:rPr>
              <w:t>(86,764,974)</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Arial" w:hAnsi="Arial" w:cs="Arial" w:eastAsia="Arial" w:hint="default"/>
                <w:sz w:val="18"/>
                <w:szCs w:val="18"/>
              </w:rPr>
            </w:pPr>
            <w:r>
              <w:rPr>
                <w:rFonts w:ascii="Arial"/>
                <w:spacing w:val="-1"/>
                <w:sz w:val="18"/>
              </w:rPr>
              <w:t>(66,086,881)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Arial" w:hAnsi="Arial" w:cs="Arial" w:eastAsia="Arial" w:hint="default"/>
                <w:sz w:val="18"/>
                <w:szCs w:val="18"/>
              </w:rPr>
            </w:pPr>
            <w:r>
              <w:rPr>
                <w:rFonts w:ascii="Arial"/>
                <w:spacing w:val="-1"/>
                <w:sz w:val="18"/>
              </w:rPr>
              <w:t>(63,335,490)</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4"/>
              <w:jc w:val="right"/>
              <w:rPr>
                <w:rFonts w:ascii="Arial" w:hAnsi="Arial" w:cs="Arial" w:eastAsia="Arial" w:hint="default"/>
                <w:sz w:val="18"/>
                <w:szCs w:val="18"/>
              </w:rPr>
            </w:pPr>
            <w:r>
              <w:rPr>
                <w:rFonts w:ascii="Arial"/>
                <w:spacing w:val="-1"/>
                <w:sz w:val="18"/>
              </w:rPr>
              <w:t>(4,356,400)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Arial" w:hAnsi="Arial" w:cs="Arial" w:eastAsia="Arial" w:hint="default"/>
                <w:sz w:val="18"/>
                <w:szCs w:val="18"/>
              </w:rPr>
            </w:pPr>
            <w:r>
              <w:rPr>
                <w:rFonts w:ascii="Arial"/>
                <w:spacing w:val="-1"/>
                <w:sz w:val="18"/>
              </w:rPr>
              <w:t>(3,923,252)</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Arial" w:hAnsi="Arial" w:cs="Arial" w:eastAsia="Arial" w:hint="default"/>
                <w:sz w:val="18"/>
                <w:szCs w:val="18"/>
              </w:rPr>
            </w:pPr>
            <w:r>
              <w:rPr>
                <w:rFonts w:ascii="Arial"/>
                <w:spacing w:val="-1"/>
                <w:sz w:val="18"/>
              </w:rPr>
              <w:t>(588,273)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Arial" w:hAnsi="Arial" w:cs="Arial" w:eastAsia="Arial" w:hint="default"/>
                <w:sz w:val="18"/>
                <w:szCs w:val="18"/>
              </w:rPr>
            </w:pPr>
            <w:r>
              <w:rPr>
                <w:rFonts w:ascii="Arial"/>
                <w:spacing w:val="-1"/>
                <w:sz w:val="18"/>
              </w:rPr>
              <w:t>(755,155)</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4"/>
              <w:jc w:val="right"/>
              <w:rPr>
                <w:rFonts w:ascii="Arial" w:hAnsi="Arial" w:cs="Arial" w:eastAsia="Arial" w:hint="default"/>
                <w:sz w:val="18"/>
                <w:szCs w:val="18"/>
              </w:rPr>
            </w:pPr>
            <w:r>
              <w:rPr>
                <w:rFonts w:ascii="Arial"/>
                <w:spacing w:val="-1"/>
                <w:sz w:val="18"/>
              </w:rPr>
              <w:t>(3,832,920)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Arial" w:hAnsi="Arial" w:cs="Arial" w:eastAsia="Arial" w:hint="default"/>
                <w:sz w:val="18"/>
                <w:szCs w:val="18"/>
              </w:rPr>
            </w:pPr>
            <w:r>
              <w:rPr>
                <w:rFonts w:ascii="Arial"/>
                <w:spacing w:val="-1"/>
                <w:sz w:val="18"/>
              </w:rPr>
              <w:t>(4,250,251)</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Arial" w:hAnsi="Arial" w:cs="Arial" w:eastAsia="Arial" w:hint="default"/>
                <w:sz w:val="18"/>
                <w:szCs w:val="18"/>
              </w:rPr>
            </w:pPr>
            <w:r>
              <w:rPr>
                <w:rFonts w:ascii="Arial"/>
                <w:spacing w:val="-1"/>
                <w:sz w:val="18"/>
              </w:rPr>
              <w:t>(817,626)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Arial" w:hAnsi="Arial" w:cs="Arial" w:eastAsia="Arial" w:hint="default"/>
                <w:sz w:val="18"/>
                <w:szCs w:val="18"/>
              </w:rPr>
            </w:pPr>
            <w:r>
              <w:rPr>
                <w:rFonts w:ascii="Arial"/>
                <w:spacing w:val="-1"/>
                <w:sz w:val="18"/>
              </w:rPr>
              <w:t>(1,343,536)</w:t>
            </w:r>
          </w:p>
        </w:tc>
      </w:tr>
      <w:tr>
        <w:trPr>
          <w:trHeight w:val="325"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.50(b)</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4"/>
              <w:jc w:val="right"/>
              <w:rPr>
                <w:rFonts w:ascii="Arial" w:hAnsi="Arial" w:cs="Arial" w:eastAsia="Arial" w:hint="default"/>
                <w:sz w:val="18"/>
                <w:szCs w:val="18"/>
              </w:rPr>
            </w:pPr>
            <w:r>
              <w:rPr>
                <w:rFonts w:ascii="Arial"/>
                <w:spacing w:val="-1"/>
                <w:sz w:val="18"/>
              </w:rPr>
              <w:t>(9,382,860)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(8,364,724)</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(349,208)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(2,021,675)</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2" w:right="0"/>
              <w:jc w:val="left"/>
              <w:rPr>
                <w:rFonts w:ascii="黑体" w:hAnsi="黑体" w:cs="黑体" w:eastAsia="黑体" w:hint="default"/>
                <w:sz w:val="18"/>
                <w:szCs w:val="18"/>
              </w:rPr>
            </w:pPr>
            <w:r>
              <w:rPr>
                <w:rFonts w:ascii="黑体" w:hAnsi="黑体" w:cs="黑体" w:eastAsia="黑体" w:hint="default"/>
                <w:b/>
                <w:bCs/>
                <w:sz w:val="18"/>
                <w:szCs w:val="18"/>
              </w:rPr>
              <w:t>经营活动现金流出小计</w:t>
            </w:r>
            <w:r>
              <w:rPr>
                <w:rFonts w:ascii="黑体" w:hAnsi="黑体" w:cs="黑体" w:eastAsia="黑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7"/>
              <w:jc w:val="right"/>
              <w:rPr>
                <w:rFonts w:ascii="Arial" w:hAnsi="Arial" w:cs="Arial" w:eastAsia="Arial" w:hint="default"/>
                <w:sz w:val="18"/>
                <w:szCs w:val="18"/>
              </w:rPr>
            </w:pPr>
            <w:r>
              <w:rPr>
                <w:rFonts w:ascii="Arial"/>
                <w:spacing w:val="-1"/>
                <w:sz w:val="18"/>
              </w:rPr>
              <w:t>(108,776,559)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Arial" w:hAnsi="Arial" w:cs="Arial" w:eastAsia="Arial" w:hint="default"/>
                <w:sz w:val="18"/>
                <w:szCs w:val="18"/>
              </w:rPr>
            </w:pPr>
            <w:r>
              <w:rPr>
                <w:rFonts w:ascii="Arial"/>
                <w:spacing w:val="-1"/>
                <w:sz w:val="18"/>
              </w:rPr>
              <w:t>(103,303,201)</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Arial" w:hAnsi="Arial" w:cs="Arial" w:eastAsia="Arial" w:hint="default"/>
                <w:sz w:val="18"/>
                <w:szCs w:val="18"/>
              </w:rPr>
            </w:pPr>
            <w:r>
              <w:rPr>
                <w:rFonts w:ascii="Arial"/>
                <w:spacing w:val="-1"/>
                <w:sz w:val="18"/>
              </w:rPr>
              <w:t>(67,841,988)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Arial" w:hAnsi="Arial" w:cs="Arial" w:eastAsia="Arial" w:hint="default"/>
                <w:sz w:val="18"/>
                <w:szCs w:val="18"/>
              </w:rPr>
            </w:pPr>
            <w:r>
              <w:rPr>
                <w:rFonts w:ascii="Arial"/>
                <w:spacing w:val="-1"/>
                <w:sz w:val="18"/>
              </w:rPr>
              <w:t>(67,455,856)</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left="192" w:right="0"/>
              <w:jc w:val="left"/>
              <w:rPr>
                <w:rFonts w:ascii="黑体" w:hAnsi="黑体" w:cs="黑体" w:eastAsia="黑体" w:hint="default"/>
                <w:sz w:val="18"/>
                <w:szCs w:val="18"/>
              </w:rPr>
            </w:pPr>
            <w:r>
              <w:rPr>
                <w:rFonts w:ascii="黑体" w:hAnsi="黑体" w:cs="黑体" w:eastAsia="黑体" w:hint="default"/>
                <w:b/>
                <w:bCs/>
                <w:sz w:val="18"/>
                <w:szCs w:val="18"/>
              </w:rPr>
              <w:t>经营活动产生的现金流量净额</w:t>
            </w:r>
            <w:r>
              <w:rPr>
                <w:rFonts w:ascii="黑体" w:hAnsi="黑体" w:cs="黑体" w:eastAsia="黑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center"/>
              <w:rPr>
                <w:rFonts w:ascii="宋体" w:hAnsi="宋体" w:cs="宋体" w:eastAsia="宋体" w:hint="default"/>
                <w:sz w:val="18"/>
                <w:szCs w:val="18"/>
              </w:rPr>
            </w:pPr>
            <w:r>
              <w:rPr>
                <w:rFonts w:ascii="宋体" w:hAnsi="宋体" w:cs="宋体" w:eastAsia="宋体" w:hint="default"/>
                <w:sz w:val="18"/>
                <w:szCs w:val="18"/>
              </w:rPr>
              <w:t>五</w:t>
            </w:r>
            <w:r>
              <w:rPr>
                <w:rFonts w:ascii="Arial" w:hAnsi="Arial" w:cs="Arial" w:eastAsia="Arial" w:hint="default"/>
                <w:sz w:val="18"/>
                <w:szCs w:val="18"/>
              </w:rPr>
              <w:t>.51(a)</w:t>
            </w:r>
            <w:r>
              <w:rPr>
                <w:rFonts w:ascii="宋体" w:hAnsi="宋体" w:cs="宋体" w:eastAsia="宋体" w:hint="default"/>
                <w:sz w:val="18"/>
                <w:szCs w:val="18"/>
              </w:rPr>
              <w:t>、十</w:t>
            </w:r>
          </w:p>
          <w:p>
            <w:pPr>
              <w:pStyle w:val="TableParagraph"/>
              <w:spacing w:line="240" w:lineRule="auto" w:before="63"/>
              <w:ind w:right="22"/>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.6(a)</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340" w:right="0"/>
              <w:jc w:val="left"/>
              <w:rPr>
                <w:rFonts w:ascii="Arial" w:hAnsi="Arial" w:cs="Arial" w:eastAsia="Arial" w:hint="default"/>
                <w:sz w:val="18"/>
                <w:szCs w:val="18"/>
              </w:rPr>
            </w:pPr>
            <w:r>
              <w:rPr>
                <w:rFonts w:ascii="Arial"/>
                <w:sz w:val="18"/>
              </w:rPr>
              <w:t>5,299,441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155"/>
              <w:jc w:val="right"/>
              <w:rPr>
                <w:rFonts w:ascii="Arial" w:hAnsi="Arial" w:cs="Arial" w:eastAsia="Arial" w:hint="default"/>
                <w:sz w:val="18"/>
                <w:szCs w:val="18"/>
              </w:rPr>
            </w:pPr>
            <w:r>
              <w:rPr>
                <w:rFonts w:ascii="Arial"/>
                <w:spacing w:val="-1"/>
                <w:sz w:val="18"/>
              </w:rPr>
              <w:t>6,588,520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157"/>
              <w:jc w:val="right"/>
              <w:rPr>
                <w:rFonts w:ascii="Arial" w:hAnsi="Arial" w:cs="Arial" w:eastAsia="Arial" w:hint="default"/>
                <w:sz w:val="18"/>
                <w:szCs w:val="18"/>
              </w:rPr>
            </w:pPr>
            <w:r>
              <w:rPr>
                <w:rFonts w:ascii="Arial"/>
                <w:spacing w:val="-2"/>
                <w:sz w:val="18"/>
              </w:rPr>
              <w:t>3,782,112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338" w:right="0"/>
              <w:jc w:val="left"/>
              <w:rPr>
                <w:rFonts w:ascii="Arial" w:hAnsi="Arial" w:cs="Arial" w:eastAsia="Arial" w:hint="default"/>
                <w:sz w:val="18"/>
                <w:szCs w:val="18"/>
              </w:rPr>
            </w:pPr>
            <w:r>
              <w:rPr>
                <w:rFonts w:ascii="Arial"/>
                <w:sz w:val="18"/>
              </w:rPr>
              <w:t>2,929,615</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黑体" w:hAnsi="黑体" w:cs="黑体" w:eastAsia="黑体" w:hint="default"/>
                <w:b/>
                <w:bCs/>
                <w:sz w:val="18"/>
                <w:szCs w:val="18"/>
              </w:rPr>
              <w:t>二、投资活动产生的现金流量</w:t>
            </w:r>
            <w:r>
              <w:rPr>
                <w:rFonts w:ascii="黑体" w:hAnsi="黑体" w:cs="黑体" w:eastAsia="黑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2"/>
              <w:jc w:val="right"/>
              <w:rPr>
                <w:rFonts w:ascii="Arial" w:hAnsi="Arial" w:cs="Arial" w:eastAsia="Arial" w:hint="default"/>
                <w:sz w:val="18"/>
                <w:szCs w:val="18"/>
              </w:rPr>
            </w:pPr>
            <w:r>
              <w:rPr>
                <w:rFonts w:ascii="Arial"/>
                <w:w w:val="95"/>
                <w:sz w:val="18"/>
              </w:rPr>
              <w:t>333</w:t>
            </w:r>
            <w:r>
              <w:rPr>
                <w:rFonts w:ascii="Arial"/>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7"/>
              <w:jc w:val="right"/>
              <w:rPr>
                <w:rFonts w:ascii="Arial" w:hAnsi="Arial" w:cs="Arial" w:eastAsia="Arial" w:hint="default"/>
                <w:sz w:val="18"/>
                <w:szCs w:val="18"/>
              </w:rPr>
            </w:pPr>
            <w:r>
              <w:rPr>
                <w:rFonts w:ascii="Arial"/>
                <w:spacing w:val="-1"/>
                <w:sz w:val="18"/>
              </w:rPr>
              <w:t>700,000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5"/>
              <w:jc w:val="right"/>
              <w:rPr>
                <w:rFonts w:ascii="Arial" w:hAnsi="Arial" w:cs="Arial" w:eastAsia="Arial" w:hint="default"/>
                <w:sz w:val="18"/>
                <w:szCs w:val="18"/>
              </w:rPr>
            </w:pPr>
            <w:r>
              <w:rPr>
                <w:rFonts w:ascii="Arial"/>
                <w:w w:val="99"/>
                <w:sz w:val="18"/>
              </w:rPr>
              <w:t>-</w:t>
            </w:r>
            <w:r>
              <w:rPr>
                <w:rFonts w:ascii="Arial"/>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7" w:right="0"/>
              <w:jc w:val="left"/>
              <w:rPr>
                <w:rFonts w:ascii="Arial" w:hAnsi="Arial" w:cs="Arial" w:eastAsia="Arial" w:hint="default"/>
                <w:sz w:val="18"/>
                <w:szCs w:val="18"/>
              </w:rPr>
            </w:pPr>
            <w:r>
              <w:rPr>
                <w:rFonts w:ascii="Arial"/>
                <w:sz w:val="18"/>
              </w:rPr>
              <w:t>706,070</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0" w:right="0"/>
              <w:jc w:val="left"/>
              <w:rPr>
                <w:rFonts w:ascii="Arial" w:hAnsi="Arial" w:cs="Arial" w:eastAsia="Arial" w:hint="default"/>
                <w:sz w:val="18"/>
                <w:szCs w:val="18"/>
              </w:rPr>
            </w:pPr>
            <w:r>
              <w:rPr>
                <w:rFonts w:ascii="Arial"/>
                <w:sz w:val="18"/>
              </w:rPr>
              <w:t>12,508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7"/>
              <w:jc w:val="right"/>
              <w:rPr>
                <w:rFonts w:ascii="Arial" w:hAnsi="Arial" w:cs="Arial" w:eastAsia="Arial" w:hint="default"/>
                <w:sz w:val="18"/>
                <w:szCs w:val="18"/>
              </w:rPr>
            </w:pPr>
            <w:r>
              <w:rPr>
                <w:rFonts w:ascii="Arial"/>
                <w:spacing w:val="-1"/>
                <w:sz w:val="18"/>
              </w:rPr>
              <w:t>12,000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7"/>
              <w:jc w:val="right"/>
              <w:rPr>
                <w:rFonts w:ascii="Arial" w:hAnsi="Arial" w:cs="Arial" w:eastAsia="Arial" w:hint="default"/>
                <w:sz w:val="18"/>
                <w:szCs w:val="18"/>
              </w:rPr>
            </w:pPr>
            <w:r>
              <w:rPr>
                <w:rFonts w:ascii="Arial"/>
                <w:spacing w:val="-1"/>
                <w:sz w:val="18"/>
              </w:rPr>
              <w:t>12,000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1"/>
              <w:jc w:val="right"/>
              <w:rPr>
                <w:rFonts w:ascii="Arial" w:hAnsi="Arial" w:cs="Arial" w:eastAsia="Arial" w:hint="default"/>
                <w:sz w:val="18"/>
                <w:szCs w:val="18"/>
              </w:rPr>
            </w:pPr>
            <w:r>
              <w:rPr>
                <w:rFonts w:ascii="Arial"/>
                <w:spacing w:val="-1"/>
                <w:sz w:val="18"/>
              </w:rPr>
              <w:t>32,991</w:t>
            </w:r>
          </w:p>
        </w:tc>
      </w:tr>
      <w:tr>
        <w:trPr>
          <w:trHeight w:val="32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取得子公司及其他营业单位收到的现金净额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91"/>
              <w:jc w:val="right"/>
              <w:rPr>
                <w:rFonts w:ascii="Arial" w:hAnsi="Arial" w:cs="Arial" w:eastAsia="Arial" w:hint="default"/>
                <w:sz w:val="18"/>
                <w:szCs w:val="18"/>
              </w:rPr>
            </w:pPr>
            <w:r>
              <w:rPr>
                <w:rFonts w:ascii="Arial"/>
                <w:w w:val="99"/>
                <w:sz w:val="18"/>
              </w:rPr>
              <w:t>-</w:t>
            </w:r>
            <w:r>
              <w:rPr>
                <w:rFonts w:ascii="Arial"/>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7"/>
              <w:jc w:val="right"/>
              <w:rPr>
                <w:rFonts w:ascii="Arial" w:hAnsi="Arial" w:cs="Arial" w:eastAsia="Arial" w:hint="default"/>
                <w:sz w:val="18"/>
                <w:szCs w:val="18"/>
              </w:rPr>
            </w:pPr>
            <w:r>
              <w:rPr>
                <w:rFonts w:ascii="Arial"/>
                <w:spacing w:val="-1"/>
                <w:sz w:val="18"/>
              </w:rPr>
              <w:t>234,459</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5"/>
              <w:jc w:val="right"/>
              <w:rPr>
                <w:rFonts w:ascii="Arial" w:hAnsi="Arial" w:cs="Arial" w:eastAsia="Arial" w:hint="default"/>
                <w:sz w:val="18"/>
                <w:szCs w:val="18"/>
              </w:rPr>
            </w:pPr>
            <w:r>
              <w:rPr>
                <w:rFonts w:ascii="Arial"/>
                <w:w w:val="99"/>
                <w:sz w:val="18"/>
              </w:rPr>
              <w:t>-</w:t>
            </w:r>
            <w:r>
              <w:rPr>
                <w:rFonts w:ascii="Arial"/>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7"/>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处置固定资产收回的现金净额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0" w:right="0"/>
              <w:jc w:val="left"/>
              <w:rPr>
                <w:rFonts w:ascii="Arial" w:hAnsi="Arial" w:cs="Arial" w:eastAsia="Arial" w:hint="default"/>
                <w:sz w:val="18"/>
                <w:szCs w:val="18"/>
              </w:rPr>
            </w:pPr>
            <w:r>
              <w:rPr>
                <w:rFonts w:ascii="Arial"/>
                <w:sz w:val="18"/>
              </w:rPr>
              <w:t>156,728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7"/>
              <w:jc w:val="right"/>
              <w:rPr>
                <w:rFonts w:ascii="Arial" w:hAnsi="Arial" w:cs="Arial" w:eastAsia="Arial" w:hint="default"/>
                <w:sz w:val="18"/>
                <w:szCs w:val="18"/>
              </w:rPr>
            </w:pPr>
            <w:r>
              <w:rPr>
                <w:rFonts w:ascii="Arial"/>
                <w:spacing w:val="-1"/>
                <w:sz w:val="18"/>
              </w:rPr>
              <w:t>46,527</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7"/>
              <w:jc w:val="right"/>
              <w:rPr>
                <w:rFonts w:ascii="Arial" w:hAnsi="Arial" w:cs="Arial" w:eastAsia="Arial" w:hint="default"/>
                <w:sz w:val="18"/>
                <w:szCs w:val="18"/>
              </w:rPr>
            </w:pPr>
            <w:r>
              <w:rPr>
                <w:rFonts w:ascii="Arial"/>
                <w:spacing w:val="-1"/>
                <w:sz w:val="18"/>
              </w:rPr>
              <w:t>208,770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1"/>
              <w:jc w:val="right"/>
              <w:rPr>
                <w:rFonts w:ascii="Arial" w:hAnsi="Arial" w:cs="Arial" w:eastAsia="Arial" w:hint="default"/>
                <w:sz w:val="18"/>
                <w:szCs w:val="18"/>
              </w:rPr>
            </w:pPr>
            <w:r>
              <w:rPr>
                <w:rFonts w:ascii="Arial"/>
                <w:spacing w:val="-1"/>
                <w:sz w:val="18"/>
              </w:rPr>
              <w:t>14,205</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2" w:right="0"/>
              <w:jc w:val="left"/>
              <w:rPr>
                <w:rFonts w:ascii="黑体" w:hAnsi="黑体" w:cs="黑体" w:eastAsia="黑体" w:hint="default"/>
                <w:sz w:val="18"/>
                <w:szCs w:val="18"/>
              </w:rPr>
            </w:pPr>
            <w:r>
              <w:rPr>
                <w:rFonts w:ascii="黑体" w:hAnsi="黑体" w:cs="黑体" w:eastAsia="黑体" w:hint="default"/>
                <w:b/>
                <w:bCs/>
                <w:sz w:val="18"/>
                <w:szCs w:val="18"/>
              </w:rPr>
              <w:t>投资活动现金流入小计</w:t>
            </w:r>
            <w:r>
              <w:rPr>
                <w:rFonts w:ascii="黑体" w:hAnsi="黑体" w:cs="黑体" w:eastAsia="黑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0" w:right="0"/>
              <w:jc w:val="left"/>
              <w:rPr>
                <w:rFonts w:ascii="Arial" w:hAnsi="Arial" w:cs="Arial" w:eastAsia="Arial" w:hint="default"/>
                <w:sz w:val="18"/>
                <w:szCs w:val="18"/>
              </w:rPr>
            </w:pPr>
            <w:r>
              <w:rPr>
                <w:rFonts w:ascii="Arial"/>
                <w:sz w:val="18"/>
              </w:rPr>
              <w:t>169,569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7"/>
              <w:jc w:val="right"/>
              <w:rPr>
                <w:rFonts w:ascii="Arial" w:hAnsi="Arial" w:cs="Arial" w:eastAsia="Arial" w:hint="default"/>
                <w:sz w:val="18"/>
                <w:szCs w:val="18"/>
              </w:rPr>
            </w:pPr>
            <w:r>
              <w:rPr>
                <w:rFonts w:ascii="Arial"/>
                <w:spacing w:val="-1"/>
                <w:sz w:val="18"/>
              </w:rPr>
              <w:t>992,986</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7"/>
              <w:jc w:val="right"/>
              <w:rPr>
                <w:rFonts w:ascii="Arial" w:hAnsi="Arial" w:cs="Arial" w:eastAsia="Arial" w:hint="default"/>
                <w:sz w:val="18"/>
                <w:szCs w:val="18"/>
              </w:rPr>
            </w:pPr>
            <w:r>
              <w:rPr>
                <w:rFonts w:ascii="Arial"/>
                <w:spacing w:val="-1"/>
                <w:sz w:val="18"/>
              </w:rPr>
              <w:t>220,770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7" w:right="0"/>
              <w:jc w:val="left"/>
              <w:rPr>
                <w:rFonts w:ascii="Arial" w:hAnsi="Arial" w:cs="Arial" w:eastAsia="Arial" w:hint="default"/>
                <w:sz w:val="18"/>
                <w:szCs w:val="18"/>
              </w:rPr>
            </w:pPr>
            <w:r>
              <w:rPr>
                <w:rFonts w:ascii="Arial"/>
                <w:sz w:val="18"/>
              </w:rPr>
              <w:t>753,266</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付的现金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244"/>
              <w:jc w:val="right"/>
              <w:rPr>
                <w:rFonts w:ascii="Arial" w:hAnsi="Arial" w:cs="Arial" w:eastAsia="Arial" w:hint="default"/>
                <w:sz w:val="18"/>
                <w:szCs w:val="18"/>
              </w:rPr>
            </w:pPr>
            <w:r>
              <w:rPr>
                <w:rFonts w:ascii="Arial"/>
                <w:spacing w:val="-1"/>
                <w:sz w:val="18"/>
              </w:rPr>
              <w:t>(6,012,465)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97"/>
              <w:jc w:val="right"/>
              <w:rPr>
                <w:rFonts w:ascii="Arial" w:hAnsi="Arial" w:cs="Arial" w:eastAsia="Arial" w:hint="default"/>
                <w:sz w:val="18"/>
                <w:szCs w:val="18"/>
              </w:rPr>
            </w:pPr>
            <w:r>
              <w:rPr>
                <w:rFonts w:ascii="Arial"/>
                <w:spacing w:val="-1"/>
                <w:sz w:val="18"/>
              </w:rPr>
              <w:t>(6,093,596)</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97"/>
              <w:jc w:val="right"/>
              <w:rPr>
                <w:rFonts w:ascii="Arial" w:hAnsi="Arial" w:cs="Arial" w:eastAsia="Arial" w:hint="default"/>
                <w:sz w:val="18"/>
                <w:szCs w:val="18"/>
              </w:rPr>
            </w:pPr>
            <w:r>
              <w:rPr>
                <w:rFonts w:ascii="Arial"/>
                <w:spacing w:val="-1"/>
                <w:sz w:val="18"/>
              </w:rPr>
              <w:t>(888,432)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100"/>
              <w:jc w:val="right"/>
              <w:rPr>
                <w:rFonts w:ascii="Arial" w:hAnsi="Arial" w:cs="Arial" w:eastAsia="Arial" w:hint="default"/>
                <w:sz w:val="18"/>
                <w:szCs w:val="18"/>
              </w:rPr>
            </w:pPr>
            <w:r>
              <w:rPr>
                <w:rFonts w:ascii="Arial"/>
                <w:spacing w:val="-1"/>
                <w:sz w:val="18"/>
              </w:rPr>
              <w:t>(1,072,794)</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3"/>
              <w:jc w:val="right"/>
              <w:rPr>
                <w:rFonts w:ascii="Arial" w:hAnsi="Arial" w:cs="Arial" w:eastAsia="Arial" w:hint="default"/>
                <w:sz w:val="18"/>
                <w:szCs w:val="18"/>
              </w:rPr>
            </w:pPr>
            <w:r>
              <w:rPr>
                <w:rFonts w:ascii="Arial"/>
                <w:spacing w:val="-1"/>
                <w:sz w:val="18"/>
              </w:rPr>
              <w:t>(99,062)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6"/>
              <w:jc w:val="right"/>
              <w:rPr>
                <w:rFonts w:ascii="Arial" w:hAnsi="Arial" w:cs="Arial" w:eastAsia="Arial" w:hint="default"/>
                <w:sz w:val="18"/>
                <w:szCs w:val="18"/>
              </w:rPr>
            </w:pPr>
            <w:r>
              <w:rPr>
                <w:rFonts w:ascii="Arial"/>
                <w:w w:val="99"/>
                <w:sz w:val="18"/>
              </w:rPr>
              <w:t>-</w:t>
            </w:r>
            <w:r>
              <w:rPr>
                <w:rFonts w:ascii="Arial"/>
                <w:sz w:val="18"/>
              </w:rPr>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6"/>
              <w:jc w:val="right"/>
              <w:rPr>
                <w:rFonts w:ascii="Arial" w:hAnsi="Arial" w:cs="Arial" w:eastAsia="Arial" w:hint="default"/>
                <w:sz w:val="18"/>
                <w:szCs w:val="18"/>
              </w:rPr>
            </w:pPr>
            <w:r>
              <w:rPr>
                <w:rFonts w:ascii="Arial"/>
                <w:w w:val="99"/>
                <w:sz w:val="18"/>
              </w:rPr>
              <w:t>-</w:t>
            </w:r>
            <w:r>
              <w:rPr>
                <w:rFonts w:ascii="Arial"/>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8"/>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4"/>
              <w:jc w:val="right"/>
              <w:rPr>
                <w:rFonts w:ascii="Arial" w:hAnsi="Arial" w:cs="Arial" w:eastAsia="Arial" w:hint="default"/>
                <w:sz w:val="18"/>
                <w:szCs w:val="18"/>
              </w:rPr>
            </w:pPr>
            <w:r>
              <w:rPr>
                <w:rFonts w:ascii="Arial"/>
                <w:spacing w:val="-1"/>
                <w:sz w:val="18"/>
              </w:rPr>
              <w:t>(194,501)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Arial" w:hAnsi="Arial" w:cs="Arial" w:eastAsia="Arial" w:hint="default"/>
                <w:sz w:val="18"/>
                <w:szCs w:val="18"/>
              </w:rPr>
            </w:pPr>
            <w:r>
              <w:rPr>
                <w:rFonts w:ascii="Arial"/>
                <w:spacing w:val="-1"/>
                <w:sz w:val="18"/>
              </w:rPr>
              <w:t>(889,837)</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Arial" w:hAnsi="Arial" w:cs="Arial" w:eastAsia="Arial" w:hint="default"/>
                <w:sz w:val="18"/>
                <w:szCs w:val="18"/>
              </w:rPr>
            </w:pPr>
            <w:r>
              <w:rPr>
                <w:rFonts w:ascii="Arial"/>
                <w:spacing w:val="-1"/>
                <w:sz w:val="18"/>
              </w:rPr>
              <w:t>(3,647,662)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Arial" w:hAnsi="Arial" w:cs="Arial" w:eastAsia="Arial" w:hint="default"/>
                <w:sz w:val="18"/>
                <w:szCs w:val="18"/>
              </w:rPr>
            </w:pPr>
            <w:r>
              <w:rPr>
                <w:rFonts w:ascii="Arial"/>
                <w:spacing w:val="-1"/>
                <w:sz w:val="18"/>
              </w:rPr>
              <w:t>(2,237,739)</w:t>
            </w:r>
          </w:p>
        </w:tc>
      </w:tr>
      <w:tr>
        <w:trPr>
          <w:trHeight w:val="32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2" w:right="0"/>
              <w:jc w:val="left"/>
              <w:rPr>
                <w:rFonts w:ascii="黑体" w:hAnsi="黑体" w:cs="黑体" w:eastAsia="黑体" w:hint="default"/>
                <w:sz w:val="18"/>
                <w:szCs w:val="18"/>
              </w:rPr>
            </w:pPr>
            <w:r>
              <w:rPr>
                <w:rFonts w:ascii="黑体" w:hAnsi="黑体" w:cs="黑体" w:eastAsia="黑体" w:hint="default"/>
                <w:b/>
                <w:bCs/>
                <w:sz w:val="18"/>
                <w:szCs w:val="18"/>
              </w:rPr>
              <w:t>投资活动现金流出小计</w:t>
            </w:r>
            <w:r>
              <w:rPr>
                <w:rFonts w:ascii="黑体" w:hAnsi="黑体" w:cs="黑体" w:eastAsia="黑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4"/>
              <w:jc w:val="right"/>
              <w:rPr>
                <w:rFonts w:ascii="Arial" w:hAnsi="Arial" w:cs="Arial" w:eastAsia="Arial" w:hint="default"/>
                <w:sz w:val="18"/>
                <w:szCs w:val="18"/>
              </w:rPr>
            </w:pPr>
            <w:r>
              <w:rPr>
                <w:rFonts w:ascii="Arial"/>
                <w:spacing w:val="-1"/>
                <w:sz w:val="18"/>
              </w:rPr>
              <w:t>(6,306,028)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(6,983,433)</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(4,536,094)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(3,310,533)</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2" w:right="0"/>
              <w:jc w:val="left"/>
              <w:rPr>
                <w:rFonts w:ascii="黑体" w:hAnsi="黑体" w:cs="黑体" w:eastAsia="黑体" w:hint="default"/>
                <w:sz w:val="18"/>
                <w:szCs w:val="18"/>
              </w:rPr>
            </w:pPr>
            <w:r>
              <w:rPr>
                <w:rFonts w:ascii="黑体" w:hAnsi="黑体" w:cs="黑体" w:eastAsia="黑体" w:hint="default"/>
                <w:b/>
                <w:bCs/>
                <w:sz w:val="18"/>
                <w:szCs w:val="18"/>
              </w:rPr>
              <w:t>投资活动产生的现金流量净额</w:t>
            </w:r>
            <w:r>
              <w:rPr>
                <w:rFonts w:ascii="黑体" w:hAnsi="黑体" w:cs="黑体" w:eastAsia="黑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4"/>
              <w:jc w:val="right"/>
              <w:rPr>
                <w:rFonts w:ascii="Arial" w:hAnsi="Arial" w:cs="Arial" w:eastAsia="Arial" w:hint="default"/>
                <w:sz w:val="18"/>
                <w:szCs w:val="18"/>
              </w:rPr>
            </w:pPr>
            <w:r>
              <w:rPr>
                <w:rFonts w:ascii="Arial"/>
                <w:spacing w:val="-1"/>
                <w:sz w:val="18"/>
              </w:rPr>
              <w:t>(6,136,459)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Arial" w:hAnsi="Arial" w:cs="Arial" w:eastAsia="Arial" w:hint="default"/>
                <w:sz w:val="18"/>
                <w:szCs w:val="18"/>
              </w:rPr>
            </w:pPr>
            <w:r>
              <w:rPr>
                <w:rFonts w:ascii="Arial"/>
                <w:spacing w:val="-1"/>
                <w:sz w:val="18"/>
              </w:rPr>
              <w:t>(5,990,447)</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Arial" w:hAnsi="Arial" w:cs="Arial" w:eastAsia="Arial" w:hint="default"/>
                <w:sz w:val="18"/>
                <w:szCs w:val="18"/>
              </w:rPr>
            </w:pPr>
            <w:r>
              <w:rPr>
                <w:rFonts w:ascii="Arial"/>
                <w:spacing w:val="-1"/>
                <w:sz w:val="18"/>
              </w:rPr>
              <w:t>(4,315,324)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Arial" w:hAnsi="Arial" w:cs="Arial" w:eastAsia="Arial" w:hint="default"/>
                <w:sz w:val="18"/>
                <w:szCs w:val="18"/>
              </w:rPr>
            </w:pPr>
            <w:r>
              <w:rPr>
                <w:rFonts w:ascii="Arial"/>
                <w:spacing w:val="-1"/>
                <w:sz w:val="18"/>
              </w:rPr>
              <w:t>(2,557,267)</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黑体" w:hAnsi="黑体" w:cs="黑体" w:eastAsia="黑体" w:hint="default"/>
                <w:b/>
                <w:bCs/>
                <w:sz w:val="18"/>
                <w:szCs w:val="18"/>
              </w:rPr>
              <w:t>三、筹资活动产生的现金流量</w:t>
            </w:r>
            <w:r>
              <w:rPr>
                <w:rFonts w:ascii="黑体" w:hAnsi="黑体" w:cs="黑体" w:eastAsia="黑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0" w:right="0"/>
              <w:jc w:val="left"/>
              <w:rPr>
                <w:rFonts w:ascii="Arial" w:hAnsi="Arial" w:cs="Arial" w:eastAsia="Arial" w:hint="default"/>
                <w:sz w:val="18"/>
                <w:szCs w:val="18"/>
              </w:rPr>
            </w:pPr>
            <w:r>
              <w:rPr>
                <w:rFonts w:ascii="Arial"/>
                <w:sz w:val="18"/>
              </w:rPr>
              <w:t>4,748,102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7"/>
              <w:jc w:val="right"/>
              <w:rPr>
                <w:rFonts w:ascii="Arial" w:hAnsi="Arial" w:cs="Arial" w:eastAsia="Arial" w:hint="default"/>
                <w:sz w:val="18"/>
                <w:szCs w:val="18"/>
              </w:rPr>
            </w:pPr>
            <w:r>
              <w:rPr>
                <w:rFonts w:ascii="Arial"/>
                <w:spacing w:val="-1"/>
                <w:sz w:val="18"/>
              </w:rPr>
              <w:t>48,138</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5"/>
              <w:jc w:val="right"/>
              <w:rPr>
                <w:rFonts w:ascii="Arial" w:hAnsi="Arial" w:cs="Arial" w:eastAsia="Arial" w:hint="default"/>
                <w:sz w:val="18"/>
                <w:szCs w:val="18"/>
              </w:rPr>
            </w:pPr>
            <w:r>
              <w:rPr>
                <w:rFonts w:ascii="Arial"/>
                <w:spacing w:val="-1"/>
                <w:sz w:val="18"/>
              </w:rPr>
              <w:t>4,633,093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7"/>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4" w:right="0"/>
              <w:jc w:val="left"/>
              <w:rPr>
                <w:rFonts w:ascii="Arial" w:hAnsi="Arial" w:cs="Arial" w:eastAsia="Arial" w:hint="default"/>
                <w:sz w:val="18"/>
                <w:szCs w:val="18"/>
              </w:rPr>
            </w:pPr>
            <w:r>
              <w:rPr>
                <w:rFonts w:ascii="Arial"/>
                <w:spacing w:val="-3"/>
                <w:sz w:val="18"/>
              </w:rPr>
              <w:t>115,010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5"/>
              <w:jc w:val="right"/>
              <w:rPr>
                <w:rFonts w:ascii="Arial" w:hAnsi="Arial" w:cs="Arial" w:eastAsia="Arial" w:hint="default"/>
                <w:sz w:val="18"/>
                <w:szCs w:val="18"/>
              </w:rPr>
            </w:pPr>
            <w:r>
              <w:rPr>
                <w:rFonts w:ascii="Arial"/>
                <w:spacing w:val="-1"/>
                <w:sz w:val="18"/>
              </w:rPr>
              <w:t>48,138</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5"/>
              <w:jc w:val="right"/>
              <w:rPr>
                <w:rFonts w:ascii="Arial" w:hAnsi="Arial" w:cs="Arial" w:eastAsia="Arial" w:hint="default"/>
                <w:sz w:val="18"/>
                <w:szCs w:val="18"/>
              </w:rPr>
            </w:pPr>
            <w:r>
              <w:rPr>
                <w:rFonts w:ascii="Arial"/>
                <w:w w:val="99"/>
                <w:sz w:val="18"/>
              </w:rPr>
              <w:t>-</w:t>
            </w:r>
            <w:r>
              <w:rPr>
                <w:rFonts w:ascii="Arial"/>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7"/>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0" w:right="0"/>
              <w:jc w:val="left"/>
              <w:rPr>
                <w:rFonts w:ascii="Arial" w:hAnsi="Arial" w:cs="Arial" w:eastAsia="Arial" w:hint="default"/>
                <w:sz w:val="18"/>
                <w:szCs w:val="18"/>
              </w:rPr>
            </w:pPr>
            <w:r>
              <w:rPr>
                <w:rFonts w:ascii="Arial"/>
                <w:sz w:val="18"/>
              </w:rPr>
              <w:t>2,085,571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5"/>
              <w:jc w:val="right"/>
              <w:rPr>
                <w:rFonts w:ascii="Arial" w:hAnsi="Arial" w:cs="Arial" w:eastAsia="Arial" w:hint="default"/>
                <w:sz w:val="18"/>
                <w:szCs w:val="18"/>
              </w:rPr>
            </w:pPr>
            <w:r>
              <w:rPr>
                <w:rFonts w:ascii="Arial"/>
                <w:spacing w:val="-1"/>
                <w:sz w:val="18"/>
              </w:rPr>
              <w:t>1,382,313</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5"/>
              <w:jc w:val="right"/>
              <w:rPr>
                <w:rFonts w:ascii="Arial" w:hAnsi="Arial" w:cs="Arial" w:eastAsia="Arial" w:hint="default"/>
                <w:sz w:val="18"/>
                <w:szCs w:val="18"/>
              </w:rPr>
            </w:pPr>
            <w:r>
              <w:rPr>
                <w:rFonts w:ascii="Arial"/>
                <w:spacing w:val="-1"/>
                <w:sz w:val="18"/>
              </w:rPr>
              <w:t>1,120,000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7" w:right="0"/>
              <w:jc w:val="left"/>
              <w:rPr>
                <w:rFonts w:ascii="Arial" w:hAnsi="Arial" w:cs="Arial" w:eastAsia="Arial" w:hint="default"/>
                <w:sz w:val="18"/>
                <w:szCs w:val="18"/>
              </w:rPr>
            </w:pPr>
            <w:r>
              <w:rPr>
                <w:rFonts w:ascii="Arial"/>
                <w:sz w:val="18"/>
              </w:rPr>
              <w:t>772,686</w:t>
            </w:r>
          </w:p>
        </w:tc>
      </w:tr>
      <w:tr>
        <w:trPr>
          <w:trHeight w:val="32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0" w:right="0"/>
              <w:jc w:val="left"/>
              <w:rPr>
                <w:rFonts w:ascii="Arial" w:hAnsi="Arial" w:cs="Arial" w:eastAsia="Arial" w:hint="default"/>
                <w:sz w:val="18"/>
                <w:szCs w:val="18"/>
              </w:rPr>
            </w:pPr>
            <w:r>
              <w:rPr>
                <w:rFonts w:ascii="Arial"/>
                <w:sz w:val="18"/>
              </w:rPr>
              <w:t>4,500,000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5"/>
              <w:jc w:val="right"/>
              <w:rPr>
                <w:rFonts w:ascii="Arial" w:hAnsi="Arial" w:cs="Arial" w:eastAsia="Arial" w:hint="default"/>
                <w:sz w:val="18"/>
                <w:szCs w:val="18"/>
              </w:rPr>
            </w:pPr>
            <w:r>
              <w:rPr>
                <w:rFonts w:ascii="Arial"/>
                <w:w w:val="99"/>
                <w:sz w:val="18"/>
              </w:rPr>
              <w:t>-</w:t>
            </w:r>
            <w:r>
              <w:rPr>
                <w:rFonts w:ascii="Arial"/>
                <w:sz w:val="18"/>
              </w:rPr>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5"/>
              <w:jc w:val="right"/>
              <w:rPr>
                <w:rFonts w:ascii="Arial" w:hAnsi="Arial" w:cs="Arial" w:eastAsia="Arial" w:hint="default"/>
                <w:sz w:val="18"/>
                <w:szCs w:val="18"/>
              </w:rPr>
            </w:pPr>
            <w:r>
              <w:rPr>
                <w:rFonts w:ascii="Arial"/>
                <w:spacing w:val="-1"/>
                <w:sz w:val="18"/>
              </w:rPr>
              <w:t>4,500,000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7"/>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2" w:right="0"/>
              <w:jc w:val="left"/>
              <w:rPr>
                <w:rFonts w:ascii="黑体" w:hAnsi="黑体" w:cs="黑体" w:eastAsia="黑体" w:hint="default"/>
                <w:sz w:val="18"/>
                <w:szCs w:val="18"/>
              </w:rPr>
            </w:pPr>
            <w:r>
              <w:rPr>
                <w:rFonts w:ascii="黑体" w:hAnsi="黑体" w:cs="黑体" w:eastAsia="黑体" w:hint="default"/>
                <w:b/>
                <w:bCs/>
                <w:sz w:val="18"/>
                <w:szCs w:val="18"/>
              </w:rPr>
              <w:t>筹资活动现金流入小计</w:t>
            </w:r>
            <w:r>
              <w:rPr>
                <w:rFonts w:ascii="黑体" w:hAnsi="黑体" w:cs="黑体" w:eastAsia="黑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4" w:right="0"/>
              <w:jc w:val="left"/>
              <w:rPr>
                <w:rFonts w:ascii="Arial" w:hAnsi="Arial" w:cs="Arial" w:eastAsia="Arial" w:hint="default"/>
                <w:sz w:val="18"/>
                <w:szCs w:val="18"/>
              </w:rPr>
            </w:pPr>
            <w:r>
              <w:rPr>
                <w:rFonts w:ascii="Arial"/>
                <w:sz w:val="18"/>
              </w:rPr>
              <w:t>11,333,673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5"/>
              <w:jc w:val="right"/>
              <w:rPr>
                <w:rFonts w:ascii="Arial" w:hAnsi="Arial" w:cs="Arial" w:eastAsia="Arial" w:hint="default"/>
                <w:sz w:val="18"/>
                <w:szCs w:val="18"/>
              </w:rPr>
            </w:pPr>
            <w:r>
              <w:rPr>
                <w:rFonts w:ascii="Arial"/>
                <w:spacing w:val="-1"/>
                <w:sz w:val="18"/>
              </w:rPr>
              <w:t>1,430,451</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7"/>
              <w:jc w:val="right"/>
              <w:rPr>
                <w:rFonts w:ascii="Arial" w:hAnsi="Arial" w:cs="Arial" w:eastAsia="Arial" w:hint="default"/>
                <w:sz w:val="18"/>
                <w:szCs w:val="18"/>
              </w:rPr>
            </w:pPr>
            <w:r>
              <w:rPr>
                <w:rFonts w:ascii="Arial"/>
                <w:spacing w:val="-1"/>
                <w:sz w:val="18"/>
              </w:rPr>
              <w:t>10,253,093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7" w:right="0"/>
              <w:jc w:val="left"/>
              <w:rPr>
                <w:rFonts w:ascii="Arial" w:hAnsi="Arial" w:cs="Arial" w:eastAsia="Arial" w:hint="default"/>
                <w:sz w:val="18"/>
                <w:szCs w:val="18"/>
              </w:rPr>
            </w:pPr>
            <w:r>
              <w:rPr>
                <w:rFonts w:ascii="Arial"/>
                <w:sz w:val="18"/>
              </w:rPr>
              <w:t>772,686</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4"/>
              <w:jc w:val="right"/>
              <w:rPr>
                <w:rFonts w:ascii="Arial" w:hAnsi="Arial" w:cs="Arial" w:eastAsia="Arial" w:hint="default"/>
                <w:sz w:val="18"/>
                <w:szCs w:val="18"/>
              </w:rPr>
            </w:pPr>
            <w:r>
              <w:rPr>
                <w:rFonts w:ascii="Arial"/>
                <w:spacing w:val="-1"/>
                <w:sz w:val="18"/>
              </w:rPr>
              <w:t>(1,998,766)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Arial" w:hAnsi="Arial" w:cs="Arial" w:eastAsia="Arial" w:hint="default"/>
                <w:sz w:val="18"/>
                <w:szCs w:val="18"/>
              </w:rPr>
            </w:pPr>
            <w:r>
              <w:rPr>
                <w:rFonts w:ascii="Arial"/>
                <w:spacing w:val="-1"/>
                <w:sz w:val="18"/>
              </w:rPr>
              <w:t>(34,416)</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Arial" w:hAnsi="Arial" w:cs="Arial" w:eastAsia="Arial" w:hint="default"/>
                <w:sz w:val="18"/>
                <w:szCs w:val="18"/>
              </w:rPr>
            </w:pPr>
            <w:r>
              <w:rPr>
                <w:rFonts w:ascii="Arial"/>
                <w:spacing w:val="-1"/>
                <w:sz w:val="18"/>
              </w:rPr>
              <w:t>(1,267,686)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7"/>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4"/>
              <w:jc w:val="right"/>
              <w:rPr>
                <w:rFonts w:ascii="Arial" w:hAnsi="Arial" w:cs="Arial" w:eastAsia="Arial" w:hint="default"/>
                <w:sz w:val="18"/>
                <w:szCs w:val="18"/>
              </w:rPr>
            </w:pPr>
            <w:r>
              <w:rPr>
                <w:rFonts w:ascii="Arial"/>
                <w:spacing w:val="-1"/>
                <w:sz w:val="18"/>
              </w:rPr>
              <w:t>(1,133,530)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Arial" w:hAnsi="Arial" w:cs="Arial" w:eastAsia="Arial" w:hint="default"/>
                <w:sz w:val="18"/>
                <w:szCs w:val="18"/>
              </w:rPr>
            </w:pPr>
            <w:r>
              <w:rPr>
                <w:rFonts w:ascii="Arial"/>
                <w:spacing w:val="-1"/>
                <w:sz w:val="18"/>
              </w:rPr>
              <w:t>(716,634)</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Arial" w:hAnsi="Arial" w:cs="Arial" w:eastAsia="Arial" w:hint="default"/>
                <w:sz w:val="18"/>
                <w:szCs w:val="18"/>
              </w:rPr>
            </w:pPr>
            <w:r>
              <w:rPr>
                <w:rFonts w:ascii="Arial"/>
                <w:spacing w:val="-3"/>
                <w:sz w:val="18"/>
              </w:rPr>
              <w:t>(1,111,807)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Arial" w:hAnsi="Arial" w:cs="Arial" w:eastAsia="Arial" w:hint="default"/>
                <w:sz w:val="18"/>
                <w:szCs w:val="18"/>
              </w:rPr>
            </w:pPr>
            <w:r>
              <w:rPr>
                <w:rFonts w:ascii="Arial"/>
                <w:spacing w:val="-1"/>
                <w:sz w:val="18"/>
              </w:rPr>
              <w:t>(700,715)</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.50(c)</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3"/>
              <w:jc w:val="right"/>
              <w:rPr>
                <w:rFonts w:ascii="Arial" w:hAnsi="Arial" w:cs="Arial" w:eastAsia="Arial" w:hint="default"/>
                <w:sz w:val="18"/>
                <w:szCs w:val="18"/>
              </w:rPr>
            </w:pPr>
            <w:r>
              <w:rPr>
                <w:rFonts w:ascii="Arial"/>
                <w:spacing w:val="-1"/>
                <w:sz w:val="18"/>
              </w:rPr>
              <w:t>(34,276)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5"/>
              <w:jc w:val="right"/>
              <w:rPr>
                <w:rFonts w:ascii="Arial" w:hAnsi="Arial" w:cs="Arial" w:eastAsia="Arial" w:hint="default"/>
                <w:sz w:val="18"/>
                <w:szCs w:val="18"/>
              </w:rPr>
            </w:pPr>
            <w:r>
              <w:rPr>
                <w:rFonts w:ascii="Arial"/>
                <w:w w:val="99"/>
                <w:sz w:val="18"/>
              </w:rPr>
              <w:t>-</w:t>
            </w:r>
            <w:r>
              <w:rPr>
                <w:rFonts w:ascii="Arial"/>
                <w:sz w:val="18"/>
              </w:rPr>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Arial" w:hAnsi="Arial" w:cs="Arial" w:eastAsia="Arial" w:hint="default"/>
                <w:sz w:val="18"/>
                <w:szCs w:val="18"/>
              </w:rPr>
            </w:pPr>
            <w:r>
              <w:rPr>
                <w:rFonts w:ascii="Arial"/>
                <w:spacing w:val="-1"/>
                <w:sz w:val="18"/>
              </w:rPr>
              <w:t>(34,276)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7"/>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2" w:right="0"/>
              <w:jc w:val="left"/>
              <w:rPr>
                <w:rFonts w:ascii="黑体" w:hAnsi="黑体" w:cs="黑体" w:eastAsia="黑体" w:hint="default"/>
                <w:sz w:val="18"/>
                <w:szCs w:val="18"/>
              </w:rPr>
            </w:pPr>
            <w:r>
              <w:rPr>
                <w:rFonts w:ascii="黑体" w:hAnsi="黑体" w:cs="黑体" w:eastAsia="黑体" w:hint="default"/>
                <w:b/>
                <w:bCs/>
                <w:sz w:val="18"/>
                <w:szCs w:val="18"/>
              </w:rPr>
              <w:t>筹资活动现金流出小计</w:t>
            </w:r>
            <w:r>
              <w:rPr>
                <w:rFonts w:ascii="黑体" w:hAnsi="黑体" w:cs="黑体" w:eastAsia="黑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4"/>
              <w:jc w:val="right"/>
              <w:rPr>
                <w:rFonts w:ascii="Arial" w:hAnsi="Arial" w:cs="Arial" w:eastAsia="Arial" w:hint="default"/>
                <w:sz w:val="18"/>
                <w:szCs w:val="18"/>
              </w:rPr>
            </w:pPr>
            <w:r>
              <w:rPr>
                <w:rFonts w:ascii="Arial"/>
                <w:spacing w:val="-1"/>
                <w:sz w:val="18"/>
              </w:rPr>
              <w:t>(3,166,572)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Arial" w:hAnsi="Arial" w:cs="Arial" w:eastAsia="Arial" w:hint="default"/>
                <w:sz w:val="18"/>
                <w:szCs w:val="18"/>
              </w:rPr>
            </w:pPr>
            <w:r>
              <w:rPr>
                <w:rFonts w:ascii="Arial"/>
                <w:spacing w:val="-1"/>
                <w:sz w:val="18"/>
              </w:rPr>
              <w:t>(751,050)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Arial" w:hAnsi="Arial" w:cs="Arial" w:eastAsia="Arial" w:hint="default"/>
                <w:sz w:val="18"/>
                <w:szCs w:val="18"/>
              </w:rPr>
            </w:pPr>
            <w:r>
              <w:rPr>
                <w:rFonts w:ascii="Arial"/>
                <w:spacing w:val="-1"/>
                <w:sz w:val="18"/>
              </w:rPr>
              <w:t>(2,413,769)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Arial" w:hAnsi="Arial" w:cs="Arial" w:eastAsia="Arial" w:hint="default"/>
                <w:sz w:val="18"/>
                <w:szCs w:val="18"/>
              </w:rPr>
            </w:pPr>
            <w:r>
              <w:rPr>
                <w:rFonts w:ascii="Arial"/>
                <w:spacing w:val="-1"/>
                <w:sz w:val="18"/>
              </w:rPr>
              <w:t>(700,715)</w:t>
            </w:r>
          </w:p>
        </w:tc>
      </w:tr>
      <w:tr>
        <w:trPr>
          <w:trHeight w:val="32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2" w:right="0"/>
              <w:jc w:val="left"/>
              <w:rPr>
                <w:rFonts w:ascii="黑体" w:hAnsi="黑体" w:cs="黑体" w:eastAsia="黑体" w:hint="default"/>
                <w:sz w:val="18"/>
                <w:szCs w:val="18"/>
              </w:rPr>
            </w:pPr>
            <w:r>
              <w:rPr>
                <w:rFonts w:ascii="黑体" w:hAnsi="黑体" w:cs="黑体" w:eastAsia="黑体" w:hint="default"/>
                <w:b/>
                <w:bCs/>
                <w:sz w:val="18"/>
                <w:szCs w:val="18"/>
              </w:rPr>
              <w:t>筹资活动产生的现金流量净额</w:t>
            </w:r>
            <w:r>
              <w:rPr>
                <w:rFonts w:ascii="黑体" w:hAnsi="黑体" w:cs="黑体" w:eastAsia="黑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0" w:right="0"/>
              <w:jc w:val="left"/>
              <w:rPr>
                <w:rFonts w:ascii="Arial" w:hAnsi="Arial" w:cs="Arial" w:eastAsia="Arial" w:hint="default"/>
                <w:sz w:val="18"/>
                <w:szCs w:val="18"/>
              </w:rPr>
            </w:pPr>
            <w:r>
              <w:rPr>
                <w:rFonts w:ascii="Arial"/>
                <w:sz w:val="18"/>
              </w:rPr>
              <w:t>8,167,101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7"/>
              <w:jc w:val="right"/>
              <w:rPr>
                <w:rFonts w:ascii="Arial" w:hAnsi="Arial" w:cs="Arial" w:eastAsia="Arial" w:hint="default"/>
                <w:sz w:val="18"/>
                <w:szCs w:val="18"/>
              </w:rPr>
            </w:pPr>
            <w:r>
              <w:rPr>
                <w:rFonts w:ascii="Arial"/>
                <w:spacing w:val="-1"/>
                <w:sz w:val="18"/>
              </w:rPr>
              <w:t>679,401</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5"/>
              <w:jc w:val="right"/>
              <w:rPr>
                <w:rFonts w:ascii="Arial" w:hAnsi="Arial" w:cs="Arial" w:eastAsia="Arial" w:hint="default"/>
                <w:sz w:val="18"/>
                <w:szCs w:val="18"/>
              </w:rPr>
            </w:pPr>
            <w:r>
              <w:rPr>
                <w:rFonts w:ascii="Arial"/>
                <w:spacing w:val="-1"/>
                <w:sz w:val="18"/>
              </w:rPr>
              <w:t>7,839,324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1"/>
              <w:jc w:val="right"/>
              <w:rPr>
                <w:rFonts w:ascii="Arial" w:hAnsi="Arial" w:cs="Arial" w:eastAsia="Arial" w:hint="default"/>
                <w:sz w:val="18"/>
                <w:szCs w:val="18"/>
              </w:rPr>
            </w:pPr>
            <w:r>
              <w:rPr>
                <w:rFonts w:ascii="Arial"/>
                <w:spacing w:val="-1"/>
                <w:sz w:val="18"/>
              </w:rPr>
              <w:t>71,971</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黑体" w:hAnsi="黑体" w:cs="黑体" w:eastAsia="黑体" w:hint="default"/>
                <w:b/>
                <w:bCs/>
                <w:sz w:val="18"/>
                <w:szCs w:val="18"/>
              </w:rPr>
              <w:t>四、汇率变动对现金及现金等价物的影响</w:t>
            </w:r>
            <w:r>
              <w:rPr>
                <w:rFonts w:ascii="黑体" w:hAnsi="黑体" w:cs="黑体" w:eastAsia="黑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3"/>
              <w:jc w:val="right"/>
              <w:rPr>
                <w:rFonts w:ascii="Arial" w:hAnsi="Arial" w:cs="Arial" w:eastAsia="Arial" w:hint="default"/>
                <w:sz w:val="18"/>
                <w:szCs w:val="18"/>
              </w:rPr>
            </w:pPr>
            <w:r>
              <w:rPr>
                <w:rFonts w:ascii="Arial"/>
                <w:spacing w:val="-1"/>
                <w:sz w:val="18"/>
              </w:rPr>
              <w:t>(35,522)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Arial" w:hAnsi="Arial" w:cs="Arial" w:eastAsia="Arial" w:hint="default"/>
                <w:sz w:val="18"/>
                <w:szCs w:val="18"/>
              </w:rPr>
            </w:pPr>
            <w:r>
              <w:rPr>
                <w:rFonts w:ascii="Arial"/>
                <w:spacing w:val="-1"/>
                <w:sz w:val="18"/>
              </w:rPr>
              <w:t>(4,781)</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5"/>
              <w:jc w:val="right"/>
              <w:rPr>
                <w:rFonts w:ascii="Arial" w:hAnsi="Arial" w:cs="Arial" w:eastAsia="Arial" w:hint="default"/>
                <w:sz w:val="18"/>
                <w:szCs w:val="18"/>
              </w:rPr>
            </w:pPr>
            <w:r>
              <w:rPr>
                <w:rFonts w:ascii="Arial"/>
                <w:w w:val="99"/>
                <w:sz w:val="18"/>
              </w:rPr>
              <w:t>-</w:t>
            </w:r>
            <w:r>
              <w:rPr>
                <w:rFonts w:ascii="Arial"/>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7"/>
              <w:jc w:val="right"/>
              <w:rPr>
                <w:rFonts w:ascii="Arial" w:hAnsi="Arial" w:cs="Arial" w:eastAsia="Arial" w:hint="default"/>
                <w:sz w:val="18"/>
                <w:szCs w:val="18"/>
              </w:rPr>
            </w:pPr>
            <w:r>
              <w:rPr>
                <w:rFonts w:ascii="Arial"/>
                <w:w w:val="99"/>
                <w:sz w:val="18"/>
              </w:rPr>
              <w:t>-</w:t>
            </w:r>
            <w:r>
              <w:rPr>
                <w:rFonts w:ascii="Arial"/>
                <w:sz w:val="18"/>
              </w:rPr>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left="103" w:right="0"/>
              <w:jc w:val="left"/>
              <w:rPr>
                <w:rFonts w:ascii="黑体" w:hAnsi="黑体" w:cs="黑体" w:eastAsia="黑体" w:hint="default"/>
                <w:sz w:val="18"/>
                <w:szCs w:val="18"/>
              </w:rPr>
            </w:pPr>
            <w:r>
              <w:rPr>
                <w:rFonts w:ascii="黑体" w:hAnsi="黑体" w:cs="黑体" w:eastAsia="黑体" w:hint="default"/>
                <w:b/>
                <w:bCs/>
                <w:sz w:val="18"/>
                <w:szCs w:val="18"/>
              </w:rPr>
              <w:t>五、现金及现金等价物净增加额</w:t>
            </w:r>
            <w:r>
              <w:rPr>
                <w:rFonts w:ascii="黑体" w:hAnsi="黑体" w:cs="黑体" w:eastAsia="黑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center"/>
              <w:rPr>
                <w:rFonts w:ascii="宋体" w:hAnsi="宋体" w:cs="宋体" w:eastAsia="宋体" w:hint="default"/>
                <w:sz w:val="18"/>
                <w:szCs w:val="18"/>
              </w:rPr>
            </w:pPr>
            <w:r>
              <w:rPr>
                <w:rFonts w:ascii="宋体" w:hAnsi="宋体" w:cs="宋体" w:eastAsia="宋体" w:hint="default"/>
                <w:sz w:val="18"/>
                <w:szCs w:val="18"/>
              </w:rPr>
              <w:t>五</w:t>
            </w:r>
            <w:r>
              <w:rPr>
                <w:rFonts w:ascii="Arial" w:hAnsi="Arial" w:cs="Arial" w:eastAsia="Arial" w:hint="default"/>
                <w:sz w:val="18"/>
                <w:szCs w:val="18"/>
              </w:rPr>
              <w:t>.51(b)</w:t>
            </w:r>
            <w:r>
              <w:rPr>
                <w:rFonts w:ascii="宋体" w:hAnsi="宋体" w:cs="宋体" w:eastAsia="宋体" w:hint="default"/>
                <w:sz w:val="18"/>
                <w:szCs w:val="18"/>
              </w:rPr>
              <w:t>、十</w:t>
            </w:r>
          </w:p>
          <w:p>
            <w:pPr>
              <w:pStyle w:val="TableParagraph"/>
              <w:spacing w:line="240" w:lineRule="auto" w:before="63"/>
              <w:ind w:right="22"/>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.6(b)</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340" w:right="0"/>
              <w:jc w:val="left"/>
              <w:rPr>
                <w:rFonts w:ascii="Arial" w:hAnsi="Arial" w:cs="Arial" w:eastAsia="Arial" w:hint="default"/>
                <w:sz w:val="18"/>
                <w:szCs w:val="18"/>
              </w:rPr>
            </w:pPr>
            <w:r>
              <w:rPr>
                <w:rFonts w:ascii="Arial"/>
                <w:sz w:val="18"/>
              </w:rPr>
              <w:t>7,294,561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155"/>
              <w:jc w:val="right"/>
              <w:rPr>
                <w:rFonts w:ascii="Arial" w:hAnsi="Arial" w:cs="Arial" w:eastAsia="Arial" w:hint="default"/>
                <w:sz w:val="18"/>
                <w:szCs w:val="18"/>
              </w:rPr>
            </w:pPr>
            <w:r>
              <w:rPr>
                <w:rFonts w:ascii="Arial"/>
                <w:spacing w:val="-1"/>
                <w:sz w:val="18"/>
              </w:rPr>
              <w:t>1,272,693</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157"/>
              <w:jc w:val="right"/>
              <w:rPr>
                <w:rFonts w:ascii="Arial" w:hAnsi="Arial" w:cs="Arial" w:eastAsia="Arial" w:hint="default"/>
                <w:sz w:val="18"/>
                <w:szCs w:val="18"/>
              </w:rPr>
            </w:pPr>
            <w:r>
              <w:rPr>
                <w:rFonts w:ascii="Arial"/>
                <w:spacing w:val="-2"/>
                <w:sz w:val="18"/>
              </w:rPr>
              <w:t>7,306,112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487" w:right="0"/>
              <w:jc w:val="left"/>
              <w:rPr>
                <w:rFonts w:ascii="Arial" w:hAnsi="Arial" w:cs="Arial" w:eastAsia="Arial" w:hint="default"/>
                <w:sz w:val="18"/>
                <w:szCs w:val="18"/>
              </w:rPr>
            </w:pPr>
            <w:r>
              <w:rPr>
                <w:rFonts w:ascii="Arial"/>
                <w:sz w:val="18"/>
              </w:rPr>
              <w:t>444,319</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0" w:right="0"/>
              <w:jc w:val="left"/>
              <w:rPr>
                <w:rFonts w:ascii="Arial" w:hAnsi="Arial" w:cs="Arial" w:eastAsia="Arial" w:hint="default"/>
                <w:sz w:val="18"/>
                <w:szCs w:val="18"/>
              </w:rPr>
            </w:pPr>
            <w:r>
              <w:rPr>
                <w:rFonts w:ascii="Arial"/>
                <w:sz w:val="18"/>
              </w:rPr>
              <w:t>12,949,158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7"/>
              <w:jc w:val="right"/>
              <w:rPr>
                <w:rFonts w:ascii="Arial" w:hAnsi="Arial" w:cs="Arial" w:eastAsia="Arial" w:hint="default"/>
                <w:sz w:val="18"/>
                <w:szCs w:val="18"/>
              </w:rPr>
            </w:pPr>
            <w:r>
              <w:rPr>
                <w:rFonts w:ascii="Arial"/>
                <w:spacing w:val="-2"/>
                <w:sz w:val="18"/>
              </w:rPr>
              <w:t>11,676,465</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5"/>
              <w:jc w:val="right"/>
              <w:rPr>
                <w:rFonts w:ascii="Arial" w:hAnsi="Arial" w:cs="Arial" w:eastAsia="Arial" w:hint="default"/>
                <w:sz w:val="18"/>
                <w:szCs w:val="18"/>
              </w:rPr>
            </w:pPr>
            <w:r>
              <w:rPr>
                <w:rFonts w:ascii="Arial"/>
                <w:spacing w:val="-1"/>
                <w:sz w:val="18"/>
              </w:rPr>
              <w:t>8,626,018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8" w:right="0"/>
              <w:jc w:val="left"/>
              <w:rPr>
                <w:rFonts w:ascii="Arial" w:hAnsi="Arial" w:cs="Arial" w:eastAsia="Arial" w:hint="default"/>
                <w:sz w:val="18"/>
                <w:szCs w:val="18"/>
              </w:rPr>
            </w:pPr>
            <w:r>
              <w:rPr>
                <w:rFonts w:ascii="Arial"/>
                <w:sz w:val="18"/>
              </w:rPr>
              <w:t>8,181,699</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黑体" w:hAnsi="黑体" w:cs="黑体" w:eastAsia="黑体" w:hint="default"/>
                <w:b/>
                <w:bCs/>
                <w:sz w:val="18"/>
                <w:szCs w:val="18"/>
              </w:rPr>
              <w:t>六、年末现金及现金等价物余额</w:t>
            </w:r>
            <w:r>
              <w:rPr>
                <w:rFonts w:ascii="黑体" w:hAnsi="黑体" w:cs="黑体" w:eastAsia="黑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0" w:right="0"/>
              <w:jc w:val="left"/>
              <w:rPr>
                <w:rFonts w:ascii="Arial" w:hAnsi="Arial" w:cs="Arial" w:eastAsia="Arial" w:hint="default"/>
                <w:sz w:val="18"/>
                <w:szCs w:val="18"/>
              </w:rPr>
            </w:pPr>
            <w:r>
              <w:rPr>
                <w:rFonts w:ascii="Arial"/>
                <w:sz w:val="18"/>
              </w:rPr>
              <w:t>20,243,719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7"/>
              <w:jc w:val="right"/>
              <w:rPr>
                <w:rFonts w:ascii="Arial" w:hAnsi="Arial" w:cs="Arial" w:eastAsia="Arial" w:hint="default"/>
                <w:sz w:val="18"/>
                <w:szCs w:val="18"/>
              </w:rPr>
            </w:pPr>
            <w:r>
              <w:rPr>
                <w:rFonts w:ascii="Arial"/>
                <w:spacing w:val="-1"/>
                <w:sz w:val="18"/>
              </w:rPr>
              <w:t>12,949,158</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7"/>
              <w:jc w:val="right"/>
              <w:rPr>
                <w:rFonts w:ascii="Arial" w:hAnsi="Arial" w:cs="Arial" w:eastAsia="Arial" w:hint="default"/>
                <w:sz w:val="18"/>
                <w:szCs w:val="18"/>
              </w:rPr>
            </w:pPr>
            <w:r>
              <w:rPr>
                <w:rFonts w:ascii="Arial"/>
                <w:spacing w:val="-1"/>
                <w:sz w:val="18"/>
              </w:rPr>
              <w:t>15,932,130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8" w:right="0"/>
              <w:jc w:val="left"/>
              <w:rPr>
                <w:rFonts w:ascii="Arial" w:hAnsi="Arial" w:cs="Arial" w:eastAsia="Arial" w:hint="default"/>
                <w:sz w:val="18"/>
                <w:szCs w:val="18"/>
              </w:rPr>
            </w:pPr>
            <w:r>
              <w:rPr>
                <w:rFonts w:ascii="Arial"/>
                <w:sz w:val="18"/>
              </w:rPr>
              <w:t>8,626,018</w:t>
            </w:r>
          </w:p>
        </w:tc>
      </w:tr>
    </w:tbl>
    <w:p>
      <w:pPr>
        <w:spacing w:after="0" w:line="240" w:lineRule="auto"/>
        <w:jc w:val="left"/>
        <w:rPr>
          <w:rFonts w:ascii="Arial" w:hAnsi="Arial" w:cs="Arial" w:eastAsia="Arial" w:hint="default"/>
          <w:sz w:val="18"/>
          <w:szCs w:val="18"/>
        </w:rPr>
        <w:sectPr>
          <w:footerReference w:type="default" r:id="rId50"/>
          <w:pgSz w:w="11910" w:h="16840"/>
          <w:pgMar w:footer="980" w:header="927" w:top="1160" w:bottom="1160" w:left="920" w:right="0"/>
          <w:pgNumType w:start="92"/>
        </w:sectPr>
      </w:pPr>
    </w:p>
    <w:p>
      <w:pPr>
        <w:pStyle w:val="Heading3"/>
        <w:spacing w:line="240" w:lineRule="auto" w:before="36"/>
        <w:ind w:left="921" w:right="1021"/>
        <w:jc w:val="left"/>
        <w:rPr>
          <w:rFonts w:ascii="黑体" w:hAnsi="黑体" w:cs="黑体" w:eastAsia="黑体" w:hint="default"/>
        </w:rPr>
      </w:pPr>
      <w:r>
        <w:rPr/>
        <w:pict>
          <v:shape style="position:absolute;margin-left:460.320007pt;margin-top:764.919983pt;width:135.0pt;height:77pt;mso-position-horizontal-relative:page;mso-position-vertical-relative:page;z-index:2632" type="#_x0000_t75" stroked="false">
            <v:imagedata r:id="rId10" o:title=""/>
          </v:shape>
        </w:pict>
      </w:r>
      <w:r>
        <w:rPr>
          <w:rFonts w:ascii="Arial" w:hAnsi="Arial" w:cs="Arial" w:eastAsia="Arial" w:hint="default"/>
        </w:rPr>
        <w:t>2012</w:t>
      </w:r>
      <w:r>
        <w:rPr>
          <w:rFonts w:ascii="Arial" w:hAnsi="Arial" w:cs="Arial" w:eastAsia="Arial" w:hint="default"/>
          <w:spacing w:val="-9"/>
        </w:rPr>
        <w:t> </w:t>
      </w:r>
      <w:r>
        <w:rPr>
          <w:rFonts w:ascii="黑体" w:hAnsi="黑体" w:cs="黑体" w:eastAsia="黑体" w:hint="default"/>
        </w:rPr>
        <w:t>年度合并股东权益变动表</w:t>
      </w:r>
    </w:p>
    <w:p>
      <w:pPr>
        <w:spacing w:before="27"/>
        <w:ind w:left="921" w:right="1021"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2520"/>
        <w:gridCol w:w="850"/>
        <w:gridCol w:w="994"/>
        <w:gridCol w:w="1073"/>
        <w:gridCol w:w="895"/>
        <w:gridCol w:w="1003"/>
        <w:gridCol w:w="788"/>
        <w:gridCol w:w="754"/>
        <w:gridCol w:w="979"/>
      </w:tblGrid>
      <w:tr>
        <w:trPr>
          <w:trHeight w:val="322" w:hRule="exact"/>
        </w:trPr>
        <w:tc>
          <w:tcPr>
            <w:tcW w:w="2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0"/>
              <w:ind w:right="0"/>
              <w:jc w:val="left"/>
              <w:rPr>
                <w:rFonts w:ascii="Arial" w:hAnsi="Arial" w:cs="Arial" w:eastAsia="Arial" w:hint="default"/>
                <w:sz w:val="23"/>
                <w:szCs w:val="23"/>
              </w:rPr>
            </w:pPr>
          </w:p>
          <w:p>
            <w:pPr>
              <w:pStyle w:val="TableParagraph"/>
              <w:tabs>
                <w:tab w:pos="1617" w:val="left" w:leader="none"/>
              </w:tabs>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0"/>
              <w:ind w:right="0"/>
              <w:jc w:val="left"/>
              <w:rPr>
                <w:rFonts w:ascii="Arial" w:hAnsi="Arial" w:cs="Arial" w:eastAsia="Arial" w:hint="default"/>
                <w:sz w:val="23"/>
                <w:szCs w:val="23"/>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47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76"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75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14"/>
                <w:szCs w:val="14"/>
              </w:rPr>
            </w:pPr>
          </w:p>
          <w:p>
            <w:pPr>
              <w:pStyle w:val="TableParagraph"/>
              <w:spacing w:line="316" w:lineRule="auto"/>
              <w:ind w:left="191" w:right="191"/>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316" w:lineRule="auto" w:before="118"/>
              <w:ind w:left="309" w:right="119" w:hanging="180"/>
              <w:jc w:val="left"/>
              <w:rPr>
                <w:rFonts w:ascii="宋体" w:hAnsi="宋体" w:cs="宋体" w:eastAsia="宋体" w:hint="default"/>
                <w:sz w:val="18"/>
                <w:szCs w:val="18"/>
              </w:rPr>
            </w:pPr>
            <w:r>
              <w:rPr>
                <w:rFonts w:ascii="宋体" w:hAnsi="宋体" w:cs="宋体" w:eastAsia="宋体" w:hint="default"/>
                <w:sz w:val="18"/>
                <w:szCs w:val="18"/>
              </w:rPr>
              <w:t>股东权益 合计</w:t>
            </w:r>
          </w:p>
        </w:tc>
      </w:tr>
      <w:tr>
        <w:trPr>
          <w:trHeight w:val="946" w:hRule="exact"/>
        </w:trPr>
        <w:tc>
          <w:tcPr>
            <w:tcW w:w="252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left="3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left="1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right="86"/>
              <w:jc w:val="right"/>
              <w:rPr>
                <w:rFonts w:ascii="宋体" w:hAnsi="宋体" w:cs="宋体" w:eastAsia="宋体" w:hint="default"/>
                <w:sz w:val="18"/>
                <w:szCs w:val="18"/>
              </w:rPr>
            </w:pPr>
            <w:r>
              <w:rPr>
                <w:rFonts w:ascii="宋体" w:hAnsi="宋体" w:cs="宋体" w:eastAsia="宋体" w:hint="default"/>
                <w:sz w:val="18"/>
                <w:szCs w:val="18"/>
              </w:rPr>
              <w:t>盈余公积</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right="50"/>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10" w:right="125"/>
              <w:jc w:val="both"/>
              <w:rPr>
                <w:rFonts w:ascii="宋体" w:hAnsi="宋体" w:cs="宋体" w:eastAsia="宋体" w:hint="default"/>
                <w:sz w:val="18"/>
                <w:szCs w:val="18"/>
              </w:rPr>
            </w:pPr>
            <w:r>
              <w:rPr>
                <w:rFonts w:ascii="宋体" w:hAnsi="宋体" w:cs="宋体" w:eastAsia="宋体" w:hint="default"/>
                <w:sz w:val="18"/>
                <w:szCs w:val="18"/>
              </w:rPr>
              <w:t>外币报 表折算 差额</w:t>
            </w:r>
          </w:p>
        </w:tc>
        <w:tc>
          <w:tcPr>
            <w:tcW w:w="754"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黑体" w:hAnsi="黑体" w:cs="黑体" w:eastAsia="黑体" w:hint="default"/>
                <w:sz w:val="18"/>
                <w:szCs w:val="18"/>
              </w:rPr>
            </w:pPr>
            <w:r>
              <w:rPr>
                <w:rFonts w:ascii="Arial" w:hAnsi="Arial" w:cs="Arial" w:eastAsia="Arial" w:hint="default"/>
                <w:b/>
                <w:bCs/>
                <w:sz w:val="18"/>
                <w:szCs w:val="18"/>
              </w:rPr>
              <w:t>2011</w:t>
            </w:r>
            <w:r>
              <w:rPr>
                <w:rFonts w:ascii="Arial" w:hAnsi="Arial" w:cs="Arial" w:eastAsia="Arial" w:hint="default"/>
                <w:b/>
                <w:bCs/>
                <w:spacing w:val="-10"/>
                <w:sz w:val="18"/>
                <w:szCs w:val="18"/>
              </w:rPr>
              <w:t> </w:t>
            </w:r>
            <w:r>
              <w:rPr>
                <w:rFonts w:ascii="黑体" w:hAnsi="黑体" w:cs="黑体" w:eastAsia="黑体" w:hint="default"/>
                <w:b/>
                <w:bCs/>
                <w:sz w:val="18"/>
                <w:szCs w:val="18"/>
              </w:rPr>
              <w:t>年</w:t>
            </w:r>
            <w:r>
              <w:rPr>
                <w:rFonts w:ascii="黑体" w:hAnsi="黑体" w:cs="黑体" w:eastAsia="黑体" w:hint="default"/>
                <w:b/>
                <w:bCs/>
                <w:spacing w:val="-49"/>
                <w:sz w:val="18"/>
                <w:szCs w:val="18"/>
              </w:rPr>
              <w:t> </w:t>
            </w:r>
            <w:r>
              <w:rPr>
                <w:rFonts w:ascii="Arial" w:hAnsi="Arial" w:cs="Arial" w:eastAsia="Arial" w:hint="default"/>
                <w:b/>
                <w:bCs/>
                <w:sz w:val="18"/>
                <w:szCs w:val="18"/>
              </w:rPr>
              <w:t>1</w:t>
            </w:r>
            <w:r>
              <w:rPr>
                <w:rFonts w:ascii="Arial" w:hAnsi="Arial" w:cs="Arial" w:eastAsia="Arial" w:hint="default"/>
                <w:b/>
                <w:bCs/>
                <w:spacing w:val="-10"/>
                <w:sz w:val="18"/>
                <w:szCs w:val="18"/>
              </w:rPr>
              <w:t> </w:t>
            </w:r>
            <w:r>
              <w:rPr>
                <w:rFonts w:ascii="黑体" w:hAnsi="黑体" w:cs="黑体" w:eastAsia="黑体" w:hint="default"/>
                <w:b/>
                <w:bCs/>
                <w:sz w:val="18"/>
                <w:szCs w:val="18"/>
              </w:rPr>
              <w:t>月</w:t>
            </w:r>
            <w:r>
              <w:rPr>
                <w:rFonts w:ascii="黑体" w:hAnsi="黑体" w:cs="黑体" w:eastAsia="黑体" w:hint="default"/>
                <w:b/>
                <w:bCs/>
                <w:spacing w:val="-46"/>
                <w:sz w:val="18"/>
                <w:szCs w:val="18"/>
              </w:rPr>
              <w:t> </w:t>
            </w:r>
            <w:r>
              <w:rPr>
                <w:rFonts w:ascii="Arial" w:hAnsi="Arial" w:cs="Arial" w:eastAsia="Arial" w:hint="default"/>
                <w:b/>
                <w:bCs/>
                <w:sz w:val="18"/>
                <w:szCs w:val="18"/>
              </w:rPr>
              <w:t>1</w:t>
            </w:r>
            <w:r>
              <w:rPr>
                <w:rFonts w:ascii="Arial" w:hAnsi="Arial" w:cs="Arial" w:eastAsia="Arial" w:hint="default"/>
                <w:b/>
                <w:bCs/>
                <w:spacing w:val="-10"/>
                <w:sz w:val="18"/>
                <w:szCs w:val="18"/>
              </w:rPr>
              <w:t> </w:t>
            </w:r>
            <w:r>
              <w:rPr>
                <w:rFonts w:ascii="黑体" w:hAnsi="黑体" w:cs="黑体" w:eastAsia="黑体" w:hint="default"/>
                <w:b/>
                <w:bCs/>
                <w:sz w:val="18"/>
                <w:szCs w:val="18"/>
              </w:rPr>
              <w:t>日年初余额</w:t>
            </w:r>
            <w:r>
              <w:rPr>
                <w:rFonts w:ascii="黑体" w:hAnsi="黑体" w:cs="黑体" w:eastAsia="黑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
              <w:jc w:val="right"/>
              <w:rPr>
                <w:rFonts w:ascii="Arial" w:hAnsi="Arial" w:cs="Arial" w:eastAsia="Arial" w:hint="default"/>
                <w:sz w:val="18"/>
                <w:szCs w:val="18"/>
              </w:rPr>
            </w:pPr>
            <w:r>
              <w:rPr>
                <w:rFonts w:ascii="Arial"/>
                <w:spacing w:val="-1"/>
                <w:sz w:val="18"/>
              </w:rPr>
              <w:t>6,996,212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4"/>
              <w:jc w:val="right"/>
              <w:rPr>
                <w:rFonts w:ascii="Arial" w:hAnsi="Arial" w:cs="Arial" w:eastAsia="Arial" w:hint="default"/>
                <w:sz w:val="18"/>
                <w:szCs w:val="18"/>
              </w:rPr>
            </w:pPr>
            <w:r>
              <w:rPr>
                <w:rFonts w:ascii="Arial"/>
                <w:spacing w:val="-1"/>
                <w:sz w:val="18"/>
              </w:rPr>
              <w:t>655,288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5"/>
              <w:jc w:val="right"/>
              <w:rPr>
                <w:rFonts w:ascii="Arial" w:hAnsi="Arial" w:cs="Arial" w:eastAsia="Arial" w:hint="default"/>
                <w:sz w:val="18"/>
                <w:szCs w:val="18"/>
              </w:rPr>
            </w:pPr>
            <w:r>
              <w:rPr>
                <w:rFonts w:ascii="Arial"/>
                <w:spacing w:val="-1"/>
                <w:sz w:val="18"/>
              </w:rPr>
              <w:t>746,529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9"/>
              <w:jc w:val="right"/>
              <w:rPr>
                <w:rFonts w:ascii="Arial" w:hAnsi="Arial" w:cs="Arial" w:eastAsia="Arial" w:hint="default"/>
                <w:sz w:val="18"/>
                <w:szCs w:val="18"/>
              </w:rPr>
            </w:pPr>
            <w:r>
              <w:rPr>
                <w:rFonts w:ascii="Arial"/>
                <w:spacing w:val="-1"/>
                <w:sz w:val="18"/>
              </w:rPr>
              <w:t>9,932,866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1" w:right="0"/>
              <w:jc w:val="left"/>
              <w:rPr>
                <w:rFonts w:ascii="Arial" w:hAnsi="Arial" w:cs="Arial" w:eastAsia="Arial" w:hint="default"/>
                <w:sz w:val="18"/>
                <w:szCs w:val="18"/>
              </w:rPr>
            </w:pPr>
            <w:r>
              <w:rPr>
                <w:rFonts w:ascii="Arial"/>
                <w:sz w:val="18"/>
              </w:rPr>
              <w:t>7,294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 w:right="0"/>
              <w:jc w:val="left"/>
              <w:rPr>
                <w:rFonts w:ascii="Arial" w:hAnsi="Arial" w:cs="Arial" w:eastAsia="Arial" w:hint="default"/>
                <w:sz w:val="18"/>
                <w:szCs w:val="18"/>
              </w:rPr>
            </w:pPr>
            <w:r>
              <w:rPr>
                <w:rFonts w:ascii="Arial"/>
                <w:sz w:val="18"/>
              </w:rPr>
              <w:t>507,202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Arial" w:hAnsi="Arial" w:cs="Arial" w:eastAsia="Arial" w:hint="default"/>
                <w:sz w:val="18"/>
                <w:szCs w:val="18"/>
              </w:rPr>
            </w:pPr>
            <w:r>
              <w:rPr>
                <w:rFonts w:ascii="Arial"/>
                <w:spacing w:val="-10"/>
                <w:sz w:val="18"/>
              </w:rPr>
              <w:t>18,845,391</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Arial" w:hAnsi="Arial" w:cs="Arial" w:eastAsia="Arial" w:hint="default"/>
                <w:b/>
                <w:bCs/>
                <w:sz w:val="18"/>
                <w:szCs w:val="18"/>
              </w:rPr>
              <w:t>2011</w:t>
            </w:r>
            <w:r>
              <w:rPr>
                <w:rFonts w:ascii="Arial" w:hAnsi="Arial" w:cs="Arial" w:eastAsia="Arial" w:hint="default"/>
                <w:b/>
                <w:bCs/>
                <w:spacing w:val="-17"/>
                <w:sz w:val="18"/>
                <w:szCs w:val="18"/>
              </w:rPr>
              <w:t> </w:t>
            </w:r>
            <w:r>
              <w:rPr>
                <w:rFonts w:ascii="黑体" w:hAnsi="黑体" w:cs="黑体" w:eastAsia="黑体" w:hint="default"/>
                <w:b/>
                <w:bCs/>
                <w:sz w:val="18"/>
                <w:szCs w:val="18"/>
              </w:rPr>
              <w:t>年度增减变动额</w:t>
            </w:r>
            <w:r>
              <w:rPr>
                <w:rFonts w:ascii="黑体" w:hAnsi="黑体" w:cs="黑体" w:eastAsia="黑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Arial" w:hAnsi="Arial" w:cs="Arial" w:eastAsia="Arial" w:hint="default"/>
                <w:sz w:val="18"/>
                <w:szCs w:val="18"/>
              </w:rPr>
            </w:pPr>
            <w:r>
              <w:rPr>
                <w:rFonts w:ascii="Arial"/>
                <w:w w:val="99"/>
                <w:sz w:val="18"/>
              </w:rPr>
              <w:t>-</w:t>
            </w:r>
            <w:r>
              <w:rPr>
                <w:rFonts w:ascii="Arial"/>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right"/>
              <w:rPr>
                <w:rFonts w:ascii="Arial" w:hAnsi="Arial" w:cs="Arial" w:eastAsia="Arial" w:hint="default"/>
                <w:sz w:val="18"/>
                <w:szCs w:val="18"/>
              </w:rPr>
            </w:pPr>
            <w:r>
              <w:rPr>
                <w:rFonts w:ascii="Arial"/>
                <w:w w:val="99"/>
                <w:sz w:val="18"/>
              </w:rPr>
              <w:t>-</w:t>
            </w:r>
            <w:r>
              <w:rPr>
                <w:rFonts w:ascii="Arial"/>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9"/>
              <w:jc w:val="right"/>
              <w:rPr>
                <w:rFonts w:ascii="Arial" w:hAnsi="Arial" w:cs="Arial" w:eastAsia="Arial" w:hint="default"/>
                <w:sz w:val="18"/>
                <w:szCs w:val="18"/>
              </w:rPr>
            </w:pPr>
            <w:r>
              <w:rPr>
                <w:rFonts w:ascii="Arial"/>
                <w:spacing w:val="-1"/>
                <w:sz w:val="18"/>
              </w:rPr>
              <w:t>4,820,594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Arial" w:hAnsi="Arial" w:cs="Arial" w:eastAsia="Arial" w:hint="default"/>
                <w:sz w:val="18"/>
                <w:szCs w:val="18"/>
              </w:rPr>
            </w:pPr>
            <w:r>
              <w:rPr>
                <w:rFonts w:ascii="Arial"/>
                <w:w w:val="99"/>
                <w:sz w:val="18"/>
              </w:rPr>
              <w:t>-</w:t>
            </w:r>
            <w:r>
              <w:rPr>
                <w:rFonts w:ascii="Arial"/>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1" w:right="0"/>
              <w:jc w:val="left"/>
              <w:rPr>
                <w:rFonts w:ascii="Arial" w:hAnsi="Arial" w:cs="Arial" w:eastAsia="Arial" w:hint="default"/>
                <w:sz w:val="18"/>
                <w:szCs w:val="18"/>
              </w:rPr>
            </w:pPr>
            <w:r>
              <w:rPr>
                <w:rFonts w:ascii="Arial"/>
                <w:sz w:val="18"/>
              </w:rPr>
              <w:t>65,412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
              <w:jc w:val="right"/>
              <w:rPr>
                <w:rFonts w:ascii="Arial" w:hAnsi="Arial" w:cs="Arial" w:eastAsia="Arial" w:hint="default"/>
                <w:sz w:val="18"/>
                <w:szCs w:val="18"/>
              </w:rPr>
            </w:pPr>
            <w:r>
              <w:rPr>
                <w:rFonts w:ascii="Arial"/>
                <w:spacing w:val="-1"/>
                <w:sz w:val="18"/>
              </w:rPr>
              <w:t>4,886,006</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8"/>
                <w:szCs w:val="18"/>
              </w:rPr>
            </w:pPr>
            <w:r>
              <w:rPr>
                <w:rFonts w:ascii="宋体" w:hAnsi="宋体" w:cs="宋体" w:eastAsia="宋体" w:hint="default"/>
                <w:spacing w:val="-14"/>
                <w:sz w:val="18"/>
                <w:szCs w:val="18"/>
              </w:rPr>
              <w:t>五</w:t>
            </w:r>
            <w:r>
              <w:rPr>
                <w:rFonts w:ascii="Arial" w:hAnsi="Arial" w:cs="Arial" w:eastAsia="Arial" w:hint="default"/>
                <w:spacing w:val="-14"/>
                <w:sz w:val="18"/>
                <w:szCs w:val="18"/>
              </w:rPr>
              <w:t>.49</w:t>
            </w:r>
            <w:r>
              <w:rPr>
                <w:rFonts w:ascii="Arial" w:hAnsi="Arial" w:cs="Arial" w:eastAsia="Arial"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4"/>
              <w:jc w:val="right"/>
              <w:rPr>
                <w:rFonts w:ascii="Arial" w:hAnsi="Arial" w:cs="Arial" w:eastAsia="Arial" w:hint="default"/>
                <w:sz w:val="18"/>
                <w:szCs w:val="18"/>
              </w:rPr>
            </w:pPr>
            <w:r>
              <w:rPr>
                <w:rFonts w:ascii="Arial"/>
                <w:w w:val="99"/>
                <w:sz w:val="18"/>
              </w:rPr>
              <w:t>-</w:t>
            </w:r>
            <w:r>
              <w:rPr>
                <w:rFonts w:ascii="Arial"/>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3"/>
              <w:jc w:val="right"/>
              <w:rPr>
                <w:rFonts w:ascii="Arial" w:hAnsi="Arial" w:cs="Arial" w:eastAsia="Arial" w:hint="default"/>
                <w:sz w:val="18"/>
                <w:szCs w:val="18"/>
              </w:rPr>
            </w:pPr>
            <w:r>
              <w:rPr>
                <w:rFonts w:ascii="Arial"/>
                <w:w w:val="95"/>
                <w:sz w:val="18"/>
              </w:rPr>
              <w:t>387</w:t>
            </w:r>
            <w:r>
              <w:rPr>
                <w:rFonts w:ascii="Arial"/>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2"/>
              <w:jc w:val="right"/>
              <w:rPr>
                <w:rFonts w:ascii="Arial" w:hAnsi="Arial" w:cs="Arial" w:eastAsia="Arial" w:hint="default"/>
                <w:sz w:val="18"/>
                <w:szCs w:val="18"/>
              </w:rPr>
            </w:pPr>
            <w:r>
              <w:rPr>
                <w:rFonts w:ascii="Arial"/>
                <w:w w:val="99"/>
                <w:sz w:val="18"/>
              </w:rPr>
              <w:t>-</w:t>
            </w:r>
            <w:r>
              <w:rPr>
                <w:rFonts w:ascii="Arial"/>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0"/>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1" w:right="0"/>
              <w:jc w:val="left"/>
              <w:rPr>
                <w:rFonts w:ascii="Arial" w:hAnsi="Arial" w:cs="Arial" w:eastAsia="Arial" w:hint="default"/>
                <w:sz w:val="18"/>
                <w:szCs w:val="18"/>
              </w:rPr>
            </w:pPr>
            <w:r>
              <w:rPr>
                <w:rFonts w:ascii="Arial"/>
                <w:sz w:val="18"/>
              </w:rPr>
              <w:t>7,386</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Arial" w:hAnsi="Arial" w:cs="Arial" w:eastAsia="Arial" w:hint="default"/>
                <w:sz w:val="18"/>
                <w:szCs w:val="18"/>
              </w:rPr>
            </w:pPr>
            <w:r>
              <w:rPr>
                <w:rFonts w:ascii="Arial"/>
                <w:sz w:val="18"/>
              </w:rPr>
              <w:t>(11,794)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8"/>
              <w:jc w:val="right"/>
              <w:rPr>
                <w:rFonts w:ascii="Arial" w:hAnsi="Arial" w:cs="Arial" w:eastAsia="Arial" w:hint="default"/>
                <w:sz w:val="18"/>
                <w:szCs w:val="18"/>
              </w:rPr>
            </w:pPr>
            <w:r>
              <w:rPr>
                <w:rFonts w:ascii="Arial"/>
                <w:w w:val="95"/>
                <w:sz w:val="18"/>
              </w:rPr>
              <w:t>(4,021)</w:t>
            </w:r>
            <w:r>
              <w:rPr>
                <w:rFonts w:ascii="Arial"/>
                <w:sz w:val="18"/>
              </w:rPr>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股东投入和减少资本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5" w:right="0"/>
              <w:jc w:val="left"/>
              <w:rPr>
                <w:rFonts w:ascii="宋体" w:hAnsi="宋体" w:cs="宋体" w:eastAsia="宋体" w:hint="default"/>
                <w:sz w:val="18"/>
                <w:szCs w:val="18"/>
              </w:rPr>
            </w:pPr>
            <w:r>
              <w:rPr>
                <w:rFonts w:ascii="宋体" w:hAnsi="宋体" w:cs="宋体" w:eastAsia="宋体" w:hint="default"/>
                <w:sz w:val="18"/>
                <w:szCs w:val="18"/>
              </w:rPr>
              <w:t>股份支付计入股东权益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center"/>
              <w:rPr>
                <w:rFonts w:ascii="Arial" w:hAnsi="Arial" w:cs="Arial" w:eastAsia="Arial" w:hint="default"/>
                <w:sz w:val="18"/>
                <w:szCs w:val="18"/>
              </w:rPr>
            </w:pPr>
            <w:r>
              <w:rPr>
                <w:rFonts w:ascii="宋体" w:hAnsi="宋体" w:cs="宋体" w:eastAsia="宋体" w:hint="default"/>
                <w:spacing w:val="-11"/>
                <w:sz w:val="18"/>
                <w:szCs w:val="18"/>
              </w:rPr>
              <w:t>五</w:t>
            </w:r>
            <w:r>
              <w:rPr>
                <w:rFonts w:ascii="Arial" w:hAnsi="Arial" w:cs="Arial" w:eastAsia="Arial" w:hint="default"/>
                <w:spacing w:val="-11"/>
                <w:sz w:val="18"/>
                <w:szCs w:val="18"/>
              </w:rPr>
              <w:t>.34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4"/>
              <w:jc w:val="right"/>
              <w:rPr>
                <w:rFonts w:ascii="Arial" w:hAnsi="Arial" w:cs="Arial" w:eastAsia="Arial" w:hint="default"/>
                <w:sz w:val="18"/>
                <w:szCs w:val="18"/>
              </w:rPr>
            </w:pPr>
            <w:r>
              <w:rPr>
                <w:rFonts w:ascii="Arial"/>
                <w:w w:val="99"/>
                <w:sz w:val="18"/>
              </w:rPr>
              <w:t>-</w:t>
            </w:r>
            <w:r>
              <w:rPr>
                <w:rFonts w:ascii="Arial"/>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right"/>
              <w:rPr>
                <w:rFonts w:ascii="Arial" w:hAnsi="Arial" w:cs="Arial" w:eastAsia="Arial" w:hint="default"/>
                <w:sz w:val="18"/>
                <w:szCs w:val="18"/>
              </w:rPr>
            </w:pPr>
            <w:r>
              <w:rPr>
                <w:rFonts w:ascii="Arial"/>
                <w:spacing w:val="-1"/>
                <w:sz w:val="18"/>
              </w:rPr>
              <w:t>169,665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2"/>
              <w:jc w:val="right"/>
              <w:rPr>
                <w:rFonts w:ascii="Arial" w:hAnsi="Arial" w:cs="Arial" w:eastAsia="Arial" w:hint="default"/>
                <w:sz w:val="18"/>
                <w:szCs w:val="18"/>
              </w:rPr>
            </w:pPr>
            <w:r>
              <w:rPr>
                <w:rFonts w:ascii="Arial"/>
                <w:w w:val="99"/>
                <w:sz w:val="18"/>
              </w:rPr>
              <w:t>-</w:t>
            </w:r>
            <w:r>
              <w:rPr>
                <w:rFonts w:ascii="Arial"/>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Arial" w:hAnsi="Arial" w:cs="Arial" w:eastAsia="Arial" w:hint="default"/>
                <w:sz w:val="18"/>
                <w:szCs w:val="18"/>
              </w:rPr>
            </w:pPr>
            <w:r>
              <w:rPr>
                <w:rFonts w:ascii="Arial"/>
                <w:w w:val="99"/>
                <w:sz w:val="18"/>
              </w:rPr>
              <w:t>-</w:t>
            </w:r>
            <w:r>
              <w:rPr>
                <w:rFonts w:ascii="Arial"/>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
              <w:jc w:val="right"/>
              <w:rPr>
                <w:rFonts w:ascii="Arial" w:hAnsi="Arial" w:cs="Arial" w:eastAsia="Arial" w:hint="default"/>
                <w:sz w:val="18"/>
                <w:szCs w:val="18"/>
              </w:rPr>
            </w:pPr>
            <w:r>
              <w:rPr>
                <w:rFonts w:ascii="Arial"/>
                <w:w w:val="99"/>
                <w:sz w:val="18"/>
              </w:rPr>
              <w:t>-</w:t>
            </w:r>
            <w:r>
              <w:rPr>
                <w:rFonts w:ascii="Arial"/>
                <w:sz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1"/>
              <w:jc w:val="right"/>
              <w:rPr>
                <w:rFonts w:ascii="Arial" w:hAnsi="Arial" w:cs="Arial" w:eastAsia="Arial" w:hint="default"/>
                <w:sz w:val="18"/>
                <w:szCs w:val="18"/>
              </w:rPr>
            </w:pPr>
            <w:r>
              <w:rPr>
                <w:rFonts w:ascii="Arial"/>
                <w:spacing w:val="-1"/>
                <w:sz w:val="18"/>
              </w:rPr>
              <w:t>169,665</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少数股东投入资本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Arial" w:hAnsi="Arial" w:cs="Arial" w:eastAsia="Arial" w:hint="default"/>
                <w:sz w:val="18"/>
                <w:szCs w:val="18"/>
              </w:rPr>
            </w:pPr>
            <w:r>
              <w:rPr>
                <w:rFonts w:ascii="Arial"/>
                <w:w w:val="99"/>
                <w:sz w:val="18"/>
              </w:rPr>
              <w:t>-</w:t>
            </w:r>
            <w:r>
              <w:rPr>
                <w:rFonts w:ascii="Arial"/>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right"/>
              <w:rPr>
                <w:rFonts w:ascii="Arial" w:hAnsi="Arial" w:cs="Arial" w:eastAsia="Arial" w:hint="default"/>
                <w:sz w:val="18"/>
                <w:szCs w:val="18"/>
              </w:rPr>
            </w:pPr>
            <w:r>
              <w:rPr>
                <w:rFonts w:ascii="Arial"/>
                <w:w w:val="99"/>
                <w:sz w:val="18"/>
              </w:rPr>
              <w:t>-</w:t>
            </w:r>
            <w:r>
              <w:rPr>
                <w:rFonts w:ascii="Arial"/>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0"/>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Arial" w:hAnsi="Arial" w:cs="Arial" w:eastAsia="Arial" w:hint="default"/>
                <w:sz w:val="18"/>
                <w:szCs w:val="18"/>
              </w:rPr>
            </w:pPr>
            <w:r>
              <w:rPr>
                <w:rFonts w:ascii="Arial"/>
                <w:w w:val="99"/>
                <w:sz w:val="18"/>
              </w:rPr>
              <w:t>-</w:t>
            </w:r>
            <w:r>
              <w:rPr>
                <w:rFonts w:ascii="Arial"/>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Arial" w:hAnsi="Arial" w:cs="Arial" w:eastAsia="Arial" w:hint="default"/>
                <w:sz w:val="18"/>
                <w:szCs w:val="18"/>
              </w:rPr>
            </w:pPr>
            <w:r>
              <w:rPr>
                <w:rFonts w:ascii="Arial"/>
                <w:sz w:val="18"/>
              </w:rPr>
              <w:t>48,138</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
              <w:jc w:val="right"/>
              <w:rPr>
                <w:rFonts w:ascii="Arial" w:hAnsi="Arial" w:cs="Arial" w:eastAsia="Arial" w:hint="default"/>
                <w:sz w:val="18"/>
                <w:szCs w:val="18"/>
              </w:rPr>
            </w:pPr>
            <w:r>
              <w:rPr>
                <w:rFonts w:ascii="Arial"/>
                <w:spacing w:val="-1"/>
                <w:sz w:val="18"/>
              </w:rPr>
              <w:t>48,138</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少数股东减少资本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 w:right="0"/>
              <w:jc w:val="center"/>
              <w:rPr>
                <w:rFonts w:ascii="Arial" w:hAnsi="Arial" w:cs="Arial" w:eastAsia="Arial" w:hint="default"/>
                <w:sz w:val="18"/>
                <w:szCs w:val="18"/>
              </w:rPr>
            </w:pPr>
            <w:r>
              <w:rPr>
                <w:rFonts w:ascii="宋体" w:hAnsi="宋体" w:cs="宋体" w:eastAsia="宋体" w:hint="default"/>
                <w:spacing w:val="-11"/>
                <w:sz w:val="18"/>
                <w:szCs w:val="18"/>
              </w:rPr>
              <w:t>五</w:t>
            </w:r>
            <w:r>
              <w:rPr>
                <w:rFonts w:ascii="Arial" w:hAnsi="Arial" w:cs="Arial" w:eastAsia="Arial" w:hint="default"/>
                <w:spacing w:val="-11"/>
                <w:sz w:val="18"/>
                <w:szCs w:val="18"/>
              </w:rPr>
              <w:t>.34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Arial" w:hAnsi="Arial" w:cs="Arial" w:eastAsia="Arial" w:hint="default"/>
                <w:sz w:val="18"/>
                <w:szCs w:val="18"/>
              </w:rPr>
            </w:pPr>
            <w:r>
              <w:rPr>
                <w:rFonts w:ascii="Arial"/>
                <w:w w:val="99"/>
                <w:sz w:val="18"/>
              </w:rPr>
              <w:t>-</w:t>
            </w:r>
            <w:r>
              <w:rPr>
                <w:rFonts w:ascii="Arial"/>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right"/>
              <w:rPr>
                <w:rFonts w:ascii="Arial" w:hAnsi="Arial" w:cs="Arial" w:eastAsia="Arial" w:hint="default"/>
                <w:sz w:val="18"/>
                <w:szCs w:val="18"/>
              </w:rPr>
            </w:pPr>
            <w:r>
              <w:rPr>
                <w:rFonts w:ascii="Arial"/>
                <w:spacing w:val="-1"/>
                <w:sz w:val="18"/>
              </w:rPr>
              <w:t>(308,266)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right"/>
              <w:rPr>
                <w:rFonts w:ascii="Arial" w:hAnsi="Arial" w:cs="Arial" w:eastAsia="Arial" w:hint="default"/>
                <w:sz w:val="18"/>
                <w:szCs w:val="18"/>
              </w:rPr>
            </w:pPr>
            <w:r>
              <w:rPr>
                <w:rFonts w:ascii="Arial"/>
                <w:w w:val="99"/>
                <w:sz w:val="18"/>
              </w:rPr>
              <w:t>-</w:t>
            </w:r>
            <w:r>
              <w:rPr>
                <w:rFonts w:ascii="Arial"/>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0"/>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Arial" w:hAnsi="Arial" w:cs="Arial" w:eastAsia="Arial" w:hint="default"/>
                <w:sz w:val="18"/>
                <w:szCs w:val="18"/>
              </w:rPr>
            </w:pPr>
            <w:r>
              <w:rPr>
                <w:rFonts w:ascii="Arial"/>
                <w:w w:val="99"/>
                <w:sz w:val="18"/>
              </w:rPr>
              <w:t>-</w:t>
            </w:r>
            <w:r>
              <w:rPr>
                <w:rFonts w:ascii="Arial"/>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4"/>
              <w:jc w:val="left"/>
              <w:rPr>
                <w:rFonts w:ascii="Arial" w:hAnsi="Arial" w:cs="Arial" w:eastAsia="Arial" w:hint="default"/>
                <w:sz w:val="18"/>
                <w:szCs w:val="18"/>
              </w:rPr>
            </w:pPr>
            <w:r>
              <w:rPr>
                <w:rFonts w:ascii="Arial"/>
                <w:sz w:val="18"/>
              </w:rPr>
              <w:t>(567,771)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Arial" w:hAnsi="Arial" w:cs="Arial" w:eastAsia="Arial" w:hint="default"/>
                <w:sz w:val="18"/>
                <w:szCs w:val="18"/>
              </w:rPr>
            </w:pPr>
            <w:r>
              <w:rPr>
                <w:rFonts w:ascii="Arial"/>
                <w:spacing w:val="-1"/>
                <w:sz w:val="18"/>
              </w:rPr>
              <w:t>(876,037)</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Arial" w:hAnsi="Arial" w:cs="Arial" w:eastAsia="Arial" w:hint="default"/>
                <w:sz w:val="18"/>
                <w:szCs w:val="18"/>
              </w:rPr>
            </w:pPr>
            <w:r>
              <w:rPr>
                <w:rFonts w:ascii="Arial"/>
                <w:w w:val="99"/>
                <w:sz w:val="18"/>
              </w:rPr>
              <w:t>-</w:t>
            </w:r>
            <w:r>
              <w:rPr>
                <w:rFonts w:ascii="Arial"/>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right"/>
              <w:rPr>
                <w:rFonts w:ascii="Arial" w:hAnsi="Arial" w:cs="Arial" w:eastAsia="Arial" w:hint="default"/>
                <w:sz w:val="18"/>
                <w:szCs w:val="18"/>
              </w:rPr>
            </w:pPr>
            <w:r>
              <w:rPr>
                <w:rFonts w:ascii="Arial"/>
                <w:w w:val="99"/>
                <w:sz w:val="18"/>
              </w:rPr>
              <w:t>-</w:t>
            </w:r>
            <w:r>
              <w:rPr>
                <w:rFonts w:ascii="Arial"/>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0"/>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Arial" w:hAnsi="Arial" w:cs="Arial" w:eastAsia="Arial" w:hint="default"/>
                <w:sz w:val="18"/>
                <w:szCs w:val="18"/>
              </w:rPr>
            </w:pPr>
            <w:r>
              <w:rPr>
                <w:rFonts w:ascii="Arial"/>
                <w:w w:val="99"/>
                <w:sz w:val="18"/>
              </w:rPr>
              <w:t>-</w:t>
            </w:r>
            <w:r>
              <w:rPr>
                <w:rFonts w:ascii="Arial"/>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 w:right="0"/>
              <w:jc w:val="left"/>
              <w:rPr>
                <w:rFonts w:ascii="Arial" w:hAnsi="Arial" w:cs="Arial" w:eastAsia="Arial" w:hint="default"/>
                <w:sz w:val="18"/>
                <w:szCs w:val="18"/>
              </w:rPr>
            </w:pPr>
            <w:r>
              <w:rPr>
                <w:rFonts w:ascii="Arial"/>
                <w:sz w:val="18"/>
              </w:rPr>
              <w:t>662,380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
              <w:jc w:val="right"/>
              <w:rPr>
                <w:rFonts w:ascii="Arial" w:hAnsi="Arial" w:cs="Arial" w:eastAsia="Arial" w:hint="default"/>
                <w:sz w:val="18"/>
                <w:szCs w:val="18"/>
              </w:rPr>
            </w:pPr>
            <w:r>
              <w:rPr>
                <w:rFonts w:ascii="Arial"/>
                <w:spacing w:val="-1"/>
                <w:sz w:val="18"/>
              </w:rPr>
              <w:t>662,380</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 w:right="0"/>
              <w:jc w:val="center"/>
              <w:rPr>
                <w:rFonts w:ascii="Arial" w:hAnsi="Arial" w:cs="Arial" w:eastAsia="Arial" w:hint="default"/>
                <w:sz w:val="18"/>
                <w:szCs w:val="18"/>
              </w:rPr>
            </w:pPr>
            <w:r>
              <w:rPr>
                <w:rFonts w:ascii="宋体" w:hAnsi="宋体" w:cs="宋体" w:eastAsia="宋体" w:hint="default"/>
                <w:spacing w:val="-11"/>
                <w:sz w:val="18"/>
                <w:szCs w:val="18"/>
              </w:rPr>
              <w:t>五</w:t>
            </w:r>
            <w:r>
              <w:rPr>
                <w:rFonts w:ascii="Arial" w:hAnsi="Arial" w:cs="Arial" w:eastAsia="Arial" w:hint="default"/>
                <w:spacing w:val="-11"/>
                <w:sz w:val="18"/>
                <w:szCs w:val="18"/>
              </w:rPr>
              <w:t>.35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Arial" w:hAnsi="Arial" w:cs="Arial" w:eastAsia="Arial" w:hint="default"/>
                <w:sz w:val="18"/>
                <w:szCs w:val="18"/>
              </w:rPr>
            </w:pPr>
            <w:r>
              <w:rPr>
                <w:rFonts w:ascii="Arial"/>
                <w:w w:val="99"/>
                <w:sz w:val="18"/>
              </w:rPr>
              <w:t>-</w:t>
            </w:r>
            <w:r>
              <w:rPr>
                <w:rFonts w:ascii="Arial"/>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
              <w:jc w:val="right"/>
              <w:rPr>
                <w:rFonts w:ascii="Arial" w:hAnsi="Arial" w:cs="Arial" w:eastAsia="Arial" w:hint="default"/>
                <w:sz w:val="18"/>
                <w:szCs w:val="18"/>
              </w:rPr>
            </w:pPr>
            <w:r>
              <w:rPr>
                <w:rFonts w:ascii="Arial"/>
                <w:spacing w:val="-1"/>
                <w:sz w:val="18"/>
              </w:rPr>
              <w:t>260,601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
              <w:jc w:val="right"/>
              <w:rPr>
                <w:rFonts w:ascii="Arial" w:hAnsi="Arial" w:cs="Arial" w:eastAsia="Arial" w:hint="default"/>
                <w:sz w:val="18"/>
                <w:szCs w:val="18"/>
              </w:rPr>
            </w:pPr>
            <w:r>
              <w:rPr>
                <w:rFonts w:ascii="Arial"/>
                <w:spacing w:val="-1"/>
                <w:sz w:val="18"/>
              </w:rPr>
              <w:t>(260,601)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Arial" w:hAnsi="Arial" w:cs="Arial" w:eastAsia="Arial" w:hint="default"/>
                <w:sz w:val="18"/>
                <w:szCs w:val="18"/>
              </w:rPr>
            </w:pPr>
            <w:r>
              <w:rPr>
                <w:rFonts w:ascii="Arial"/>
                <w:w w:val="99"/>
                <w:sz w:val="18"/>
              </w:rPr>
              <w:t>-</w:t>
            </w:r>
            <w:r>
              <w:rPr>
                <w:rFonts w:ascii="Arial"/>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right"/>
              <w:rPr>
                <w:rFonts w:ascii="Arial" w:hAnsi="Arial" w:cs="Arial" w:eastAsia="Arial" w:hint="default"/>
                <w:sz w:val="18"/>
                <w:szCs w:val="18"/>
              </w:rPr>
            </w:pPr>
            <w:r>
              <w:rPr>
                <w:rFonts w:ascii="Arial"/>
                <w:w w:val="99"/>
                <w:sz w:val="18"/>
              </w:rPr>
              <w:t>-</w:t>
            </w:r>
            <w:r>
              <w:rPr>
                <w:rFonts w:ascii="Arial"/>
                <w:sz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right"/>
              <w:rPr>
                <w:rFonts w:ascii="Arial" w:hAnsi="Arial" w:cs="Arial" w:eastAsia="Arial" w:hint="default"/>
                <w:sz w:val="18"/>
                <w:szCs w:val="18"/>
              </w:rPr>
            </w:pPr>
            <w:r>
              <w:rPr>
                <w:rFonts w:ascii="Arial"/>
                <w:w w:val="99"/>
                <w:sz w:val="18"/>
              </w:rPr>
              <w:t>-</w:t>
            </w:r>
            <w:r>
              <w:rPr>
                <w:rFonts w:ascii="Arial"/>
                <w:sz w:val="18"/>
              </w:rPr>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center"/>
              <w:rPr>
                <w:rFonts w:ascii="Arial" w:hAnsi="Arial" w:cs="Arial" w:eastAsia="Arial" w:hint="default"/>
                <w:sz w:val="18"/>
                <w:szCs w:val="18"/>
              </w:rPr>
            </w:pPr>
            <w:r>
              <w:rPr>
                <w:rFonts w:ascii="宋体" w:hAnsi="宋体" w:cs="宋体" w:eastAsia="宋体" w:hint="default"/>
                <w:spacing w:val="-11"/>
                <w:sz w:val="18"/>
                <w:szCs w:val="18"/>
              </w:rPr>
              <w:t>五</w:t>
            </w:r>
            <w:r>
              <w:rPr>
                <w:rFonts w:ascii="Arial" w:hAnsi="Arial" w:cs="Arial" w:eastAsia="Arial" w:hint="default"/>
                <w:spacing w:val="-11"/>
                <w:sz w:val="18"/>
                <w:szCs w:val="18"/>
              </w:rPr>
              <w:t>.36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4"/>
              <w:jc w:val="right"/>
              <w:rPr>
                <w:rFonts w:ascii="Arial" w:hAnsi="Arial" w:cs="Arial" w:eastAsia="Arial" w:hint="default"/>
                <w:sz w:val="18"/>
                <w:szCs w:val="18"/>
              </w:rPr>
            </w:pPr>
            <w:r>
              <w:rPr>
                <w:rFonts w:ascii="Arial"/>
                <w:w w:val="99"/>
                <w:sz w:val="18"/>
              </w:rPr>
              <w:t>-</w:t>
            </w:r>
            <w:r>
              <w:rPr>
                <w:rFonts w:ascii="Arial"/>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5"/>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2"/>
              <w:jc w:val="right"/>
              <w:rPr>
                <w:rFonts w:ascii="Arial" w:hAnsi="Arial" w:cs="Arial" w:eastAsia="Arial" w:hint="default"/>
                <w:sz w:val="18"/>
                <w:szCs w:val="18"/>
              </w:rPr>
            </w:pPr>
            <w:r>
              <w:rPr>
                <w:rFonts w:ascii="Arial"/>
                <w:w w:val="99"/>
                <w:sz w:val="18"/>
              </w:rPr>
              <w:t>-</w:t>
            </w:r>
            <w:r>
              <w:rPr>
                <w:rFonts w:ascii="Arial"/>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
              <w:jc w:val="right"/>
              <w:rPr>
                <w:rFonts w:ascii="Arial" w:hAnsi="Arial" w:cs="Arial" w:eastAsia="Arial" w:hint="default"/>
                <w:sz w:val="18"/>
                <w:szCs w:val="18"/>
              </w:rPr>
            </w:pPr>
            <w:r>
              <w:rPr>
                <w:rFonts w:ascii="Arial"/>
                <w:spacing w:val="-1"/>
                <w:sz w:val="18"/>
              </w:rPr>
              <w:t>(699,621)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Arial" w:hAnsi="Arial" w:cs="Arial" w:eastAsia="Arial" w:hint="default"/>
                <w:sz w:val="18"/>
                <w:szCs w:val="18"/>
              </w:rPr>
            </w:pPr>
            <w:r>
              <w:rPr>
                <w:rFonts w:ascii="Arial"/>
                <w:w w:val="99"/>
                <w:sz w:val="18"/>
              </w:rPr>
              <w:t>-</w:t>
            </w:r>
            <w:r>
              <w:rPr>
                <w:rFonts w:ascii="Arial"/>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right"/>
              <w:rPr>
                <w:rFonts w:ascii="Arial" w:hAnsi="Arial" w:cs="Arial" w:eastAsia="Arial" w:hint="default"/>
                <w:sz w:val="18"/>
                <w:szCs w:val="18"/>
              </w:rPr>
            </w:pPr>
            <w:r>
              <w:rPr>
                <w:rFonts w:ascii="Arial"/>
                <w:w w:val="95"/>
                <w:sz w:val="18"/>
              </w:rPr>
              <w:t>(1,363)</w:t>
            </w:r>
            <w:r>
              <w:rPr>
                <w:rFonts w:ascii="Arial"/>
                <w:sz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right"/>
              <w:rPr>
                <w:rFonts w:ascii="Arial" w:hAnsi="Arial" w:cs="Arial" w:eastAsia="Arial" w:hint="default"/>
                <w:sz w:val="18"/>
                <w:szCs w:val="18"/>
              </w:rPr>
            </w:pPr>
            <w:r>
              <w:rPr>
                <w:rFonts w:ascii="Arial"/>
                <w:spacing w:val="-1"/>
                <w:sz w:val="18"/>
              </w:rPr>
              <w:t>(700,984)</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Arial" w:hAnsi="Arial" w:cs="Arial" w:eastAsia="Arial" w:hint="default"/>
                <w:b/>
                <w:bCs/>
                <w:sz w:val="18"/>
                <w:szCs w:val="18"/>
              </w:rPr>
              <w:t>2011</w:t>
            </w:r>
            <w:r>
              <w:rPr>
                <w:rFonts w:ascii="Arial" w:hAnsi="Arial" w:cs="Arial" w:eastAsia="Arial" w:hint="default"/>
                <w:b/>
                <w:bCs/>
                <w:spacing w:val="-10"/>
                <w:sz w:val="18"/>
                <w:szCs w:val="18"/>
              </w:rPr>
              <w:t> </w:t>
            </w:r>
            <w:r>
              <w:rPr>
                <w:rFonts w:ascii="黑体" w:hAnsi="黑体" w:cs="黑体" w:eastAsia="黑体" w:hint="default"/>
                <w:b/>
                <w:bCs/>
                <w:sz w:val="18"/>
                <w:szCs w:val="18"/>
              </w:rPr>
              <w:t>年</w:t>
            </w:r>
            <w:r>
              <w:rPr>
                <w:rFonts w:ascii="黑体" w:hAnsi="黑体" w:cs="黑体" w:eastAsia="黑体" w:hint="default"/>
                <w:b/>
                <w:bCs/>
                <w:spacing w:val="-49"/>
                <w:sz w:val="18"/>
                <w:szCs w:val="18"/>
              </w:rPr>
              <w:t> </w:t>
            </w:r>
            <w:r>
              <w:rPr>
                <w:rFonts w:ascii="Arial" w:hAnsi="Arial" w:cs="Arial" w:eastAsia="Arial" w:hint="default"/>
                <w:b/>
                <w:bCs/>
                <w:sz w:val="18"/>
                <w:szCs w:val="18"/>
              </w:rPr>
              <w:t>12</w:t>
            </w:r>
            <w:r>
              <w:rPr>
                <w:rFonts w:ascii="Arial" w:hAnsi="Arial" w:cs="Arial" w:eastAsia="Arial" w:hint="default"/>
                <w:b/>
                <w:bCs/>
                <w:spacing w:val="-10"/>
                <w:sz w:val="18"/>
                <w:szCs w:val="18"/>
              </w:rPr>
              <w:t> </w:t>
            </w:r>
            <w:r>
              <w:rPr>
                <w:rFonts w:ascii="黑体" w:hAnsi="黑体" w:cs="黑体" w:eastAsia="黑体" w:hint="default"/>
                <w:b/>
                <w:bCs/>
                <w:sz w:val="18"/>
                <w:szCs w:val="18"/>
              </w:rPr>
              <w:t>月</w:t>
            </w:r>
            <w:r>
              <w:rPr>
                <w:rFonts w:ascii="黑体" w:hAnsi="黑体" w:cs="黑体" w:eastAsia="黑体" w:hint="default"/>
                <w:b/>
                <w:bCs/>
                <w:spacing w:val="-46"/>
                <w:sz w:val="18"/>
                <w:szCs w:val="18"/>
              </w:rPr>
              <w:t> </w:t>
            </w:r>
            <w:r>
              <w:rPr>
                <w:rFonts w:ascii="Arial" w:hAnsi="Arial" w:cs="Arial" w:eastAsia="Arial" w:hint="default"/>
                <w:b/>
                <w:bCs/>
                <w:sz w:val="18"/>
                <w:szCs w:val="18"/>
              </w:rPr>
              <w:t>31</w:t>
            </w:r>
            <w:r>
              <w:rPr>
                <w:rFonts w:ascii="Arial" w:hAnsi="Arial" w:cs="Arial" w:eastAsia="Arial" w:hint="default"/>
                <w:b/>
                <w:bCs/>
                <w:spacing w:val="-7"/>
                <w:sz w:val="18"/>
                <w:szCs w:val="18"/>
              </w:rPr>
              <w:t> </w:t>
            </w:r>
            <w:r>
              <w:rPr>
                <w:rFonts w:ascii="黑体" w:hAnsi="黑体" w:cs="黑体" w:eastAsia="黑体" w:hint="default"/>
                <w:b/>
                <w:bCs/>
                <w:sz w:val="18"/>
                <w:szCs w:val="18"/>
              </w:rPr>
              <w:t>日年末余额</w:t>
            </w:r>
            <w:r>
              <w:rPr>
                <w:rFonts w:ascii="黑体" w:hAnsi="黑体" w:cs="黑体" w:eastAsia="黑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right"/>
              <w:rPr>
                <w:rFonts w:ascii="Arial" w:hAnsi="Arial" w:cs="Arial" w:eastAsia="Arial" w:hint="default"/>
                <w:sz w:val="18"/>
                <w:szCs w:val="18"/>
              </w:rPr>
            </w:pPr>
            <w:r>
              <w:rPr>
                <w:rFonts w:ascii="Arial"/>
                <w:spacing w:val="-1"/>
                <w:sz w:val="18"/>
              </w:rPr>
              <w:t>6,996,212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8"/>
              <w:jc w:val="right"/>
              <w:rPr>
                <w:rFonts w:ascii="Arial" w:hAnsi="Arial" w:cs="Arial" w:eastAsia="Arial" w:hint="default"/>
                <w:sz w:val="18"/>
                <w:szCs w:val="18"/>
              </w:rPr>
            </w:pPr>
            <w:r>
              <w:rPr>
                <w:rFonts w:ascii="Arial"/>
                <w:spacing w:val="-1"/>
                <w:sz w:val="18"/>
              </w:rPr>
              <w:t>517,074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
              <w:jc w:val="right"/>
              <w:rPr>
                <w:rFonts w:ascii="Arial" w:hAnsi="Arial" w:cs="Arial" w:eastAsia="Arial" w:hint="default"/>
                <w:sz w:val="18"/>
                <w:szCs w:val="18"/>
              </w:rPr>
            </w:pPr>
            <w:r>
              <w:rPr>
                <w:rFonts w:ascii="Arial"/>
                <w:spacing w:val="-1"/>
                <w:sz w:val="18"/>
              </w:rPr>
              <w:t>1,007,130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0"/>
              <w:jc w:val="right"/>
              <w:rPr>
                <w:rFonts w:ascii="Arial" w:hAnsi="Arial" w:cs="Arial" w:eastAsia="Arial" w:hint="default"/>
                <w:sz w:val="18"/>
                <w:szCs w:val="18"/>
              </w:rPr>
            </w:pPr>
            <w:r>
              <w:rPr>
                <w:rFonts w:ascii="Arial"/>
                <w:spacing w:val="-1"/>
                <w:sz w:val="18"/>
              </w:rPr>
              <w:t>13,793,238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Arial" w:hAnsi="Arial" w:cs="Arial" w:eastAsia="Arial" w:hint="default"/>
                <w:sz w:val="18"/>
                <w:szCs w:val="18"/>
              </w:rPr>
            </w:pPr>
            <w:r>
              <w:rPr>
                <w:rFonts w:ascii="Arial"/>
                <w:sz w:val="18"/>
              </w:rPr>
              <w:t>14,680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 w:right="0"/>
              <w:jc w:val="left"/>
              <w:rPr>
                <w:rFonts w:ascii="Arial" w:hAnsi="Arial" w:cs="Arial" w:eastAsia="Arial" w:hint="default"/>
                <w:sz w:val="18"/>
                <w:szCs w:val="18"/>
              </w:rPr>
            </w:pPr>
            <w:r>
              <w:rPr>
                <w:rFonts w:ascii="Arial"/>
                <w:sz w:val="18"/>
              </w:rPr>
              <w:t>702,204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1"/>
              <w:jc w:val="right"/>
              <w:rPr>
                <w:rFonts w:ascii="Arial" w:hAnsi="Arial" w:cs="Arial" w:eastAsia="Arial" w:hint="default"/>
                <w:sz w:val="18"/>
                <w:szCs w:val="18"/>
              </w:rPr>
            </w:pPr>
            <w:r>
              <w:rPr>
                <w:rFonts w:ascii="Arial"/>
                <w:spacing w:val="-10"/>
                <w:sz w:val="18"/>
              </w:rPr>
              <w:t>23,030,538</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Arial" w:hAnsi="Arial" w:cs="Arial" w:eastAsia="Arial" w:hint="default"/>
                <w:b/>
                <w:bCs/>
                <w:sz w:val="18"/>
                <w:szCs w:val="18"/>
              </w:rPr>
              <w:t>2012</w:t>
            </w:r>
            <w:r>
              <w:rPr>
                <w:rFonts w:ascii="Arial" w:hAnsi="Arial" w:cs="Arial" w:eastAsia="Arial" w:hint="default"/>
                <w:b/>
                <w:bCs/>
                <w:spacing w:val="-7"/>
                <w:sz w:val="18"/>
                <w:szCs w:val="18"/>
              </w:rPr>
              <w:t> </w:t>
            </w:r>
            <w:r>
              <w:rPr>
                <w:rFonts w:ascii="黑体" w:hAnsi="黑体" w:cs="黑体" w:eastAsia="黑体" w:hint="default"/>
                <w:b/>
                <w:bCs/>
                <w:sz w:val="18"/>
                <w:szCs w:val="18"/>
              </w:rPr>
              <w:t>年</w:t>
            </w:r>
            <w:r>
              <w:rPr>
                <w:rFonts w:ascii="黑体" w:hAnsi="黑体" w:cs="黑体" w:eastAsia="黑体" w:hint="default"/>
                <w:b/>
                <w:bCs/>
                <w:spacing w:val="-46"/>
                <w:sz w:val="18"/>
                <w:szCs w:val="18"/>
              </w:rPr>
              <w:t> </w:t>
            </w:r>
            <w:r>
              <w:rPr>
                <w:rFonts w:ascii="Arial" w:hAnsi="Arial" w:cs="Arial" w:eastAsia="Arial" w:hint="default"/>
                <w:b/>
                <w:bCs/>
                <w:sz w:val="18"/>
                <w:szCs w:val="18"/>
              </w:rPr>
              <w:t>1</w:t>
            </w:r>
            <w:r>
              <w:rPr>
                <w:rFonts w:ascii="Arial" w:hAnsi="Arial" w:cs="Arial" w:eastAsia="Arial" w:hint="default"/>
                <w:b/>
                <w:bCs/>
                <w:spacing w:val="-7"/>
                <w:sz w:val="18"/>
                <w:szCs w:val="18"/>
              </w:rPr>
              <w:t> </w:t>
            </w:r>
            <w:r>
              <w:rPr>
                <w:rFonts w:ascii="黑体" w:hAnsi="黑体" w:cs="黑体" w:eastAsia="黑体" w:hint="default"/>
                <w:b/>
                <w:bCs/>
                <w:sz w:val="18"/>
                <w:szCs w:val="18"/>
              </w:rPr>
              <w:t>月</w:t>
            </w:r>
            <w:r>
              <w:rPr>
                <w:rFonts w:ascii="黑体" w:hAnsi="黑体" w:cs="黑体" w:eastAsia="黑体" w:hint="default"/>
                <w:b/>
                <w:bCs/>
                <w:spacing w:val="-43"/>
                <w:sz w:val="18"/>
                <w:szCs w:val="18"/>
              </w:rPr>
              <w:t> </w:t>
            </w:r>
            <w:r>
              <w:rPr>
                <w:rFonts w:ascii="Arial" w:hAnsi="Arial" w:cs="Arial" w:eastAsia="Arial" w:hint="default"/>
                <w:b/>
                <w:bCs/>
                <w:sz w:val="18"/>
                <w:szCs w:val="18"/>
              </w:rPr>
              <w:t>1</w:t>
            </w:r>
            <w:r>
              <w:rPr>
                <w:rFonts w:ascii="Arial" w:hAnsi="Arial" w:cs="Arial" w:eastAsia="Arial" w:hint="default"/>
                <w:b/>
                <w:bCs/>
                <w:spacing w:val="-7"/>
                <w:sz w:val="18"/>
                <w:szCs w:val="18"/>
              </w:rPr>
              <w:t> </w:t>
            </w:r>
            <w:r>
              <w:rPr>
                <w:rFonts w:ascii="黑体" w:hAnsi="黑体" w:cs="黑体" w:eastAsia="黑体" w:hint="default"/>
                <w:b/>
                <w:bCs/>
                <w:sz w:val="18"/>
                <w:szCs w:val="18"/>
              </w:rPr>
              <w:t>日年初余额</w:t>
            </w:r>
            <w:r>
              <w:rPr>
                <w:rFonts w:ascii="黑体" w:hAnsi="黑体" w:cs="黑体" w:eastAsia="黑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right"/>
              <w:rPr>
                <w:rFonts w:ascii="Arial" w:hAnsi="Arial" w:cs="Arial" w:eastAsia="Arial" w:hint="default"/>
                <w:sz w:val="18"/>
                <w:szCs w:val="18"/>
              </w:rPr>
            </w:pPr>
            <w:r>
              <w:rPr>
                <w:rFonts w:ascii="Arial"/>
                <w:spacing w:val="-1"/>
                <w:sz w:val="18"/>
              </w:rPr>
              <w:t>6,996,212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8"/>
              <w:jc w:val="right"/>
              <w:rPr>
                <w:rFonts w:ascii="Arial" w:hAnsi="Arial" w:cs="Arial" w:eastAsia="Arial" w:hint="default"/>
                <w:sz w:val="18"/>
                <w:szCs w:val="18"/>
              </w:rPr>
            </w:pPr>
            <w:r>
              <w:rPr>
                <w:rFonts w:ascii="Arial"/>
                <w:spacing w:val="-1"/>
                <w:sz w:val="18"/>
              </w:rPr>
              <w:t>517,074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
              <w:jc w:val="right"/>
              <w:rPr>
                <w:rFonts w:ascii="Arial" w:hAnsi="Arial" w:cs="Arial" w:eastAsia="Arial" w:hint="default"/>
                <w:sz w:val="18"/>
                <w:szCs w:val="18"/>
              </w:rPr>
            </w:pPr>
            <w:r>
              <w:rPr>
                <w:rFonts w:ascii="Arial"/>
                <w:spacing w:val="-1"/>
                <w:sz w:val="18"/>
              </w:rPr>
              <w:t>1,007,130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0"/>
              <w:jc w:val="right"/>
              <w:rPr>
                <w:rFonts w:ascii="Arial" w:hAnsi="Arial" w:cs="Arial" w:eastAsia="Arial" w:hint="default"/>
                <w:sz w:val="18"/>
                <w:szCs w:val="18"/>
              </w:rPr>
            </w:pPr>
            <w:r>
              <w:rPr>
                <w:rFonts w:ascii="Arial"/>
                <w:spacing w:val="-1"/>
                <w:sz w:val="18"/>
              </w:rPr>
              <w:t>13,793,238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Arial" w:hAnsi="Arial" w:cs="Arial" w:eastAsia="Arial" w:hint="default"/>
                <w:sz w:val="18"/>
                <w:szCs w:val="18"/>
              </w:rPr>
            </w:pPr>
            <w:r>
              <w:rPr>
                <w:rFonts w:ascii="Arial"/>
                <w:sz w:val="18"/>
              </w:rPr>
              <w:t>14,680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 w:right="0"/>
              <w:jc w:val="left"/>
              <w:rPr>
                <w:rFonts w:ascii="Arial" w:hAnsi="Arial" w:cs="Arial" w:eastAsia="Arial" w:hint="default"/>
                <w:sz w:val="18"/>
                <w:szCs w:val="18"/>
              </w:rPr>
            </w:pPr>
            <w:r>
              <w:rPr>
                <w:rFonts w:ascii="Arial"/>
                <w:sz w:val="18"/>
              </w:rPr>
              <w:t>702,204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1"/>
              <w:jc w:val="right"/>
              <w:rPr>
                <w:rFonts w:ascii="Arial" w:hAnsi="Arial" w:cs="Arial" w:eastAsia="Arial" w:hint="default"/>
                <w:sz w:val="18"/>
                <w:szCs w:val="18"/>
              </w:rPr>
            </w:pPr>
            <w:r>
              <w:rPr>
                <w:rFonts w:ascii="Arial"/>
                <w:spacing w:val="-10"/>
                <w:sz w:val="18"/>
              </w:rPr>
              <w:t>23,030,538</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黑体" w:hAnsi="黑体" w:cs="黑体" w:eastAsia="黑体" w:hint="default"/>
                <w:sz w:val="18"/>
                <w:szCs w:val="18"/>
              </w:rPr>
            </w:pPr>
            <w:r>
              <w:rPr>
                <w:rFonts w:ascii="Arial" w:hAnsi="Arial" w:cs="Arial" w:eastAsia="Arial" w:hint="default"/>
                <w:b/>
                <w:bCs/>
                <w:sz w:val="18"/>
                <w:szCs w:val="18"/>
              </w:rPr>
              <w:t>2012</w:t>
            </w:r>
            <w:r>
              <w:rPr>
                <w:rFonts w:ascii="Arial" w:hAnsi="Arial" w:cs="Arial" w:eastAsia="Arial" w:hint="default"/>
                <w:b/>
                <w:bCs/>
                <w:spacing w:val="-8"/>
                <w:sz w:val="18"/>
                <w:szCs w:val="18"/>
              </w:rPr>
              <w:t> </w:t>
            </w:r>
            <w:r>
              <w:rPr>
                <w:rFonts w:ascii="黑体" w:hAnsi="黑体" w:cs="黑体" w:eastAsia="黑体" w:hint="default"/>
                <w:b/>
                <w:bCs/>
                <w:sz w:val="18"/>
                <w:szCs w:val="18"/>
              </w:rPr>
              <w:t>年度增减变动额</w:t>
            </w:r>
            <w:r>
              <w:rPr>
                <w:rFonts w:ascii="黑体" w:hAnsi="黑体" w:cs="黑体" w:eastAsia="黑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Arial" w:hAnsi="Arial" w:cs="Arial" w:eastAsia="Arial" w:hint="default"/>
                <w:sz w:val="18"/>
                <w:szCs w:val="18"/>
              </w:rPr>
            </w:pPr>
            <w:r>
              <w:rPr>
                <w:rFonts w:ascii="Arial"/>
                <w:w w:val="99"/>
                <w:sz w:val="18"/>
              </w:rPr>
              <w:t>-</w:t>
            </w:r>
            <w:r>
              <w:rPr>
                <w:rFonts w:ascii="Arial"/>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right"/>
              <w:rPr>
                <w:rFonts w:ascii="Arial" w:hAnsi="Arial" w:cs="Arial" w:eastAsia="Arial" w:hint="default"/>
                <w:sz w:val="18"/>
                <w:szCs w:val="18"/>
              </w:rPr>
            </w:pPr>
            <w:r>
              <w:rPr>
                <w:rFonts w:ascii="Arial"/>
                <w:w w:val="99"/>
                <w:sz w:val="18"/>
              </w:rPr>
              <w:t>-</w:t>
            </w:r>
            <w:r>
              <w:rPr>
                <w:rFonts w:ascii="Arial"/>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9"/>
              <w:jc w:val="right"/>
              <w:rPr>
                <w:rFonts w:ascii="Arial" w:hAnsi="Arial" w:cs="Arial" w:eastAsia="Arial" w:hint="default"/>
                <w:sz w:val="18"/>
                <w:szCs w:val="18"/>
              </w:rPr>
            </w:pPr>
            <w:r>
              <w:rPr>
                <w:rFonts w:ascii="Arial"/>
                <w:spacing w:val="-2"/>
                <w:sz w:val="18"/>
              </w:rPr>
              <w:t>2,676,119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Arial" w:hAnsi="Arial" w:cs="Arial" w:eastAsia="Arial" w:hint="default"/>
                <w:sz w:val="18"/>
                <w:szCs w:val="18"/>
              </w:rPr>
            </w:pPr>
            <w:r>
              <w:rPr>
                <w:rFonts w:ascii="Arial"/>
                <w:w w:val="99"/>
                <w:sz w:val="18"/>
              </w:rPr>
              <w:t>-</w:t>
            </w:r>
            <w:r>
              <w:rPr>
                <w:rFonts w:ascii="Arial"/>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4"/>
              <w:jc w:val="left"/>
              <w:rPr>
                <w:rFonts w:ascii="Arial" w:hAnsi="Arial" w:cs="Arial" w:eastAsia="Arial" w:hint="default"/>
                <w:sz w:val="18"/>
                <w:szCs w:val="18"/>
              </w:rPr>
            </w:pPr>
            <w:r>
              <w:rPr>
                <w:rFonts w:ascii="Arial"/>
                <w:sz w:val="18"/>
              </w:rPr>
              <w:t>(170,657)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
              <w:jc w:val="right"/>
              <w:rPr>
                <w:rFonts w:ascii="Arial" w:hAnsi="Arial" w:cs="Arial" w:eastAsia="Arial" w:hint="default"/>
                <w:sz w:val="18"/>
                <w:szCs w:val="18"/>
              </w:rPr>
            </w:pPr>
            <w:r>
              <w:rPr>
                <w:rFonts w:ascii="Arial"/>
                <w:spacing w:val="-1"/>
                <w:sz w:val="18"/>
              </w:rPr>
              <w:t>2,505,462</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 w:right="0"/>
              <w:jc w:val="center"/>
              <w:rPr>
                <w:rFonts w:ascii="Arial" w:hAnsi="Arial" w:cs="Arial" w:eastAsia="Arial" w:hint="default"/>
                <w:sz w:val="18"/>
                <w:szCs w:val="18"/>
              </w:rPr>
            </w:pPr>
            <w:r>
              <w:rPr>
                <w:rFonts w:ascii="宋体" w:hAnsi="宋体" w:cs="宋体" w:eastAsia="宋体" w:hint="default"/>
                <w:spacing w:val="-11"/>
                <w:sz w:val="18"/>
                <w:szCs w:val="18"/>
              </w:rPr>
              <w:t>五</w:t>
            </w:r>
            <w:r>
              <w:rPr>
                <w:rFonts w:ascii="Arial" w:hAnsi="Arial" w:cs="Arial" w:eastAsia="Arial" w:hint="default"/>
                <w:spacing w:val="-11"/>
                <w:sz w:val="18"/>
                <w:szCs w:val="18"/>
              </w:rPr>
              <w:t>.49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Arial" w:hAnsi="Arial" w:cs="Arial" w:eastAsia="Arial" w:hint="default"/>
                <w:sz w:val="18"/>
                <w:szCs w:val="18"/>
              </w:rPr>
            </w:pPr>
            <w:r>
              <w:rPr>
                <w:rFonts w:ascii="Arial"/>
                <w:w w:val="99"/>
                <w:sz w:val="18"/>
              </w:rPr>
              <w:t>-</w:t>
            </w:r>
            <w:r>
              <w:rPr>
                <w:rFonts w:ascii="Arial"/>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right"/>
              <w:rPr>
                <w:rFonts w:ascii="Arial" w:hAnsi="Arial" w:cs="Arial" w:eastAsia="Arial" w:hint="default"/>
                <w:sz w:val="18"/>
                <w:szCs w:val="18"/>
              </w:rPr>
            </w:pPr>
            <w:r>
              <w:rPr>
                <w:rFonts w:ascii="Arial"/>
                <w:w w:val="95"/>
                <w:sz w:val="18"/>
              </w:rPr>
              <w:t>(229)</w:t>
            </w:r>
            <w:r>
              <w:rPr>
                <w:rFonts w:ascii="Arial"/>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right"/>
              <w:rPr>
                <w:rFonts w:ascii="Arial" w:hAnsi="Arial" w:cs="Arial" w:eastAsia="Arial" w:hint="default"/>
                <w:sz w:val="18"/>
                <w:szCs w:val="18"/>
              </w:rPr>
            </w:pPr>
            <w:r>
              <w:rPr>
                <w:rFonts w:ascii="Arial"/>
                <w:w w:val="99"/>
                <w:sz w:val="18"/>
              </w:rPr>
              <w:t>-</w:t>
            </w:r>
            <w:r>
              <w:rPr>
                <w:rFonts w:ascii="Arial"/>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0"/>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right"/>
              <w:rPr>
                <w:rFonts w:ascii="Arial" w:hAnsi="Arial" w:cs="Arial" w:eastAsia="Arial" w:hint="default"/>
                <w:sz w:val="18"/>
                <w:szCs w:val="18"/>
              </w:rPr>
            </w:pPr>
            <w:r>
              <w:rPr>
                <w:rFonts w:ascii="Arial"/>
                <w:spacing w:val="-2"/>
                <w:sz w:val="18"/>
              </w:rPr>
              <w:t>(45,119)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right"/>
              <w:rPr>
                <w:rFonts w:ascii="Arial" w:hAnsi="Arial" w:cs="Arial" w:eastAsia="Arial" w:hint="default"/>
                <w:sz w:val="18"/>
                <w:szCs w:val="18"/>
              </w:rPr>
            </w:pPr>
            <w:r>
              <w:rPr>
                <w:rFonts w:ascii="Arial"/>
                <w:spacing w:val="-1"/>
                <w:sz w:val="18"/>
              </w:rPr>
              <w:t>(43,427)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Arial" w:hAnsi="Arial" w:cs="Arial" w:eastAsia="Arial" w:hint="default"/>
                <w:sz w:val="18"/>
                <w:szCs w:val="18"/>
              </w:rPr>
            </w:pPr>
            <w:r>
              <w:rPr>
                <w:rFonts w:ascii="Arial"/>
                <w:spacing w:val="-1"/>
                <w:sz w:val="18"/>
              </w:rPr>
              <w:t>(88,775)</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股东投入和减少资本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股东投入资本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8"/>
              <w:ind w:left="231" w:right="125" w:hanging="80"/>
              <w:jc w:val="left"/>
              <w:rPr>
                <w:rFonts w:ascii="Arial" w:hAnsi="Arial" w:cs="Arial" w:eastAsia="Arial" w:hint="default"/>
                <w:sz w:val="18"/>
                <w:szCs w:val="18"/>
              </w:rPr>
            </w:pPr>
            <w:r>
              <w:rPr>
                <w:rFonts w:ascii="宋体" w:hAnsi="宋体" w:cs="宋体" w:eastAsia="宋体" w:hint="default"/>
                <w:spacing w:val="-10"/>
                <w:sz w:val="18"/>
                <w:szCs w:val="18"/>
              </w:rPr>
              <w:t>五</w:t>
            </w:r>
            <w:r>
              <w:rPr>
                <w:rFonts w:ascii="Arial" w:hAnsi="Arial" w:cs="Arial" w:eastAsia="Arial" w:hint="default"/>
                <w:spacing w:val="-10"/>
                <w:sz w:val="18"/>
                <w:szCs w:val="18"/>
              </w:rPr>
              <w:t>.33</w:t>
            </w:r>
            <w:r>
              <w:rPr>
                <w:rFonts w:ascii="宋体" w:hAnsi="宋体" w:cs="宋体" w:eastAsia="宋体" w:hint="default"/>
                <w:spacing w:val="-10"/>
                <w:sz w:val="18"/>
                <w:szCs w:val="18"/>
              </w:rPr>
              <w:t>、</w:t>
            </w:r>
            <w:r>
              <w:rPr>
                <w:rFonts w:ascii="宋体" w:hAnsi="宋体" w:cs="宋体" w:eastAsia="宋体" w:hint="default"/>
                <w:sz w:val="18"/>
                <w:szCs w:val="18"/>
              </w:rPr>
              <w:t> </w:t>
            </w:r>
            <w:r>
              <w:rPr>
                <w:rFonts w:ascii="宋体" w:hAnsi="宋体" w:cs="宋体" w:eastAsia="宋体" w:hint="default"/>
                <w:spacing w:val="-11"/>
                <w:sz w:val="18"/>
                <w:szCs w:val="18"/>
              </w:rPr>
              <w:t>五</w:t>
            </w:r>
            <w:r>
              <w:rPr>
                <w:rFonts w:ascii="Arial" w:hAnsi="Arial" w:cs="Arial" w:eastAsia="Arial" w:hint="default"/>
                <w:spacing w:val="-11"/>
                <w:sz w:val="18"/>
                <w:szCs w:val="18"/>
              </w:rPr>
              <w:t>.34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35"/>
              <w:jc w:val="right"/>
              <w:rPr>
                <w:rFonts w:ascii="Arial" w:hAnsi="Arial" w:cs="Arial" w:eastAsia="Arial" w:hint="default"/>
                <w:sz w:val="18"/>
                <w:szCs w:val="18"/>
              </w:rPr>
            </w:pPr>
            <w:r>
              <w:rPr>
                <w:rFonts w:ascii="Arial"/>
                <w:spacing w:val="-1"/>
                <w:sz w:val="18"/>
              </w:rPr>
              <w:t>386,831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180" w:right="0"/>
              <w:jc w:val="left"/>
              <w:rPr>
                <w:rFonts w:ascii="Arial" w:hAnsi="Arial" w:cs="Arial" w:eastAsia="Arial" w:hint="default"/>
                <w:sz w:val="18"/>
                <w:szCs w:val="18"/>
              </w:rPr>
            </w:pPr>
            <w:r>
              <w:rPr>
                <w:rFonts w:ascii="Arial"/>
                <w:sz w:val="18"/>
              </w:rPr>
              <w:t>4,246,261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62"/>
              <w:jc w:val="right"/>
              <w:rPr>
                <w:rFonts w:ascii="Arial" w:hAnsi="Arial" w:cs="Arial" w:eastAsia="Arial" w:hint="default"/>
                <w:sz w:val="18"/>
                <w:szCs w:val="18"/>
              </w:rPr>
            </w:pPr>
            <w:r>
              <w:rPr>
                <w:rFonts w:ascii="Arial"/>
                <w:w w:val="99"/>
                <w:sz w:val="18"/>
              </w:rPr>
              <w:t>-</w:t>
            </w:r>
            <w:r>
              <w:rPr>
                <w:rFonts w:ascii="Arial"/>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70"/>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2"/>
              <w:jc w:val="right"/>
              <w:rPr>
                <w:rFonts w:ascii="Arial" w:hAnsi="Arial" w:cs="Arial" w:eastAsia="Arial" w:hint="default"/>
                <w:sz w:val="18"/>
                <w:szCs w:val="18"/>
              </w:rPr>
            </w:pPr>
            <w:r>
              <w:rPr>
                <w:rFonts w:ascii="Arial"/>
                <w:w w:val="99"/>
                <w:sz w:val="18"/>
              </w:rPr>
              <w:t>-</w:t>
            </w:r>
            <w:r>
              <w:rPr>
                <w:rFonts w:ascii="Arial"/>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left="33" w:right="0"/>
              <w:jc w:val="left"/>
              <w:rPr>
                <w:rFonts w:ascii="Arial" w:hAnsi="Arial" w:cs="Arial" w:eastAsia="Arial" w:hint="default"/>
                <w:sz w:val="18"/>
                <w:szCs w:val="18"/>
              </w:rPr>
            </w:pPr>
            <w:r>
              <w:rPr>
                <w:rFonts w:ascii="Arial"/>
                <w:sz w:val="18"/>
              </w:rPr>
              <w:t>125,100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59"/>
              <w:jc w:val="right"/>
              <w:rPr>
                <w:rFonts w:ascii="Arial" w:hAnsi="Arial" w:cs="Arial" w:eastAsia="Arial" w:hint="default"/>
                <w:sz w:val="18"/>
                <w:szCs w:val="18"/>
              </w:rPr>
            </w:pPr>
            <w:r>
              <w:rPr>
                <w:rFonts w:ascii="Arial"/>
                <w:spacing w:val="-1"/>
                <w:sz w:val="18"/>
              </w:rPr>
              <w:t>4,758,192</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5"/>
              <w:jc w:val="left"/>
              <w:rPr>
                <w:rFonts w:ascii="宋体" w:hAnsi="宋体" w:cs="宋体" w:eastAsia="宋体" w:hint="default"/>
                <w:sz w:val="18"/>
                <w:szCs w:val="18"/>
              </w:rPr>
            </w:pPr>
            <w:r>
              <w:rPr>
                <w:rFonts w:ascii="宋体" w:hAnsi="宋体" w:cs="宋体" w:eastAsia="宋体" w:hint="default"/>
                <w:spacing w:val="11"/>
                <w:sz w:val="18"/>
                <w:szCs w:val="18"/>
              </w:rPr>
              <w:t>股份支付计入股东权益的金</w:t>
            </w:r>
            <w:r>
              <w:rPr>
                <w:rFonts w:ascii="宋体" w:hAnsi="宋体" w:cs="宋体" w:eastAsia="宋体" w:hint="default"/>
                <w:sz w:val="18"/>
                <w:szCs w:val="18"/>
              </w:rPr>
              <w:t> 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left="11" w:right="0"/>
              <w:jc w:val="center"/>
              <w:rPr>
                <w:rFonts w:ascii="Arial" w:hAnsi="Arial" w:cs="Arial" w:eastAsia="Arial" w:hint="default"/>
                <w:sz w:val="18"/>
                <w:szCs w:val="18"/>
              </w:rPr>
            </w:pPr>
            <w:r>
              <w:rPr>
                <w:rFonts w:ascii="宋体" w:hAnsi="宋体" w:cs="宋体" w:eastAsia="宋体" w:hint="default"/>
                <w:spacing w:val="-11"/>
                <w:sz w:val="18"/>
                <w:szCs w:val="18"/>
              </w:rPr>
              <w:t>五</w:t>
            </w:r>
            <w:r>
              <w:rPr>
                <w:rFonts w:ascii="Arial" w:hAnsi="Arial" w:cs="Arial" w:eastAsia="Arial" w:hint="default"/>
                <w:spacing w:val="-11"/>
                <w:sz w:val="18"/>
                <w:szCs w:val="18"/>
              </w:rPr>
              <w:t>.34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34"/>
              <w:jc w:val="right"/>
              <w:rPr>
                <w:rFonts w:ascii="Arial" w:hAnsi="Arial" w:cs="Arial" w:eastAsia="Arial" w:hint="default"/>
                <w:sz w:val="18"/>
                <w:szCs w:val="18"/>
              </w:rPr>
            </w:pPr>
            <w:r>
              <w:rPr>
                <w:rFonts w:ascii="Arial"/>
                <w:w w:val="99"/>
                <w:sz w:val="18"/>
              </w:rPr>
              <w:t>-</w:t>
            </w:r>
            <w:r>
              <w:rPr>
                <w:rFonts w:ascii="Arial"/>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11"/>
              <w:jc w:val="right"/>
              <w:rPr>
                <w:rFonts w:ascii="Arial" w:hAnsi="Arial" w:cs="Arial" w:eastAsia="Arial" w:hint="default"/>
                <w:sz w:val="18"/>
                <w:szCs w:val="18"/>
              </w:rPr>
            </w:pPr>
            <w:r>
              <w:rPr>
                <w:rFonts w:ascii="Arial"/>
                <w:spacing w:val="-1"/>
                <w:sz w:val="18"/>
              </w:rPr>
              <w:t>(44,450)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62"/>
              <w:jc w:val="right"/>
              <w:rPr>
                <w:rFonts w:ascii="Arial" w:hAnsi="Arial" w:cs="Arial" w:eastAsia="Arial" w:hint="default"/>
                <w:sz w:val="18"/>
                <w:szCs w:val="18"/>
              </w:rPr>
            </w:pPr>
            <w:r>
              <w:rPr>
                <w:rFonts w:ascii="Arial"/>
                <w:w w:val="99"/>
                <w:sz w:val="18"/>
              </w:rPr>
              <w:t>-</w:t>
            </w:r>
            <w:r>
              <w:rPr>
                <w:rFonts w:ascii="Arial"/>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70"/>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2"/>
              <w:jc w:val="right"/>
              <w:rPr>
                <w:rFonts w:ascii="Arial" w:hAnsi="Arial" w:cs="Arial" w:eastAsia="Arial" w:hint="default"/>
                <w:sz w:val="18"/>
                <w:szCs w:val="18"/>
              </w:rPr>
            </w:pPr>
            <w:r>
              <w:rPr>
                <w:rFonts w:ascii="Arial"/>
                <w:w w:val="99"/>
                <w:sz w:val="18"/>
              </w:rPr>
              <w:t>-</w:t>
            </w:r>
            <w:r>
              <w:rPr>
                <w:rFonts w:ascii="Arial"/>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58"/>
              <w:jc w:val="right"/>
              <w:rPr>
                <w:rFonts w:ascii="Arial" w:hAnsi="Arial" w:cs="Arial" w:eastAsia="Arial" w:hint="default"/>
                <w:sz w:val="18"/>
                <w:szCs w:val="18"/>
              </w:rPr>
            </w:pPr>
            <w:r>
              <w:rPr>
                <w:rFonts w:ascii="Arial"/>
                <w:w w:val="99"/>
                <w:sz w:val="18"/>
              </w:rPr>
              <w:t>-</w:t>
            </w:r>
            <w:r>
              <w:rPr>
                <w:rFonts w:ascii="Arial"/>
                <w:sz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0"/>
              <w:jc w:val="right"/>
              <w:rPr>
                <w:rFonts w:ascii="Arial" w:hAnsi="Arial" w:cs="Arial" w:eastAsia="Arial" w:hint="default"/>
                <w:sz w:val="18"/>
                <w:szCs w:val="18"/>
              </w:rPr>
            </w:pPr>
            <w:r>
              <w:rPr>
                <w:rFonts w:ascii="Arial"/>
                <w:spacing w:val="-1"/>
                <w:sz w:val="18"/>
              </w:rPr>
              <w:t>(44,450)</w:t>
            </w:r>
          </w:p>
        </w:tc>
      </w:tr>
      <w:tr>
        <w:trPr>
          <w:trHeight w:val="32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少数股东减少资本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 w:right="0"/>
              <w:jc w:val="center"/>
              <w:rPr>
                <w:rFonts w:ascii="Arial" w:hAnsi="Arial" w:cs="Arial" w:eastAsia="Arial" w:hint="default"/>
                <w:sz w:val="18"/>
                <w:szCs w:val="18"/>
              </w:rPr>
            </w:pPr>
            <w:r>
              <w:rPr>
                <w:rFonts w:ascii="宋体" w:hAnsi="宋体" w:cs="宋体" w:eastAsia="宋体" w:hint="default"/>
                <w:spacing w:val="-11"/>
                <w:sz w:val="18"/>
                <w:szCs w:val="18"/>
              </w:rPr>
              <w:t>五</w:t>
            </w:r>
            <w:r>
              <w:rPr>
                <w:rFonts w:ascii="Arial" w:hAnsi="Arial" w:cs="Arial" w:eastAsia="Arial" w:hint="default"/>
                <w:spacing w:val="-11"/>
                <w:sz w:val="18"/>
                <w:szCs w:val="18"/>
              </w:rPr>
              <w:t>.34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4"/>
              <w:jc w:val="right"/>
              <w:rPr>
                <w:rFonts w:ascii="Arial" w:hAnsi="Arial" w:cs="Arial" w:eastAsia="Arial" w:hint="default"/>
                <w:sz w:val="18"/>
                <w:szCs w:val="18"/>
              </w:rPr>
            </w:pPr>
            <w:r>
              <w:rPr>
                <w:rFonts w:ascii="Arial"/>
                <w:w w:val="99"/>
                <w:sz w:val="18"/>
              </w:rPr>
              <w:t>-</w:t>
            </w:r>
            <w:r>
              <w:rPr>
                <w:rFonts w:ascii="Arial"/>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right"/>
              <w:rPr>
                <w:rFonts w:ascii="Arial" w:hAnsi="Arial" w:cs="Arial" w:eastAsia="Arial" w:hint="default"/>
                <w:sz w:val="18"/>
                <w:szCs w:val="18"/>
              </w:rPr>
            </w:pPr>
            <w:r>
              <w:rPr>
                <w:rFonts w:ascii="Arial"/>
                <w:spacing w:val="-1"/>
                <w:sz w:val="18"/>
              </w:rPr>
              <w:t>(39,185)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2"/>
              <w:jc w:val="right"/>
              <w:rPr>
                <w:rFonts w:ascii="Arial" w:hAnsi="Arial" w:cs="Arial" w:eastAsia="Arial" w:hint="default"/>
                <w:sz w:val="18"/>
                <w:szCs w:val="18"/>
              </w:rPr>
            </w:pPr>
            <w:r>
              <w:rPr>
                <w:rFonts w:ascii="Arial"/>
                <w:w w:val="99"/>
                <w:sz w:val="18"/>
              </w:rPr>
              <w:t>-</w:t>
            </w:r>
            <w:r>
              <w:rPr>
                <w:rFonts w:ascii="Arial"/>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Arial" w:hAnsi="Arial" w:cs="Arial" w:eastAsia="Arial" w:hint="default"/>
                <w:sz w:val="18"/>
                <w:szCs w:val="18"/>
              </w:rPr>
            </w:pPr>
            <w:r>
              <w:rPr>
                <w:rFonts w:ascii="Arial"/>
                <w:w w:val="99"/>
                <w:sz w:val="18"/>
              </w:rPr>
              <w:t>-</w:t>
            </w:r>
            <w:r>
              <w:rPr>
                <w:rFonts w:ascii="Arial"/>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4" w:right="0"/>
              <w:jc w:val="left"/>
              <w:rPr>
                <w:rFonts w:ascii="Arial" w:hAnsi="Arial" w:cs="Arial" w:eastAsia="Arial" w:hint="default"/>
                <w:sz w:val="18"/>
                <w:szCs w:val="18"/>
              </w:rPr>
            </w:pPr>
            <w:r>
              <w:rPr>
                <w:rFonts w:ascii="Arial"/>
                <w:sz w:val="18"/>
              </w:rPr>
              <w:t>39,185</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2"/>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 w:right="0"/>
              <w:jc w:val="center"/>
              <w:rPr>
                <w:rFonts w:ascii="Arial" w:hAnsi="Arial" w:cs="Arial" w:eastAsia="Arial" w:hint="default"/>
                <w:sz w:val="18"/>
                <w:szCs w:val="18"/>
              </w:rPr>
            </w:pPr>
            <w:r>
              <w:rPr>
                <w:rFonts w:ascii="宋体" w:hAnsi="宋体" w:cs="宋体" w:eastAsia="宋体" w:hint="default"/>
                <w:spacing w:val="-11"/>
                <w:sz w:val="18"/>
                <w:szCs w:val="18"/>
              </w:rPr>
              <w:t>五</w:t>
            </w:r>
            <w:r>
              <w:rPr>
                <w:rFonts w:ascii="Arial" w:hAnsi="Arial" w:cs="Arial" w:eastAsia="Arial" w:hint="default"/>
                <w:spacing w:val="-11"/>
                <w:sz w:val="18"/>
                <w:szCs w:val="18"/>
              </w:rPr>
              <w:t>.35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Arial" w:hAnsi="Arial" w:cs="Arial" w:eastAsia="Arial" w:hint="default"/>
                <w:sz w:val="18"/>
                <w:szCs w:val="18"/>
              </w:rPr>
            </w:pPr>
            <w:r>
              <w:rPr>
                <w:rFonts w:ascii="Arial"/>
                <w:w w:val="99"/>
                <w:sz w:val="18"/>
              </w:rPr>
              <w:t>-</w:t>
            </w:r>
            <w:r>
              <w:rPr>
                <w:rFonts w:ascii="Arial"/>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
              <w:jc w:val="right"/>
              <w:rPr>
                <w:rFonts w:ascii="Arial" w:hAnsi="Arial" w:cs="Arial" w:eastAsia="Arial" w:hint="default"/>
                <w:sz w:val="18"/>
                <w:szCs w:val="18"/>
              </w:rPr>
            </w:pPr>
            <w:r>
              <w:rPr>
                <w:rFonts w:ascii="Arial"/>
                <w:spacing w:val="-1"/>
                <w:sz w:val="18"/>
              </w:rPr>
              <w:t>147,736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Arial" w:hAnsi="Arial" w:cs="Arial" w:eastAsia="Arial" w:hint="default"/>
                <w:sz w:val="18"/>
                <w:szCs w:val="18"/>
              </w:rPr>
            </w:pPr>
            <w:r>
              <w:rPr>
                <w:rFonts w:ascii="Arial"/>
                <w:spacing w:val="-1"/>
                <w:sz w:val="18"/>
              </w:rPr>
              <w:t>(147,736)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Arial" w:hAnsi="Arial" w:cs="Arial" w:eastAsia="Arial" w:hint="default"/>
                <w:sz w:val="18"/>
                <w:szCs w:val="18"/>
              </w:rPr>
            </w:pPr>
            <w:r>
              <w:rPr>
                <w:rFonts w:ascii="Arial"/>
                <w:w w:val="99"/>
                <w:sz w:val="18"/>
              </w:rPr>
              <w:t>-</w:t>
            </w:r>
            <w:r>
              <w:rPr>
                <w:rFonts w:ascii="Arial"/>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right"/>
              <w:rPr>
                <w:rFonts w:ascii="Arial" w:hAnsi="Arial" w:cs="Arial" w:eastAsia="Arial" w:hint="default"/>
                <w:sz w:val="18"/>
                <w:szCs w:val="18"/>
              </w:rPr>
            </w:pPr>
            <w:r>
              <w:rPr>
                <w:rFonts w:ascii="Arial"/>
                <w:w w:val="99"/>
                <w:sz w:val="18"/>
              </w:rPr>
              <w:t>-</w:t>
            </w:r>
            <w:r>
              <w:rPr>
                <w:rFonts w:ascii="Arial"/>
                <w:sz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right"/>
              <w:rPr>
                <w:rFonts w:ascii="Arial" w:hAnsi="Arial" w:cs="Arial" w:eastAsia="Arial" w:hint="default"/>
                <w:sz w:val="18"/>
                <w:szCs w:val="18"/>
              </w:rPr>
            </w:pPr>
            <w:r>
              <w:rPr>
                <w:rFonts w:ascii="Arial"/>
                <w:w w:val="99"/>
                <w:sz w:val="18"/>
              </w:rPr>
              <w:t>-</w:t>
            </w:r>
            <w:r>
              <w:rPr>
                <w:rFonts w:ascii="Arial"/>
                <w:sz w:val="18"/>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left="11" w:right="0"/>
              <w:jc w:val="center"/>
              <w:rPr>
                <w:rFonts w:ascii="Arial" w:hAnsi="Arial" w:cs="Arial" w:eastAsia="Arial" w:hint="default"/>
                <w:sz w:val="18"/>
                <w:szCs w:val="18"/>
              </w:rPr>
            </w:pPr>
            <w:r>
              <w:rPr>
                <w:rFonts w:ascii="宋体" w:hAnsi="宋体" w:cs="宋体" w:eastAsia="宋体" w:hint="default"/>
                <w:spacing w:val="-11"/>
                <w:sz w:val="18"/>
                <w:szCs w:val="18"/>
              </w:rPr>
              <w:t>五</w:t>
            </w:r>
            <w:r>
              <w:rPr>
                <w:rFonts w:ascii="Arial" w:hAnsi="Arial" w:cs="Arial" w:eastAsia="Arial" w:hint="default"/>
                <w:spacing w:val="-11"/>
                <w:sz w:val="18"/>
                <w:szCs w:val="18"/>
              </w:rPr>
              <w:t>.36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34"/>
              <w:jc w:val="right"/>
              <w:rPr>
                <w:rFonts w:ascii="Arial" w:hAnsi="Arial" w:cs="Arial" w:eastAsia="Arial" w:hint="default"/>
                <w:sz w:val="18"/>
                <w:szCs w:val="18"/>
              </w:rPr>
            </w:pPr>
            <w:r>
              <w:rPr>
                <w:rFonts w:ascii="Arial"/>
                <w:w w:val="99"/>
                <w:sz w:val="18"/>
              </w:rPr>
              <w:t>-</w:t>
            </w:r>
            <w:r>
              <w:rPr>
                <w:rFonts w:ascii="Arial"/>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65"/>
              <w:jc w:val="right"/>
              <w:rPr>
                <w:rFonts w:ascii="Arial" w:hAnsi="Arial" w:cs="Arial" w:eastAsia="Arial" w:hint="default"/>
                <w:sz w:val="18"/>
                <w:szCs w:val="18"/>
              </w:rPr>
            </w:pPr>
            <w:r>
              <w:rPr>
                <w:rFonts w:ascii="Arial"/>
                <w:w w:val="99"/>
                <w:sz w:val="18"/>
              </w:rPr>
              <w:t>-</w:t>
            </w:r>
            <w:r>
              <w:rPr>
                <w:rFonts w:ascii="Arial"/>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62"/>
              <w:jc w:val="right"/>
              <w:rPr>
                <w:rFonts w:ascii="Arial" w:hAnsi="Arial" w:cs="Arial" w:eastAsia="Arial" w:hint="default"/>
                <w:sz w:val="18"/>
                <w:szCs w:val="18"/>
              </w:rPr>
            </w:pPr>
            <w:r>
              <w:rPr>
                <w:rFonts w:ascii="Arial"/>
                <w:w w:val="99"/>
                <w:sz w:val="18"/>
              </w:rPr>
              <w:t>-</w:t>
            </w:r>
            <w:r>
              <w:rPr>
                <w:rFonts w:ascii="Arial"/>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w:hAnsi="Arial" w:cs="Arial" w:eastAsia="Arial" w:hint="default"/>
                <w:sz w:val="18"/>
                <w:szCs w:val="18"/>
              </w:rPr>
            </w:pPr>
            <w:r>
              <w:rPr>
                <w:rFonts w:ascii="Arial"/>
                <w:spacing w:val="-1"/>
                <w:sz w:val="18"/>
              </w:rPr>
              <w:t>(1,049,432</w:t>
            </w:r>
          </w:p>
          <w:p>
            <w:pPr>
              <w:pStyle w:val="TableParagraph"/>
              <w:spacing w:line="240" w:lineRule="auto" w:before="105"/>
              <w:ind w:right="26"/>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2"/>
              <w:jc w:val="right"/>
              <w:rPr>
                <w:rFonts w:ascii="Arial" w:hAnsi="Arial" w:cs="Arial" w:eastAsia="Arial" w:hint="default"/>
                <w:sz w:val="18"/>
                <w:szCs w:val="18"/>
              </w:rPr>
            </w:pPr>
            <w:r>
              <w:rPr>
                <w:rFonts w:ascii="Arial"/>
                <w:w w:val="99"/>
                <w:sz w:val="18"/>
              </w:rPr>
              <w:t>-</w:t>
            </w:r>
            <w:r>
              <w:rPr>
                <w:rFonts w:ascii="Arial"/>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58"/>
              <w:jc w:val="right"/>
              <w:rPr>
                <w:rFonts w:ascii="Arial" w:hAnsi="Arial" w:cs="Arial" w:eastAsia="Arial" w:hint="default"/>
                <w:sz w:val="18"/>
                <w:szCs w:val="18"/>
              </w:rPr>
            </w:pPr>
            <w:r>
              <w:rPr>
                <w:rFonts w:ascii="Arial"/>
                <w:w w:val="99"/>
                <w:sz w:val="18"/>
              </w:rPr>
              <w:t>-</w:t>
            </w:r>
            <w:r>
              <w:rPr>
                <w:rFonts w:ascii="Arial"/>
                <w:sz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4"/>
              <w:ind w:right="1"/>
              <w:jc w:val="right"/>
              <w:rPr>
                <w:rFonts w:ascii="Arial" w:hAnsi="Arial" w:cs="Arial" w:eastAsia="Arial" w:hint="default"/>
                <w:sz w:val="18"/>
                <w:szCs w:val="18"/>
              </w:rPr>
            </w:pPr>
            <w:r>
              <w:rPr>
                <w:rFonts w:ascii="Arial"/>
                <w:spacing w:val="-1"/>
                <w:sz w:val="18"/>
              </w:rPr>
              <w:t>(1,049,432)</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黑体" w:hAnsi="黑体" w:cs="黑体" w:eastAsia="黑体" w:hint="default"/>
                <w:sz w:val="18"/>
                <w:szCs w:val="18"/>
              </w:rPr>
            </w:pPr>
            <w:r>
              <w:rPr>
                <w:rFonts w:ascii="Arial" w:hAnsi="Arial" w:cs="Arial" w:eastAsia="Arial" w:hint="default"/>
                <w:b/>
                <w:bCs/>
                <w:sz w:val="18"/>
                <w:szCs w:val="18"/>
              </w:rPr>
              <w:t>2012</w:t>
            </w:r>
            <w:r>
              <w:rPr>
                <w:rFonts w:ascii="Arial" w:hAnsi="Arial" w:cs="Arial" w:eastAsia="Arial" w:hint="default"/>
                <w:b/>
                <w:bCs/>
                <w:spacing w:val="-9"/>
                <w:sz w:val="18"/>
                <w:szCs w:val="18"/>
              </w:rPr>
              <w:t> </w:t>
            </w:r>
            <w:r>
              <w:rPr>
                <w:rFonts w:ascii="黑体" w:hAnsi="黑体" w:cs="黑体" w:eastAsia="黑体" w:hint="default"/>
                <w:b/>
                <w:bCs/>
                <w:sz w:val="18"/>
                <w:szCs w:val="18"/>
              </w:rPr>
              <w:t>年</w:t>
            </w:r>
            <w:r>
              <w:rPr>
                <w:rFonts w:ascii="黑体" w:hAnsi="黑体" w:cs="黑体" w:eastAsia="黑体" w:hint="default"/>
                <w:b/>
                <w:bCs/>
                <w:spacing w:val="-45"/>
                <w:sz w:val="18"/>
                <w:szCs w:val="18"/>
              </w:rPr>
              <w:t> </w:t>
            </w:r>
            <w:r>
              <w:rPr>
                <w:rFonts w:ascii="Arial" w:hAnsi="Arial" w:cs="Arial" w:eastAsia="Arial" w:hint="default"/>
                <w:b/>
                <w:bCs/>
                <w:sz w:val="18"/>
                <w:szCs w:val="18"/>
              </w:rPr>
              <w:t>12</w:t>
            </w:r>
            <w:r>
              <w:rPr>
                <w:rFonts w:ascii="Arial" w:hAnsi="Arial" w:cs="Arial" w:eastAsia="Arial" w:hint="default"/>
                <w:b/>
                <w:bCs/>
                <w:spacing w:val="-9"/>
                <w:sz w:val="18"/>
                <w:szCs w:val="18"/>
              </w:rPr>
              <w:t> </w:t>
            </w:r>
            <w:r>
              <w:rPr>
                <w:rFonts w:ascii="黑体" w:hAnsi="黑体" w:cs="黑体" w:eastAsia="黑体" w:hint="default"/>
                <w:b/>
                <w:bCs/>
                <w:sz w:val="18"/>
                <w:szCs w:val="18"/>
              </w:rPr>
              <w:t>月</w:t>
            </w:r>
            <w:r>
              <w:rPr>
                <w:rFonts w:ascii="黑体" w:hAnsi="黑体" w:cs="黑体" w:eastAsia="黑体" w:hint="default"/>
                <w:b/>
                <w:bCs/>
                <w:spacing w:val="-45"/>
                <w:sz w:val="18"/>
                <w:szCs w:val="18"/>
              </w:rPr>
              <w:t> </w:t>
            </w:r>
            <w:r>
              <w:rPr>
                <w:rFonts w:ascii="Arial" w:hAnsi="Arial" w:cs="Arial" w:eastAsia="Arial" w:hint="default"/>
                <w:b/>
                <w:bCs/>
                <w:sz w:val="18"/>
                <w:szCs w:val="18"/>
              </w:rPr>
              <w:t>31</w:t>
            </w:r>
            <w:r>
              <w:rPr>
                <w:rFonts w:ascii="Arial" w:hAnsi="Arial" w:cs="Arial" w:eastAsia="Arial" w:hint="default"/>
                <w:b/>
                <w:bCs/>
                <w:spacing w:val="-6"/>
                <w:sz w:val="18"/>
                <w:szCs w:val="18"/>
              </w:rPr>
              <w:t> </w:t>
            </w:r>
            <w:r>
              <w:rPr>
                <w:rFonts w:ascii="黑体" w:hAnsi="黑体" w:cs="黑体" w:eastAsia="黑体" w:hint="default"/>
                <w:b/>
                <w:bCs/>
                <w:sz w:val="18"/>
                <w:szCs w:val="18"/>
              </w:rPr>
              <w:t>日年末余额</w:t>
            </w:r>
            <w:r>
              <w:rPr>
                <w:rFonts w:ascii="黑体" w:hAnsi="黑体" w:cs="黑体" w:eastAsia="黑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right"/>
              <w:rPr>
                <w:rFonts w:ascii="Arial" w:hAnsi="Arial" w:cs="Arial" w:eastAsia="Arial" w:hint="default"/>
                <w:sz w:val="18"/>
                <w:szCs w:val="18"/>
              </w:rPr>
            </w:pPr>
            <w:r>
              <w:rPr>
                <w:rFonts w:ascii="Arial"/>
                <w:spacing w:val="-1"/>
                <w:sz w:val="18"/>
              </w:rPr>
              <w:t>7,383,043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0" w:right="0"/>
              <w:jc w:val="left"/>
              <w:rPr>
                <w:rFonts w:ascii="Arial" w:hAnsi="Arial" w:cs="Arial" w:eastAsia="Arial" w:hint="default"/>
                <w:sz w:val="18"/>
                <w:szCs w:val="18"/>
              </w:rPr>
            </w:pPr>
            <w:r>
              <w:rPr>
                <w:rFonts w:ascii="Arial"/>
                <w:sz w:val="18"/>
              </w:rPr>
              <w:t>4,679,471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
              <w:jc w:val="right"/>
              <w:rPr>
                <w:rFonts w:ascii="Arial" w:hAnsi="Arial" w:cs="Arial" w:eastAsia="Arial" w:hint="default"/>
                <w:sz w:val="18"/>
                <w:szCs w:val="18"/>
              </w:rPr>
            </w:pPr>
            <w:r>
              <w:rPr>
                <w:rFonts w:ascii="Arial"/>
                <w:spacing w:val="-1"/>
                <w:sz w:val="18"/>
              </w:rPr>
              <w:t>1,154,866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
              <w:jc w:val="right"/>
              <w:rPr>
                <w:rFonts w:ascii="Arial" w:hAnsi="Arial" w:cs="Arial" w:eastAsia="Arial" w:hint="default"/>
                <w:sz w:val="18"/>
                <w:szCs w:val="18"/>
              </w:rPr>
            </w:pPr>
            <w:r>
              <w:rPr>
                <w:rFonts w:ascii="Arial"/>
                <w:spacing w:val="-1"/>
                <w:sz w:val="18"/>
              </w:rPr>
              <w:t>15,272,189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right"/>
              <w:rPr>
                <w:rFonts w:ascii="Arial" w:hAnsi="Arial" w:cs="Arial" w:eastAsia="Arial" w:hint="default"/>
                <w:sz w:val="18"/>
                <w:szCs w:val="18"/>
              </w:rPr>
            </w:pPr>
            <w:r>
              <w:rPr>
                <w:rFonts w:ascii="Arial"/>
                <w:spacing w:val="-1"/>
                <w:sz w:val="18"/>
              </w:rPr>
              <w:t>(30,439)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 w:right="0"/>
              <w:jc w:val="left"/>
              <w:rPr>
                <w:rFonts w:ascii="Arial" w:hAnsi="Arial" w:cs="Arial" w:eastAsia="Arial" w:hint="default"/>
                <w:sz w:val="18"/>
                <w:szCs w:val="18"/>
              </w:rPr>
            </w:pPr>
            <w:r>
              <w:rPr>
                <w:rFonts w:ascii="Arial"/>
                <w:sz w:val="18"/>
              </w:rPr>
              <w:t>652,405</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
              <w:jc w:val="right"/>
              <w:rPr>
                <w:rFonts w:ascii="Arial" w:hAnsi="Arial" w:cs="Arial" w:eastAsia="Arial" w:hint="default"/>
                <w:sz w:val="18"/>
                <w:szCs w:val="18"/>
              </w:rPr>
            </w:pPr>
            <w:r>
              <w:rPr>
                <w:rFonts w:ascii="Arial"/>
                <w:spacing w:val="-3"/>
                <w:w w:val="95"/>
                <w:sz w:val="18"/>
              </w:rPr>
              <w:t>29,111,535</w:t>
            </w:r>
            <w:r>
              <w:rPr>
                <w:rFonts w:ascii="Arial"/>
                <w:spacing w:val="-3"/>
                <w:sz w:val="18"/>
              </w:rPr>
            </w:r>
          </w:p>
        </w:tc>
      </w:tr>
    </w:tbl>
    <w:p>
      <w:pPr>
        <w:spacing w:before="49"/>
        <w:ind w:left="212" w:right="1021"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1"/>
        <w:rPr>
          <w:rFonts w:ascii="宋体" w:hAnsi="宋体" w:cs="宋体" w:eastAsia="宋体" w:hint="default"/>
          <w:sz w:val="14"/>
          <w:szCs w:val="14"/>
        </w:rPr>
      </w:pPr>
    </w:p>
    <w:p>
      <w:pPr>
        <w:tabs>
          <w:tab w:pos="3818" w:val="left" w:leader="none"/>
          <w:tab w:pos="7690" w:val="left" w:leader="none"/>
        </w:tabs>
        <w:spacing w:before="0"/>
        <w:ind w:left="573" w:right="1021" w:firstLine="0"/>
        <w:jc w:val="left"/>
        <w:rPr>
          <w:rFonts w:ascii="宋体" w:hAnsi="宋体" w:cs="宋体" w:eastAsia="宋体" w:hint="default"/>
          <w:sz w:val="18"/>
          <w:szCs w:val="18"/>
        </w:rPr>
      </w:pPr>
      <w:r>
        <w:rPr>
          <w:rFonts w:ascii="宋体" w:hAnsi="宋体" w:cs="宋体" w:eastAsia="宋体" w:hint="default"/>
          <w:sz w:val="18"/>
          <w:szCs w:val="18"/>
        </w:rPr>
        <w:t>企业负责人：</w:t>
      </w:r>
      <w:r>
        <w:rPr>
          <w:rFonts w:ascii="宋体" w:hAnsi="宋体" w:cs="宋体" w:eastAsia="宋体" w:hint="default"/>
          <w:spacing w:val="1"/>
          <w:sz w:val="18"/>
          <w:szCs w:val="18"/>
        </w:rPr>
        <w:t> </w:t>
      </w:r>
      <w:r>
        <w:rPr>
          <w:rFonts w:ascii="宋体" w:hAnsi="宋体" w:cs="宋体" w:eastAsia="宋体" w:hint="default"/>
          <w:sz w:val="18"/>
          <w:szCs w:val="18"/>
        </w:rPr>
        <w:t>张近东</w:t>
        <w:tab/>
        <w:t>主管会计工作的负责人：</w:t>
      </w:r>
      <w:r>
        <w:rPr>
          <w:rFonts w:ascii="宋体" w:hAnsi="宋体" w:cs="宋体" w:eastAsia="宋体" w:hint="default"/>
          <w:spacing w:val="-2"/>
          <w:sz w:val="18"/>
          <w:szCs w:val="18"/>
        </w:rPr>
        <w:t> </w:t>
      </w:r>
      <w:r>
        <w:rPr>
          <w:rFonts w:ascii="宋体" w:hAnsi="宋体" w:cs="宋体" w:eastAsia="宋体" w:hint="default"/>
          <w:sz w:val="18"/>
          <w:szCs w:val="18"/>
        </w:rPr>
        <w:t>朱华</w:t>
        <w:tab/>
        <w:t>会计机构负责人：肖忠祥</w:t>
      </w:r>
    </w:p>
    <w:p>
      <w:pPr>
        <w:spacing w:after="0"/>
        <w:jc w:val="left"/>
        <w:rPr>
          <w:rFonts w:ascii="宋体" w:hAnsi="宋体" w:cs="宋体" w:eastAsia="宋体" w:hint="default"/>
          <w:sz w:val="18"/>
          <w:szCs w:val="18"/>
        </w:rPr>
        <w:sectPr>
          <w:pgSz w:w="11910" w:h="16840"/>
          <w:pgMar w:header="927" w:footer="980" w:top="1160" w:bottom="1160" w:left="920" w:right="0"/>
        </w:sectPr>
      </w:pPr>
    </w:p>
    <w:p>
      <w:pPr>
        <w:pStyle w:val="Heading3"/>
        <w:spacing w:line="240" w:lineRule="auto" w:before="36"/>
        <w:ind w:left="921" w:right="1021"/>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9"/>
        </w:rPr>
        <w:t> </w:t>
      </w:r>
      <w:r>
        <w:rPr>
          <w:rFonts w:ascii="黑体" w:hAnsi="黑体" w:cs="黑体" w:eastAsia="黑体" w:hint="default"/>
        </w:rPr>
        <w:t>年度公司股东权益变动表</w:t>
      </w:r>
    </w:p>
    <w:p>
      <w:pPr>
        <w:spacing w:before="27"/>
        <w:ind w:left="921" w:right="1021"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2700"/>
        <w:gridCol w:w="1321"/>
        <w:gridCol w:w="1169"/>
        <w:gridCol w:w="1167"/>
        <w:gridCol w:w="1166"/>
        <w:gridCol w:w="1167"/>
        <w:gridCol w:w="1166"/>
      </w:tblGrid>
      <w:tr>
        <w:trPr>
          <w:trHeight w:val="40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tabs>
                <w:tab w:pos="1706" w:val="left" w:leader="none"/>
              </w:tabs>
              <w:spacing w:line="240" w:lineRule="auto" w:before="49"/>
              <w:ind w:left="80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3"/>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黑体" w:hAnsi="黑体" w:cs="黑体" w:eastAsia="黑体" w:hint="default"/>
                <w:sz w:val="18"/>
                <w:szCs w:val="18"/>
              </w:rPr>
            </w:pPr>
            <w:r>
              <w:rPr>
                <w:rFonts w:ascii="Arial" w:hAnsi="Arial" w:cs="Arial" w:eastAsia="Arial" w:hint="default"/>
                <w:b/>
                <w:bCs/>
                <w:sz w:val="18"/>
                <w:szCs w:val="18"/>
              </w:rPr>
              <w:t>2011</w:t>
            </w:r>
            <w:r>
              <w:rPr>
                <w:rFonts w:ascii="Arial" w:hAnsi="Arial" w:cs="Arial" w:eastAsia="Arial" w:hint="default"/>
                <w:b/>
                <w:bCs/>
                <w:spacing w:val="-10"/>
                <w:sz w:val="18"/>
                <w:szCs w:val="18"/>
              </w:rPr>
              <w:t> </w:t>
            </w:r>
            <w:r>
              <w:rPr>
                <w:rFonts w:ascii="黑体" w:hAnsi="黑体" w:cs="黑体" w:eastAsia="黑体" w:hint="default"/>
                <w:b/>
                <w:bCs/>
                <w:sz w:val="18"/>
                <w:szCs w:val="18"/>
              </w:rPr>
              <w:t>年</w:t>
            </w:r>
            <w:r>
              <w:rPr>
                <w:rFonts w:ascii="黑体" w:hAnsi="黑体" w:cs="黑体" w:eastAsia="黑体" w:hint="default"/>
                <w:b/>
                <w:bCs/>
                <w:spacing w:val="-49"/>
                <w:sz w:val="18"/>
                <w:szCs w:val="18"/>
              </w:rPr>
              <w:t> </w:t>
            </w:r>
            <w:r>
              <w:rPr>
                <w:rFonts w:ascii="Arial" w:hAnsi="Arial" w:cs="Arial" w:eastAsia="Arial" w:hint="default"/>
                <w:b/>
                <w:bCs/>
                <w:sz w:val="18"/>
                <w:szCs w:val="18"/>
              </w:rPr>
              <w:t>1</w:t>
            </w:r>
            <w:r>
              <w:rPr>
                <w:rFonts w:ascii="Arial" w:hAnsi="Arial" w:cs="Arial" w:eastAsia="Arial" w:hint="default"/>
                <w:b/>
                <w:bCs/>
                <w:spacing w:val="-10"/>
                <w:sz w:val="18"/>
                <w:szCs w:val="18"/>
              </w:rPr>
              <w:t> </w:t>
            </w:r>
            <w:r>
              <w:rPr>
                <w:rFonts w:ascii="黑体" w:hAnsi="黑体" w:cs="黑体" w:eastAsia="黑体" w:hint="default"/>
                <w:b/>
                <w:bCs/>
                <w:sz w:val="18"/>
                <w:szCs w:val="18"/>
              </w:rPr>
              <w:t>月</w:t>
            </w:r>
            <w:r>
              <w:rPr>
                <w:rFonts w:ascii="黑体" w:hAnsi="黑体" w:cs="黑体" w:eastAsia="黑体" w:hint="default"/>
                <w:b/>
                <w:bCs/>
                <w:spacing w:val="-46"/>
                <w:sz w:val="18"/>
                <w:szCs w:val="18"/>
              </w:rPr>
              <w:t> </w:t>
            </w:r>
            <w:r>
              <w:rPr>
                <w:rFonts w:ascii="Arial" w:hAnsi="Arial" w:cs="Arial" w:eastAsia="Arial" w:hint="default"/>
                <w:b/>
                <w:bCs/>
                <w:sz w:val="18"/>
                <w:szCs w:val="18"/>
              </w:rPr>
              <w:t>1</w:t>
            </w:r>
            <w:r>
              <w:rPr>
                <w:rFonts w:ascii="Arial" w:hAnsi="Arial" w:cs="Arial" w:eastAsia="Arial" w:hint="default"/>
                <w:b/>
                <w:bCs/>
                <w:spacing w:val="-10"/>
                <w:sz w:val="18"/>
                <w:szCs w:val="18"/>
              </w:rPr>
              <w:t> </w:t>
            </w:r>
            <w:r>
              <w:rPr>
                <w:rFonts w:ascii="黑体" w:hAnsi="黑体" w:cs="黑体" w:eastAsia="黑体" w:hint="default"/>
                <w:b/>
                <w:bCs/>
                <w:sz w:val="18"/>
                <w:szCs w:val="18"/>
              </w:rPr>
              <w:t>日年初余额</w:t>
            </w:r>
            <w:r>
              <w:rPr>
                <w:rFonts w:ascii="黑体" w:hAnsi="黑体" w:cs="黑体" w:eastAsia="黑体" w:hint="default"/>
                <w:sz w:val="18"/>
                <w:szCs w:val="18"/>
              </w:rPr>
            </w:r>
          </w:p>
        </w:tc>
        <w:tc>
          <w:tcPr>
            <w:tcW w:w="13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6,996,212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693,732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746,529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spacing w:val="-1"/>
                <w:sz w:val="18"/>
              </w:rPr>
              <w:t>4,892,728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13,329,201</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黑体" w:hAnsi="黑体" w:cs="黑体" w:eastAsia="黑体" w:hint="default"/>
                <w:sz w:val="18"/>
                <w:szCs w:val="18"/>
              </w:rPr>
            </w:pPr>
            <w:r>
              <w:rPr>
                <w:rFonts w:ascii="Arial" w:hAnsi="Arial" w:cs="Arial" w:eastAsia="Arial" w:hint="default"/>
                <w:b/>
                <w:bCs/>
                <w:spacing w:val="-3"/>
                <w:sz w:val="18"/>
                <w:szCs w:val="18"/>
              </w:rPr>
              <w:t>2011</w:t>
            </w:r>
            <w:r>
              <w:rPr>
                <w:rFonts w:ascii="Arial" w:hAnsi="Arial" w:cs="Arial" w:eastAsia="Arial" w:hint="default"/>
                <w:b/>
                <w:bCs/>
                <w:spacing w:val="-5"/>
                <w:sz w:val="18"/>
                <w:szCs w:val="18"/>
              </w:rPr>
              <w:t> </w:t>
            </w:r>
            <w:r>
              <w:rPr>
                <w:rFonts w:ascii="黑体" w:hAnsi="黑体" w:cs="黑体" w:eastAsia="黑体" w:hint="default"/>
                <w:b/>
                <w:bCs/>
                <w:sz w:val="18"/>
                <w:szCs w:val="18"/>
              </w:rPr>
              <w:t>年度增减变动额</w:t>
            </w:r>
            <w:r>
              <w:rPr>
                <w:rFonts w:ascii="黑体" w:hAnsi="黑体" w:cs="黑体" w:eastAsia="黑体" w:hint="default"/>
                <w:sz w:val="18"/>
                <w:szCs w:val="18"/>
              </w:rPr>
            </w:r>
          </w:p>
        </w:tc>
        <w:tc>
          <w:tcPr>
            <w:tcW w:w="13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3"/>
              <w:jc w:val="right"/>
              <w:rPr>
                <w:rFonts w:ascii="Arial" w:hAnsi="Arial" w:cs="Arial" w:eastAsia="Arial" w:hint="default"/>
                <w:sz w:val="18"/>
                <w:szCs w:val="18"/>
              </w:rPr>
            </w:pPr>
            <w:r>
              <w:rPr>
                <w:rFonts w:ascii="Arial"/>
                <w:w w:val="99"/>
                <w:sz w:val="18"/>
              </w:rPr>
              <w:t>-</w:t>
            </w:r>
            <w:r>
              <w:rPr>
                <w:rFonts w:ascii="Arial"/>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3"/>
              <w:jc w:val="right"/>
              <w:rPr>
                <w:rFonts w:ascii="Arial" w:hAnsi="Arial" w:cs="Arial" w:eastAsia="Arial" w:hint="default"/>
                <w:sz w:val="18"/>
                <w:szCs w:val="18"/>
              </w:rPr>
            </w:pPr>
            <w:r>
              <w:rPr>
                <w:rFonts w:ascii="Arial"/>
                <w:w w:val="99"/>
                <w:sz w:val="18"/>
              </w:rPr>
              <w:t>-</w:t>
            </w:r>
            <w:r>
              <w:rPr>
                <w:rFonts w:ascii="Arial"/>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3"/>
              <w:jc w:val="right"/>
              <w:rPr>
                <w:rFonts w:ascii="Arial" w:hAnsi="Arial" w:cs="Arial" w:eastAsia="Arial" w:hint="default"/>
                <w:sz w:val="18"/>
                <w:szCs w:val="18"/>
              </w:rPr>
            </w:pPr>
            <w:r>
              <w:rPr>
                <w:rFonts w:ascii="Arial"/>
                <w:w w:val="99"/>
                <w:sz w:val="18"/>
              </w:rPr>
              <w:t>-</w:t>
            </w:r>
            <w:r>
              <w:rPr>
                <w:rFonts w:ascii="Arial"/>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w w:val="95"/>
                <w:sz w:val="18"/>
              </w:rPr>
              <w:t>2,606,014</w:t>
            </w:r>
            <w:r>
              <w:rPr>
                <w:rFonts w:ascii="Arial"/>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2,606,014</w:t>
            </w: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股东投入和减少资本</w:t>
            </w:r>
          </w:p>
        </w:tc>
        <w:tc>
          <w:tcPr>
            <w:tcW w:w="13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股份支付计入股东权益的金额</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w w:val="99"/>
                <w:sz w:val="18"/>
              </w:rPr>
              <w:t>-</w:t>
            </w:r>
            <w:r>
              <w:rPr>
                <w:rFonts w:ascii="Arial"/>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169,665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3"/>
              <w:jc w:val="right"/>
              <w:rPr>
                <w:rFonts w:ascii="Arial" w:hAnsi="Arial" w:cs="Arial" w:eastAsia="Arial" w:hint="default"/>
                <w:sz w:val="18"/>
                <w:szCs w:val="18"/>
              </w:rPr>
            </w:pPr>
            <w:r>
              <w:rPr>
                <w:rFonts w:ascii="Arial"/>
                <w:w w:val="99"/>
                <w:sz w:val="18"/>
              </w:rPr>
              <w:t>-</w:t>
            </w:r>
            <w:r>
              <w:rPr>
                <w:rFonts w:ascii="Arial"/>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0"/>
              <w:jc w:val="right"/>
              <w:rPr>
                <w:rFonts w:ascii="Arial" w:hAnsi="Arial" w:cs="Arial" w:eastAsia="Arial" w:hint="default"/>
                <w:sz w:val="18"/>
                <w:szCs w:val="18"/>
              </w:rPr>
            </w:pPr>
            <w:r>
              <w:rPr>
                <w:rFonts w:ascii="Arial"/>
                <w:w w:val="99"/>
                <w:sz w:val="18"/>
              </w:rPr>
              <w:t>-</w:t>
            </w:r>
            <w:r>
              <w:rPr>
                <w:rFonts w:ascii="Arial"/>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169,665</w:t>
            </w: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13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3"/>
              <w:jc w:val="right"/>
              <w:rPr>
                <w:rFonts w:ascii="Arial" w:hAnsi="Arial" w:cs="Arial" w:eastAsia="Arial" w:hint="default"/>
                <w:sz w:val="18"/>
                <w:szCs w:val="18"/>
              </w:rPr>
            </w:pPr>
            <w:r>
              <w:rPr>
                <w:rFonts w:ascii="Arial"/>
                <w:w w:val="99"/>
                <w:sz w:val="18"/>
              </w:rPr>
              <w:t>-</w:t>
            </w:r>
            <w:r>
              <w:rPr>
                <w:rFonts w:ascii="Arial"/>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3"/>
              <w:jc w:val="right"/>
              <w:rPr>
                <w:rFonts w:ascii="Arial" w:hAnsi="Arial" w:cs="Arial" w:eastAsia="Arial" w:hint="default"/>
                <w:sz w:val="18"/>
                <w:szCs w:val="18"/>
              </w:rPr>
            </w:pPr>
            <w:r>
              <w:rPr>
                <w:rFonts w:ascii="Arial"/>
                <w:w w:val="99"/>
                <w:sz w:val="18"/>
              </w:rPr>
              <w:t>-</w:t>
            </w:r>
            <w:r>
              <w:rPr>
                <w:rFonts w:ascii="Arial"/>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260,601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2"/>
              <w:jc w:val="right"/>
              <w:rPr>
                <w:rFonts w:ascii="Arial" w:hAnsi="Arial" w:cs="Arial" w:eastAsia="Arial" w:hint="default"/>
                <w:sz w:val="18"/>
                <w:szCs w:val="18"/>
              </w:rPr>
            </w:pPr>
            <w:r>
              <w:rPr>
                <w:rFonts w:ascii="Arial"/>
                <w:spacing w:val="-1"/>
                <w:sz w:val="18"/>
              </w:rPr>
              <w:t>(260,601)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Arial" w:hAnsi="Arial" w:cs="Arial" w:eastAsia="Arial" w:hint="default"/>
                <w:sz w:val="18"/>
                <w:szCs w:val="18"/>
              </w:rPr>
            </w:pPr>
            <w:r>
              <w:rPr>
                <w:rFonts w:ascii="Arial"/>
                <w:w w:val="99"/>
                <w:sz w:val="18"/>
              </w:rPr>
              <w:t>-</w:t>
            </w:r>
            <w:r>
              <w:rPr>
                <w:rFonts w:ascii="Arial"/>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13"/>
              <w:jc w:val="right"/>
              <w:rPr>
                <w:rFonts w:ascii="Arial" w:hAnsi="Arial" w:cs="Arial" w:eastAsia="Arial" w:hint="default"/>
                <w:sz w:val="18"/>
                <w:szCs w:val="18"/>
              </w:rPr>
            </w:pPr>
            <w:r>
              <w:rPr>
                <w:rFonts w:ascii="Arial"/>
                <w:w w:val="99"/>
                <w:sz w:val="18"/>
              </w:rPr>
              <w:t>-</w:t>
            </w:r>
            <w:r>
              <w:rPr>
                <w:rFonts w:ascii="Arial"/>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13"/>
              <w:jc w:val="right"/>
              <w:rPr>
                <w:rFonts w:ascii="Arial" w:hAnsi="Arial" w:cs="Arial" w:eastAsia="Arial" w:hint="default"/>
                <w:sz w:val="18"/>
                <w:szCs w:val="18"/>
              </w:rPr>
            </w:pPr>
            <w:r>
              <w:rPr>
                <w:rFonts w:ascii="Arial"/>
                <w:w w:val="99"/>
                <w:sz w:val="18"/>
              </w:rPr>
              <w:t>-</w:t>
            </w:r>
            <w:r>
              <w:rPr>
                <w:rFonts w:ascii="Arial"/>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2"/>
              <w:jc w:val="right"/>
              <w:rPr>
                <w:rFonts w:ascii="Arial" w:hAnsi="Arial" w:cs="Arial" w:eastAsia="Arial" w:hint="default"/>
                <w:sz w:val="18"/>
                <w:szCs w:val="18"/>
              </w:rPr>
            </w:pPr>
            <w:r>
              <w:rPr>
                <w:rFonts w:ascii="Arial"/>
                <w:spacing w:val="-1"/>
                <w:sz w:val="18"/>
              </w:rPr>
              <w:t>(699,621)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2"/>
              <w:jc w:val="right"/>
              <w:rPr>
                <w:rFonts w:ascii="Arial" w:hAnsi="Arial" w:cs="Arial" w:eastAsia="Arial" w:hint="default"/>
                <w:sz w:val="18"/>
                <w:szCs w:val="18"/>
              </w:rPr>
            </w:pPr>
            <w:r>
              <w:rPr>
                <w:rFonts w:ascii="Arial"/>
                <w:spacing w:val="-1"/>
                <w:sz w:val="18"/>
              </w:rPr>
              <w:t>(699,621)</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黑体" w:hAnsi="黑体" w:cs="黑体" w:eastAsia="黑体" w:hint="default"/>
                <w:sz w:val="18"/>
                <w:szCs w:val="18"/>
              </w:rPr>
            </w:pPr>
            <w:r>
              <w:rPr>
                <w:rFonts w:ascii="Arial" w:hAnsi="Arial" w:cs="Arial" w:eastAsia="Arial" w:hint="default"/>
                <w:b/>
                <w:bCs/>
                <w:sz w:val="18"/>
                <w:szCs w:val="18"/>
              </w:rPr>
              <w:t>2011</w:t>
            </w:r>
            <w:r>
              <w:rPr>
                <w:rFonts w:ascii="Arial" w:hAnsi="Arial" w:cs="Arial" w:eastAsia="Arial" w:hint="default"/>
                <w:b/>
                <w:bCs/>
                <w:spacing w:val="-10"/>
                <w:sz w:val="18"/>
                <w:szCs w:val="18"/>
              </w:rPr>
              <w:t> </w:t>
            </w:r>
            <w:r>
              <w:rPr>
                <w:rFonts w:ascii="黑体" w:hAnsi="黑体" w:cs="黑体" w:eastAsia="黑体" w:hint="default"/>
                <w:b/>
                <w:bCs/>
                <w:sz w:val="18"/>
                <w:szCs w:val="18"/>
              </w:rPr>
              <w:t>年</w:t>
            </w:r>
            <w:r>
              <w:rPr>
                <w:rFonts w:ascii="黑体" w:hAnsi="黑体" w:cs="黑体" w:eastAsia="黑体" w:hint="default"/>
                <w:b/>
                <w:bCs/>
                <w:spacing w:val="-49"/>
                <w:sz w:val="18"/>
                <w:szCs w:val="18"/>
              </w:rPr>
              <w:t> </w:t>
            </w:r>
            <w:r>
              <w:rPr>
                <w:rFonts w:ascii="Arial" w:hAnsi="Arial" w:cs="Arial" w:eastAsia="Arial" w:hint="default"/>
                <w:b/>
                <w:bCs/>
                <w:sz w:val="18"/>
                <w:szCs w:val="18"/>
              </w:rPr>
              <w:t>12</w:t>
            </w:r>
            <w:r>
              <w:rPr>
                <w:rFonts w:ascii="Arial" w:hAnsi="Arial" w:cs="Arial" w:eastAsia="Arial" w:hint="default"/>
                <w:b/>
                <w:bCs/>
                <w:spacing w:val="-10"/>
                <w:sz w:val="18"/>
                <w:szCs w:val="18"/>
              </w:rPr>
              <w:t> </w:t>
            </w:r>
            <w:r>
              <w:rPr>
                <w:rFonts w:ascii="黑体" w:hAnsi="黑体" w:cs="黑体" w:eastAsia="黑体" w:hint="default"/>
                <w:b/>
                <w:bCs/>
                <w:sz w:val="18"/>
                <w:szCs w:val="18"/>
              </w:rPr>
              <w:t>月</w:t>
            </w:r>
            <w:r>
              <w:rPr>
                <w:rFonts w:ascii="黑体" w:hAnsi="黑体" w:cs="黑体" w:eastAsia="黑体" w:hint="default"/>
                <w:b/>
                <w:bCs/>
                <w:spacing w:val="-46"/>
                <w:sz w:val="18"/>
                <w:szCs w:val="18"/>
              </w:rPr>
              <w:t> </w:t>
            </w:r>
            <w:r>
              <w:rPr>
                <w:rFonts w:ascii="Arial" w:hAnsi="Arial" w:cs="Arial" w:eastAsia="Arial" w:hint="default"/>
                <w:b/>
                <w:bCs/>
                <w:sz w:val="18"/>
                <w:szCs w:val="18"/>
              </w:rPr>
              <w:t>31</w:t>
            </w:r>
            <w:r>
              <w:rPr>
                <w:rFonts w:ascii="Arial" w:hAnsi="Arial" w:cs="Arial" w:eastAsia="Arial" w:hint="default"/>
                <w:b/>
                <w:bCs/>
                <w:spacing w:val="-7"/>
                <w:sz w:val="18"/>
                <w:szCs w:val="18"/>
              </w:rPr>
              <w:t> </w:t>
            </w:r>
            <w:r>
              <w:rPr>
                <w:rFonts w:ascii="黑体" w:hAnsi="黑体" w:cs="黑体" w:eastAsia="黑体" w:hint="default"/>
                <w:b/>
                <w:bCs/>
                <w:sz w:val="18"/>
                <w:szCs w:val="18"/>
              </w:rPr>
              <w:t>日年末余额</w:t>
            </w:r>
            <w:r>
              <w:rPr>
                <w:rFonts w:ascii="黑体" w:hAnsi="黑体" w:cs="黑体" w:eastAsia="黑体" w:hint="default"/>
                <w:sz w:val="18"/>
                <w:szCs w:val="18"/>
              </w:rPr>
            </w:r>
          </w:p>
        </w:tc>
        <w:tc>
          <w:tcPr>
            <w:tcW w:w="13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6,996,212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Arial" w:hAnsi="Arial" w:cs="Arial" w:eastAsia="Arial" w:hint="default"/>
                <w:sz w:val="18"/>
                <w:szCs w:val="18"/>
              </w:rPr>
            </w:pPr>
            <w:r>
              <w:rPr>
                <w:rFonts w:ascii="Arial"/>
                <w:spacing w:val="-1"/>
                <w:sz w:val="18"/>
              </w:rPr>
              <w:t>863,397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1,007,130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Arial" w:hAnsi="Arial" w:cs="Arial" w:eastAsia="Arial" w:hint="default"/>
                <w:sz w:val="18"/>
                <w:szCs w:val="18"/>
              </w:rPr>
            </w:pPr>
            <w:r>
              <w:rPr>
                <w:rFonts w:ascii="Arial"/>
                <w:w w:val="95"/>
                <w:sz w:val="18"/>
              </w:rPr>
              <w:t>6,538,520</w:t>
            </w:r>
            <w:r>
              <w:rPr>
                <w:rFonts w:ascii="Arial"/>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Arial" w:hAnsi="Arial" w:cs="Arial" w:eastAsia="Arial" w:hint="default"/>
                <w:sz w:val="18"/>
                <w:szCs w:val="18"/>
              </w:rPr>
            </w:pPr>
            <w:r>
              <w:rPr>
                <w:rFonts w:ascii="Arial"/>
                <w:spacing w:val="-1"/>
                <w:sz w:val="18"/>
              </w:rPr>
              <w:t>15,405,259</w:t>
            </w:r>
            <w:r>
              <w:rPr>
                <w:rFonts w:ascii="Arial"/>
                <w:sz w:val="18"/>
              </w:rPr>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黑体" w:hAnsi="黑体" w:cs="黑体" w:eastAsia="黑体" w:hint="default"/>
                <w:sz w:val="18"/>
                <w:szCs w:val="18"/>
              </w:rPr>
            </w:pPr>
            <w:r>
              <w:rPr>
                <w:rFonts w:ascii="Arial" w:hAnsi="Arial" w:cs="Arial" w:eastAsia="Arial" w:hint="default"/>
                <w:b/>
                <w:bCs/>
                <w:sz w:val="18"/>
                <w:szCs w:val="18"/>
              </w:rPr>
              <w:t>2012</w:t>
            </w:r>
            <w:r>
              <w:rPr>
                <w:rFonts w:ascii="Arial" w:hAnsi="Arial" w:cs="Arial" w:eastAsia="Arial" w:hint="default"/>
                <w:b/>
                <w:bCs/>
                <w:spacing w:val="-7"/>
                <w:sz w:val="18"/>
                <w:szCs w:val="18"/>
              </w:rPr>
              <w:t> </w:t>
            </w:r>
            <w:r>
              <w:rPr>
                <w:rFonts w:ascii="黑体" w:hAnsi="黑体" w:cs="黑体" w:eastAsia="黑体" w:hint="default"/>
                <w:b/>
                <w:bCs/>
                <w:sz w:val="18"/>
                <w:szCs w:val="18"/>
              </w:rPr>
              <w:t>年</w:t>
            </w:r>
            <w:r>
              <w:rPr>
                <w:rFonts w:ascii="黑体" w:hAnsi="黑体" w:cs="黑体" w:eastAsia="黑体" w:hint="default"/>
                <w:b/>
                <w:bCs/>
                <w:spacing w:val="-46"/>
                <w:sz w:val="18"/>
                <w:szCs w:val="18"/>
              </w:rPr>
              <w:t> </w:t>
            </w:r>
            <w:r>
              <w:rPr>
                <w:rFonts w:ascii="Arial" w:hAnsi="Arial" w:cs="Arial" w:eastAsia="Arial" w:hint="default"/>
                <w:b/>
                <w:bCs/>
                <w:sz w:val="18"/>
                <w:szCs w:val="18"/>
              </w:rPr>
              <w:t>1</w:t>
            </w:r>
            <w:r>
              <w:rPr>
                <w:rFonts w:ascii="Arial" w:hAnsi="Arial" w:cs="Arial" w:eastAsia="Arial" w:hint="default"/>
                <w:b/>
                <w:bCs/>
                <w:spacing w:val="-7"/>
                <w:sz w:val="18"/>
                <w:szCs w:val="18"/>
              </w:rPr>
              <w:t> </w:t>
            </w:r>
            <w:r>
              <w:rPr>
                <w:rFonts w:ascii="黑体" w:hAnsi="黑体" w:cs="黑体" w:eastAsia="黑体" w:hint="default"/>
                <w:b/>
                <w:bCs/>
                <w:sz w:val="18"/>
                <w:szCs w:val="18"/>
              </w:rPr>
              <w:t>月</w:t>
            </w:r>
            <w:r>
              <w:rPr>
                <w:rFonts w:ascii="黑体" w:hAnsi="黑体" w:cs="黑体" w:eastAsia="黑体" w:hint="default"/>
                <w:b/>
                <w:bCs/>
                <w:spacing w:val="-43"/>
                <w:sz w:val="18"/>
                <w:szCs w:val="18"/>
              </w:rPr>
              <w:t> </w:t>
            </w:r>
            <w:r>
              <w:rPr>
                <w:rFonts w:ascii="Arial" w:hAnsi="Arial" w:cs="Arial" w:eastAsia="Arial" w:hint="default"/>
                <w:b/>
                <w:bCs/>
                <w:sz w:val="18"/>
                <w:szCs w:val="18"/>
              </w:rPr>
              <w:t>1</w:t>
            </w:r>
            <w:r>
              <w:rPr>
                <w:rFonts w:ascii="Arial" w:hAnsi="Arial" w:cs="Arial" w:eastAsia="Arial" w:hint="default"/>
                <w:b/>
                <w:bCs/>
                <w:spacing w:val="-7"/>
                <w:sz w:val="18"/>
                <w:szCs w:val="18"/>
              </w:rPr>
              <w:t> </w:t>
            </w:r>
            <w:r>
              <w:rPr>
                <w:rFonts w:ascii="黑体" w:hAnsi="黑体" w:cs="黑体" w:eastAsia="黑体" w:hint="default"/>
                <w:b/>
                <w:bCs/>
                <w:sz w:val="18"/>
                <w:szCs w:val="18"/>
              </w:rPr>
              <w:t>日年初余额</w:t>
            </w:r>
            <w:r>
              <w:rPr>
                <w:rFonts w:ascii="黑体" w:hAnsi="黑体" w:cs="黑体" w:eastAsia="黑体" w:hint="default"/>
                <w:sz w:val="18"/>
                <w:szCs w:val="18"/>
              </w:rPr>
            </w:r>
          </w:p>
        </w:tc>
        <w:tc>
          <w:tcPr>
            <w:tcW w:w="13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6,996,212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Arial" w:hAnsi="Arial" w:cs="Arial" w:eastAsia="Arial" w:hint="default"/>
                <w:sz w:val="18"/>
                <w:szCs w:val="18"/>
              </w:rPr>
            </w:pPr>
            <w:r>
              <w:rPr>
                <w:rFonts w:ascii="Arial"/>
                <w:spacing w:val="-1"/>
                <w:sz w:val="18"/>
              </w:rPr>
              <w:t>863,397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1,007,130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Arial" w:hAnsi="Arial" w:cs="Arial" w:eastAsia="Arial" w:hint="default"/>
                <w:sz w:val="18"/>
                <w:szCs w:val="18"/>
              </w:rPr>
            </w:pPr>
            <w:r>
              <w:rPr>
                <w:rFonts w:ascii="Arial"/>
                <w:w w:val="95"/>
                <w:sz w:val="18"/>
              </w:rPr>
              <w:t>6,538,520</w:t>
            </w:r>
            <w:r>
              <w:rPr>
                <w:rFonts w:ascii="Arial"/>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Arial" w:hAnsi="Arial" w:cs="Arial" w:eastAsia="Arial" w:hint="default"/>
                <w:sz w:val="18"/>
                <w:szCs w:val="18"/>
              </w:rPr>
            </w:pPr>
            <w:r>
              <w:rPr>
                <w:rFonts w:ascii="Arial"/>
                <w:spacing w:val="-1"/>
                <w:sz w:val="18"/>
              </w:rPr>
              <w:t>15,405,259</w:t>
            </w:r>
            <w:r>
              <w:rPr>
                <w:rFonts w:ascii="Arial"/>
                <w:sz w:val="18"/>
              </w:rPr>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黑体" w:hAnsi="黑体" w:cs="黑体" w:eastAsia="黑体" w:hint="default"/>
                <w:sz w:val="18"/>
                <w:szCs w:val="18"/>
              </w:rPr>
            </w:pPr>
            <w:r>
              <w:rPr>
                <w:rFonts w:ascii="Arial" w:hAnsi="Arial" w:cs="Arial" w:eastAsia="Arial" w:hint="default"/>
                <w:b/>
                <w:bCs/>
                <w:sz w:val="18"/>
                <w:szCs w:val="18"/>
              </w:rPr>
              <w:t>2012</w:t>
            </w:r>
            <w:r>
              <w:rPr>
                <w:rFonts w:ascii="Arial" w:hAnsi="Arial" w:cs="Arial" w:eastAsia="Arial" w:hint="default"/>
                <w:b/>
                <w:bCs/>
                <w:spacing w:val="-8"/>
                <w:sz w:val="18"/>
                <w:szCs w:val="18"/>
              </w:rPr>
              <w:t> </w:t>
            </w:r>
            <w:r>
              <w:rPr>
                <w:rFonts w:ascii="黑体" w:hAnsi="黑体" w:cs="黑体" w:eastAsia="黑体" w:hint="default"/>
                <w:b/>
                <w:bCs/>
                <w:sz w:val="18"/>
                <w:szCs w:val="18"/>
              </w:rPr>
              <w:t>年度增减变动额</w:t>
            </w:r>
            <w:r>
              <w:rPr>
                <w:rFonts w:ascii="黑体" w:hAnsi="黑体" w:cs="黑体" w:eastAsia="黑体" w:hint="default"/>
                <w:sz w:val="18"/>
                <w:szCs w:val="18"/>
              </w:rPr>
            </w:r>
          </w:p>
        </w:tc>
        <w:tc>
          <w:tcPr>
            <w:tcW w:w="13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3"/>
              <w:jc w:val="right"/>
              <w:rPr>
                <w:rFonts w:ascii="Arial" w:hAnsi="Arial" w:cs="Arial" w:eastAsia="Arial" w:hint="default"/>
                <w:sz w:val="18"/>
                <w:szCs w:val="18"/>
              </w:rPr>
            </w:pPr>
            <w:r>
              <w:rPr>
                <w:rFonts w:ascii="Arial"/>
                <w:w w:val="99"/>
                <w:sz w:val="18"/>
              </w:rPr>
              <w:t>-</w:t>
            </w:r>
            <w:r>
              <w:rPr>
                <w:rFonts w:ascii="Arial"/>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3"/>
              <w:jc w:val="right"/>
              <w:rPr>
                <w:rFonts w:ascii="Arial" w:hAnsi="Arial" w:cs="Arial" w:eastAsia="Arial" w:hint="default"/>
                <w:sz w:val="18"/>
                <w:szCs w:val="18"/>
              </w:rPr>
            </w:pPr>
            <w:r>
              <w:rPr>
                <w:rFonts w:ascii="Arial"/>
                <w:w w:val="99"/>
                <w:sz w:val="18"/>
              </w:rPr>
              <w:t>-</w:t>
            </w:r>
            <w:r>
              <w:rPr>
                <w:rFonts w:ascii="Arial"/>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3"/>
              <w:jc w:val="right"/>
              <w:rPr>
                <w:rFonts w:ascii="Arial" w:hAnsi="Arial" w:cs="Arial" w:eastAsia="Arial" w:hint="default"/>
                <w:sz w:val="18"/>
                <w:szCs w:val="18"/>
              </w:rPr>
            </w:pPr>
            <w:r>
              <w:rPr>
                <w:rFonts w:ascii="Arial"/>
                <w:w w:val="99"/>
                <w:sz w:val="18"/>
              </w:rPr>
              <w:t>-</w:t>
            </w:r>
            <w:r>
              <w:rPr>
                <w:rFonts w:ascii="Arial"/>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1,477,362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1,477,362</w:t>
            </w: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股东投入和减少资本</w:t>
            </w:r>
          </w:p>
        </w:tc>
        <w:tc>
          <w:tcPr>
            <w:tcW w:w="13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股东投入资本</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.33</w:t>
            </w:r>
            <w:r>
              <w:rPr>
                <w:rFonts w:ascii="宋体" w:hAnsi="宋体" w:cs="宋体" w:eastAsia="宋体" w:hint="default"/>
                <w:sz w:val="18"/>
                <w:szCs w:val="18"/>
              </w:rPr>
              <w:t>、五</w:t>
            </w:r>
            <w:r>
              <w:rPr>
                <w:rFonts w:ascii="Arial" w:hAnsi="Arial" w:cs="Arial" w:eastAsia="Arial" w:hint="default"/>
                <w:sz w:val="18"/>
                <w:szCs w:val="18"/>
              </w:rPr>
              <w:t>.34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386,831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2" w:right="0"/>
              <w:jc w:val="left"/>
              <w:rPr>
                <w:rFonts w:ascii="Arial" w:hAnsi="Arial" w:cs="Arial" w:eastAsia="Arial" w:hint="default"/>
                <w:sz w:val="18"/>
                <w:szCs w:val="18"/>
              </w:rPr>
            </w:pPr>
            <w:r>
              <w:rPr>
                <w:rFonts w:ascii="Arial"/>
                <w:sz w:val="18"/>
              </w:rPr>
              <w:t>4,246,261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w w:val="99"/>
                <w:sz w:val="18"/>
              </w:rPr>
              <w:t>-</w:t>
            </w:r>
            <w:r>
              <w:rPr>
                <w:rFonts w:ascii="Arial"/>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w w:val="99"/>
                <w:sz w:val="18"/>
              </w:rPr>
              <w:t>-</w:t>
            </w:r>
            <w:r>
              <w:rPr>
                <w:rFonts w:ascii="Arial"/>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4,633,092</w:t>
            </w: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股份支付计入股东权益</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Arial" w:hAnsi="Arial" w:cs="Arial" w:eastAsia="Arial" w:hint="default"/>
                <w:sz w:val="18"/>
                <w:szCs w:val="18"/>
              </w:rPr>
            </w:pPr>
            <w:r>
              <w:rPr>
                <w:rFonts w:ascii="Arial"/>
                <w:w w:val="99"/>
                <w:sz w:val="18"/>
              </w:rPr>
              <w:t>-</w:t>
            </w:r>
            <w:r>
              <w:rPr>
                <w:rFonts w:ascii="Arial"/>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1"/>
              <w:jc w:val="right"/>
              <w:rPr>
                <w:rFonts w:ascii="Arial" w:hAnsi="Arial" w:cs="Arial" w:eastAsia="Arial" w:hint="default"/>
                <w:sz w:val="18"/>
                <w:szCs w:val="18"/>
              </w:rPr>
            </w:pPr>
            <w:r>
              <w:rPr>
                <w:rFonts w:ascii="Arial"/>
                <w:spacing w:val="-1"/>
                <w:sz w:val="18"/>
              </w:rPr>
              <w:t>(44,450)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13"/>
              <w:jc w:val="right"/>
              <w:rPr>
                <w:rFonts w:ascii="Arial" w:hAnsi="Arial" w:cs="Arial" w:eastAsia="Arial" w:hint="default"/>
                <w:sz w:val="18"/>
                <w:szCs w:val="18"/>
              </w:rPr>
            </w:pPr>
            <w:r>
              <w:rPr>
                <w:rFonts w:ascii="Arial"/>
                <w:w w:val="99"/>
                <w:sz w:val="18"/>
              </w:rPr>
              <w:t>-</w:t>
            </w:r>
            <w:r>
              <w:rPr>
                <w:rFonts w:ascii="Arial"/>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10"/>
              <w:jc w:val="right"/>
              <w:rPr>
                <w:rFonts w:ascii="Arial" w:hAnsi="Arial" w:cs="Arial" w:eastAsia="Arial" w:hint="default"/>
                <w:sz w:val="18"/>
                <w:szCs w:val="18"/>
              </w:rPr>
            </w:pPr>
            <w:r>
              <w:rPr>
                <w:rFonts w:ascii="Arial"/>
                <w:w w:val="99"/>
                <w:sz w:val="18"/>
              </w:rPr>
              <w:t>-</w:t>
            </w:r>
            <w:r>
              <w:rPr>
                <w:rFonts w:ascii="Arial"/>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39"/>
              <w:jc w:val="right"/>
              <w:rPr>
                <w:rFonts w:ascii="Arial" w:hAnsi="Arial" w:cs="Arial" w:eastAsia="Arial" w:hint="default"/>
                <w:sz w:val="18"/>
                <w:szCs w:val="18"/>
              </w:rPr>
            </w:pPr>
            <w:r>
              <w:rPr>
                <w:rFonts w:ascii="Arial"/>
                <w:spacing w:val="-1"/>
                <w:sz w:val="18"/>
              </w:rPr>
              <w:t>(44,450)</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13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13"/>
              <w:jc w:val="right"/>
              <w:rPr>
                <w:rFonts w:ascii="Arial" w:hAnsi="Arial" w:cs="Arial" w:eastAsia="Arial" w:hint="default"/>
                <w:sz w:val="18"/>
                <w:szCs w:val="18"/>
              </w:rPr>
            </w:pPr>
            <w:r>
              <w:rPr>
                <w:rFonts w:ascii="Arial"/>
                <w:w w:val="99"/>
                <w:sz w:val="18"/>
              </w:rPr>
              <w:t>-</w:t>
            </w:r>
            <w:r>
              <w:rPr>
                <w:rFonts w:ascii="Arial"/>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13"/>
              <w:jc w:val="right"/>
              <w:rPr>
                <w:rFonts w:ascii="Arial" w:hAnsi="Arial" w:cs="Arial" w:eastAsia="Arial" w:hint="default"/>
                <w:sz w:val="18"/>
                <w:szCs w:val="18"/>
              </w:rPr>
            </w:pPr>
            <w:r>
              <w:rPr>
                <w:rFonts w:ascii="Arial"/>
                <w:w w:val="99"/>
                <w:sz w:val="18"/>
              </w:rPr>
              <w:t>-</w:t>
            </w:r>
            <w:r>
              <w:rPr>
                <w:rFonts w:ascii="Arial"/>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147,736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39"/>
              <w:jc w:val="right"/>
              <w:rPr>
                <w:rFonts w:ascii="Arial" w:hAnsi="Arial" w:cs="Arial" w:eastAsia="Arial" w:hint="default"/>
                <w:sz w:val="18"/>
                <w:szCs w:val="18"/>
              </w:rPr>
            </w:pPr>
            <w:r>
              <w:rPr>
                <w:rFonts w:ascii="Arial"/>
                <w:spacing w:val="-1"/>
                <w:sz w:val="18"/>
              </w:rPr>
              <w:t>(147,736)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w w:val="99"/>
                <w:sz w:val="18"/>
              </w:rPr>
              <w:t>-</w:t>
            </w:r>
            <w:r>
              <w:rPr>
                <w:rFonts w:ascii="Arial"/>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3"/>
              <w:jc w:val="right"/>
              <w:rPr>
                <w:rFonts w:ascii="Arial" w:hAnsi="Arial" w:cs="Arial" w:eastAsia="Arial" w:hint="default"/>
                <w:sz w:val="18"/>
                <w:szCs w:val="18"/>
              </w:rPr>
            </w:pPr>
            <w:r>
              <w:rPr>
                <w:rFonts w:ascii="Arial"/>
                <w:w w:val="99"/>
                <w:sz w:val="18"/>
              </w:rPr>
              <w:t>-</w:t>
            </w:r>
            <w:r>
              <w:rPr>
                <w:rFonts w:ascii="Arial"/>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3"/>
              <w:jc w:val="right"/>
              <w:rPr>
                <w:rFonts w:ascii="Arial" w:hAnsi="Arial" w:cs="Arial" w:eastAsia="Arial" w:hint="default"/>
                <w:sz w:val="18"/>
                <w:szCs w:val="18"/>
              </w:rPr>
            </w:pPr>
            <w:r>
              <w:rPr>
                <w:rFonts w:ascii="Arial"/>
                <w:w w:val="99"/>
                <w:sz w:val="18"/>
              </w:rPr>
              <w:t>-</w:t>
            </w:r>
            <w:r>
              <w:rPr>
                <w:rFonts w:ascii="Arial"/>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0"/>
              <w:jc w:val="right"/>
              <w:rPr>
                <w:rFonts w:ascii="Arial" w:hAnsi="Arial" w:cs="Arial" w:eastAsia="Arial" w:hint="default"/>
                <w:sz w:val="18"/>
                <w:szCs w:val="18"/>
              </w:rPr>
            </w:pPr>
            <w:r>
              <w:rPr>
                <w:rFonts w:ascii="Arial"/>
                <w:spacing w:val="-1"/>
                <w:sz w:val="18"/>
              </w:rPr>
              <w:t>(1,049,432)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0"/>
              <w:jc w:val="right"/>
              <w:rPr>
                <w:rFonts w:ascii="Arial" w:hAnsi="Arial" w:cs="Arial" w:eastAsia="Arial" w:hint="default"/>
                <w:sz w:val="18"/>
                <w:szCs w:val="18"/>
              </w:rPr>
            </w:pPr>
            <w:r>
              <w:rPr>
                <w:rFonts w:ascii="Arial"/>
                <w:spacing w:val="-1"/>
                <w:sz w:val="18"/>
              </w:rPr>
              <w:t>(1,049,432)</w:t>
            </w: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黑体" w:hAnsi="黑体" w:cs="黑体" w:eastAsia="黑体" w:hint="default"/>
                <w:sz w:val="18"/>
                <w:szCs w:val="18"/>
              </w:rPr>
            </w:pPr>
            <w:r>
              <w:rPr>
                <w:rFonts w:ascii="Arial" w:hAnsi="Arial" w:cs="Arial" w:eastAsia="Arial" w:hint="default"/>
                <w:b/>
                <w:bCs/>
                <w:sz w:val="18"/>
                <w:szCs w:val="18"/>
              </w:rPr>
              <w:t>2012</w:t>
            </w:r>
            <w:r>
              <w:rPr>
                <w:rFonts w:ascii="Arial" w:hAnsi="Arial" w:cs="Arial" w:eastAsia="Arial" w:hint="default"/>
                <w:b/>
                <w:bCs/>
                <w:spacing w:val="-9"/>
                <w:sz w:val="18"/>
                <w:szCs w:val="18"/>
              </w:rPr>
              <w:t> </w:t>
            </w:r>
            <w:r>
              <w:rPr>
                <w:rFonts w:ascii="黑体" w:hAnsi="黑体" w:cs="黑体" w:eastAsia="黑体" w:hint="default"/>
                <w:b/>
                <w:bCs/>
                <w:sz w:val="18"/>
                <w:szCs w:val="18"/>
              </w:rPr>
              <w:t>年</w:t>
            </w:r>
            <w:r>
              <w:rPr>
                <w:rFonts w:ascii="黑体" w:hAnsi="黑体" w:cs="黑体" w:eastAsia="黑体" w:hint="default"/>
                <w:b/>
                <w:bCs/>
                <w:spacing w:val="-45"/>
                <w:sz w:val="18"/>
                <w:szCs w:val="18"/>
              </w:rPr>
              <w:t> </w:t>
            </w:r>
            <w:r>
              <w:rPr>
                <w:rFonts w:ascii="Arial" w:hAnsi="Arial" w:cs="Arial" w:eastAsia="Arial" w:hint="default"/>
                <w:b/>
                <w:bCs/>
                <w:sz w:val="18"/>
                <w:szCs w:val="18"/>
              </w:rPr>
              <w:t>12</w:t>
            </w:r>
            <w:r>
              <w:rPr>
                <w:rFonts w:ascii="Arial" w:hAnsi="Arial" w:cs="Arial" w:eastAsia="Arial" w:hint="default"/>
                <w:b/>
                <w:bCs/>
                <w:spacing w:val="-9"/>
                <w:sz w:val="18"/>
                <w:szCs w:val="18"/>
              </w:rPr>
              <w:t> </w:t>
            </w:r>
            <w:r>
              <w:rPr>
                <w:rFonts w:ascii="黑体" w:hAnsi="黑体" w:cs="黑体" w:eastAsia="黑体" w:hint="default"/>
                <w:b/>
                <w:bCs/>
                <w:sz w:val="18"/>
                <w:szCs w:val="18"/>
              </w:rPr>
              <w:t>月</w:t>
            </w:r>
            <w:r>
              <w:rPr>
                <w:rFonts w:ascii="黑体" w:hAnsi="黑体" w:cs="黑体" w:eastAsia="黑体" w:hint="default"/>
                <w:b/>
                <w:bCs/>
                <w:spacing w:val="-45"/>
                <w:sz w:val="18"/>
                <w:szCs w:val="18"/>
              </w:rPr>
              <w:t> </w:t>
            </w:r>
            <w:r>
              <w:rPr>
                <w:rFonts w:ascii="Arial" w:hAnsi="Arial" w:cs="Arial" w:eastAsia="Arial" w:hint="default"/>
                <w:b/>
                <w:bCs/>
                <w:sz w:val="18"/>
                <w:szCs w:val="18"/>
              </w:rPr>
              <w:t>31</w:t>
            </w:r>
            <w:r>
              <w:rPr>
                <w:rFonts w:ascii="Arial" w:hAnsi="Arial" w:cs="Arial" w:eastAsia="Arial" w:hint="default"/>
                <w:b/>
                <w:bCs/>
                <w:spacing w:val="-6"/>
                <w:sz w:val="18"/>
                <w:szCs w:val="18"/>
              </w:rPr>
              <w:t> </w:t>
            </w:r>
            <w:r>
              <w:rPr>
                <w:rFonts w:ascii="黑体" w:hAnsi="黑体" w:cs="黑体" w:eastAsia="黑体" w:hint="default"/>
                <w:b/>
                <w:bCs/>
                <w:sz w:val="18"/>
                <w:szCs w:val="18"/>
              </w:rPr>
              <w:t>日年末余额</w:t>
            </w:r>
            <w:r>
              <w:rPr>
                <w:rFonts w:ascii="黑体" w:hAnsi="黑体" w:cs="黑体" w:eastAsia="黑体" w:hint="default"/>
                <w:sz w:val="18"/>
                <w:szCs w:val="18"/>
              </w:rPr>
            </w:r>
          </w:p>
        </w:tc>
        <w:tc>
          <w:tcPr>
            <w:tcW w:w="13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7,383,043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2" w:right="0"/>
              <w:jc w:val="left"/>
              <w:rPr>
                <w:rFonts w:ascii="Arial" w:hAnsi="Arial" w:cs="Arial" w:eastAsia="Arial" w:hint="default"/>
                <w:sz w:val="18"/>
                <w:szCs w:val="18"/>
              </w:rPr>
            </w:pPr>
            <w:r>
              <w:rPr>
                <w:rFonts w:ascii="Arial"/>
                <w:sz w:val="18"/>
              </w:rPr>
              <w:t>5,065,208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1,154,866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6,818,714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20,421,831</w:t>
            </w:r>
          </w:p>
        </w:tc>
      </w:tr>
    </w:tbl>
    <w:p>
      <w:pPr>
        <w:spacing w:before="49"/>
        <w:ind w:left="212" w:right="1021"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1"/>
        <w:rPr>
          <w:rFonts w:ascii="宋体" w:hAnsi="宋体" w:cs="宋体" w:eastAsia="宋体" w:hint="default"/>
          <w:sz w:val="14"/>
          <w:szCs w:val="14"/>
        </w:rPr>
      </w:pPr>
    </w:p>
    <w:p>
      <w:pPr>
        <w:tabs>
          <w:tab w:pos="3818" w:val="left" w:leader="none"/>
          <w:tab w:pos="7690" w:val="left" w:leader="none"/>
        </w:tabs>
        <w:spacing w:before="0"/>
        <w:ind w:left="573" w:right="1021" w:firstLine="0"/>
        <w:jc w:val="left"/>
        <w:rPr>
          <w:rFonts w:ascii="宋体" w:hAnsi="宋体" w:cs="宋体" w:eastAsia="宋体" w:hint="default"/>
          <w:sz w:val="18"/>
          <w:szCs w:val="18"/>
        </w:rPr>
      </w:pPr>
      <w:r>
        <w:rPr>
          <w:rFonts w:ascii="宋体" w:hAnsi="宋体" w:cs="宋体" w:eastAsia="宋体" w:hint="default"/>
          <w:sz w:val="18"/>
          <w:szCs w:val="18"/>
        </w:rPr>
        <w:t>企业负责人：</w:t>
      </w:r>
      <w:r>
        <w:rPr>
          <w:rFonts w:ascii="宋体" w:hAnsi="宋体" w:cs="宋体" w:eastAsia="宋体" w:hint="default"/>
          <w:spacing w:val="1"/>
          <w:sz w:val="18"/>
          <w:szCs w:val="18"/>
        </w:rPr>
        <w:t> </w:t>
      </w:r>
      <w:r>
        <w:rPr>
          <w:rFonts w:ascii="宋体" w:hAnsi="宋体" w:cs="宋体" w:eastAsia="宋体" w:hint="default"/>
          <w:sz w:val="18"/>
          <w:szCs w:val="18"/>
        </w:rPr>
        <w:t>张近东</w:t>
        <w:tab/>
        <w:t>主管会计工作的负责人：</w:t>
      </w:r>
      <w:r>
        <w:rPr>
          <w:rFonts w:ascii="宋体" w:hAnsi="宋体" w:cs="宋体" w:eastAsia="宋体" w:hint="default"/>
          <w:spacing w:val="-2"/>
          <w:sz w:val="18"/>
          <w:szCs w:val="18"/>
        </w:rPr>
        <w:t> </w:t>
      </w:r>
      <w:r>
        <w:rPr>
          <w:rFonts w:ascii="宋体" w:hAnsi="宋体" w:cs="宋体" w:eastAsia="宋体" w:hint="default"/>
          <w:sz w:val="18"/>
          <w:szCs w:val="18"/>
        </w:rPr>
        <w:t>朱华</w:t>
        <w:tab/>
        <w:t>会计机构负责人：肖忠祥</w:t>
      </w:r>
    </w:p>
    <w:p>
      <w:pPr>
        <w:spacing w:after="0"/>
        <w:jc w:val="left"/>
        <w:rPr>
          <w:rFonts w:ascii="宋体" w:hAnsi="宋体" w:cs="宋体" w:eastAsia="宋体" w:hint="default"/>
          <w:sz w:val="18"/>
          <w:szCs w:val="18"/>
        </w:rPr>
        <w:sectPr>
          <w:footerReference w:type="default" r:id="rId51"/>
          <w:pgSz w:w="11910" w:h="16840"/>
          <w:pgMar w:footer="1340" w:header="927" w:top="1160" w:bottom="1540" w:left="92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2656" type="#_x0000_t75" stroked="false">
            <v:imagedata r:id="rId10" o:title=""/>
          </v:shape>
        </w:pict>
      </w:r>
    </w:p>
    <w:p>
      <w:pPr>
        <w:spacing w:line="240" w:lineRule="auto" w:before="4"/>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680"/>
        <w:gridCol w:w="8440"/>
      </w:tblGrid>
      <w:tr>
        <w:trPr>
          <w:trHeight w:val="415"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一</w:t>
            </w:r>
          </w:p>
        </w:tc>
        <w:tc>
          <w:tcPr>
            <w:tcW w:w="8440" w:type="dxa"/>
            <w:tcBorders>
              <w:top w:val="nil" w:sz="6" w:space="0" w:color="auto"/>
              <w:left w:val="nil" w:sz="6" w:space="0" w:color="auto"/>
              <w:bottom w:val="nil" w:sz="6" w:space="0" w:color="auto"/>
              <w:right w:val="nil" w:sz="6" w:space="0" w:color="auto"/>
            </w:tcBorders>
          </w:tcPr>
          <w:p>
            <w:pPr>
              <w:pStyle w:val="TableParagraph"/>
              <w:spacing w:line="240" w:lineRule="exact"/>
              <w:ind w:left="239" w:right="0"/>
              <w:jc w:val="left"/>
              <w:rPr>
                <w:rFonts w:ascii="黑体" w:hAnsi="黑体" w:cs="黑体" w:eastAsia="黑体" w:hint="default"/>
                <w:sz w:val="24"/>
                <w:szCs w:val="24"/>
              </w:rPr>
            </w:pPr>
            <w:r>
              <w:rPr>
                <w:rFonts w:ascii="黑体" w:hAnsi="黑体" w:cs="黑体" w:eastAsia="黑体" w:hint="default"/>
                <w:sz w:val="24"/>
                <w:szCs w:val="24"/>
              </w:rPr>
              <w:t>公司基本情况</w:t>
            </w:r>
          </w:p>
        </w:tc>
      </w:tr>
      <w:tr>
        <w:trPr>
          <w:trHeight w:val="4019" w:hRule="exact"/>
        </w:trPr>
        <w:tc>
          <w:tcPr>
            <w:tcW w:w="680" w:type="dxa"/>
            <w:tcBorders>
              <w:top w:val="nil" w:sz="6" w:space="0" w:color="auto"/>
              <w:left w:val="nil" w:sz="6" w:space="0" w:color="auto"/>
              <w:bottom w:val="nil" w:sz="6" w:space="0" w:color="auto"/>
              <w:right w:val="nil" w:sz="6" w:space="0" w:color="auto"/>
            </w:tcBorders>
          </w:tcPr>
          <w:p>
            <w:pPr/>
          </w:p>
        </w:tc>
        <w:tc>
          <w:tcPr>
            <w:tcW w:w="8440" w:type="dxa"/>
            <w:tcBorders>
              <w:top w:val="nil" w:sz="6" w:space="0" w:color="auto"/>
              <w:left w:val="nil" w:sz="6" w:space="0" w:color="auto"/>
              <w:bottom w:val="nil" w:sz="6" w:space="0" w:color="auto"/>
              <w:right w:val="nil" w:sz="6" w:space="0" w:color="auto"/>
            </w:tcBorders>
          </w:tcPr>
          <w:p>
            <w:pPr>
              <w:pStyle w:val="TableParagraph"/>
              <w:spacing w:line="312" w:lineRule="exact" w:before="132"/>
              <w:ind w:left="239" w:right="203"/>
              <w:jc w:val="left"/>
              <w:rPr>
                <w:rFonts w:ascii="宋体" w:hAnsi="宋体" w:cs="宋体" w:eastAsia="宋体" w:hint="default"/>
                <w:sz w:val="24"/>
                <w:szCs w:val="24"/>
              </w:rPr>
            </w:pPr>
            <w:r>
              <w:rPr>
                <w:rFonts w:ascii="宋体" w:hAnsi="宋体" w:cs="宋体" w:eastAsia="宋体" w:hint="default"/>
                <w:spacing w:val="2"/>
                <w:sz w:val="24"/>
                <w:szCs w:val="24"/>
              </w:rPr>
              <w:t>苏宁</w:t>
            </w:r>
            <w:r>
              <w:rPr>
                <w:rFonts w:ascii="宋体" w:hAnsi="宋体" w:cs="宋体" w:eastAsia="宋体" w:hint="default"/>
                <w:spacing w:val="4"/>
                <w:sz w:val="24"/>
                <w:szCs w:val="24"/>
              </w:rPr>
              <w:t>云</w:t>
            </w:r>
            <w:r>
              <w:rPr>
                <w:rFonts w:ascii="宋体" w:hAnsi="宋体" w:cs="宋体" w:eastAsia="宋体" w:hint="default"/>
                <w:spacing w:val="2"/>
                <w:sz w:val="24"/>
                <w:szCs w:val="24"/>
              </w:rPr>
              <w:t>商</w:t>
            </w:r>
            <w:r>
              <w:rPr>
                <w:rFonts w:ascii="宋体" w:hAnsi="宋体" w:cs="宋体" w:eastAsia="宋体" w:hint="default"/>
                <w:spacing w:val="4"/>
                <w:sz w:val="24"/>
                <w:szCs w:val="24"/>
              </w:rPr>
              <w:t>集</w:t>
            </w:r>
            <w:r>
              <w:rPr>
                <w:rFonts w:ascii="宋体" w:hAnsi="宋体" w:cs="宋体" w:eastAsia="宋体" w:hint="default"/>
                <w:spacing w:val="2"/>
                <w:sz w:val="24"/>
                <w:szCs w:val="24"/>
              </w:rPr>
              <w:t>团</w:t>
            </w:r>
            <w:r>
              <w:rPr>
                <w:rFonts w:ascii="宋体" w:hAnsi="宋体" w:cs="宋体" w:eastAsia="宋体" w:hint="default"/>
                <w:spacing w:val="4"/>
                <w:sz w:val="24"/>
                <w:szCs w:val="24"/>
              </w:rPr>
              <w:t>股</w:t>
            </w:r>
            <w:r>
              <w:rPr>
                <w:rFonts w:ascii="宋体" w:hAnsi="宋体" w:cs="宋体" w:eastAsia="宋体" w:hint="default"/>
                <w:spacing w:val="2"/>
                <w:sz w:val="24"/>
                <w:szCs w:val="24"/>
              </w:rPr>
              <w:t>份有</w:t>
            </w:r>
            <w:r>
              <w:rPr>
                <w:rFonts w:ascii="宋体" w:hAnsi="宋体" w:cs="宋体" w:eastAsia="宋体" w:hint="default"/>
                <w:spacing w:val="4"/>
                <w:sz w:val="24"/>
                <w:szCs w:val="24"/>
              </w:rPr>
              <w:t>限</w:t>
            </w:r>
            <w:r>
              <w:rPr>
                <w:rFonts w:ascii="宋体" w:hAnsi="宋体" w:cs="宋体" w:eastAsia="宋体" w:hint="default"/>
                <w:spacing w:val="2"/>
                <w:sz w:val="24"/>
                <w:szCs w:val="24"/>
              </w:rPr>
              <w:t>公</w:t>
            </w:r>
            <w:r>
              <w:rPr>
                <w:rFonts w:ascii="宋体" w:hAnsi="宋体" w:cs="宋体" w:eastAsia="宋体" w:hint="default"/>
                <w:spacing w:val="8"/>
                <w:sz w:val="24"/>
                <w:szCs w:val="24"/>
              </w:rPr>
              <w:t>司</w:t>
            </w:r>
            <w:r>
              <w:rPr>
                <w:rFonts w:ascii="Arial" w:hAnsi="Arial" w:cs="Arial" w:eastAsia="Arial" w:hint="default"/>
                <w:spacing w:val="1"/>
                <w:sz w:val="24"/>
                <w:szCs w:val="24"/>
              </w:rPr>
              <w:t>(</w:t>
            </w:r>
            <w:r>
              <w:rPr>
                <w:rFonts w:ascii="宋体" w:hAnsi="宋体" w:cs="宋体" w:eastAsia="宋体" w:hint="default"/>
                <w:spacing w:val="4"/>
                <w:sz w:val="24"/>
                <w:szCs w:val="24"/>
              </w:rPr>
              <w:t>原</w:t>
            </w:r>
            <w:r>
              <w:rPr>
                <w:rFonts w:ascii="宋体" w:hAnsi="宋体" w:cs="宋体" w:eastAsia="宋体" w:hint="default"/>
                <w:spacing w:val="2"/>
                <w:sz w:val="24"/>
                <w:szCs w:val="24"/>
              </w:rPr>
              <w:t>“苏</w:t>
            </w:r>
            <w:r>
              <w:rPr>
                <w:rFonts w:ascii="宋体" w:hAnsi="宋体" w:cs="宋体" w:eastAsia="宋体" w:hint="default"/>
                <w:spacing w:val="4"/>
                <w:sz w:val="24"/>
                <w:szCs w:val="24"/>
              </w:rPr>
              <w:t>宁</w:t>
            </w:r>
            <w:r>
              <w:rPr>
                <w:rFonts w:ascii="宋体" w:hAnsi="宋体" w:cs="宋体" w:eastAsia="宋体" w:hint="default"/>
                <w:spacing w:val="2"/>
                <w:sz w:val="24"/>
                <w:szCs w:val="24"/>
              </w:rPr>
              <w:t>电</w:t>
            </w:r>
            <w:r>
              <w:rPr>
                <w:rFonts w:ascii="宋体" w:hAnsi="宋体" w:cs="宋体" w:eastAsia="宋体" w:hint="default"/>
                <w:spacing w:val="4"/>
                <w:sz w:val="24"/>
                <w:szCs w:val="24"/>
              </w:rPr>
              <w:t>器股</w:t>
            </w:r>
            <w:r>
              <w:rPr>
                <w:rFonts w:ascii="宋体" w:hAnsi="宋体" w:cs="宋体" w:eastAsia="宋体" w:hint="default"/>
                <w:spacing w:val="2"/>
                <w:sz w:val="24"/>
                <w:szCs w:val="24"/>
              </w:rPr>
              <w:t>份有</w:t>
            </w:r>
            <w:r>
              <w:rPr>
                <w:rFonts w:ascii="宋体" w:hAnsi="宋体" w:cs="宋体" w:eastAsia="宋体" w:hint="default"/>
                <w:spacing w:val="4"/>
                <w:sz w:val="24"/>
                <w:szCs w:val="24"/>
              </w:rPr>
              <w:t>限</w:t>
            </w:r>
            <w:r>
              <w:rPr>
                <w:rFonts w:ascii="宋体" w:hAnsi="宋体" w:cs="宋体" w:eastAsia="宋体" w:hint="default"/>
                <w:spacing w:val="2"/>
                <w:sz w:val="24"/>
                <w:szCs w:val="24"/>
              </w:rPr>
              <w:t>公</w:t>
            </w:r>
            <w:r>
              <w:rPr>
                <w:rFonts w:ascii="宋体" w:hAnsi="宋体" w:cs="宋体" w:eastAsia="宋体" w:hint="default"/>
                <w:spacing w:val="4"/>
                <w:sz w:val="24"/>
                <w:szCs w:val="24"/>
              </w:rPr>
              <w:t>司</w:t>
            </w:r>
            <w:r>
              <w:rPr>
                <w:rFonts w:ascii="宋体" w:hAnsi="宋体" w:cs="宋体" w:eastAsia="宋体" w:hint="default"/>
                <w:spacing w:val="-118"/>
                <w:sz w:val="24"/>
                <w:szCs w:val="24"/>
              </w:rPr>
              <w:t>”</w:t>
            </w:r>
            <w:r>
              <w:rPr>
                <w:rFonts w:ascii="宋体" w:hAnsi="宋体" w:cs="宋体" w:eastAsia="宋体" w:hint="default"/>
                <w:spacing w:val="8"/>
                <w:sz w:val="24"/>
                <w:szCs w:val="24"/>
              </w:rPr>
              <w:t>，</w:t>
            </w:r>
            <w:r>
              <w:rPr>
                <w:rFonts w:ascii="宋体" w:hAnsi="宋体" w:cs="宋体" w:eastAsia="宋体" w:hint="default"/>
                <w:spacing w:val="2"/>
                <w:sz w:val="24"/>
                <w:szCs w:val="24"/>
              </w:rPr>
              <w:t>以下</w:t>
            </w:r>
            <w:r>
              <w:rPr>
                <w:rFonts w:ascii="宋体" w:hAnsi="宋体" w:cs="宋体" w:eastAsia="宋体" w:hint="default"/>
                <w:spacing w:val="4"/>
                <w:sz w:val="24"/>
                <w:szCs w:val="24"/>
              </w:rPr>
              <w:t>简</w:t>
            </w:r>
            <w:r>
              <w:rPr>
                <w:rFonts w:ascii="宋体" w:hAnsi="宋体" w:cs="宋体" w:eastAsia="宋体" w:hint="default"/>
                <w:spacing w:val="3"/>
                <w:sz w:val="24"/>
                <w:szCs w:val="24"/>
              </w:rPr>
              <w:t>称</w:t>
            </w:r>
            <w:r>
              <w:rPr>
                <w:rFonts w:ascii="宋体" w:hAnsi="宋体" w:cs="宋体" w:eastAsia="宋体" w:hint="default"/>
                <w:spacing w:val="2"/>
                <w:sz w:val="24"/>
                <w:szCs w:val="24"/>
              </w:rPr>
              <w:t>“本公</w:t>
            </w:r>
            <w:r>
              <w:rPr>
                <w:rFonts w:ascii="宋体" w:hAnsi="宋体" w:cs="宋体" w:eastAsia="宋体" w:hint="default"/>
                <w:spacing w:val="2"/>
                <w:sz w:val="24"/>
                <w:szCs w:val="24"/>
              </w:rPr>
              <w:t> </w:t>
            </w:r>
            <w:r>
              <w:rPr>
                <w:rFonts w:ascii="宋体" w:hAnsi="宋体" w:cs="宋体" w:eastAsia="宋体" w:hint="default"/>
                <w:sz w:val="24"/>
                <w:szCs w:val="24"/>
              </w:rPr>
              <w:t>司</w:t>
            </w:r>
            <w:r>
              <w:rPr>
                <w:rFonts w:ascii="宋体" w:hAnsi="宋体" w:cs="宋体" w:eastAsia="宋体" w:hint="default"/>
                <w:spacing w:val="-101"/>
                <w:sz w:val="24"/>
                <w:szCs w:val="24"/>
              </w:rPr>
              <w:t>”</w:t>
            </w:r>
            <w:r>
              <w:rPr>
                <w:rFonts w:ascii="Arial" w:hAnsi="Arial" w:cs="Arial" w:eastAsia="Arial" w:hint="default"/>
                <w:spacing w:val="-1"/>
                <w:sz w:val="24"/>
                <w:szCs w:val="24"/>
              </w:rPr>
              <w:t>)</w:t>
            </w:r>
            <w:r>
              <w:rPr>
                <w:rFonts w:ascii="宋体" w:hAnsi="宋体" w:cs="宋体" w:eastAsia="宋体" w:hint="default"/>
                <w:sz w:val="24"/>
                <w:szCs w:val="24"/>
              </w:rPr>
              <w:t>的前身系于</w:t>
            </w:r>
            <w:r>
              <w:rPr>
                <w:rFonts w:ascii="宋体" w:hAnsi="宋体" w:cs="宋体" w:eastAsia="宋体" w:hint="default"/>
                <w:spacing w:val="-60"/>
                <w:sz w:val="24"/>
                <w:szCs w:val="24"/>
              </w:rPr>
              <w:t> </w:t>
            </w:r>
            <w:r>
              <w:rPr>
                <w:rFonts w:ascii="Arial" w:hAnsi="Arial" w:cs="Arial" w:eastAsia="Arial" w:hint="default"/>
                <w:w w:val="99"/>
                <w:sz w:val="24"/>
                <w:szCs w:val="24"/>
              </w:rPr>
              <w:t>1996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w w:val="99"/>
                <w:sz w:val="24"/>
                <w:szCs w:val="24"/>
              </w:rPr>
              <w:t>5</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w w:val="99"/>
                <w:sz w:val="24"/>
                <w:szCs w:val="24"/>
              </w:rPr>
              <w:t>15</w:t>
            </w:r>
            <w:r>
              <w:rPr>
                <w:rFonts w:ascii="Arial" w:hAnsi="Arial" w:cs="Arial" w:eastAsia="Arial" w:hint="default"/>
                <w:spacing w:val="-6"/>
                <w:sz w:val="24"/>
                <w:szCs w:val="24"/>
              </w:rPr>
              <w:t> </w:t>
            </w:r>
            <w:r>
              <w:rPr>
                <w:rFonts w:ascii="宋体" w:hAnsi="宋体" w:cs="宋体" w:eastAsia="宋体" w:hint="default"/>
                <w:sz w:val="24"/>
                <w:szCs w:val="24"/>
              </w:rPr>
              <w:t>日在中华</w:t>
            </w:r>
            <w:r>
              <w:rPr>
                <w:rFonts w:ascii="宋体" w:hAnsi="宋体" w:cs="宋体" w:eastAsia="宋体" w:hint="default"/>
                <w:spacing w:val="-3"/>
                <w:sz w:val="24"/>
                <w:szCs w:val="24"/>
              </w:rPr>
              <w:t>人</w:t>
            </w:r>
            <w:r>
              <w:rPr>
                <w:rFonts w:ascii="宋体" w:hAnsi="宋体" w:cs="宋体" w:eastAsia="宋体" w:hint="default"/>
                <w:sz w:val="24"/>
                <w:szCs w:val="24"/>
              </w:rPr>
              <w:t>民共和国江苏省南京市注册成立</w:t>
            </w:r>
          </w:p>
          <w:p>
            <w:pPr>
              <w:pStyle w:val="TableParagraph"/>
              <w:spacing w:line="288" w:lineRule="exact"/>
              <w:ind w:left="239" w:right="0"/>
              <w:jc w:val="left"/>
              <w:rPr>
                <w:rFonts w:ascii="Arial" w:hAnsi="Arial" w:cs="Arial" w:eastAsia="Arial" w:hint="default"/>
                <w:sz w:val="24"/>
                <w:szCs w:val="24"/>
              </w:rPr>
            </w:pPr>
            <w:r>
              <w:rPr>
                <w:rFonts w:ascii="宋体" w:hAnsi="宋体" w:cs="宋体" w:eastAsia="宋体" w:hint="default"/>
                <w:sz w:val="24"/>
                <w:szCs w:val="24"/>
              </w:rPr>
              <w:t>的江苏苏宁交家电有限公司，成立时的注册资本为人民币</w:t>
            </w:r>
            <w:r>
              <w:rPr>
                <w:rFonts w:ascii="宋体" w:hAnsi="宋体" w:cs="宋体" w:eastAsia="宋体" w:hint="default"/>
                <w:spacing w:val="-74"/>
                <w:sz w:val="24"/>
                <w:szCs w:val="24"/>
              </w:rPr>
              <w:t> </w:t>
            </w:r>
            <w:r>
              <w:rPr>
                <w:rFonts w:ascii="Arial" w:hAnsi="Arial" w:cs="Arial" w:eastAsia="Arial" w:hint="default"/>
                <w:sz w:val="24"/>
                <w:szCs w:val="24"/>
              </w:rPr>
              <w:t>120</w:t>
            </w:r>
            <w:r>
              <w:rPr>
                <w:rFonts w:ascii="Arial" w:hAnsi="Arial" w:cs="Arial" w:eastAsia="Arial" w:hint="default"/>
                <w:spacing w:val="-21"/>
                <w:sz w:val="24"/>
                <w:szCs w:val="24"/>
              </w:rPr>
              <w:t> </w:t>
            </w:r>
            <w:r>
              <w:rPr>
                <w:rFonts w:ascii="宋体" w:hAnsi="宋体" w:cs="宋体" w:eastAsia="宋体" w:hint="default"/>
                <w:spacing w:val="-11"/>
                <w:sz w:val="24"/>
                <w:szCs w:val="24"/>
              </w:rPr>
              <w:t>万元。于</w:t>
            </w:r>
            <w:r>
              <w:rPr>
                <w:rFonts w:ascii="宋体" w:hAnsi="宋体" w:cs="宋体" w:eastAsia="宋体" w:hint="default"/>
                <w:spacing w:val="-75"/>
                <w:sz w:val="24"/>
                <w:szCs w:val="24"/>
              </w:rPr>
              <w:t> </w:t>
            </w:r>
            <w:r>
              <w:rPr>
                <w:rFonts w:ascii="Arial" w:hAnsi="Arial" w:cs="Arial" w:eastAsia="Arial" w:hint="default"/>
                <w:sz w:val="24"/>
                <w:szCs w:val="24"/>
              </w:rPr>
              <w:t>2000</w:t>
            </w:r>
          </w:p>
          <w:p>
            <w:pPr>
              <w:pStyle w:val="TableParagraph"/>
              <w:spacing w:line="312" w:lineRule="exact"/>
              <w:ind w:left="239"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7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28 </w:t>
            </w:r>
            <w:r>
              <w:rPr>
                <w:rFonts w:ascii="宋体" w:hAnsi="宋体" w:cs="宋体" w:eastAsia="宋体" w:hint="default"/>
                <w:spacing w:val="-4"/>
                <w:sz w:val="24"/>
                <w:szCs w:val="24"/>
              </w:rPr>
              <w:t>日，经江苏省工商行政管理局批准更名为江苏苏宁交家电集团有限</w:t>
            </w:r>
          </w:p>
          <w:p>
            <w:pPr>
              <w:pStyle w:val="TableParagraph"/>
              <w:spacing w:line="311" w:lineRule="exact"/>
              <w:ind w:left="239"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101"/>
                <w:sz w:val="24"/>
                <w:szCs w:val="24"/>
              </w:rPr>
              <w:t>。</w:t>
            </w: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w w:val="99"/>
                <w:sz w:val="24"/>
                <w:szCs w:val="24"/>
              </w:rPr>
              <w:t>2000</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w w:val="99"/>
                <w:sz w:val="24"/>
                <w:szCs w:val="24"/>
              </w:rPr>
              <w:t>8</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pacing w:val="-2"/>
                <w:w w:val="99"/>
                <w:sz w:val="24"/>
                <w:szCs w:val="24"/>
              </w:rPr>
              <w:t>3</w:t>
            </w:r>
            <w:r>
              <w:rPr>
                <w:rFonts w:ascii="Arial" w:hAnsi="Arial" w:cs="Arial" w:eastAsia="Arial" w:hint="default"/>
                <w:w w:val="99"/>
                <w:sz w:val="24"/>
                <w:szCs w:val="24"/>
              </w:rPr>
              <w:t>0</w:t>
            </w:r>
            <w:r>
              <w:rPr>
                <w:rFonts w:ascii="Arial" w:hAnsi="Arial" w:cs="Arial" w:eastAsia="Arial" w:hint="default"/>
                <w:spacing w:val="-6"/>
                <w:sz w:val="24"/>
                <w:szCs w:val="24"/>
              </w:rPr>
              <w:t> </w:t>
            </w:r>
            <w:r>
              <w:rPr>
                <w:rFonts w:ascii="宋体" w:hAnsi="宋体" w:cs="宋体" w:eastAsia="宋体" w:hint="default"/>
                <w:sz w:val="24"/>
                <w:szCs w:val="24"/>
              </w:rPr>
              <w:t>日经国家工商行政管理局批准更名为苏宁交家</w:t>
            </w:r>
            <w:r>
              <w:rPr>
                <w:rFonts w:ascii="宋体" w:hAnsi="宋体" w:cs="宋体" w:eastAsia="宋体" w:hint="default"/>
                <w:spacing w:val="1"/>
                <w:sz w:val="24"/>
                <w:szCs w:val="24"/>
              </w:rPr>
              <w:t>电</w:t>
            </w:r>
            <w:r>
              <w:rPr>
                <w:rFonts w:ascii="Arial" w:hAnsi="Arial" w:cs="Arial" w:eastAsia="Arial" w:hint="default"/>
                <w:spacing w:val="-1"/>
                <w:sz w:val="24"/>
                <w:szCs w:val="24"/>
              </w:rPr>
              <w:t>(</w:t>
            </w:r>
            <w:r>
              <w:rPr>
                <w:rFonts w:ascii="宋体" w:hAnsi="宋体" w:cs="宋体" w:eastAsia="宋体" w:hint="default"/>
                <w:sz w:val="24"/>
                <w:szCs w:val="24"/>
              </w:rPr>
              <w:t>集</w:t>
            </w:r>
          </w:p>
          <w:p>
            <w:pPr>
              <w:pStyle w:val="TableParagraph"/>
              <w:spacing w:line="311" w:lineRule="exact"/>
              <w:ind w:left="239" w:right="0"/>
              <w:jc w:val="left"/>
              <w:rPr>
                <w:rFonts w:ascii="宋体" w:hAnsi="宋体" w:cs="宋体" w:eastAsia="宋体" w:hint="default"/>
                <w:sz w:val="24"/>
                <w:szCs w:val="24"/>
              </w:rPr>
            </w:pPr>
            <w:r>
              <w:rPr>
                <w:rFonts w:ascii="宋体" w:hAnsi="宋体" w:cs="宋体" w:eastAsia="宋体" w:hint="default"/>
                <w:sz w:val="24"/>
                <w:szCs w:val="24"/>
              </w:rPr>
              <w:t>团</w:t>
            </w:r>
            <w:r>
              <w:rPr>
                <w:rFonts w:ascii="Arial" w:hAnsi="Arial" w:cs="Arial" w:eastAsia="Arial" w:hint="default"/>
                <w:sz w:val="24"/>
                <w:szCs w:val="24"/>
              </w:rPr>
              <w:t>)</w:t>
            </w:r>
            <w:r>
              <w:rPr>
                <w:rFonts w:ascii="宋体" w:hAnsi="宋体" w:cs="宋体" w:eastAsia="宋体" w:hint="default"/>
                <w:sz w:val="24"/>
                <w:szCs w:val="24"/>
              </w:rPr>
              <w:t>有限公司。于</w:t>
            </w:r>
            <w:r>
              <w:rPr>
                <w:rFonts w:ascii="宋体" w:hAnsi="宋体" w:cs="宋体" w:eastAsia="宋体" w:hint="default"/>
                <w:spacing w:val="-66"/>
                <w:sz w:val="24"/>
                <w:szCs w:val="24"/>
              </w:rPr>
              <w:t> </w:t>
            </w:r>
            <w:r>
              <w:rPr>
                <w:rFonts w:ascii="Arial" w:hAnsi="Arial" w:cs="Arial" w:eastAsia="Arial" w:hint="default"/>
                <w:sz w:val="24"/>
                <w:szCs w:val="24"/>
              </w:rPr>
              <w:t>2001</w:t>
            </w:r>
            <w:r>
              <w:rPr>
                <w:rFonts w:ascii="Arial" w:hAnsi="Arial" w:cs="Arial" w:eastAsia="Arial" w:hint="default"/>
                <w:spacing w:val="-14"/>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Arial" w:hAnsi="Arial" w:cs="Arial" w:eastAsia="Arial" w:hint="default"/>
                <w:sz w:val="24"/>
                <w:szCs w:val="24"/>
              </w:rPr>
              <w:t>6</w:t>
            </w:r>
            <w:r>
              <w:rPr>
                <w:rFonts w:ascii="Arial" w:hAnsi="Arial" w:cs="Arial" w:eastAsia="Arial"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Arial" w:hAnsi="Arial" w:cs="Arial" w:eastAsia="Arial" w:hint="default"/>
                <w:sz w:val="24"/>
                <w:szCs w:val="24"/>
              </w:rPr>
              <w:t>28</w:t>
            </w:r>
            <w:r>
              <w:rPr>
                <w:rFonts w:ascii="Arial" w:hAnsi="Arial" w:cs="Arial" w:eastAsia="Arial" w:hint="default"/>
                <w:spacing w:val="-12"/>
                <w:sz w:val="24"/>
                <w:szCs w:val="24"/>
              </w:rPr>
              <w:t> </w:t>
            </w:r>
            <w:r>
              <w:rPr>
                <w:rFonts w:ascii="宋体" w:hAnsi="宋体" w:cs="宋体" w:eastAsia="宋体" w:hint="default"/>
                <w:sz w:val="24"/>
                <w:szCs w:val="24"/>
              </w:rPr>
              <w:t>日，经江苏省人民政府苏政复</w:t>
            </w:r>
            <w:r>
              <w:rPr>
                <w:rFonts w:ascii="Arial" w:hAnsi="Arial" w:cs="Arial" w:eastAsia="Arial" w:hint="default"/>
                <w:sz w:val="24"/>
                <w:szCs w:val="24"/>
              </w:rPr>
              <w:t>[2001]109</w:t>
            </w:r>
            <w:r>
              <w:rPr>
                <w:rFonts w:ascii="Arial" w:hAnsi="Arial" w:cs="Arial" w:eastAsia="Arial" w:hint="default"/>
                <w:spacing w:val="-11"/>
                <w:sz w:val="24"/>
                <w:szCs w:val="24"/>
              </w:rPr>
              <w:t> </w:t>
            </w:r>
            <w:r>
              <w:rPr>
                <w:rFonts w:ascii="宋体" w:hAnsi="宋体" w:cs="宋体" w:eastAsia="宋体" w:hint="default"/>
                <w:sz w:val="24"/>
                <w:szCs w:val="24"/>
              </w:rPr>
              <w:t>号</w:t>
            </w:r>
          </w:p>
          <w:p>
            <w:pPr>
              <w:pStyle w:val="TableParagraph"/>
              <w:spacing w:line="312" w:lineRule="exact"/>
              <w:ind w:left="239" w:right="0"/>
              <w:jc w:val="left"/>
              <w:rPr>
                <w:rFonts w:ascii="宋体" w:hAnsi="宋体" w:cs="宋体" w:eastAsia="宋体" w:hint="default"/>
                <w:sz w:val="24"/>
                <w:szCs w:val="24"/>
              </w:rPr>
            </w:pPr>
            <w:r>
              <w:rPr>
                <w:rFonts w:ascii="宋体" w:hAnsi="宋体" w:cs="宋体" w:eastAsia="宋体" w:hint="default"/>
                <w:spacing w:val="-4"/>
                <w:sz w:val="24"/>
                <w:szCs w:val="24"/>
              </w:rPr>
              <w:t>文批准，以苏宁交家电</w:t>
            </w:r>
            <w:r>
              <w:rPr>
                <w:rFonts w:ascii="Arial" w:hAnsi="Arial" w:cs="Arial" w:eastAsia="Arial" w:hint="default"/>
                <w:spacing w:val="-4"/>
                <w:sz w:val="24"/>
                <w:szCs w:val="24"/>
              </w:rPr>
              <w:t>(</w:t>
            </w:r>
            <w:r>
              <w:rPr>
                <w:rFonts w:ascii="宋体" w:hAnsi="宋体" w:cs="宋体" w:eastAsia="宋体" w:hint="default"/>
                <w:spacing w:val="-4"/>
                <w:sz w:val="24"/>
                <w:szCs w:val="24"/>
              </w:rPr>
              <w:t>集团</w:t>
            </w:r>
            <w:r>
              <w:rPr>
                <w:rFonts w:ascii="Arial" w:hAnsi="Arial" w:cs="Arial" w:eastAsia="Arial" w:hint="default"/>
                <w:spacing w:val="-4"/>
                <w:sz w:val="24"/>
                <w:szCs w:val="24"/>
              </w:rPr>
              <w:t>)</w:t>
            </w:r>
            <w:r>
              <w:rPr>
                <w:rFonts w:ascii="宋体" w:hAnsi="宋体" w:cs="宋体" w:eastAsia="宋体" w:hint="default"/>
                <w:spacing w:val="-4"/>
                <w:sz w:val="24"/>
                <w:szCs w:val="24"/>
              </w:rPr>
              <w:t>有限公司于</w:t>
            </w:r>
            <w:r>
              <w:rPr>
                <w:rFonts w:ascii="宋体" w:hAnsi="宋体" w:cs="宋体" w:eastAsia="宋体" w:hint="default"/>
                <w:spacing w:val="-61"/>
                <w:sz w:val="24"/>
                <w:szCs w:val="24"/>
              </w:rPr>
              <w:t> </w:t>
            </w:r>
            <w:r>
              <w:rPr>
                <w:rFonts w:ascii="Arial" w:hAnsi="Arial" w:cs="Arial" w:eastAsia="Arial" w:hint="default"/>
                <w:sz w:val="24"/>
                <w:szCs w:val="24"/>
              </w:rPr>
              <w:t>2000</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日的净资产整体变</w:t>
            </w:r>
          </w:p>
          <w:p>
            <w:pPr>
              <w:pStyle w:val="TableParagraph"/>
              <w:spacing w:line="312" w:lineRule="exact"/>
              <w:ind w:left="239" w:right="0"/>
              <w:jc w:val="left"/>
              <w:rPr>
                <w:rFonts w:ascii="宋体" w:hAnsi="宋体" w:cs="宋体" w:eastAsia="宋体" w:hint="default"/>
                <w:sz w:val="24"/>
                <w:szCs w:val="24"/>
              </w:rPr>
            </w:pPr>
            <w:r>
              <w:rPr>
                <w:rFonts w:ascii="宋体" w:hAnsi="宋体" w:cs="宋体" w:eastAsia="宋体" w:hint="default"/>
                <w:sz w:val="24"/>
                <w:szCs w:val="24"/>
              </w:rPr>
              <w:t>更为苏宁电器连锁集团股份有限公司，股本总额为人民币</w:t>
            </w:r>
            <w:r>
              <w:rPr>
                <w:rFonts w:ascii="宋体" w:hAnsi="宋体" w:cs="宋体" w:eastAsia="宋体" w:hint="default"/>
                <w:spacing w:val="-74"/>
                <w:sz w:val="24"/>
                <w:szCs w:val="24"/>
              </w:rPr>
              <w:t> </w:t>
            </w:r>
            <w:r>
              <w:rPr>
                <w:rFonts w:ascii="Arial" w:hAnsi="Arial" w:cs="Arial" w:eastAsia="Arial" w:hint="default"/>
                <w:sz w:val="24"/>
                <w:szCs w:val="24"/>
              </w:rPr>
              <w:t>68,160,000</w:t>
            </w:r>
            <w:r>
              <w:rPr>
                <w:rFonts w:ascii="Arial" w:hAnsi="Arial" w:cs="Arial" w:eastAsia="Arial" w:hint="default"/>
                <w:spacing w:val="-19"/>
                <w:sz w:val="24"/>
                <w:szCs w:val="24"/>
              </w:rPr>
              <w:t> </w:t>
            </w:r>
            <w:r>
              <w:rPr>
                <w:rFonts w:ascii="宋体" w:hAnsi="宋体" w:cs="宋体" w:eastAsia="宋体" w:hint="default"/>
                <w:spacing w:val="-8"/>
                <w:sz w:val="24"/>
                <w:szCs w:val="24"/>
              </w:rPr>
              <w:t>元，于</w:t>
            </w:r>
          </w:p>
          <w:p>
            <w:pPr>
              <w:pStyle w:val="TableParagraph"/>
              <w:spacing w:line="311" w:lineRule="exact"/>
              <w:ind w:left="239" w:right="0"/>
              <w:jc w:val="left"/>
              <w:rPr>
                <w:rFonts w:ascii="宋体" w:hAnsi="宋体" w:cs="宋体" w:eastAsia="宋体" w:hint="default"/>
                <w:sz w:val="24"/>
                <w:szCs w:val="24"/>
              </w:rPr>
            </w:pPr>
            <w:r>
              <w:rPr>
                <w:rFonts w:ascii="Arial" w:hAnsi="Arial" w:cs="Arial" w:eastAsia="Arial" w:hint="default"/>
                <w:sz w:val="24"/>
                <w:szCs w:val="24"/>
              </w:rPr>
              <w:t>2001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6</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Arial" w:hAnsi="Arial" w:cs="Arial" w:eastAsia="Arial" w:hint="default"/>
                <w:sz w:val="24"/>
                <w:szCs w:val="24"/>
              </w:rPr>
              <w:t>29</w:t>
            </w:r>
            <w:r>
              <w:rPr>
                <w:rFonts w:ascii="Arial" w:hAnsi="Arial" w:cs="Arial" w:eastAsia="Arial" w:hint="default"/>
                <w:spacing w:val="7"/>
                <w:sz w:val="24"/>
                <w:szCs w:val="24"/>
              </w:rPr>
              <w:t> </w:t>
            </w:r>
            <w:r>
              <w:rPr>
                <w:rFonts w:ascii="宋体" w:hAnsi="宋体" w:cs="宋体" w:eastAsia="宋体" w:hint="default"/>
                <w:sz w:val="24"/>
                <w:szCs w:val="24"/>
              </w:rPr>
              <w:t>日领取营业执照。此后，根据</w:t>
            </w:r>
            <w:r>
              <w:rPr>
                <w:rFonts w:ascii="宋体" w:hAnsi="宋体" w:cs="宋体" w:eastAsia="宋体" w:hint="default"/>
                <w:spacing w:val="-47"/>
                <w:sz w:val="24"/>
                <w:szCs w:val="24"/>
              </w:rPr>
              <w:t> </w:t>
            </w:r>
            <w:r>
              <w:rPr>
                <w:rFonts w:ascii="Arial" w:hAnsi="Arial" w:cs="Arial" w:eastAsia="Arial" w:hint="default"/>
                <w:sz w:val="24"/>
                <w:szCs w:val="24"/>
              </w:rPr>
              <w:t>2005</w:t>
            </w:r>
            <w:r>
              <w:rPr>
                <w:rFonts w:ascii="Arial" w:hAnsi="Arial" w:cs="Arial" w:eastAsia="Arial" w:hint="default"/>
                <w:spacing w:val="7"/>
                <w:sz w:val="24"/>
                <w:szCs w:val="24"/>
              </w:rPr>
              <w:t> </w:t>
            </w:r>
            <w:r>
              <w:rPr>
                <w:rFonts w:ascii="宋体" w:hAnsi="宋体" w:cs="宋体" w:eastAsia="宋体" w:hint="default"/>
                <w:sz w:val="24"/>
                <w:szCs w:val="24"/>
              </w:rPr>
              <w:t>年第二次临时股东大会</w:t>
            </w:r>
          </w:p>
          <w:p>
            <w:pPr>
              <w:pStyle w:val="TableParagraph"/>
              <w:spacing w:line="311" w:lineRule="exact"/>
              <w:ind w:left="239" w:right="0"/>
              <w:jc w:val="left"/>
              <w:rPr>
                <w:rFonts w:ascii="宋体" w:hAnsi="宋体" w:cs="宋体" w:eastAsia="宋体" w:hint="default"/>
                <w:sz w:val="24"/>
                <w:szCs w:val="24"/>
              </w:rPr>
            </w:pPr>
            <w:r>
              <w:rPr>
                <w:rFonts w:ascii="宋体" w:hAnsi="宋体" w:cs="宋体" w:eastAsia="宋体" w:hint="default"/>
                <w:sz w:val="24"/>
                <w:szCs w:val="24"/>
              </w:rPr>
              <w:t>决议，本公司更名为苏宁电器股份有限公司。根据</w:t>
            </w:r>
            <w:r>
              <w:rPr>
                <w:rFonts w:ascii="宋体" w:hAnsi="宋体" w:cs="宋体" w:eastAsia="宋体" w:hint="default"/>
                <w:spacing w:val="-65"/>
                <w:sz w:val="24"/>
                <w:szCs w:val="24"/>
              </w:rPr>
              <w:t> </w:t>
            </w: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3</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z w:val="24"/>
                <w:szCs w:val="24"/>
              </w:rPr>
              <w:t>13</w:t>
            </w:r>
            <w:r>
              <w:rPr>
                <w:rFonts w:ascii="Arial" w:hAnsi="Arial" w:cs="Arial" w:eastAsia="Arial" w:hint="default"/>
                <w:spacing w:val="-13"/>
                <w:sz w:val="24"/>
                <w:szCs w:val="24"/>
              </w:rPr>
              <w:t> </w:t>
            </w:r>
            <w:r>
              <w:rPr>
                <w:rFonts w:ascii="宋体" w:hAnsi="宋体" w:cs="宋体" w:eastAsia="宋体" w:hint="default"/>
                <w:sz w:val="24"/>
                <w:szCs w:val="24"/>
              </w:rPr>
              <w:t>日召开的</w:t>
            </w:r>
          </w:p>
          <w:p>
            <w:pPr>
              <w:pStyle w:val="TableParagraph"/>
              <w:spacing w:line="312" w:lineRule="exact"/>
              <w:ind w:left="239" w:right="0"/>
              <w:jc w:val="left"/>
              <w:rPr>
                <w:rFonts w:ascii="宋体" w:hAnsi="宋体" w:cs="宋体" w:eastAsia="宋体" w:hint="default"/>
                <w:sz w:val="24"/>
                <w:szCs w:val="24"/>
              </w:rPr>
            </w:pPr>
            <w:r>
              <w:rPr>
                <w:rFonts w:ascii="Arial" w:hAnsi="Arial" w:cs="Arial" w:eastAsia="Arial" w:hint="default"/>
                <w:sz w:val="24"/>
                <w:szCs w:val="24"/>
              </w:rPr>
              <w:t>2013 </w:t>
            </w:r>
            <w:r>
              <w:rPr>
                <w:rFonts w:ascii="Arial" w:hAnsi="Arial" w:cs="Arial" w:eastAsia="Arial" w:hint="default"/>
                <w:spacing w:val="13"/>
                <w:sz w:val="24"/>
                <w:szCs w:val="24"/>
              </w:rPr>
              <w:t> </w:t>
            </w:r>
            <w:r>
              <w:rPr>
                <w:rFonts w:ascii="宋体" w:hAnsi="宋体" w:cs="宋体" w:eastAsia="宋体" w:hint="default"/>
                <w:spacing w:val="3"/>
                <w:sz w:val="24"/>
                <w:szCs w:val="24"/>
              </w:rPr>
              <w:t>年第一次临时股东大会决议，本公司更名为苏宁云商集团股份有限公</w:t>
            </w:r>
          </w:p>
          <w:p>
            <w:pPr>
              <w:pStyle w:val="TableParagraph"/>
              <w:spacing w:line="322" w:lineRule="exact"/>
              <w:ind w:left="239" w:right="0"/>
              <w:jc w:val="left"/>
              <w:rPr>
                <w:rFonts w:ascii="宋体" w:hAnsi="宋体" w:cs="宋体" w:eastAsia="宋体" w:hint="default"/>
                <w:sz w:val="24"/>
                <w:szCs w:val="24"/>
              </w:rPr>
            </w:pPr>
            <w:r>
              <w:rPr>
                <w:rFonts w:ascii="宋体" w:hAnsi="宋体" w:cs="宋体" w:eastAsia="宋体" w:hint="default"/>
                <w:sz w:val="24"/>
                <w:szCs w:val="24"/>
              </w:rPr>
              <w:t>司，并于</w:t>
            </w:r>
            <w:r>
              <w:rPr>
                <w:rFonts w:ascii="宋体" w:hAnsi="宋体" w:cs="宋体" w:eastAsia="宋体" w:hint="default"/>
                <w:spacing w:val="-61"/>
                <w:sz w:val="24"/>
                <w:szCs w:val="24"/>
              </w:rPr>
              <w:t> </w:t>
            </w:r>
            <w:r>
              <w:rPr>
                <w:rFonts w:ascii="Arial" w:hAnsi="Arial" w:cs="Arial" w:eastAsia="Arial" w:hint="default"/>
                <w:sz w:val="24"/>
                <w:szCs w:val="24"/>
              </w:rPr>
              <w:t>2013</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20</w:t>
            </w:r>
            <w:r>
              <w:rPr>
                <w:rFonts w:ascii="Arial" w:hAnsi="Arial" w:cs="Arial" w:eastAsia="Arial" w:hint="default"/>
                <w:spacing w:val="-7"/>
                <w:sz w:val="24"/>
                <w:szCs w:val="24"/>
              </w:rPr>
              <w:t> </w:t>
            </w:r>
            <w:r>
              <w:rPr>
                <w:rFonts w:ascii="宋体" w:hAnsi="宋体" w:cs="宋体" w:eastAsia="宋体" w:hint="default"/>
                <w:sz w:val="24"/>
                <w:szCs w:val="24"/>
              </w:rPr>
              <w:t>日取得变更后的营业执照。</w:t>
            </w:r>
          </w:p>
        </w:tc>
      </w:tr>
      <w:tr>
        <w:trPr>
          <w:trHeight w:val="8337" w:hRule="exact"/>
        </w:trPr>
        <w:tc>
          <w:tcPr>
            <w:tcW w:w="680" w:type="dxa"/>
            <w:tcBorders>
              <w:top w:val="nil" w:sz="6" w:space="0" w:color="auto"/>
              <w:left w:val="nil" w:sz="6" w:space="0" w:color="auto"/>
              <w:bottom w:val="nil" w:sz="6" w:space="0" w:color="auto"/>
              <w:right w:val="nil" w:sz="6" w:space="0" w:color="auto"/>
            </w:tcBorders>
          </w:tcPr>
          <w:p>
            <w:pPr/>
          </w:p>
        </w:tc>
        <w:tc>
          <w:tcPr>
            <w:tcW w:w="8440" w:type="dxa"/>
            <w:tcBorders>
              <w:top w:val="nil" w:sz="6" w:space="0" w:color="auto"/>
              <w:left w:val="nil" w:sz="6" w:space="0" w:color="auto"/>
              <w:bottom w:val="nil" w:sz="6" w:space="0" w:color="auto"/>
              <w:right w:val="nil" w:sz="6" w:space="0" w:color="auto"/>
            </w:tcBorders>
          </w:tcPr>
          <w:p>
            <w:pPr>
              <w:pStyle w:val="TableParagraph"/>
              <w:spacing w:line="225" w:lineRule="auto" w:before="109"/>
              <w:ind w:left="239" w:right="198"/>
              <w:jc w:val="both"/>
              <w:rPr>
                <w:rFonts w:ascii="宋体" w:hAnsi="宋体" w:cs="宋体" w:eastAsia="宋体" w:hint="default"/>
                <w:sz w:val="24"/>
                <w:szCs w:val="24"/>
              </w:rPr>
            </w:pPr>
            <w:r>
              <w:rPr>
                <w:rFonts w:ascii="宋体" w:hAnsi="宋体" w:cs="宋体" w:eastAsia="宋体" w:hint="default"/>
                <w:spacing w:val="2"/>
                <w:sz w:val="24"/>
                <w:szCs w:val="24"/>
              </w:rPr>
              <w:t>经中国证券监督管理委员会证监发行字</w:t>
            </w:r>
            <w:r>
              <w:rPr>
                <w:rFonts w:ascii="Arial" w:hAnsi="Arial" w:cs="Arial" w:eastAsia="Arial" w:hint="default"/>
                <w:spacing w:val="2"/>
                <w:sz w:val="24"/>
                <w:szCs w:val="24"/>
              </w:rPr>
              <w:t>[2004]97 </w:t>
            </w:r>
            <w:r>
              <w:rPr>
                <w:rFonts w:ascii="宋体" w:hAnsi="宋体" w:cs="宋体" w:eastAsia="宋体" w:hint="default"/>
                <w:spacing w:val="4"/>
                <w:sz w:val="24"/>
                <w:szCs w:val="24"/>
              </w:rPr>
              <w:t>号文</w:t>
            </w:r>
            <w:r>
              <w:rPr>
                <w:rFonts w:ascii="Arial" w:hAnsi="Arial" w:cs="Arial" w:eastAsia="Arial" w:hint="default"/>
                <w:spacing w:val="4"/>
                <w:sz w:val="24"/>
                <w:szCs w:val="24"/>
              </w:rPr>
              <w:t>“</w:t>
            </w:r>
            <w:r>
              <w:rPr>
                <w:rFonts w:ascii="宋体" w:hAnsi="宋体" w:cs="宋体" w:eastAsia="宋体" w:hint="default"/>
                <w:spacing w:val="4"/>
                <w:sz w:val="24"/>
                <w:szCs w:val="24"/>
              </w:rPr>
              <w:t>关于核准苏宁电器连</w:t>
            </w:r>
            <w:r>
              <w:rPr>
                <w:rFonts w:ascii="宋体" w:hAnsi="宋体" w:cs="宋体" w:eastAsia="宋体" w:hint="default"/>
                <w:spacing w:val="-116"/>
                <w:sz w:val="24"/>
                <w:szCs w:val="24"/>
              </w:rPr>
              <w:t> </w:t>
            </w:r>
            <w:r>
              <w:rPr>
                <w:rFonts w:ascii="宋体" w:hAnsi="宋体" w:cs="宋体" w:eastAsia="宋体" w:hint="default"/>
                <w:sz w:val="24"/>
                <w:szCs w:val="24"/>
              </w:rPr>
              <w:t>锁集团股份有限公司公开发行股票的通知</w:t>
            </w:r>
            <w:r>
              <w:rPr>
                <w:rFonts w:ascii="Arial" w:hAnsi="Arial" w:cs="Arial" w:eastAsia="Arial" w:hint="default"/>
                <w:sz w:val="24"/>
                <w:szCs w:val="24"/>
              </w:rPr>
              <w:t>”</w:t>
            </w:r>
            <w:r>
              <w:rPr>
                <w:rFonts w:ascii="宋体" w:hAnsi="宋体" w:cs="宋体" w:eastAsia="宋体" w:hint="default"/>
                <w:sz w:val="24"/>
                <w:szCs w:val="24"/>
              </w:rPr>
              <w:t>批准，本公司于</w:t>
            </w:r>
            <w:r>
              <w:rPr>
                <w:rFonts w:ascii="宋体" w:hAnsi="宋体" w:cs="宋体" w:eastAsia="宋体" w:hint="default"/>
                <w:spacing w:val="-57"/>
                <w:sz w:val="24"/>
                <w:szCs w:val="24"/>
              </w:rPr>
              <w:t> </w:t>
            </w:r>
            <w:r>
              <w:rPr>
                <w:rFonts w:ascii="Arial" w:hAnsi="Arial" w:cs="Arial" w:eastAsia="Arial" w:hint="default"/>
                <w:sz w:val="24"/>
                <w:szCs w:val="24"/>
              </w:rPr>
              <w:t>2004</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7</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7</w:t>
            </w:r>
            <w:r>
              <w:rPr>
                <w:rFonts w:ascii="Arial" w:hAnsi="Arial" w:cs="Arial" w:eastAsia="Arial" w:hint="default"/>
                <w:spacing w:val="-2"/>
                <w:sz w:val="24"/>
                <w:szCs w:val="24"/>
              </w:rPr>
              <w:t> </w:t>
            </w:r>
            <w:r>
              <w:rPr>
                <w:rFonts w:ascii="宋体" w:hAnsi="宋体" w:cs="宋体" w:eastAsia="宋体" w:hint="default"/>
                <w:sz w:val="24"/>
                <w:szCs w:val="24"/>
              </w:rPr>
              <w:t>日 向境内投资者发行了</w:t>
            </w:r>
            <w:r>
              <w:rPr>
                <w:rFonts w:ascii="宋体" w:hAnsi="宋体" w:cs="宋体" w:eastAsia="宋体" w:hint="default"/>
                <w:spacing w:val="-57"/>
                <w:sz w:val="24"/>
                <w:szCs w:val="24"/>
              </w:rPr>
              <w:t> </w:t>
            </w:r>
            <w:r>
              <w:rPr>
                <w:rFonts w:ascii="Arial" w:hAnsi="Arial" w:cs="Arial" w:eastAsia="Arial" w:hint="default"/>
                <w:sz w:val="24"/>
                <w:szCs w:val="24"/>
              </w:rPr>
              <w:t>2,500</w:t>
            </w:r>
            <w:r>
              <w:rPr>
                <w:rFonts w:ascii="Arial" w:hAnsi="Arial" w:cs="Arial" w:eastAsia="Arial" w:hint="default"/>
                <w:spacing w:val="-3"/>
                <w:sz w:val="24"/>
                <w:szCs w:val="24"/>
              </w:rPr>
              <w:t> </w:t>
            </w:r>
            <w:r>
              <w:rPr>
                <w:rFonts w:ascii="宋体" w:hAnsi="宋体" w:cs="宋体" w:eastAsia="宋体" w:hint="default"/>
                <w:sz w:val="24"/>
                <w:szCs w:val="24"/>
              </w:rPr>
              <w:t>万股人民币普通股</w:t>
            </w:r>
            <w:r>
              <w:rPr>
                <w:rFonts w:ascii="Arial" w:hAnsi="Arial" w:cs="Arial" w:eastAsia="Arial" w:hint="default"/>
                <w:sz w:val="24"/>
                <w:szCs w:val="24"/>
              </w:rPr>
              <w:t>(</w:t>
            </w:r>
            <w:r>
              <w:rPr>
                <w:rFonts w:ascii="宋体" w:hAnsi="宋体" w:cs="宋体" w:eastAsia="宋体" w:hint="default"/>
                <w:sz w:val="24"/>
                <w:szCs w:val="24"/>
              </w:rPr>
              <w:t>以下称为</w:t>
            </w:r>
            <w:r>
              <w:rPr>
                <w:rFonts w:ascii="Arial" w:hAnsi="Arial" w:cs="Arial" w:eastAsia="Arial" w:hint="default"/>
                <w:sz w:val="24"/>
                <w:szCs w:val="24"/>
              </w:rPr>
              <w:t>“A</w:t>
            </w:r>
            <w:r>
              <w:rPr>
                <w:rFonts w:ascii="Arial" w:hAnsi="Arial" w:cs="Arial" w:eastAsia="Arial" w:hint="default"/>
                <w:spacing w:val="-4"/>
                <w:sz w:val="24"/>
                <w:szCs w:val="24"/>
              </w:rPr>
              <w:t> </w:t>
            </w:r>
            <w:r>
              <w:rPr>
                <w:rFonts w:ascii="宋体" w:hAnsi="宋体" w:cs="宋体" w:eastAsia="宋体" w:hint="default"/>
                <w:sz w:val="24"/>
                <w:szCs w:val="24"/>
              </w:rPr>
              <w:t>股</w:t>
            </w:r>
            <w:r>
              <w:rPr>
                <w:rFonts w:ascii="Arial" w:hAnsi="Arial" w:cs="Arial" w:eastAsia="Arial" w:hint="default"/>
                <w:sz w:val="24"/>
                <w:szCs w:val="24"/>
              </w:rPr>
              <w:t>”)</w:t>
            </w:r>
            <w:r>
              <w:rPr>
                <w:rFonts w:ascii="宋体" w:hAnsi="宋体" w:cs="宋体" w:eastAsia="宋体" w:hint="default"/>
                <w:sz w:val="24"/>
                <w:szCs w:val="24"/>
              </w:rPr>
              <w:t>，每股面值人 </w:t>
            </w:r>
            <w:r>
              <w:rPr>
                <w:rFonts w:ascii="宋体" w:hAnsi="宋体" w:cs="宋体" w:eastAsia="宋体" w:hint="default"/>
                <w:spacing w:val="9"/>
                <w:sz w:val="24"/>
                <w:szCs w:val="24"/>
              </w:rPr>
              <w:t>民币 </w:t>
            </w:r>
            <w:r>
              <w:rPr>
                <w:rFonts w:ascii="Arial" w:hAnsi="Arial" w:cs="Arial" w:eastAsia="Arial" w:hint="default"/>
                <w:sz w:val="24"/>
                <w:szCs w:val="24"/>
              </w:rPr>
              <w:t>1 </w:t>
            </w:r>
            <w:r>
              <w:rPr>
                <w:rFonts w:ascii="宋体" w:hAnsi="宋体" w:cs="宋体" w:eastAsia="宋体" w:hint="default"/>
                <w:spacing w:val="9"/>
                <w:sz w:val="24"/>
                <w:szCs w:val="24"/>
              </w:rPr>
              <w:t>元， </w:t>
            </w:r>
            <w:r>
              <w:rPr>
                <w:rFonts w:ascii="宋体" w:hAnsi="宋体" w:cs="宋体" w:eastAsia="宋体" w:hint="default"/>
                <w:spacing w:val="16"/>
                <w:sz w:val="24"/>
                <w:szCs w:val="24"/>
              </w:rPr>
              <w:t>每股发行价为人民币 </w:t>
            </w:r>
            <w:r>
              <w:rPr>
                <w:rFonts w:ascii="Arial" w:hAnsi="Arial" w:cs="Arial" w:eastAsia="Arial" w:hint="default"/>
                <w:sz w:val="24"/>
                <w:szCs w:val="24"/>
              </w:rPr>
              <w:t>16.33</w:t>
            </w:r>
            <w:r>
              <w:rPr>
                <w:rFonts w:ascii="Arial" w:hAnsi="Arial" w:cs="Arial" w:eastAsia="Arial" w:hint="default"/>
                <w:spacing w:val="-2"/>
                <w:sz w:val="24"/>
                <w:szCs w:val="24"/>
              </w:rPr>
              <w:t> </w:t>
            </w:r>
            <w:r>
              <w:rPr>
                <w:rFonts w:ascii="宋体" w:hAnsi="宋体" w:cs="宋体" w:eastAsia="宋体" w:hint="default"/>
                <w:spacing w:val="17"/>
                <w:sz w:val="24"/>
                <w:szCs w:val="24"/>
              </w:rPr>
              <w:t>元，发行后总股本增至人民币</w:t>
            </w:r>
            <w:r>
              <w:rPr>
                <w:rFonts w:ascii="宋体" w:hAnsi="宋体" w:cs="宋体" w:eastAsia="宋体" w:hint="default"/>
                <w:sz w:val="24"/>
                <w:szCs w:val="24"/>
              </w:rPr>
              <w:t> </w:t>
            </w:r>
            <w:r>
              <w:rPr>
                <w:rFonts w:ascii="Arial" w:hAnsi="Arial" w:cs="Arial" w:eastAsia="Arial" w:hint="default"/>
                <w:sz w:val="24"/>
                <w:szCs w:val="24"/>
              </w:rPr>
              <w:t>93,160,000</w:t>
            </w:r>
            <w:r>
              <w:rPr>
                <w:rFonts w:ascii="Arial" w:hAnsi="Arial" w:cs="Arial" w:eastAsia="Arial" w:hint="default"/>
                <w:spacing w:val="6"/>
                <w:sz w:val="24"/>
                <w:szCs w:val="24"/>
              </w:rPr>
              <w:t> </w:t>
            </w:r>
            <w:r>
              <w:rPr>
                <w:rFonts w:ascii="宋体" w:hAnsi="宋体" w:cs="宋体" w:eastAsia="宋体" w:hint="default"/>
                <w:sz w:val="24"/>
                <w:szCs w:val="24"/>
              </w:rPr>
              <w:t>元，本公司发行的</w:t>
            </w:r>
            <w:r>
              <w:rPr>
                <w:rFonts w:ascii="宋体" w:hAnsi="宋体" w:cs="宋体" w:eastAsia="宋体" w:hint="default"/>
                <w:spacing w:val="-49"/>
                <w:sz w:val="24"/>
                <w:szCs w:val="24"/>
              </w:rPr>
              <w:t> </w:t>
            </w:r>
            <w:r>
              <w:rPr>
                <w:rFonts w:ascii="Arial" w:hAnsi="Arial" w:cs="Arial" w:eastAsia="Arial" w:hint="default"/>
                <w:sz w:val="24"/>
                <w:szCs w:val="24"/>
              </w:rPr>
              <w:t>A</w:t>
            </w:r>
            <w:r>
              <w:rPr>
                <w:rFonts w:ascii="Arial" w:hAnsi="Arial" w:cs="Arial" w:eastAsia="Arial" w:hint="default"/>
                <w:spacing w:val="5"/>
                <w:sz w:val="24"/>
                <w:szCs w:val="24"/>
              </w:rPr>
              <w:t> </w:t>
            </w:r>
            <w:r>
              <w:rPr>
                <w:rFonts w:ascii="宋体" w:hAnsi="宋体" w:cs="宋体" w:eastAsia="宋体" w:hint="default"/>
                <w:sz w:val="24"/>
                <w:szCs w:val="24"/>
              </w:rPr>
              <w:t>股于</w:t>
            </w:r>
            <w:r>
              <w:rPr>
                <w:rFonts w:ascii="宋体" w:hAnsi="宋体" w:cs="宋体" w:eastAsia="宋体" w:hint="default"/>
                <w:spacing w:val="-49"/>
                <w:sz w:val="24"/>
                <w:szCs w:val="24"/>
              </w:rPr>
              <w:t> </w:t>
            </w:r>
            <w:r>
              <w:rPr>
                <w:rFonts w:ascii="Arial" w:hAnsi="Arial" w:cs="Arial" w:eastAsia="Arial" w:hint="default"/>
                <w:sz w:val="24"/>
                <w:szCs w:val="24"/>
              </w:rPr>
              <w:t>2004</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sz w:val="24"/>
                <w:szCs w:val="24"/>
              </w:rPr>
              <w:t>7</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49"/>
                <w:sz w:val="24"/>
                <w:szCs w:val="24"/>
              </w:rPr>
              <w:t> </w:t>
            </w:r>
            <w:r>
              <w:rPr>
                <w:rFonts w:ascii="Arial" w:hAnsi="Arial" w:cs="Arial" w:eastAsia="Arial" w:hint="default"/>
                <w:sz w:val="24"/>
                <w:szCs w:val="24"/>
              </w:rPr>
              <w:t>21</w:t>
            </w:r>
            <w:r>
              <w:rPr>
                <w:rFonts w:ascii="Arial" w:hAnsi="Arial" w:cs="Arial" w:eastAsia="Arial" w:hint="default"/>
                <w:spacing w:val="5"/>
                <w:sz w:val="24"/>
                <w:szCs w:val="24"/>
              </w:rPr>
              <w:t> </w:t>
            </w:r>
            <w:r>
              <w:rPr>
                <w:rFonts w:ascii="宋体" w:hAnsi="宋体" w:cs="宋体" w:eastAsia="宋体" w:hint="default"/>
                <w:sz w:val="24"/>
                <w:szCs w:val="24"/>
              </w:rPr>
              <w:t>日在深圳证券交易所 中小企业板块挂牌上市交易。</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57"/>
                <w:sz w:val="24"/>
                <w:szCs w:val="24"/>
              </w:rPr>
              <w:t> </w:t>
            </w:r>
            <w:r>
              <w:rPr>
                <w:rFonts w:ascii="Arial" w:hAnsi="Arial" w:cs="Arial" w:eastAsia="Arial" w:hint="default"/>
                <w:sz w:val="24"/>
                <w:szCs w:val="24"/>
              </w:rPr>
              <w:t>2005</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Arial" w:hAnsi="Arial" w:cs="Arial" w:eastAsia="Arial" w:hint="default"/>
                <w:sz w:val="24"/>
                <w:szCs w:val="24"/>
              </w:rPr>
              <w:t>5</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22</w:t>
            </w:r>
            <w:r>
              <w:rPr>
                <w:rFonts w:ascii="Arial" w:hAnsi="Arial" w:cs="Arial" w:eastAsia="Arial" w:hint="default"/>
                <w:spacing w:val="-2"/>
                <w:sz w:val="24"/>
                <w:szCs w:val="24"/>
              </w:rPr>
              <w:t> </w:t>
            </w:r>
            <w:r>
              <w:rPr>
                <w:rFonts w:ascii="宋体" w:hAnsi="宋体" w:cs="宋体" w:eastAsia="宋体" w:hint="default"/>
                <w:sz w:val="24"/>
                <w:szCs w:val="24"/>
              </w:rPr>
              <w:t>日召开的</w:t>
            </w:r>
            <w:r>
              <w:rPr>
                <w:rFonts w:ascii="宋体" w:hAnsi="宋体" w:cs="宋体" w:eastAsia="宋体" w:hint="default"/>
                <w:spacing w:val="-57"/>
                <w:sz w:val="24"/>
                <w:szCs w:val="24"/>
              </w:rPr>
              <w:t> </w:t>
            </w:r>
            <w:r>
              <w:rPr>
                <w:rFonts w:ascii="Arial" w:hAnsi="Arial" w:cs="Arial" w:eastAsia="Arial" w:hint="default"/>
                <w:sz w:val="24"/>
                <w:szCs w:val="24"/>
              </w:rPr>
              <w:t>2004</w:t>
            </w:r>
            <w:r>
              <w:rPr>
                <w:rFonts w:ascii="Arial" w:hAnsi="Arial" w:cs="Arial" w:eastAsia="Arial" w:hint="default"/>
                <w:spacing w:val="-2"/>
                <w:sz w:val="24"/>
                <w:szCs w:val="24"/>
              </w:rPr>
              <w:t> </w:t>
            </w:r>
            <w:r>
              <w:rPr>
                <w:rFonts w:ascii="宋体" w:hAnsi="宋体" w:cs="宋体" w:eastAsia="宋体" w:hint="default"/>
                <w:sz w:val="24"/>
                <w:szCs w:val="24"/>
              </w:rPr>
              <w:t>年年度股东大会通过，本公司以资本公</w:t>
            </w:r>
          </w:p>
          <w:p>
            <w:pPr>
              <w:pStyle w:val="TableParagraph"/>
              <w:spacing w:line="312" w:lineRule="exact"/>
              <w:ind w:left="239" w:right="0"/>
              <w:jc w:val="both"/>
              <w:rPr>
                <w:rFonts w:ascii="宋体" w:hAnsi="宋体" w:cs="宋体" w:eastAsia="宋体" w:hint="default"/>
                <w:sz w:val="24"/>
                <w:szCs w:val="24"/>
              </w:rPr>
            </w:pPr>
            <w:r>
              <w:rPr>
                <w:rFonts w:ascii="宋体" w:hAnsi="宋体" w:cs="宋体" w:eastAsia="宋体" w:hint="default"/>
                <w:sz w:val="24"/>
                <w:szCs w:val="24"/>
              </w:rPr>
              <w:t>积转增股本人民币 </w:t>
            </w:r>
            <w:r>
              <w:rPr>
                <w:rFonts w:ascii="Arial" w:hAnsi="Arial" w:cs="Arial" w:eastAsia="Arial" w:hint="default"/>
                <w:sz w:val="24"/>
                <w:szCs w:val="24"/>
              </w:rPr>
              <w:t>93,160,000 </w:t>
            </w:r>
            <w:r>
              <w:rPr>
                <w:rFonts w:ascii="Arial" w:hAnsi="Arial" w:cs="Arial" w:eastAsia="Arial" w:hint="default"/>
                <w:spacing w:val="42"/>
                <w:sz w:val="24"/>
                <w:szCs w:val="24"/>
              </w:rPr>
              <w:t> </w:t>
            </w:r>
            <w:r>
              <w:rPr>
                <w:rFonts w:ascii="宋体" w:hAnsi="宋体" w:cs="宋体" w:eastAsia="宋体" w:hint="default"/>
                <w:sz w:val="24"/>
                <w:szCs w:val="24"/>
              </w:rPr>
              <w:t>元。经此次转增后，股本总额变更为人民币</w:t>
            </w:r>
          </w:p>
          <w:p>
            <w:pPr>
              <w:pStyle w:val="TableParagraph"/>
              <w:spacing w:line="322" w:lineRule="exact"/>
              <w:ind w:left="239" w:right="0"/>
              <w:jc w:val="both"/>
              <w:rPr>
                <w:rFonts w:ascii="宋体" w:hAnsi="宋体" w:cs="宋体" w:eastAsia="宋体" w:hint="default"/>
                <w:sz w:val="24"/>
                <w:szCs w:val="24"/>
              </w:rPr>
            </w:pPr>
            <w:r>
              <w:rPr>
                <w:rFonts w:ascii="Arial" w:hAnsi="Arial" w:cs="Arial" w:eastAsia="Arial" w:hint="default"/>
                <w:sz w:val="24"/>
                <w:szCs w:val="24"/>
              </w:rPr>
              <w:t>186,320,000</w:t>
            </w:r>
            <w:r>
              <w:rPr>
                <w:rFonts w:ascii="Arial" w:hAnsi="Arial" w:cs="Arial" w:eastAsia="Arial" w:hint="default"/>
                <w:spacing w:val="-10"/>
                <w:sz w:val="24"/>
                <w:szCs w:val="24"/>
              </w:rPr>
              <w:t> </w:t>
            </w:r>
            <w:r>
              <w:rPr>
                <w:rFonts w:ascii="宋体" w:hAnsi="宋体" w:cs="宋体" w:eastAsia="宋体" w:hint="default"/>
                <w:sz w:val="24"/>
                <w:szCs w:val="24"/>
              </w:rPr>
              <w:t>元。</w:t>
            </w: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57"/>
                <w:sz w:val="24"/>
                <w:szCs w:val="24"/>
              </w:rPr>
              <w:t> </w:t>
            </w:r>
            <w:r>
              <w:rPr>
                <w:rFonts w:ascii="Arial" w:hAnsi="Arial" w:cs="Arial" w:eastAsia="Arial" w:hint="default"/>
                <w:sz w:val="24"/>
                <w:szCs w:val="24"/>
              </w:rPr>
              <w:t>2005</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Arial" w:hAnsi="Arial" w:cs="Arial" w:eastAsia="Arial" w:hint="default"/>
                <w:sz w:val="24"/>
                <w:szCs w:val="24"/>
              </w:rPr>
              <w:t>9</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29</w:t>
            </w:r>
            <w:r>
              <w:rPr>
                <w:rFonts w:ascii="Arial" w:hAnsi="Arial" w:cs="Arial" w:eastAsia="Arial" w:hint="default"/>
                <w:spacing w:val="-2"/>
                <w:sz w:val="24"/>
                <w:szCs w:val="24"/>
              </w:rPr>
              <w:t> </w:t>
            </w:r>
            <w:r>
              <w:rPr>
                <w:rFonts w:ascii="宋体" w:hAnsi="宋体" w:cs="宋体" w:eastAsia="宋体" w:hint="default"/>
                <w:sz w:val="24"/>
                <w:szCs w:val="24"/>
              </w:rPr>
              <w:t>日召开的</w:t>
            </w:r>
            <w:r>
              <w:rPr>
                <w:rFonts w:ascii="宋体" w:hAnsi="宋体" w:cs="宋体" w:eastAsia="宋体" w:hint="default"/>
                <w:spacing w:val="-57"/>
                <w:sz w:val="24"/>
                <w:szCs w:val="24"/>
              </w:rPr>
              <w:t> </w:t>
            </w:r>
            <w:r>
              <w:rPr>
                <w:rFonts w:ascii="Arial" w:hAnsi="Arial" w:cs="Arial" w:eastAsia="Arial" w:hint="default"/>
                <w:sz w:val="24"/>
                <w:szCs w:val="24"/>
              </w:rPr>
              <w:t>2005</w:t>
            </w:r>
            <w:r>
              <w:rPr>
                <w:rFonts w:ascii="Arial" w:hAnsi="Arial" w:cs="Arial" w:eastAsia="Arial" w:hint="default"/>
                <w:spacing w:val="-2"/>
                <w:sz w:val="24"/>
                <w:szCs w:val="24"/>
              </w:rPr>
              <w:t> </w:t>
            </w:r>
            <w:r>
              <w:rPr>
                <w:rFonts w:ascii="宋体" w:hAnsi="宋体" w:cs="宋体" w:eastAsia="宋体" w:hint="default"/>
                <w:sz w:val="24"/>
                <w:szCs w:val="24"/>
              </w:rPr>
              <w:t>年第二次临时股东大会决议通过，本公</w:t>
            </w:r>
          </w:p>
          <w:p>
            <w:pPr>
              <w:pStyle w:val="TableParagraph"/>
              <w:spacing w:line="312" w:lineRule="exact"/>
              <w:ind w:left="239" w:right="0"/>
              <w:jc w:val="both"/>
              <w:rPr>
                <w:rFonts w:ascii="宋体" w:hAnsi="宋体" w:cs="宋体" w:eastAsia="宋体" w:hint="default"/>
                <w:sz w:val="24"/>
                <w:szCs w:val="24"/>
              </w:rPr>
            </w:pPr>
            <w:r>
              <w:rPr>
                <w:rFonts w:ascii="宋体" w:hAnsi="宋体" w:cs="宋体" w:eastAsia="宋体" w:hint="default"/>
                <w:sz w:val="24"/>
                <w:szCs w:val="24"/>
              </w:rPr>
              <w:t>司以资本公积转增股本人民币 </w:t>
            </w:r>
            <w:r>
              <w:rPr>
                <w:rFonts w:ascii="Arial" w:hAnsi="Arial" w:cs="Arial" w:eastAsia="Arial" w:hint="default"/>
                <w:sz w:val="24"/>
                <w:szCs w:val="24"/>
              </w:rPr>
              <w:t>149,056,000</w:t>
            </w:r>
            <w:r>
              <w:rPr>
                <w:rFonts w:ascii="Arial" w:hAnsi="Arial" w:cs="Arial" w:eastAsia="Arial" w:hint="default"/>
                <w:spacing w:val="-13"/>
                <w:sz w:val="24"/>
                <w:szCs w:val="24"/>
              </w:rPr>
              <w:t> </w:t>
            </w:r>
            <w:r>
              <w:rPr>
                <w:rFonts w:ascii="宋体" w:hAnsi="宋体" w:cs="宋体" w:eastAsia="宋体" w:hint="default"/>
                <w:sz w:val="24"/>
                <w:szCs w:val="24"/>
              </w:rPr>
              <w:t>元。经此次转增后，股本总额变</w:t>
            </w: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更为人民币</w:t>
            </w:r>
            <w:r>
              <w:rPr>
                <w:rFonts w:ascii="宋体" w:hAnsi="宋体" w:cs="宋体" w:eastAsia="宋体" w:hint="default"/>
                <w:spacing w:val="-63"/>
                <w:sz w:val="24"/>
                <w:szCs w:val="24"/>
              </w:rPr>
              <w:t> </w:t>
            </w:r>
            <w:r>
              <w:rPr>
                <w:rFonts w:ascii="Arial" w:hAnsi="Arial" w:cs="Arial" w:eastAsia="Arial" w:hint="default"/>
                <w:sz w:val="24"/>
                <w:szCs w:val="24"/>
              </w:rPr>
              <w:t>335,376,000</w:t>
            </w:r>
            <w:r>
              <w:rPr>
                <w:rFonts w:ascii="Arial" w:hAnsi="Arial" w:cs="Arial" w:eastAsia="Arial" w:hint="default"/>
                <w:spacing w:val="-7"/>
                <w:sz w:val="24"/>
                <w:szCs w:val="24"/>
              </w:rPr>
              <w:t> </w:t>
            </w:r>
            <w:r>
              <w:rPr>
                <w:rFonts w:ascii="宋体" w:hAnsi="宋体" w:cs="宋体" w:eastAsia="宋体" w:hint="default"/>
                <w:sz w:val="24"/>
                <w:szCs w:val="24"/>
              </w:rPr>
              <w:t>元。</w:t>
            </w: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25" w:lineRule="auto"/>
              <w:ind w:left="239" w:right="198"/>
              <w:jc w:val="both"/>
              <w:rPr>
                <w:rFonts w:ascii="宋体" w:hAnsi="宋体" w:cs="宋体" w:eastAsia="宋体" w:hint="default"/>
                <w:sz w:val="24"/>
                <w:szCs w:val="24"/>
              </w:rPr>
            </w:pPr>
            <w:r>
              <w:rPr>
                <w:rFonts w:ascii="宋体" w:hAnsi="宋体" w:cs="宋体" w:eastAsia="宋体" w:hint="default"/>
                <w:spacing w:val="2"/>
                <w:sz w:val="24"/>
                <w:szCs w:val="24"/>
              </w:rPr>
              <w:t>经中国证券监督管理委员会证监发行字</w:t>
            </w:r>
            <w:r>
              <w:rPr>
                <w:rFonts w:ascii="Arial" w:hAnsi="Arial" w:cs="Arial" w:eastAsia="Arial" w:hint="default"/>
                <w:spacing w:val="2"/>
                <w:sz w:val="24"/>
                <w:szCs w:val="24"/>
              </w:rPr>
              <w:t>[2006]21 </w:t>
            </w:r>
            <w:r>
              <w:rPr>
                <w:rFonts w:ascii="宋体" w:hAnsi="宋体" w:cs="宋体" w:eastAsia="宋体" w:hint="default"/>
                <w:spacing w:val="4"/>
                <w:sz w:val="24"/>
                <w:szCs w:val="24"/>
              </w:rPr>
              <w:t>号文</w:t>
            </w:r>
            <w:r>
              <w:rPr>
                <w:rFonts w:ascii="Arial" w:hAnsi="Arial" w:cs="Arial" w:eastAsia="Arial" w:hint="default"/>
                <w:spacing w:val="4"/>
                <w:sz w:val="24"/>
                <w:szCs w:val="24"/>
              </w:rPr>
              <w:t>“</w:t>
            </w:r>
            <w:r>
              <w:rPr>
                <w:rFonts w:ascii="宋体" w:hAnsi="宋体" w:cs="宋体" w:eastAsia="宋体" w:hint="default"/>
                <w:spacing w:val="4"/>
                <w:sz w:val="24"/>
                <w:szCs w:val="24"/>
              </w:rPr>
              <w:t>关于核准苏宁电器股</w:t>
            </w:r>
            <w:r>
              <w:rPr>
                <w:rFonts w:ascii="宋体" w:hAnsi="宋体" w:cs="宋体" w:eastAsia="宋体" w:hint="default"/>
                <w:spacing w:val="-116"/>
                <w:sz w:val="24"/>
                <w:szCs w:val="24"/>
              </w:rPr>
              <w:t> </w:t>
            </w:r>
            <w:r>
              <w:rPr>
                <w:rFonts w:ascii="宋体" w:hAnsi="宋体" w:cs="宋体" w:eastAsia="宋体" w:hint="default"/>
                <w:spacing w:val="-5"/>
                <w:sz w:val="24"/>
                <w:szCs w:val="24"/>
              </w:rPr>
              <w:t>份有限公司非公开发行股票的通知</w:t>
            </w:r>
            <w:r>
              <w:rPr>
                <w:rFonts w:ascii="Arial" w:hAnsi="Arial" w:cs="Arial" w:eastAsia="Arial" w:hint="default"/>
                <w:spacing w:val="-5"/>
                <w:sz w:val="24"/>
                <w:szCs w:val="24"/>
              </w:rPr>
              <w:t>”</w:t>
            </w:r>
            <w:r>
              <w:rPr>
                <w:rFonts w:ascii="宋体" w:hAnsi="宋体" w:cs="宋体" w:eastAsia="宋体" w:hint="default"/>
                <w:spacing w:val="-5"/>
                <w:sz w:val="24"/>
                <w:szCs w:val="24"/>
              </w:rPr>
              <w:t>批准，本公司于</w:t>
            </w:r>
            <w:r>
              <w:rPr>
                <w:rFonts w:ascii="宋体" w:hAnsi="宋体" w:cs="宋体" w:eastAsia="宋体" w:hint="default"/>
                <w:spacing w:val="-58"/>
                <w:sz w:val="24"/>
                <w:szCs w:val="24"/>
              </w:rPr>
              <w:t> </w:t>
            </w:r>
            <w:r>
              <w:rPr>
                <w:rFonts w:ascii="Arial" w:hAnsi="Arial" w:cs="Arial" w:eastAsia="Arial" w:hint="default"/>
                <w:spacing w:val="-1"/>
                <w:w w:val="99"/>
                <w:sz w:val="24"/>
                <w:szCs w:val="24"/>
              </w:rPr>
              <w:t>2006</w:t>
            </w:r>
            <w:r>
              <w:rPr>
                <w:rFonts w:ascii="Arial" w:hAnsi="Arial" w:cs="Arial" w:eastAsia="Arial" w:hint="default"/>
                <w:spacing w:val="-4"/>
                <w:w w:val="99"/>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w w:val="99"/>
                <w:sz w:val="24"/>
                <w:szCs w:val="24"/>
              </w:rPr>
              <w:t>6</w:t>
            </w:r>
            <w:r>
              <w:rPr>
                <w:rFonts w:ascii="Arial" w:hAnsi="Arial" w:cs="Arial" w:eastAsia="Arial" w:hint="default"/>
                <w:spacing w:val="-4"/>
                <w:w w:val="99"/>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spacing w:val="-1"/>
                <w:w w:val="99"/>
                <w:sz w:val="24"/>
                <w:szCs w:val="24"/>
              </w:rPr>
              <w:t>20</w:t>
            </w:r>
            <w:r>
              <w:rPr>
                <w:rFonts w:ascii="Arial" w:hAnsi="Arial" w:cs="Arial" w:eastAsia="Arial" w:hint="default"/>
                <w:spacing w:val="-7"/>
                <w:w w:val="99"/>
                <w:sz w:val="24"/>
                <w:szCs w:val="24"/>
              </w:rPr>
              <w:t> </w:t>
            </w:r>
            <w:r>
              <w:rPr>
                <w:rFonts w:ascii="宋体" w:hAnsi="宋体" w:cs="宋体" w:eastAsia="宋体" w:hint="default"/>
                <w:sz w:val="24"/>
                <w:szCs w:val="24"/>
              </w:rPr>
              <w:t>日向特定 投资者非公开发行</w:t>
            </w:r>
            <w:r>
              <w:rPr>
                <w:rFonts w:ascii="宋体" w:hAnsi="宋体" w:cs="宋体" w:eastAsia="宋体" w:hint="default"/>
                <w:spacing w:val="-57"/>
                <w:sz w:val="24"/>
                <w:szCs w:val="24"/>
              </w:rPr>
              <w:t> </w:t>
            </w:r>
            <w:r>
              <w:rPr>
                <w:rFonts w:ascii="Arial" w:hAnsi="Arial" w:cs="Arial" w:eastAsia="Arial" w:hint="default"/>
                <w:sz w:val="24"/>
                <w:szCs w:val="24"/>
              </w:rPr>
              <w:t>2,500</w:t>
            </w:r>
            <w:r>
              <w:rPr>
                <w:rFonts w:ascii="Arial" w:hAnsi="Arial" w:cs="Arial" w:eastAsia="Arial" w:hint="default"/>
                <w:spacing w:val="-3"/>
                <w:sz w:val="24"/>
                <w:szCs w:val="24"/>
              </w:rPr>
              <w:t> </w:t>
            </w:r>
            <w:r>
              <w:rPr>
                <w:rFonts w:ascii="宋体" w:hAnsi="宋体" w:cs="宋体" w:eastAsia="宋体" w:hint="default"/>
                <w:sz w:val="24"/>
                <w:szCs w:val="24"/>
              </w:rPr>
              <w:t>万</w:t>
            </w:r>
            <w:r>
              <w:rPr>
                <w:rFonts w:ascii="宋体" w:hAnsi="宋体" w:cs="宋体" w:eastAsia="宋体" w:hint="default"/>
                <w:spacing w:val="-58"/>
                <w:sz w:val="24"/>
                <w:szCs w:val="24"/>
              </w:rPr>
              <w:t> </w:t>
            </w:r>
            <w:r>
              <w:rPr>
                <w:rFonts w:ascii="Arial" w:hAnsi="Arial" w:cs="Arial" w:eastAsia="Arial" w:hint="default"/>
                <w:sz w:val="24"/>
                <w:szCs w:val="24"/>
              </w:rPr>
              <w:t>A</w:t>
            </w:r>
            <w:r>
              <w:rPr>
                <w:rFonts w:ascii="Arial" w:hAnsi="Arial" w:cs="Arial" w:eastAsia="Arial" w:hint="default"/>
                <w:spacing w:val="-4"/>
                <w:sz w:val="24"/>
                <w:szCs w:val="24"/>
              </w:rPr>
              <w:t> </w:t>
            </w:r>
            <w:r>
              <w:rPr>
                <w:rFonts w:ascii="宋体" w:hAnsi="宋体" w:cs="宋体" w:eastAsia="宋体" w:hint="default"/>
                <w:sz w:val="24"/>
                <w:szCs w:val="24"/>
              </w:rPr>
              <w:t>股，每股面值人民币</w:t>
            </w:r>
            <w:r>
              <w:rPr>
                <w:rFonts w:ascii="宋体" w:hAnsi="宋体" w:cs="宋体" w:eastAsia="宋体" w:hint="default"/>
                <w:spacing w:val="-57"/>
                <w:sz w:val="24"/>
                <w:szCs w:val="24"/>
              </w:rPr>
              <w:t> </w:t>
            </w:r>
            <w:r>
              <w:rPr>
                <w:rFonts w:ascii="Arial" w:hAnsi="Arial" w:cs="Arial" w:eastAsia="Arial" w:hint="default"/>
                <w:sz w:val="24"/>
                <w:szCs w:val="24"/>
              </w:rPr>
              <w:t>1</w:t>
            </w:r>
            <w:r>
              <w:rPr>
                <w:rFonts w:ascii="Arial" w:hAnsi="Arial" w:cs="Arial" w:eastAsia="Arial" w:hint="default"/>
                <w:spacing w:val="-4"/>
                <w:sz w:val="24"/>
                <w:szCs w:val="24"/>
              </w:rPr>
              <w:t> </w:t>
            </w:r>
            <w:r>
              <w:rPr>
                <w:rFonts w:ascii="宋体" w:hAnsi="宋体" w:cs="宋体" w:eastAsia="宋体" w:hint="default"/>
                <w:sz w:val="24"/>
                <w:szCs w:val="24"/>
              </w:rPr>
              <w:t>元，每股发行价为人民 币</w:t>
            </w:r>
            <w:r>
              <w:rPr>
                <w:rFonts w:ascii="宋体" w:hAnsi="宋体" w:cs="宋体" w:eastAsia="宋体" w:hint="default"/>
                <w:spacing w:val="-63"/>
                <w:sz w:val="24"/>
                <w:szCs w:val="24"/>
              </w:rPr>
              <w:t> </w:t>
            </w:r>
            <w:r>
              <w:rPr>
                <w:rFonts w:ascii="Arial" w:hAnsi="Arial" w:cs="Arial" w:eastAsia="Arial" w:hint="default"/>
                <w:sz w:val="24"/>
                <w:szCs w:val="24"/>
              </w:rPr>
              <w:t>48</w:t>
            </w:r>
            <w:r>
              <w:rPr>
                <w:rFonts w:ascii="Arial" w:hAnsi="Arial" w:cs="Arial" w:eastAsia="Arial" w:hint="default"/>
                <w:spacing w:val="-9"/>
                <w:sz w:val="24"/>
                <w:szCs w:val="24"/>
              </w:rPr>
              <w:t> </w:t>
            </w:r>
            <w:r>
              <w:rPr>
                <w:rFonts w:ascii="宋体" w:hAnsi="宋体" w:cs="宋体" w:eastAsia="宋体" w:hint="default"/>
                <w:sz w:val="24"/>
                <w:szCs w:val="24"/>
              </w:rPr>
              <w:t>元，股本总额变更为人民币</w:t>
            </w:r>
            <w:r>
              <w:rPr>
                <w:rFonts w:ascii="宋体" w:hAnsi="宋体" w:cs="宋体" w:eastAsia="宋体" w:hint="default"/>
                <w:spacing w:val="-63"/>
                <w:sz w:val="24"/>
                <w:szCs w:val="24"/>
              </w:rPr>
              <w:t> </w:t>
            </w:r>
            <w:r>
              <w:rPr>
                <w:rFonts w:ascii="Arial" w:hAnsi="Arial" w:cs="Arial" w:eastAsia="Arial" w:hint="default"/>
                <w:sz w:val="24"/>
                <w:szCs w:val="24"/>
              </w:rPr>
              <w:t>360,376,000</w:t>
            </w:r>
            <w:r>
              <w:rPr>
                <w:rFonts w:ascii="Arial" w:hAnsi="Arial" w:cs="Arial" w:eastAsia="Arial" w:hint="default"/>
                <w:spacing w:val="-7"/>
                <w:sz w:val="24"/>
                <w:szCs w:val="24"/>
              </w:rPr>
              <w:t> </w:t>
            </w:r>
            <w:r>
              <w:rPr>
                <w:rFonts w:ascii="宋体" w:hAnsi="宋体" w:cs="宋体" w:eastAsia="宋体" w:hint="default"/>
                <w:sz w:val="24"/>
                <w:szCs w:val="24"/>
              </w:rPr>
              <w:t>元。</w:t>
            </w: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57"/>
                <w:sz w:val="24"/>
                <w:szCs w:val="24"/>
              </w:rPr>
              <w:t> </w:t>
            </w:r>
            <w:r>
              <w:rPr>
                <w:rFonts w:ascii="Arial" w:hAnsi="Arial" w:cs="Arial" w:eastAsia="Arial" w:hint="default"/>
                <w:sz w:val="24"/>
                <w:szCs w:val="24"/>
              </w:rPr>
              <w:t>2006</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Arial" w:hAnsi="Arial" w:cs="Arial" w:eastAsia="Arial" w:hint="default"/>
                <w:sz w:val="24"/>
                <w:szCs w:val="24"/>
              </w:rPr>
              <w:t>9</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13</w:t>
            </w:r>
            <w:r>
              <w:rPr>
                <w:rFonts w:ascii="Arial" w:hAnsi="Arial" w:cs="Arial" w:eastAsia="Arial" w:hint="default"/>
                <w:spacing w:val="-2"/>
                <w:sz w:val="24"/>
                <w:szCs w:val="24"/>
              </w:rPr>
              <w:t> </w:t>
            </w:r>
            <w:r>
              <w:rPr>
                <w:rFonts w:ascii="宋体" w:hAnsi="宋体" w:cs="宋体" w:eastAsia="宋体" w:hint="default"/>
                <w:sz w:val="24"/>
                <w:szCs w:val="24"/>
              </w:rPr>
              <w:t>日召开的</w:t>
            </w:r>
            <w:r>
              <w:rPr>
                <w:rFonts w:ascii="宋体" w:hAnsi="宋体" w:cs="宋体" w:eastAsia="宋体" w:hint="default"/>
                <w:spacing w:val="-57"/>
                <w:sz w:val="24"/>
                <w:szCs w:val="24"/>
              </w:rPr>
              <w:t> </w:t>
            </w:r>
            <w:r>
              <w:rPr>
                <w:rFonts w:ascii="Arial" w:hAnsi="Arial" w:cs="Arial" w:eastAsia="Arial" w:hint="default"/>
                <w:sz w:val="24"/>
                <w:szCs w:val="24"/>
              </w:rPr>
              <w:t>2006</w:t>
            </w:r>
            <w:r>
              <w:rPr>
                <w:rFonts w:ascii="Arial" w:hAnsi="Arial" w:cs="Arial" w:eastAsia="Arial" w:hint="default"/>
                <w:spacing w:val="-2"/>
                <w:sz w:val="24"/>
                <w:szCs w:val="24"/>
              </w:rPr>
              <w:t> </w:t>
            </w:r>
            <w:r>
              <w:rPr>
                <w:rFonts w:ascii="宋体" w:hAnsi="宋体" w:cs="宋体" w:eastAsia="宋体" w:hint="default"/>
                <w:sz w:val="24"/>
                <w:szCs w:val="24"/>
              </w:rPr>
              <w:t>年第二次临时股东大会决议通过，本公</w:t>
            </w:r>
          </w:p>
          <w:p>
            <w:pPr>
              <w:pStyle w:val="TableParagraph"/>
              <w:spacing w:line="312" w:lineRule="exact"/>
              <w:ind w:left="239" w:right="0"/>
              <w:jc w:val="both"/>
              <w:rPr>
                <w:rFonts w:ascii="宋体" w:hAnsi="宋体" w:cs="宋体" w:eastAsia="宋体" w:hint="default"/>
                <w:sz w:val="24"/>
                <w:szCs w:val="24"/>
              </w:rPr>
            </w:pPr>
            <w:r>
              <w:rPr>
                <w:rFonts w:ascii="宋体" w:hAnsi="宋体" w:cs="宋体" w:eastAsia="宋体" w:hint="default"/>
                <w:sz w:val="24"/>
                <w:szCs w:val="24"/>
              </w:rPr>
              <w:t>司以资本公积转增股本人民币 </w:t>
            </w:r>
            <w:r>
              <w:rPr>
                <w:rFonts w:ascii="Arial" w:hAnsi="Arial" w:cs="Arial" w:eastAsia="Arial" w:hint="default"/>
                <w:sz w:val="24"/>
                <w:szCs w:val="24"/>
              </w:rPr>
              <w:t>360,376,000</w:t>
            </w:r>
            <w:r>
              <w:rPr>
                <w:rFonts w:ascii="Arial" w:hAnsi="Arial" w:cs="Arial" w:eastAsia="Arial" w:hint="default"/>
                <w:spacing w:val="-13"/>
                <w:sz w:val="24"/>
                <w:szCs w:val="24"/>
              </w:rPr>
              <w:t> </w:t>
            </w:r>
            <w:r>
              <w:rPr>
                <w:rFonts w:ascii="宋体" w:hAnsi="宋体" w:cs="宋体" w:eastAsia="宋体" w:hint="default"/>
                <w:sz w:val="24"/>
                <w:szCs w:val="24"/>
              </w:rPr>
              <w:t>元。经此次转增后，股本总额变</w:t>
            </w: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更为人民币</w:t>
            </w:r>
            <w:r>
              <w:rPr>
                <w:rFonts w:ascii="宋体" w:hAnsi="宋体" w:cs="宋体" w:eastAsia="宋体" w:hint="default"/>
                <w:spacing w:val="-63"/>
                <w:sz w:val="24"/>
                <w:szCs w:val="24"/>
              </w:rPr>
              <w:t> </w:t>
            </w:r>
            <w:r>
              <w:rPr>
                <w:rFonts w:ascii="Arial" w:hAnsi="Arial" w:cs="Arial" w:eastAsia="Arial" w:hint="default"/>
                <w:sz w:val="24"/>
                <w:szCs w:val="24"/>
              </w:rPr>
              <w:t>720,752,000</w:t>
            </w:r>
            <w:r>
              <w:rPr>
                <w:rFonts w:ascii="Arial" w:hAnsi="Arial" w:cs="Arial" w:eastAsia="Arial" w:hint="default"/>
                <w:spacing w:val="-7"/>
                <w:sz w:val="24"/>
                <w:szCs w:val="24"/>
              </w:rPr>
              <w:t> </w:t>
            </w:r>
            <w:r>
              <w:rPr>
                <w:rFonts w:ascii="宋体" w:hAnsi="宋体" w:cs="宋体" w:eastAsia="宋体" w:hint="default"/>
                <w:sz w:val="24"/>
                <w:szCs w:val="24"/>
              </w:rPr>
              <w:t>元。</w:t>
            </w: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63"/>
                <w:sz w:val="24"/>
                <w:szCs w:val="24"/>
              </w:rPr>
              <w:t> </w:t>
            </w:r>
            <w:r>
              <w:rPr>
                <w:rFonts w:ascii="Arial" w:hAnsi="Arial" w:cs="Arial" w:eastAsia="Arial" w:hint="default"/>
                <w:sz w:val="24"/>
                <w:szCs w:val="24"/>
              </w:rPr>
              <w:t>2007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3</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30</w:t>
            </w:r>
            <w:r>
              <w:rPr>
                <w:rFonts w:ascii="Arial" w:hAnsi="Arial" w:cs="Arial" w:eastAsia="Arial" w:hint="default"/>
                <w:spacing w:val="-12"/>
                <w:sz w:val="24"/>
                <w:szCs w:val="24"/>
              </w:rPr>
              <w:t> </w:t>
            </w:r>
            <w:r>
              <w:rPr>
                <w:rFonts w:ascii="宋体" w:hAnsi="宋体" w:cs="宋体" w:eastAsia="宋体" w:hint="default"/>
                <w:sz w:val="24"/>
                <w:szCs w:val="24"/>
              </w:rPr>
              <w:t>日召开的</w:t>
            </w:r>
            <w:r>
              <w:rPr>
                <w:rFonts w:ascii="宋体" w:hAnsi="宋体" w:cs="宋体" w:eastAsia="宋体" w:hint="default"/>
                <w:spacing w:val="-63"/>
                <w:sz w:val="24"/>
                <w:szCs w:val="24"/>
              </w:rPr>
              <w:t> </w:t>
            </w:r>
            <w:r>
              <w:rPr>
                <w:rFonts w:ascii="Arial" w:hAnsi="Arial" w:cs="Arial" w:eastAsia="Arial" w:hint="default"/>
                <w:sz w:val="24"/>
                <w:szCs w:val="24"/>
              </w:rPr>
              <w:t>2006</w:t>
            </w:r>
            <w:r>
              <w:rPr>
                <w:rFonts w:ascii="Arial" w:hAnsi="Arial" w:cs="Arial" w:eastAsia="Arial" w:hint="default"/>
                <w:spacing w:val="49"/>
                <w:sz w:val="24"/>
                <w:szCs w:val="24"/>
              </w:rPr>
              <w:t> </w:t>
            </w:r>
            <w:r>
              <w:rPr>
                <w:rFonts w:ascii="宋体" w:hAnsi="宋体" w:cs="宋体" w:eastAsia="宋体" w:hint="default"/>
                <w:sz w:val="24"/>
                <w:szCs w:val="24"/>
              </w:rPr>
              <w:t>年年度股东大会决议通过，本公司以资</w:t>
            </w:r>
          </w:p>
          <w:p>
            <w:pPr>
              <w:pStyle w:val="TableParagraph"/>
              <w:spacing w:line="312" w:lineRule="exact"/>
              <w:ind w:left="239" w:right="0"/>
              <w:jc w:val="both"/>
              <w:rPr>
                <w:rFonts w:ascii="宋体" w:hAnsi="宋体" w:cs="宋体" w:eastAsia="宋体" w:hint="default"/>
                <w:sz w:val="24"/>
                <w:szCs w:val="24"/>
              </w:rPr>
            </w:pPr>
            <w:r>
              <w:rPr>
                <w:rFonts w:ascii="宋体" w:hAnsi="宋体" w:cs="宋体" w:eastAsia="宋体" w:hint="default"/>
                <w:sz w:val="24"/>
                <w:szCs w:val="24"/>
              </w:rPr>
              <w:t>本公积转增股本人民币 </w:t>
            </w:r>
            <w:r>
              <w:rPr>
                <w:rFonts w:ascii="Arial" w:hAnsi="Arial" w:cs="Arial" w:eastAsia="Arial" w:hint="default"/>
                <w:sz w:val="24"/>
                <w:szCs w:val="24"/>
              </w:rPr>
              <w:t>720,752,000</w:t>
            </w:r>
            <w:r>
              <w:rPr>
                <w:rFonts w:ascii="Arial" w:hAnsi="Arial" w:cs="Arial" w:eastAsia="Arial" w:hint="default"/>
                <w:spacing w:val="-13"/>
                <w:sz w:val="24"/>
                <w:szCs w:val="24"/>
              </w:rPr>
              <w:t> </w:t>
            </w:r>
            <w:r>
              <w:rPr>
                <w:rFonts w:ascii="宋体" w:hAnsi="宋体" w:cs="宋体" w:eastAsia="宋体" w:hint="default"/>
                <w:sz w:val="24"/>
                <w:szCs w:val="24"/>
              </w:rPr>
              <w:t>元。经此次转增后，股本总额变更为人</w:t>
            </w: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民币</w:t>
            </w:r>
            <w:r>
              <w:rPr>
                <w:rFonts w:ascii="宋体" w:hAnsi="宋体" w:cs="宋体" w:eastAsia="宋体" w:hint="default"/>
                <w:spacing w:val="-63"/>
                <w:sz w:val="24"/>
                <w:szCs w:val="24"/>
              </w:rPr>
              <w:t> </w:t>
            </w:r>
            <w:r>
              <w:rPr>
                <w:rFonts w:ascii="Arial" w:hAnsi="Arial" w:cs="Arial" w:eastAsia="Arial" w:hint="default"/>
                <w:sz w:val="24"/>
                <w:szCs w:val="24"/>
              </w:rPr>
              <w:t>1,441,504,000</w:t>
            </w:r>
            <w:r>
              <w:rPr>
                <w:rFonts w:ascii="Arial" w:hAnsi="Arial" w:cs="Arial" w:eastAsia="Arial" w:hint="default"/>
                <w:spacing w:val="-7"/>
                <w:sz w:val="24"/>
                <w:szCs w:val="24"/>
              </w:rPr>
              <w:t> </w:t>
            </w:r>
            <w:r>
              <w:rPr>
                <w:rFonts w:ascii="宋体" w:hAnsi="宋体" w:cs="宋体" w:eastAsia="宋体" w:hint="default"/>
                <w:spacing w:val="-3"/>
                <w:sz w:val="24"/>
                <w:szCs w:val="24"/>
              </w:rPr>
              <w:t>元。</w:t>
            </w:r>
            <w:r>
              <w:rPr>
                <w:rFonts w:ascii="宋体" w:hAnsi="宋体" w:cs="宋体" w:eastAsia="宋体" w:hint="default"/>
                <w:sz w:val="24"/>
                <w:szCs w:val="24"/>
              </w:rPr>
            </w:r>
          </w:p>
        </w:tc>
      </w:tr>
    </w:tbl>
    <w:p>
      <w:pPr>
        <w:spacing w:after="0" w:line="322" w:lineRule="exact"/>
        <w:jc w:val="both"/>
        <w:rPr>
          <w:rFonts w:ascii="宋体" w:hAnsi="宋体" w:cs="宋体" w:eastAsia="宋体" w:hint="default"/>
          <w:sz w:val="24"/>
          <w:szCs w:val="24"/>
        </w:rPr>
        <w:sectPr>
          <w:headerReference w:type="default" r:id="rId52"/>
          <w:footerReference w:type="default" r:id="rId53"/>
          <w:pgSz w:w="11910" w:h="16850"/>
          <w:pgMar w:header="795" w:footer="708" w:top="2020" w:bottom="900" w:left="1420" w:right="0"/>
          <w:pgNumType w:start="95"/>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1596496" type="#_x0000_t75" stroked="false">
            <v:imagedata r:id="rId10" o:title=""/>
          </v:shape>
        </w:pict>
      </w:r>
    </w:p>
    <w:p>
      <w:pPr>
        <w:spacing w:line="240" w:lineRule="auto" w:before="4"/>
        <w:rPr>
          <w:rFonts w:ascii="Times New Roman" w:hAnsi="Times New Roman" w:cs="Times New Roman" w:eastAsia="Times New Roman"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680"/>
        <w:gridCol w:w="8440"/>
      </w:tblGrid>
      <w:tr>
        <w:trPr>
          <w:trHeight w:val="329"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一</w:t>
            </w:r>
          </w:p>
        </w:tc>
        <w:tc>
          <w:tcPr>
            <w:tcW w:w="8440" w:type="dxa"/>
            <w:tcBorders>
              <w:top w:val="nil" w:sz="6" w:space="0" w:color="auto"/>
              <w:left w:val="nil" w:sz="6" w:space="0" w:color="auto"/>
              <w:bottom w:val="nil" w:sz="6" w:space="0" w:color="auto"/>
              <w:right w:val="nil" w:sz="6" w:space="0" w:color="auto"/>
            </w:tcBorders>
          </w:tcPr>
          <w:p>
            <w:pPr>
              <w:pStyle w:val="TableParagraph"/>
              <w:spacing w:line="257" w:lineRule="exact"/>
              <w:ind w:left="239" w:right="0"/>
              <w:jc w:val="left"/>
              <w:rPr>
                <w:rFonts w:ascii="Arial" w:hAnsi="Arial" w:cs="Arial" w:eastAsia="Arial" w:hint="default"/>
                <w:sz w:val="24"/>
                <w:szCs w:val="24"/>
              </w:rPr>
            </w:pPr>
            <w:r>
              <w:rPr>
                <w:rFonts w:ascii="黑体" w:hAnsi="黑体" w:cs="黑体" w:eastAsia="黑体" w:hint="default"/>
                <w:sz w:val="24"/>
                <w:szCs w:val="24"/>
              </w:rPr>
              <w:t>公司基本情况</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12535" w:hRule="exact"/>
        </w:trPr>
        <w:tc>
          <w:tcPr>
            <w:tcW w:w="680" w:type="dxa"/>
            <w:tcBorders>
              <w:top w:val="nil" w:sz="6" w:space="0" w:color="auto"/>
              <w:left w:val="nil" w:sz="6" w:space="0" w:color="auto"/>
              <w:bottom w:val="nil" w:sz="6" w:space="0" w:color="auto"/>
              <w:right w:val="nil" w:sz="6" w:space="0" w:color="auto"/>
            </w:tcBorders>
          </w:tcPr>
          <w:p>
            <w:pPr/>
          </w:p>
        </w:tc>
        <w:tc>
          <w:tcPr>
            <w:tcW w:w="8440" w:type="dxa"/>
            <w:tcBorders>
              <w:top w:val="nil" w:sz="6" w:space="0" w:color="auto"/>
              <w:left w:val="nil" w:sz="6" w:space="0" w:color="auto"/>
              <w:bottom w:val="nil" w:sz="6" w:space="0" w:color="auto"/>
              <w:right w:val="nil" w:sz="6" w:space="0" w:color="auto"/>
            </w:tcBorders>
          </w:tcPr>
          <w:p>
            <w:pPr>
              <w:pStyle w:val="TableParagraph"/>
              <w:spacing w:line="225" w:lineRule="auto" w:before="19"/>
              <w:ind w:left="239" w:right="201"/>
              <w:jc w:val="both"/>
              <w:rPr>
                <w:rFonts w:ascii="宋体" w:hAnsi="宋体" w:cs="宋体" w:eastAsia="宋体" w:hint="default"/>
                <w:sz w:val="24"/>
                <w:szCs w:val="24"/>
              </w:rPr>
            </w:pPr>
            <w:r>
              <w:rPr>
                <w:rFonts w:ascii="宋体" w:hAnsi="宋体" w:cs="宋体" w:eastAsia="宋体" w:hint="default"/>
                <w:sz w:val="24"/>
                <w:szCs w:val="24"/>
              </w:rPr>
              <w:t>经中国证券监督管理委员会证监许可</w:t>
            </w:r>
            <w:r>
              <w:rPr>
                <w:rFonts w:ascii="Arial" w:hAnsi="Arial" w:cs="Arial" w:eastAsia="Arial" w:hint="default"/>
                <w:sz w:val="24"/>
                <w:szCs w:val="24"/>
              </w:rPr>
              <w:t>[2008]647</w:t>
            </w:r>
            <w:r>
              <w:rPr>
                <w:rFonts w:ascii="Arial" w:hAnsi="Arial" w:cs="Arial" w:eastAsia="Arial" w:hint="default"/>
                <w:spacing w:val="55"/>
                <w:sz w:val="24"/>
                <w:szCs w:val="24"/>
              </w:rPr>
              <w:t> </w:t>
            </w:r>
            <w:r>
              <w:rPr>
                <w:rFonts w:ascii="宋体" w:hAnsi="宋体" w:cs="宋体" w:eastAsia="宋体" w:hint="default"/>
                <w:sz w:val="24"/>
                <w:szCs w:val="24"/>
              </w:rPr>
              <w:t>号文</w:t>
            </w:r>
            <w:r>
              <w:rPr>
                <w:rFonts w:ascii="Arial" w:hAnsi="Arial" w:cs="Arial" w:eastAsia="Arial" w:hint="default"/>
                <w:sz w:val="24"/>
                <w:szCs w:val="24"/>
              </w:rPr>
              <w:t>“</w:t>
            </w:r>
            <w:r>
              <w:rPr>
                <w:rFonts w:ascii="宋体" w:hAnsi="宋体" w:cs="宋体" w:eastAsia="宋体" w:hint="default"/>
                <w:sz w:val="24"/>
                <w:szCs w:val="24"/>
              </w:rPr>
              <w:t>关于核准苏宁电器股份 </w:t>
            </w:r>
            <w:r>
              <w:rPr>
                <w:rFonts w:ascii="宋体" w:hAnsi="宋体" w:cs="宋体" w:eastAsia="宋体" w:hint="default"/>
                <w:spacing w:val="-5"/>
                <w:sz w:val="24"/>
                <w:szCs w:val="24"/>
              </w:rPr>
              <w:t>有限公司非公开发行股票的批复</w:t>
            </w:r>
            <w:r>
              <w:rPr>
                <w:rFonts w:ascii="Arial" w:hAnsi="Arial" w:cs="Arial" w:eastAsia="Arial" w:hint="default"/>
                <w:spacing w:val="-5"/>
                <w:sz w:val="24"/>
                <w:szCs w:val="24"/>
              </w:rPr>
              <w:t>”</w:t>
            </w:r>
            <w:r>
              <w:rPr>
                <w:rFonts w:ascii="宋体" w:hAnsi="宋体" w:cs="宋体" w:eastAsia="宋体" w:hint="default"/>
                <w:spacing w:val="-5"/>
                <w:sz w:val="24"/>
                <w:szCs w:val="24"/>
              </w:rPr>
              <w:t>批准，本公司于</w:t>
            </w:r>
            <w:r>
              <w:rPr>
                <w:rFonts w:ascii="宋体" w:hAnsi="宋体" w:cs="宋体" w:eastAsia="宋体" w:hint="default"/>
                <w:spacing w:val="-58"/>
                <w:sz w:val="24"/>
                <w:szCs w:val="24"/>
              </w:rPr>
              <w:t> </w:t>
            </w:r>
            <w:r>
              <w:rPr>
                <w:rFonts w:ascii="Arial" w:hAnsi="Arial" w:cs="Arial" w:eastAsia="Arial" w:hint="default"/>
                <w:spacing w:val="-1"/>
                <w:w w:val="99"/>
                <w:sz w:val="24"/>
                <w:szCs w:val="24"/>
              </w:rPr>
              <w:t>2008</w:t>
            </w:r>
            <w:r>
              <w:rPr>
                <w:rFonts w:ascii="Arial" w:hAnsi="Arial" w:cs="Arial" w:eastAsia="Arial" w:hint="default"/>
                <w:spacing w:val="-4"/>
                <w:w w:val="99"/>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w w:val="99"/>
                <w:sz w:val="24"/>
                <w:szCs w:val="24"/>
              </w:rPr>
              <w:t>5</w:t>
            </w:r>
            <w:r>
              <w:rPr>
                <w:rFonts w:ascii="Arial" w:hAnsi="Arial" w:cs="Arial" w:eastAsia="Arial" w:hint="default"/>
                <w:spacing w:val="-4"/>
                <w:w w:val="99"/>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spacing w:val="-1"/>
                <w:w w:val="99"/>
                <w:sz w:val="24"/>
                <w:szCs w:val="24"/>
              </w:rPr>
              <w:t>16</w:t>
            </w:r>
            <w:r>
              <w:rPr>
                <w:rFonts w:ascii="Arial" w:hAnsi="Arial" w:cs="Arial" w:eastAsia="Arial" w:hint="default"/>
                <w:spacing w:val="-4"/>
                <w:w w:val="99"/>
                <w:sz w:val="24"/>
                <w:szCs w:val="24"/>
              </w:rPr>
              <w:t> </w:t>
            </w:r>
            <w:r>
              <w:rPr>
                <w:rFonts w:ascii="宋体" w:hAnsi="宋体" w:cs="宋体" w:eastAsia="宋体" w:hint="default"/>
                <w:spacing w:val="-1"/>
                <w:sz w:val="24"/>
                <w:szCs w:val="24"/>
              </w:rPr>
              <w:t>日向特定投</w:t>
            </w:r>
            <w:r>
              <w:rPr>
                <w:rFonts w:ascii="宋体" w:hAnsi="宋体" w:cs="宋体" w:eastAsia="宋体" w:hint="default"/>
                <w:sz w:val="24"/>
                <w:szCs w:val="24"/>
              </w:rPr>
              <w:t> 资者非公开发行</w:t>
            </w:r>
            <w:r>
              <w:rPr>
                <w:rFonts w:ascii="宋体" w:hAnsi="宋体" w:cs="宋体" w:eastAsia="宋体" w:hint="default"/>
                <w:spacing w:val="-57"/>
                <w:sz w:val="24"/>
                <w:szCs w:val="24"/>
              </w:rPr>
              <w:t> </w:t>
            </w:r>
            <w:r>
              <w:rPr>
                <w:rFonts w:ascii="Arial" w:hAnsi="Arial" w:cs="Arial" w:eastAsia="Arial" w:hint="default"/>
                <w:sz w:val="24"/>
                <w:szCs w:val="24"/>
              </w:rPr>
              <w:t>5,400</w:t>
            </w:r>
            <w:r>
              <w:rPr>
                <w:rFonts w:ascii="Arial" w:hAnsi="Arial" w:cs="Arial" w:eastAsia="Arial" w:hint="default"/>
                <w:spacing w:val="-5"/>
                <w:sz w:val="24"/>
                <w:szCs w:val="24"/>
              </w:rPr>
              <w:t> </w:t>
            </w:r>
            <w:r>
              <w:rPr>
                <w:rFonts w:ascii="宋体" w:hAnsi="宋体" w:cs="宋体" w:eastAsia="宋体" w:hint="default"/>
                <w:sz w:val="24"/>
                <w:szCs w:val="24"/>
              </w:rPr>
              <w:t>万</w:t>
            </w:r>
            <w:r>
              <w:rPr>
                <w:rFonts w:ascii="宋体" w:hAnsi="宋体" w:cs="宋体" w:eastAsia="宋体" w:hint="default"/>
                <w:spacing w:val="-58"/>
                <w:sz w:val="24"/>
                <w:szCs w:val="24"/>
              </w:rPr>
              <w:t> </w:t>
            </w:r>
            <w:r>
              <w:rPr>
                <w:rFonts w:ascii="Arial" w:hAnsi="Arial" w:cs="Arial" w:eastAsia="Arial" w:hint="default"/>
                <w:sz w:val="24"/>
                <w:szCs w:val="24"/>
              </w:rPr>
              <w:t>A</w:t>
            </w:r>
            <w:r>
              <w:rPr>
                <w:rFonts w:ascii="Arial" w:hAnsi="Arial" w:cs="Arial" w:eastAsia="Arial" w:hint="default"/>
                <w:spacing w:val="-4"/>
                <w:sz w:val="24"/>
                <w:szCs w:val="24"/>
              </w:rPr>
              <w:t> </w:t>
            </w:r>
            <w:r>
              <w:rPr>
                <w:rFonts w:ascii="宋体" w:hAnsi="宋体" w:cs="宋体" w:eastAsia="宋体" w:hint="default"/>
                <w:sz w:val="24"/>
                <w:szCs w:val="24"/>
              </w:rPr>
              <w:t>股，每股面值人民币</w:t>
            </w:r>
            <w:r>
              <w:rPr>
                <w:rFonts w:ascii="宋体" w:hAnsi="宋体" w:cs="宋体" w:eastAsia="宋体" w:hint="default"/>
                <w:spacing w:val="-57"/>
                <w:sz w:val="24"/>
                <w:szCs w:val="24"/>
              </w:rPr>
              <w:t> </w:t>
            </w:r>
            <w:r>
              <w:rPr>
                <w:rFonts w:ascii="Arial" w:hAnsi="Arial" w:cs="Arial" w:eastAsia="Arial" w:hint="default"/>
                <w:sz w:val="24"/>
                <w:szCs w:val="24"/>
              </w:rPr>
              <w:t>1</w:t>
            </w:r>
            <w:r>
              <w:rPr>
                <w:rFonts w:ascii="Arial" w:hAnsi="Arial" w:cs="Arial" w:eastAsia="Arial" w:hint="default"/>
                <w:spacing w:val="-4"/>
                <w:sz w:val="24"/>
                <w:szCs w:val="24"/>
              </w:rPr>
              <w:t> </w:t>
            </w:r>
            <w:r>
              <w:rPr>
                <w:rFonts w:ascii="宋体" w:hAnsi="宋体" w:cs="宋体" w:eastAsia="宋体" w:hint="default"/>
                <w:sz w:val="24"/>
                <w:szCs w:val="24"/>
              </w:rPr>
              <w:t>元，每股发行价为人民币 </w:t>
            </w:r>
            <w:r>
              <w:rPr>
                <w:rFonts w:ascii="Arial" w:hAnsi="Arial" w:cs="Arial" w:eastAsia="Arial" w:hint="default"/>
                <w:sz w:val="24"/>
                <w:szCs w:val="24"/>
              </w:rPr>
              <w:t>45</w:t>
            </w:r>
            <w:r>
              <w:rPr>
                <w:rFonts w:ascii="Arial" w:hAnsi="Arial" w:cs="Arial" w:eastAsia="Arial" w:hint="default"/>
                <w:spacing w:val="-10"/>
                <w:sz w:val="24"/>
                <w:szCs w:val="24"/>
              </w:rPr>
              <w:t> </w:t>
            </w:r>
            <w:r>
              <w:rPr>
                <w:rFonts w:ascii="宋体" w:hAnsi="宋体" w:cs="宋体" w:eastAsia="宋体" w:hint="default"/>
                <w:sz w:val="24"/>
                <w:szCs w:val="24"/>
              </w:rPr>
              <w:t>元，股本总额变更为人民币</w:t>
            </w:r>
            <w:r>
              <w:rPr>
                <w:rFonts w:ascii="宋体" w:hAnsi="宋体" w:cs="宋体" w:eastAsia="宋体" w:hint="default"/>
                <w:spacing w:val="-64"/>
                <w:sz w:val="24"/>
                <w:szCs w:val="24"/>
              </w:rPr>
              <w:t> </w:t>
            </w:r>
            <w:r>
              <w:rPr>
                <w:rFonts w:ascii="Arial" w:hAnsi="Arial" w:cs="Arial" w:eastAsia="Arial" w:hint="default"/>
                <w:sz w:val="24"/>
                <w:szCs w:val="24"/>
              </w:rPr>
              <w:t>1,495,504,000</w:t>
            </w:r>
            <w:r>
              <w:rPr>
                <w:rFonts w:ascii="Arial" w:hAnsi="Arial" w:cs="Arial" w:eastAsia="Arial" w:hint="default"/>
                <w:spacing w:val="-8"/>
                <w:sz w:val="24"/>
                <w:szCs w:val="24"/>
              </w:rPr>
              <w:t> </w:t>
            </w:r>
            <w:r>
              <w:rPr>
                <w:rFonts w:ascii="宋体" w:hAnsi="宋体" w:cs="宋体" w:eastAsia="宋体" w:hint="default"/>
                <w:sz w:val="24"/>
                <w:szCs w:val="24"/>
              </w:rPr>
              <w:t>元。</w:t>
            </w: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57"/>
                <w:sz w:val="24"/>
                <w:szCs w:val="24"/>
              </w:rPr>
              <w:t> </w:t>
            </w:r>
            <w:r>
              <w:rPr>
                <w:rFonts w:ascii="Arial" w:hAnsi="Arial" w:cs="Arial" w:eastAsia="Arial" w:hint="default"/>
                <w:sz w:val="24"/>
                <w:szCs w:val="24"/>
              </w:rPr>
              <w:t>2008</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Arial" w:hAnsi="Arial" w:cs="Arial" w:eastAsia="Arial" w:hint="default"/>
                <w:sz w:val="24"/>
                <w:szCs w:val="24"/>
              </w:rPr>
              <w:t>9</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16</w:t>
            </w:r>
            <w:r>
              <w:rPr>
                <w:rFonts w:ascii="Arial" w:hAnsi="Arial" w:cs="Arial" w:eastAsia="Arial" w:hint="default"/>
                <w:spacing w:val="-2"/>
                <w:sz w:val="24"/>
                <w:szCs w:val="24"/>
              </w:rPr>
              <w:t> </w:t>
            </w:r>
            <w:r>
              <w:rPr>
                <w:rFonts w:ascii="宋体" w:hAnsi="宋体" w:cs="宋体" w:eastAsia="宋体" w:hint="default"/>
                <w:sz w:val="24"/>
                <w:szCs w:val="24"/>
              </w:rPr>
              <w:t>日召开的</w:t>
            </w:r>
            <w:r>
              <w:rPr>
                <w:rFonts w:ascii="宋体" w:hAnsi="宋体" w:cs="宋体" w:eastAsia="宋体" w:hint="default"/>
                <w:spacing w:val="-57"/>
                <w:sz w:val="24"/>
                <w:szCs w:val="24"/>
              </w:rPr>
              <w:t> </w:t>
            </w:r>
            <w:r>
              <w:rPr>
                <w:rFonts w:ascii="Arial" w:hAnsi="Arial" w:cs="Arial" w:eastAsia="Arial" w:hint="default"/>
                <w:sz w:val="24"/>
                <w:szCs w:val="24"/>
              </w:rPr>
              <w:t>2008</w:t>
            </w:r>
            <w:r>
              <w:rPr>
                <w:rFonts w:ascii="Arial" w:hAnsi="Arial" w:cs="Arial" w:eastAsia="Arial" w:hint="default"/>
                <w:spacing w:val="-2"/>
                <w:sz w:val="24"/>
                <w:szCs w:val="24"/>
              </w:rPr>
              <w:t> </w:t>
            </w:r>
            <w:r>
              <w:rPr>
                <w:rFonts w:ascii="宋体" w:hAnsi="宋体" w:cs="宋体" w:eastAsia="宋体" w:hint="default"/>
                <w:sz w:val="24"/>
                <w:szCs w:val="24"/>
              </w:rPr>
              <w:t>年第一次临时股东大会决议通过，本公</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司以资本公积转增股本人民币 </w:t>
            </w:r>
            <w:r>
              <w:rPr>
                <w:rFonts w:ascii="Arial" w:hAnsi="Arial" w:cs="Arial" w:eastAsia="Arial" w:hint="default"/>
                <w:sz w:val="24"/>
                <w:szCs w:val="24"/>
              </w:rPr>
              <w:t>1,495,504,000</w:t>
            </w:r>
            <w:r>
              <w:rPr>
                <w:rFonts w:ascii="Arial" w:hAnsi="Arial" w:cs="Arial" w:eastAsia="Arial" w:hint="default"/>
                <w:spacing w:val="27"/>
                <w:sz w:val="24"/>
                <w:szCs w:val="24"/>
              </w:rPr>
              <w:t> </w:t>
            </w:r>
            <w:r>
              <w:rPr>
                <w:rFonts w:ascii="宋体" w:hAnsi="宋体" w:cs="宋体" w:eastAsia="宋体" w:hint="default"/>
                <w:sz w:val="24"/>
                <w:szCs w:val="24"/>
              </w:rPr>
              <w:t>元。经此次转增后，股本总额</w:t>
            </w:r>
          </w:p>
          <w:p>
            <w:pPr>
              <w:pStyle w:val="TableParagraph"/>
              <w:spacing w:line="321" w:lineRule="exact"/>
              <w:ind w:left="239" w:right="0"/>
              <w:jc w:val="both"/>
              <w:rPr>
                <w:rFonts w:ascii="宋体" w:hAnsi="宋体" w:cs="宋体" w:eastAsia="宋体" w:hint="default"/>
                <w:sz w:val="24"/>
                <w:szCs w:val="24"/>
              </w:rPr>
            </w:pPr>
            <w:r>
              <w:rPr>
                <w:rFonts w:ascii="宋体" w:hAnsi="宋体" w:cs="宋体" w:eastAsia="宋体" w:hint="default"/>
                <w:sz w:val="24"/>
                <w:szCs w:val="24"/>
              </w:rPr>
              <w:t>变更为人民币</w:t>
            </w:r>
            <w:r>
              <w:rPr>
                <w:rFonts w:ascii="宋体" w:hAnsi="宋体" w:cs="宋体" w:eastAsia="宋体" w:hint="default"/>
                <w:spacing w:val="-63"/>
                <w:sz w:val="24"/>
                <w:szCs w:val="24"/>
              </w:rPr>
              <w:t> </w:t>
            </w:r>
            <w:r>
              <w:rPr>
                <w:rFonts w:ascii="Arial" w:hAnsi="Arial" w:cs="Arial" w:eastAsia="Arial" w:hint="default"/>
                <w:sz w:val="24"/>
                <w:szCs w:val="24"/>
              </w:rPr>
              <w:t>2,991,008,000</w:t>
            </w:r>
            <w:r>
              <w:rPr>
                <w:rFonts w:ascii="Arial" w:hAnsi="Arial" w:cs="Arial" w:eastAsia="Arial" w:hint="default"/>
                <w:spacing w:val="-8"/>
                <w:sz w:val="24"/>
                <w:szCs w:val="24"/>
              </w:rPr>
              <w:t> </w:t>
            </w:r>
            <w:r>
              <w:rPr>
                <w:rFonts w:ascii="宋体" w:hAnsi="宋体" w:cs="宋体" w:eastAsia="宋体" w:hint="default"/>
                <w:sz w:val="24"/>
                <w:szCs w:val="24"/>
              </w:rPr>
              <w:t>元。</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63"/>
                <w:sz w:val="24"/>
                <w:szCs w:val="24"/>
              </w:rPr>
              <w:t> </w:t>
            </w:r>
            <w:r>
              <w:rPr>
                <w:rFonts w:ascii="Arial" w:hAnsi="Arial" w:cs="Arial" w:eastAsia="Arial" w:hint="default"/>
                <w:sz w:val="24"/>
                <w:szCs w:val="24"/>
              </w:rPr>
              <w:t>2009</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3</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31</w:t>
            </w:r>
            <w:r>
              <w:rPr>
                <w:rFonts w:ascii="Arial" w:hAnsi="Arial" w:cs="Arial" w:eastAsia="Arial" w:hint="default"/>
                <w:spacing w:val="-12"/>
                <w:sz w:val="24"/>
                <w:szCs w:val="24"/>
              </w:rPr>
              <w:t> </w:t>
            </w:r>
            <w:r>
              <w:rPr>
                <w:rFonts w:ascii="宋体" w:hAnsi="宋体" w:cs="宋体" w:eastAsia="宋体" w:hint="default"/>
                <w:sz w:val="24"/>
                <w:szCs w:val="24"/>
              </w:rPr>
              <w:t>日召开的</w:t>
            </w:r>
            <w:r>
              <w:rPr>
                <w:rFonts w:ascii="宋体" w:hAnsi="宋体" w:cs="宋体" w:eastAsia="宋体" w:hint="default"/>
                <w:spacing w:val="-63"/>
                <w:sz w:val="24"/>
                <w:szCs w:val="24"/>
              </w:rPr>
              <w:t> </w:t>
            </w:r>
            <w:r>
              <w:rPr>
                <w:rFonts w:ascii="Arial" w:hAnsi="Arial" w:cs="Arial" w:eastAsia="Arial" w:hint="default"/>
                <w:sz w:val="24"/>
                <w:szCs w:val="24"/>
              </w:rPr>
              <w:t>2008</w:t>
            </w:r>
            <w:r>
              <w:rPr>
                <w:rFonts w:ascii="Arial" w:hAnsi="Arial" w:cs="Arial" w:eastAsia="Arial" w:hint="default"/>
                <w:spacing w:val="49"/>
                <w:sz w:val="24"/>
                <w:szCs w:val="24"/>
              </w:rPr>
              <w:t> </w:t>
            </w:r>
            <w:r>
              <w:rPr>
                <w:rFonts w:ascii="宋体" w:hAnsi="宋体" w:cs="宋体" w:eastAsia="宋体" w:hint="default"/>
                <w:sz w:val="24"/>
                <w:szCs w:val="24"/>
              </w:rPr>
              <w:t>年年度股东大会决议通过，本公司以现</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有总股本</w:t>
            </w:r>
            <w:r>
              <w:rPr>
                <w:rFonts w:ascii="宋体" w:hAnsi="宋体" w:cs="宋体" w:eastAsia="宋体" w:hint="default"/>
                <w:spacing w:val="-62"/>
                <w:sz w:val="24"/>
                <w:szCs w:val="24"/>
              </w:rPr>
              <w:t> </w:t>
            </w:r>
            <w:r>
              <w:rPr>
                <w:rFonts w:ascii="Arial" w:hAnsi="Arial" w:cs="Arial" w:eastAsia="Arial" w:hint="default"/>
                <w:sz w:val="24"/>
                <w:szCs w:val="24"/>
              </w:rPr>
              <w:t>2,991,008,000</w:t>
            </w:r>
            <w:r>
              <w:rPr>
                <w:rFonts w:ascii="Arial" w:hAnsi="Arial" w:cs="Arial" w:eastAsia="Arial" w:hint="default"/>
                <w:spacing w:val="52"/>
                <w:sz w:val="24"/>
                <w:szCs w:val="24"/>
              </w:rPr>
              <w:t> </w:t>
            </w:r>
            <w:r>
              <w:rPr>
                <w:rFonts w:ascii="宋体" w:hAnsi="宋体" w:cs="宋体" w:eastAsia="宋体" w:hint="default"/>
                <w:sz w:val="24"/>
                <w:szCs w:val="24"/>
              </w:rPr>
              <w:t>股为基数，向全体股东每</w:t>
            </w:r>
            <w:r>
              <w:rPr>
                <w:rFonts w:ascii="宋体" w:hAnsi="宋体" w:cs="宋体" w:eastAsia="宋体" w:hint="default"/>
                <w:spacing w:val="-62"/>
                <w:sz w:val="24"/>
                <w:szCs w:val="24"/>
              </w:rPr>
              <w:t> </w:t>
            </w:r>
            <w:r>
              <w:rPr>
                <w:rFonts w:ascii="Arial" w:hAnsi="Arial" w:cs="Arial" w:eastAsia="Arial" w:hint="default"/>
                <w:sz w:val="24"/>
                <w:szCs w:val="24"/>
              </w:rPr>
              <w:t>10</w:t>
            </w:r>
            <w:r>
              <w:rPr>
                <w:rFonts w:ascii="Arial" w:hAnsi="Arial" w:cs="Arial" w:eastAsia="Arial" w:hint="default"/>
                <w:spacing w:val="50"/>
                <w:sz w:val="24"/>
                <w:szCs w:val="24"/>
              </w:rPr>
              <w:t> </w:t>
            </w:r>
            <w:r>
              <w:rPr>
                <w:rFonts w:ascii="宋体" w:hAnsi="宋体" w:cs="宋体" w:eastAsia="宋体" w:hint="default"/>
                <w:sz w:val="24"/>
                <w:szCs w:val="24"/>
              </w:rPr>
              <w:t>股送</w:t>
            </w:r>
            <w:r>
              <w:rPr>
                <w:rFonts w:ascii="宋体" w:hAnsi="宋体" w:cs="宋体" w:eastAsia="宋体" w:hint="default"/>
                <w:spacing w:val="-62"/>
                <w:sz w:val="24"/>
                <w:szCs w:val="24"/>
              </w:rPr>
              <w:t> </w:t>
            </w:r>
            <w:r>
              <w:rPr>
                <w:rFonts w:ascii="Arial" w:hAnsi="Arial" w:cs="Arial" w:eastAsia="Arial" w:hint="default"/>
                <w:sz w:val="24"/>
                <w:szCs w:val="24"/>
              </w:rPr>
              <w:t>2</w:t>
            </w:r>
            <w:r>
              <w:rPr>
                <w:rFonts w:ascii="Arial" w:hAnsi="Arial" w:cs="Arial" w:eastAsia="Arial" w:hint="default"/>
                <w:spacing w:val="51"/>
                <w:sz w:val="24"/>
                <w:szCs w:val="24"/>
              </w:rPr>
              <w:t> </w:t>
            </w:r>
            <w:r>
              <w:rPr>
                <w:rFonts w:ascii="宋体" w:hAnsi="宋体" w:cs="宋体" w:eastAsia="宋体" w:hint="default"/>
                <w:sz w:val="24"/>
                <w:szCs w:val="24"/>
              </w:rPr>
              <w:t>股红股并派发</w:t>
            </w:r>
          </w:p>
          <w:p>
            <w:pPr>
              <w:pStyle w:val="TableParagraph"/>
              <w:spacing w:line="312" w:lineRule="exact" w:before="20"/>
              <w:ind w:left="239" w:right="198"/>
              <w:jc w:val="both"/>
              <w:rPr>
                <w:rFonts w:ascii="宋体" w:hAnsi="宋体" w:cs="宋体" w:eastAsia="宋体" w:hint="default"/>
                <w:sz w:val="24"/>
                <w:szCs w:val="24"/>
              </w:rPr>
            </w:pPr>
            <w:r>
              <w:rPr>
                <w:rFonts w:ascii="宋体" w:hAnsi="宋体" w:cs="宋体" w:eastAsia="宋体" w:hint="default"/>
                <w:sz w:val="24"/>
                <w:szCs w:val="24"/>
              </w:rPr>
              <w:t>现金红利人民币 </w:t>
            </w:r>
            <w:r>
              <w:rPr>
                <w:rFonts w:ascii="Arial" w:hAnsi="Arial" w:cs="Arial" w:eastAsia="Arial" w:hint="default"/>
                <w:sz w:val="24"/>
                <w:szCs w:val="24"/>
              </w:rPr>
              <w:t>0.3 </w:t>
            </w:r>
            <w:r>
              <w:rPr>
                <w:rFonts w:ascii="宋体" w:hAnsi="宋体" w:cs="宋体" w:eastAsia="宋体" w:hint="default"/>
                <w:spacing w:val="-7"/>
                <w:sz w:val="24"/>
                <w:szCs w:val="24"/>
              </w:rPr>
              <w:t>元；同时，公司以资本公积金向全体股东每 </w:t>
            </w:r>
            <w:r>
              <w:rPr>
                <w:rFonts w:ascii="Arial" w:hAnsi="Arial" w:cs="Arial" w:eastAsia="Arial" w:hint="default"/>
                <w:sz w:val="24"/>
                <w:szCs w:val="24"/>
              </w:rPr>
              <w:t>10 </w:t>
            </w:r>
            <w:r>
              <w:rPr>
                <w:rFonts w:ascii="宋体" w:hAnsi="宋体" w:cs="宋体" w:eastAsia="宋体" w:hint="default"/>
                <w:sz w:val="24"/>
                <w:szCs w:val="24"/>
              </w:rPr>
              <w:t>股转增</w:t>
            </w:r>
            <w:r>
              <w:rPr>
                <w:rFonts w:ascii="宋体" w:hAnsi="宋体" w:cs="宋体" w:eastAsia="宋体" w:hint="default"/>
                <w:spacing w:val="-56"/>
                <w:sz w:val="24"/>
                <w:szCs w:val="24"/>
              </w:rPr>
              <w:t> </w:t>
            </w:r>
            <w:r>
              <w:rPr>
                <w:rFonts w:ascii="Arial" w:hAnsi="Arial" w:cs="Arial" w:eastAsia="Arial" w:hint="default"/>
                <w:sz w:val="24"/>
                <w:szCs w:val="24"/>
              </w:rPr>
              <w:t>3</w:t>
            </w:r>
            <w:r>
              <w:rPr>
                <w:rFonts w:ascii="Arial" w:hAnsi="Arial" w:cs="Arial" w:eastAsia="Arial" w:hint="default"/>
                <w:w w:val="99"/>
                <w:sz w:val="24"/>
                <w:szCs w:val="24"/>
              </w:rPr>
              <w:t> </w:t>
            </w:r>
            <w:r>
              <w:rPr>
                <w:rFonts w:ascii="宋体" w:hAnsi="宋体" w:cs="宋体" w:eastAsia="宋体" w:hint="default"/>
                <w:sz w:val="24"/>
                <w:szCs w:val="24"/>
              </w:rPr>
              <w:t>股。经过此次分红派息以及资本公积金转增股本后，股本总额变更为人民币</w:t>
            </w:r>
            <w:r>
              <w:rPr>
                <w:rFonts w:ascii="宋体" w:hAnsi="宋体" w:cs="宋体" w:eastAsia="宋体" w:hint="default"/>
                <w:spacing w:val="-55"/>
                <w:sz w:val="24"/>
                <w:szCs w:val="24"/>
              </w:rPr>
              <w:t> </w:t>
            </w:r>
            <w:r>
              <w:rPr>
                <w:rFonts w:ascii="Arial" w:hAnsi="Arial" w:cs="Arial" w:eastAsia="Arial" w:hint="default"/>
                <w:sz w:val="24"/>
                <w:szCs w:val="24"/>
              </w:rPr>
              <w:t>4,486,512,000</w:t>
            </w:r>
            <w:r>
              <w:rPr>
                <w:rFonts w:ascii="Arial" w:hAnsi="Arial" w:cs="Arial" w:eastAsia="Arial" w:hint="default"/>
                <w:spacing w:val="-9"/>
                <w:sz w:val="24"/>
                <w:szCs w:val="24"/>
              </w:rPr>
              <w:t> </w:t>
            </w:r>
            <w:r>
              <w:rPr>
                <w:rFonts w:ascii="宋体" w:hAnsi="宋体" w:cs="宋体" w:eastAsia="宋体" w:hint="default"/>
                <w:sz w:val="24"/>
                <w:szCs w:val="24"/>
              </w:rPr>
              <w:t>元。</w:t>
            </w: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25" w:lineRule="auto"/>
              <w:ind w:left="239" w:right="199"/>
              <w:jc w:val="both"/>
              <w:rPr>
                <w:rFonts w:ascii="宋体" w:hAnsi="宋体" w:cs="宋体" w:eastAsia="宋体" w:hint="default"/>
                <w:sz w:val="24"/>
                <w:szCs w:val="24"/>
              </w:rPr>
            </w:pPr>
            <w:r>
              <w:rPr>
                <w:rFonts w:ascii="宋体" w:hAnsi="宋体" w:cs="宋体" w:eastAsia="宋体" w:hint="default"/>
                <w:sz w:val="24"/>
                <w:szCs w:val="24"/>
              </w:rPr>
              <w:t>经中国证券监督管理委员会证监许可字</w:t>
            </w:r>
            <w:r>
              <w:rPr>
                <w:rFonts w:ascii="Arial" w:hAnsi="Arial" w:cs="Arial" w:eastAsia="Arial" w:hint="default"/>
                <w:sz w:val="24"/>
                <w:szCs w:val="24"/>
              </w:rPr>
              <w:t>[2009]1351</w:t>
            </w:r>
            <w:r>
              <w:rPr>
                <w:rFonts w:ascii="Arial" w:hAnsi="Arial" w:cs="Arial" w:eastAsia="Arial" w:hint="default"/>
                <w:spacing w:val="2"/>
                <w:sz w:val="24"/>
                <w:szCs w:val="24"/>
              </w:rPr>
              <w:t> </w:t>
            </w:r>
            <w:r>
              <w:rPr>
                <w:rFonts w:ascii="宋体" w:hAnsi="宋体" w:cs="宋体" w:eastAsia="宋体" w:hint="default"/>
                <w:sz w:val="24"/>
                <w:szCs w:val="24"/>
              </w:rPr>
              <w:t>号《关于核准苏宁电器股 份有限公司非公开发行股票的批复》批准，本公司于</w:t>
            </w:r>
            <w:r>
              <w:rPr>
                <w:rFonts w:ascii="宋体" w:hAnsi="宋体" w:cs="宋体" w:eastAsia="宋体" w:hint="default"/>
                <w:spacing w:val="-46"/>
                <w:sz w:val="24"/>
                <w:szCs w:val="24"/>
              </w:rPr>
              <w:t> </w:t>
            </w:r>
            <w:r>
              <w:rPr>
                <w:rFonts w:ascii="Arial" w:hAnsi="Arial" w:cs="Arial" w:eastAsia="Arial" w:hint="default"/>
                <w:sz w:val="24"/>
                <w:szCs w:val="24"/>
              </w:rPr>
              <w:t>2009</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46"/>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49"/>
                <w:sz w:val="24"/>
                <w:szCs w:val="24"/>
              </w:rPr>
              <w:t> </w:t>
            </w:r>
            <w:r>
              <w:rPr>
                <w:rFonts w:ascii="Arial" w:hAnsi="Arial" w:cs="Arial" w:eastAsia="Arial" w:hint="default"/>
                <w:sz w:val="24"/>
                <w:szCs w:val="24"/>
              </w:rPr>
              <w:t>23</w:t>
            </w:r>
            <w:r>
              <w:rPr>
                <w:rFonts w:ascii="Arial" w:hAnsi="Arial" w:cs="Arial" w:eastAsia="Arial" w:hint="default"/>
                <w:spacing w:val="7"/>
                <w:sz w:val="24"/>
                <w:szCs w:val="24"/>
              </w:rPr>
              <w:t> </w:t>
            </w:r>
            <w:r>
              <w:rPr>
                <w:rFonts w:ascii="宋体" w:hAnsi="宋体" w:cs="宋体" w:eastAsia="宋体" w:hint="default"/>
                <w:sz w:val="24"/>
                <w:szCs w:val="24"/>
              </w:rPr>
              <w:t>日以 </w:t>
            </w:r>
            <w:r>
              <w:rPr>
                <w:rFonts w:ascii="宋体" w:hAnsi="宋体" w:cs="宋体" w:eastAsia="宋体" w:hint="default"/>
                <w:spacing w:val="9"/>
                <w:sz w:val="24"/>
                <w:szCs w:val="24"/>
              </w:rPr>
              <w:t>非公开发行股票的方式向证券投资基金等特定投资者发行人民币普通股</w:t>
            </w:r>
            <w:r>
              <w:rPr>
                <w:rFonts w:ascii="Arial" w:hAnsi="Arial" w:cs="Arial" w:eastAsia="Arial" w:hint="default"/>
                <w:spacing w:val="9"/>
                <w:sz w:val="24"/>
                <w:szCs w:val="24"/>
              </w:rPr>
              <w:t>(A</w:t>
            </w:r>
            <w:r>
              <w:rPr>
                <w:rFonts w:ascii="Arial" w:hAnsi="Arial" w:cs="Arial" w:eastAsia="Arial" w:hint="default"/>
                <w:spacing w:val="-1"/>
                <w:sz w:val="24"/>
                <w:szCs w:val="24"/>
              </w:rPr>
              <w:t> </w:t>
            </w:r>
            <w:r>
              <w:rPr>
                <w:rFonts w:ascii="宋体" w:hAnsi="宋体" w:cs="宋体" w:eastAsia="宋体" w:hint="default"/>
                <w:sz w:val="24"/>
                <w:szCs w:val="24"/>
              </w:rPr>
              <w:t>股</w:t>
            </w:r>
            <w:r>
              <w:rPr>
                <w:rFonts w:ascii="Arial" w:hAnsi="Arial" w:cs="Arial" w:eastAsia="Arial" w:hint="default"/>
                <w:sz w:val="24"/>
                <w:szCs w:val="24"/>
              </w:rPr>
              <w:t>)177,629,244</w:t>
            </w:r>
            <w:r>
              <w:rPr>
                <w:rFonts w:ascii="Arial" w:hAnsi="Arial" w:cs="Arial" w:eastAsia="Arial" w:hint="default"/>
                <w:spacing w:val="-1"/>
                <w:sz w:val="24"/>
                <w:szCs w:val="24"/>
              </w:rPr>
              <w:t> </w:t>
            </w:r>
            <w:r>
              <w:rPr>
                <w:rFonts w:ascii="宋体" w:hAnsi="宋体" w:cs="宋体" w:eastAsia="宋体" w:hint="default"/>
                <w:sz w:val="24"/>
                <w:szCs w:val="24"/>
              </w:rPr>
              <w:t>股，每股面值人民币</w:t>
            </w:r>
            <w:r>
              <w:rPr>
                <w:rFonts w:ascii="宋体" w:hAnsi="宋体" w:cs="宋体" w:eastAsia="宋体" w:hint="default"/>
                <w:spacing w:val="-57"/>
                <w:sz w:val="24"/>
                <w:szCs w:val="24"/>
              </w:rPr>
              <w:t> </w:t>
            </w:r>
            <w:r>
              <w:rPr>
                <w:rFonts w:ascii="Arial" w:hAnsi="Arial" w:cs="Arial" w:eastAsia="Arial" w:hint="default"/>
                <w:sz w:val="24"/>
                <w:szCs w:val="24"/>
              </w:rPr>
              <w:t>1</w:t>
            </w:r>
            <w:r>
              <w:rPr>
                <w:rFonts w:ascii="Arial" w:hAnsi="Arial" w:cs="Arial" w:eastAsia="Arial" w:hint="default"/>
                <w:spacing w:val="-3"/>
                <w:sz w:val="24"/>
                <w:szCs w:val="24"/>
              </w:rPr>
              <w:t> </w:t>
            </w:r>
            <w:r>
              <w:rPr>
                <w:rFonts w:ascii="宋体" w:hAnsi="宋体" w:cs="宋体" w:eastAsia="宋体" w:hint="default"/>
                <w:sz w:val="24"/>
                <w:szCs w:val="24"/>
              </w:rPr>
              <w:t>元，每股发行价为人民币</w:t>
            </w:r>
            <w:r>
              <w:rPr>
                <w:rFonts w:ascii="宋体" w:hAnsi="宋体" w:cs="宋体" w:eastAsia="宋体" w:hint="default"/>
                <w:spacing w:val="-57"/>
                <w:sz w:val="24"/>
                <w:szCs w:val="24"/>
              </w:rPr>
              <w:t> </w:t>
            </w:r>
            <w:r>
              <w:rPr>
                <w:rFonts w:ascii="Arial" w:hAnsi="Arial" w:cs="Arial" w:eastAsia="Arial" w:hint="default"/>
                <w:sz w:val="24"/>
                <w:szCs w:val="24"/>
              </w:rPr>
              <w:t>17.20</w:t>
            </w:r>
            <w:r>
              <w:rPr>
                <w:rFonts w:ascii="Arial" w:hAnsi="Arial" w:cs="Arial" w:eastAsia="Arial" w:hint="default"/>
                <w:spacing w:val="-3"/>
                <w:sz w:val="24"/>
                <w:szCs w:val="24"/>
              </w:rPr>
              <w:t> </w:t>
            </w:r>
            <w:r>
              <w:rPr>
                <w:rFonts w:ascii="宋体" w:hAnsi="宋体" w:cs="宋体" w:eastAsia="宋体" w:hint="default"/>
                <w:sz w:val="24"/>
                <w:szCs w:val="24"/>
              </w:rPr>
              <w:t>元，</w:t>
            </w:r>
          </w:p>
          <w:p>
            <w:pPr>
              <w:pStyle w:val="TableParagraph"/>
              <w:spacing w:line="315" w:lineRule="exact"/>
              <w:ind w:left="239" w:right="0"/>
              <w:jc w:val="both"/>
              <w:rPr>
                <w:rFonts w:ascii="宋体" w:hAnsi="宋体" w:cs="宋体" w:eastAsia="宋体" w:hint="default"/>
                <w:sz w:val="24"/>
                <w:szCs w:val="24"/>
              </w:rPr>
            </w:pPr>
            <w:r>
              <w:rPr>
                <w:rFonts w:ascii="宋体" w:hAnsi="宋体" w:cs="宋体" w:eastAsia="宋体" w:hint="default"/>
                <w:sz w:val="24"/>
                <w:szCs w:val="24"/>
              </w:rPr>
              <w:t>股本总额变更为人民币</w:t>
            </w:r>
            <w:r>
              <w:rPr>
                <w:rFonts w:ascii="宋体" w:hAnsi="宋体" w:cs="宋体" w:eastAsia="宋体" w:hint="default"/>
                <w:spacing w:val="-63"/>
                <w:sz w:val="24"/>
                <w:szCs w:val="24"/>
              </w:rPr>
              <w:t> </w:t>
            </w:r>
            <w:r>
              <w:rPr>
                <w:rFonts w:ascii="Arial" w:hAnsi="Arial" w:cs="Arial" w:eastAsia="Arial" w:hint="default"/>
                <w:sz w:val="24"/>
                <w:szCs w:val="24"/>
              </w:rPr>
              <w:t>4,664,141,244</w:t>
            </w:r>
            <w:r>
              <w:rPr>
                <w:rFonts w:ascii="Arial" w:hAnsi="Arial" w:cs="Arial" w:eastAsia="Arial" w:hint="default"/>
                <w:spacing w:val="-7"/>
                <w:sz w:val="24"/>
                <w:szCs w:val="24"/>
              </w:rPr>
              <w:t> </w:t>
            </w:r>
            <w:r>
              <w:rPr>
                <w:rFonts w:ascii="宋体" w:hAnsi="宋体" w:cs="宋体" w:eastAsia="宋体" w:hint="default"/>
                <w:sz w:val="24"/>
                <w:szCs w:val="24"/>
              </w:rPr>
              <w:t>元。</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20"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60"/>
                <w:sz w:val="24"/>
                <w:szCs w:val="24"/>
              </w:rPr>
              <w:t> </w:t>
            </w:r>
            <w:r>
              <w:rPr>
                <w:rFonts w:ascii="Arial" w:hAnsi="Arial" w:cs="Arial" w:eastAsia="Arial" w:hint="default"/>
                <w:sz w:val="24"/>
                <w:szCs w:val="24"/>
              </w:rPr>
              <w:t>2010</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4</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6</w:t>
            </w:r>
            <w:r>
              <w:rPr>
                <w:rFonts w:ascii="Arial" w:hAnsi="Arial" w:cs="Arial" w:eastAsia="Arial" w:hint="default"/>
                <w:spacing w:val="-6"/>
                <w:sz w:val="24"/>
                <w:szCs w:val="24"/>
              </w:rPr>
              <w:t> </w:t>
            </w:r>
            <w:r>
              <w:rPr>
                <w:rFonts w:ascii="宋体" w:hAnsi="宋体" w:cs="宋体" w:eastAsia="宋体" w:hint="default"/>
                <w:sz w:val="24"/>
                <w:szCs w:val="24"/>
              </w:rPr>
              <w:t>日召开的</w:t>
            </w:r>
            <w:r>
              <w:rPr>
                <w:rFonts w:ascii="宋体" w:hAnsi="宋体" w:cs="宋体" w:eastAsia="宋体" w:hint="default"/>
                <w:spacing w:val="-60"/>
                <w:sz w:val="24"/>
                <w:szCs w:val="24"/>
              </w:rPr>
              <w:t> </w:t>
            </w:r>
            <w:r>
              <w:rPr>
                <w:rFonts w:ascii="Arial" w:hAnsi="Arial" w:cs="Arial" w:eastAsia="Arial" w:hint="default"/>
                <w:sz w:val="24"/>
                <w:szCs w:val="24"/>
              </w:rPr>
              <w:t>2009</w:t>
            </w:r>
            <w:r>
              <w:rPr>
                <w:rFonts w:ascii="Arial" w:hAnsi="Arial" w:cs="Arial" w:eastAsia="Arial" w:hint="default"/>
                <w:spacing w:val="-6"/>
                <w:sz w:val="24"/>
                <w:szCs w:val="24"/>
              </w:rPr>
              <w:t> </w:t>
            </w:r>
            <w:r>
              <w:rPr>
                <w:rFonts w:ascii="宋体" w:hAnsi="宋体" w:cs="宋体" w:eastAsia="宋体" w:hint="default"/>
                <w:spacing w:val="-4"/>
                <w:sz w:val="24"/>
                <w:szCs w:val="24"/>
              </w:rPr>
              <w:t>年年度股东大会决议通过，本公司以资本</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公积转增股本人民币 </w:t>
            </w:r>
            <w:r>
              <w:rPr>
                <w:rFonts w:ascii="Arial" w:hAnsi="Arial" w:cs="Arial" w:eastAsia="Arial" w:hint="default"/>
                <w:sz w:val="24"/>
                <w:szCs w:val="24"/>
              </w:rPr>
              <w:t>2,332,070,622</w:t>
            </w:r>
            <w:r>
              <w:rPr>
                <w:rFonts w:ascii="Arial" w:hAnsi="Arial" w:cs="Arial" w:eastAsia="Arial" w:hint="default"/>
                <w:spacing w:val="28"/>
                <w:sz w:val="24"/>
                <w:szCs w:val="24"/>
              </w:rPr>
              <w:t> </w:t>
            </w:r>
            <w:r>
              <w:rPr>
                <w:rFonts w:ascii="宋体" w:hAnsi="宋体" w:cs="宋体" w:eastAsia="宋体" w:hint="default"/>
                <w:sz w:val="24"/>
                <w:szCs w:val="24"/>
              </w:rPr>
              <w:t>元。经此次转增后，股本总额变更为人</w:t>
            </w: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民币</w:t>
            </w:r>
            <w:r>
              <w:rPr>
                <w:rFonts w:ascii="宋体" w:hAnsi="宋体" w:cs="宋体" w:eastAsia="宋体" w:hint="default"/>
                <w:spacing w:val="-71"/>
                <w:sz w:val="24"/>
                <w:szCs w:val="24"/>
              </w:rPr>
              <w:t> </w:t>
            </w:r>
            <w:r>
              <w:rPr>
                <w:rFonts w:ascii="Arial" w:hAnsi="Arial" w:cs="Arial" w:eastAsia="Arial" w:hint="default"/>
                <w:sz w:val="24"/>
                <w:szCs w:val="24"/>
              </w:rPr>
              <w:t>6,996,211,866</w:t>
            </w:r>
            <w:r>
              <w:rPr>
                <w:rFonts w:ascii="Arial" w:hAnsi="Arial" w:cs="Arial" w:eastAsia="Arial" w:hint="default"/>
                <w:spacing w:val="-16"/>
                <w:sz w:val="24"/>
                <w:szCs w:val="24"/>
              </w:rPr>
              <w:t> </w:t>
            </w:r>
            <w:r>
              <w:rPr>
                <w:rFonts w:ascii="宋体" w:hAnsi="宋体" w:cs="宋体" w:eastAsia="宋体" w:hint="default"/>
                <w:spacing w:val="-3"/>
                <w:sz w:val="24"/>
                <w:szCs w:val="24"/>
              </w:rPr>
              <w:t>元。</w:t>
            </w:r>
            <w:r>
              <w:rPr>
                <w:rFonts w:ascii="宋体" w:hAnsi="宋体" w:cs="宋体" w:eastAsia="宋体" w:hint="default"/>
                <w:sz w:val="24"/>
                <w:szCs w:val="24"/>
              </w:rPr>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25" w:lineRule="auto"/>
              <w:ind w:left="239" w:right="201"/>
              <w:jc w:val="both"/>
              <w:rPr>
                <w:rFonts w:ascii="宋体" w:hAnsi="宋体" w:cs="宋体" w:eastAsia="宋体" w:hint="default"/>
                <w:sz w:val="24"/>
                <w:szCs w:val="24"/>
              </w:rPr>
            </w:pPr>
            <w:r>
              <w:rPr>
                <w:rFonts w:ascii="宋体" w:hAnsi="宋体" w:cs="宋体" w:eastAsia="宋体" w:hint="default"/>
                <w:sz w:val="24"/>
                <w:szCs w:val="24"/>
              </w:rPr>
              <w:t>经中国证券监督管理委员会证监许可</w:t>
            </w:r>
            <w:r>
              <w:rPr>
                <w:rFonts w:ascii="Arial" w:hAnsi="Arial" w:cs="Arial" w:eastAsia="Arial" w:hint="default"/>
                <w:sz w:val="24"/>
                <w:szCs w:val="24"/>
              </w:rPr>
              <w:t>[2012]477</w:t>
            </w:r>
            <w:r>
              <w:rPr>
                <w:rFonts w:ascii="Arial" w:hAnsi="Arial" w:cs="Arial" w:eastAsia="Arial" w:hint="default"/>
                <w:spacing w:val="-1"/>
                <w:sz w:val="24"/>
                <w:szCs w:val="24"/>
              </w:rPr>
              <w:t> </w:t>
            </w:r>
            <w:r>
              <w:rPr>
                <w:rFonts w:ascii="宋体" w:hAnsi="宋体" w:cs="宋体" w:eastAsia="宋体" w:hint="default"/>
                <w:spacing w:val="-8"/>
                <w:sz w:val="24"/>
                <w:szCs w:val="24"/>
              </w:rPr>
              <w:t>号《关于核准苏宁电器股份有</w:t>
            </w:r>
            <w:r>
              <w:rPr>
                <w:rFonts w:ascii="宋体" w:hAnsi="宋体" w:cs="宋体" w:eastAsia="宋体" w:hint="default"/>
                <w:sz w:val="24"/>
                <w:szCs w:val="24"/>
              </w:rPr>
              <w:t> 限公司非公开发行股票的批复》批准，本公司于</w:t>
            </w:r>
            <w:r>
              <w:rPr>
                <w:rFonts w:ascii="宋体" w:hAnsi="宋体" w:cs="宋体" w:eastAsia="宋体" w:hint="default"/>
                <w:spacing w:val="-41"/>
                <w:sz w:val="24"/>
                <w:szCs w:val="24"/>
              </w:rPr>
              <w:t> </w:t>
            </w:r>
            <w:r>
              <w:rPr>
                <w:rFonts w:ascii="Arial" w:hAnsi="Arial" w:cs="Arial" w:eastAsia="Arial" w:hint="default"/>
                <w:sz w:val="24"/>
                <w:szCs w:val="24"/>
              </w:rPr>
              <w:t>2012</w:t>
            </w:r>
            <w:r>
              <w:rPr>
                <w:rFonts w:ascii="Arial" w:hAnsi="Arial" w:cs="Arial" w:eastAsia="Arial"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42"/>
                <w:sz w:val="24"/>
                <w:szCs w:val="24"/>
              </w:rPr>
              <w:t> </w:t>
            </w:r>
            <w:r>
              <w:rPr>
                <w:rFonts w:ascii="Arial" w:hAnsi="Arial" w:cs="Arial" w:eastAsia="Arial" w:hint="default"/>
                <w:sz w:val="24"/>
                <w:szCs w:val="24"/>
              </w:rPr>
              <w:t>7</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42"/>
                <w:sz w:val="24"/>
                <w:szCs w:val="24"/>
              </w:rPr>
              <w:t> </w:t>
            </w:r>
            <w:r>
              <w:rPr>
                <w:rFonts w:ascii="Arial" w:hAnsi="Arial" w:cs="Arial" w:eastAsia="Arial" w:hint="default"/>
                <w:sz w:val="24"/>
                <w:szCs w:val="24"/>
              </w:rPr>
              <w:t>2</w:t>
            </w:r>
            <w:r>
              <w:rPr>
                <w:rFonts w:ascii="Arial" w:hAnsi="Arial" w:cs="Arial" w:eastAsia="Arial" w:hint="default"/>
                <w:spacing w:val="12"/>
                <w:sz w:val="24"/>
                <w:szCs w:val="24"/>
              </w:rPr>
              <w:t> </w:t>
            </w:r>
            <w:r>
              <w:rPr>
                <w:rFonts w:ascii="宋体" w:hAnsi="宋体" w:cs="宋体" w:eastAsia="宋体" w:hint="default"/>
                <w:sz w:val="24"/>
                <w:szCs w:val="24"/>
              </w:rPr>
              <w:t>日以非公开 发行股票的方式向特定投资者发行人民币普通股</w:t>
            </w:r>
            <w:r>
              <w:rPr>
                <w:rFonts w:ascii="Arial" w:hAnsi="Arial" w:cs="Arial" w:eastAsia="Arial" w:hint="default"/>
                <w:sz w:val="24"/>
                <w:szCs w:val="24"/>
              </w:rPr>
              <w:t>(A </w:t>
            </w:r>
            <w:r>
              <w:rPr>
                <w:rFonts w:ascii="宋体" w:hAnsi="宋体" w:cs="宋体" w:eastAsia="宋体" w:hint="default"/>
                <w:sz w:val="24"/>
                <w:szCs w:val="24"/>
              </w:rPr>
              <w:t>股</w:t>
            </w:r>
            <w:r>
              <w:rPr>
                <w:rFonts w:ascii="Arial" w:hAnsi="Arial" w:cs="Arial" w:eastAsia="Arial" w:hint="default"/>
                <w:sz w:val="24"/>
                <w:szCs w:val="24"/>
              </w:rPr>
              <w:t>) 386,831,284</w:t>
            </w:r>
            <w:r>
              <w:rPr>
                <w:rFonts w:ascii="Arial" w:hAnsi="Arial" w:cs="Arial" w:eastAsia="Arial" w:hint="default"/>
                <w:spacing w:val="-38"/>
                <w:sz w:val="24"/>
                <w:szCs w:val="24"/>
              </w:rPr>
              <w:t> </w:t>
            </w:r>
            <w:r>
              <w:rPr>
                <w:rFonts w:ascii="宋体" w:hAnsi="宋体" w:cs="宋体" w:eastAsia="宋体" w:hint="default"/>
                <w:spacing w:val="-17"/>
                <w:sz w:val="24"/>
                <w:szCs w:val="24"/>
              </w:rPr>
              <w:t>股，每股</w:t>
            </w:r>
            <w:r>
              <w:rPr>
                <w:rFonts w:ascii="宋体" w:hAnsi="宋体" w:cs="宋体" w:eastAsia="宋体" w:hint="default"/>
                <w:sz w:val="24"/>
                <w:szCs w:val="24"/>
              </w:rPr>
              <w:t> 面值人民币 </w:t>
            </w:r>
            <w:r>
              <w:rPr>
                <w:rFonts w:ascii="Arial" w:hAnsi="Arial" w:cs="Arial" w:eastAsia="Arial" w:hint="default"/>
                <w:sz w:val="24"/>
                <w:szCs w:val="24"/>
              </w:rPr>
              <w:t>1  </w:t>
            </w:r>
            <w:r>
              <w:rPr>
                <w:rFonts w:ascii="宋体" w:hAnsi="宋体" w:cs="宋体" w:eastAsia="宋体" w:hint="default"/>
                <w:sz w:val="24"/>
                <w:szCs w:val="24"/>
              </w:rPr>
              <w:t>元，每股发行价为人民币 </w:t>
            </w:r>
            <w:r>
              <w:rPr>
                <w:rFonts w:ascii="Arial" w:hAnsi="Arial" w:cs="Arial" w:eastAsia="Arial" w:hint="default"/>
                <w:sz w:val="24"/>
                <w:szCs w:val="24"/>
              </w:rPr>
              <w:t>12.15 </w:t>
            </w:r>
            <w:r>
              <w:rPr>
                <w:rFonts w:ascii="Arial" w:hAnsi="Arial" w:cs="Arial" w:eastAsia="Arial" w:hint="default"/>
                <w:spacing w:val="24"/>
                <w:sz w:val="24"/>
                <w:szCs w:val="24"/>
              </w:rPr>
              <w:t> </w:t>
            </w:r>
            <w:r>
              <w:rPr>
                <w:rFonts w:ascii="宋体" w:hAnsi="宋体" w:cs="宋体" w:eastAsia="宋体" w:hint="default"/>
                <w:sz w:val="24"/>
                <w:szCs w:val="24"/>
              </w:rPr>
              <w:t>元，股本总额变更为人民币</w:t>
            </w:r>
          </w:p>
          <w:p>
            <w:pPr>
              <w:pStyle w:val="TableParagraph"/>
              <w:spacing w:line="316" w:lineRule="exact"/>
              <w:ind w:left="239" w:right="0"/>
              <w:jc w:val="both"/>
              <w:rPr>
                <w:rFonts w:ascii="宋体" w:hAnsi="宋体" w:cs="宋体" w:eastAsia="宋体" w:hint="default"/>
                <w:sz w:val="24"/>
                <w:szCs w:val="24"/>
              </w:rPr>
            </w:pPr>
            <w:r>
              <w:rPr>
                <w:rFonts w:ascii="Arial" w:hAnsi="Arial" w:cs="Arial" w:eastAsia="Arial" w:hint="default"/>
                <w:sz w:val="24"/>
                <w:szCs w:val="24"/>
              </w:rPr>
              <w:t>7,383,043,150</w:t>
            </w:r>
            <w:r>
              <w:rPr>
                <w:rFonts w:ascii="Arial" w:hAnsi="Arial" w:cs="Arial" w:eastAsia="Arial" w:hint="default"/>
                <w:spacing w:val="-13"/>
                <w:sz w:val="24"/>
                <w:szCs w:val="24"/>
              </w:rPr>
              <w:t> </w:t>
            </w:r>
            <w:r>
              <w:rPr>
                <w:rFonts w:ascii="宋体" w:hAnsi="宋体" w:cs="宋体" w:eastAsia="宋体" w:hint="default"/>
                <w:sz w:val="24"/>
                <w:szCs w:val="24"/>
              </w:rPr>
              <w:t>元，详见附注五</w:t>
            </w:r>
            <w:r>
              <w:rPr>
                <w:rFonts w:ascii="Arial" w:hAnsi="Arial" w:cs="Arial" w:eastAsia="Arial" w:hint="default"/>
                <w:sz w:val="24"/>
                <w:szCs w:val="24"/>
              </w:rPr>
              <w:t>(33)</w:t>
            </w:r>
            <w:r>
              <w:rPr>
                <w:rFonts w:ascii="宋体" w:hAnsi="宋体" w:cs="宋体" w:eastAsia="宋体" w:hint="default"/>
                <w:sz w:val="24"/>
                <w:szCs w:val="24"/>
              </w:rPr>
              <w:t>。</w:t>
            </w: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60"/>
                <w:sz w:val="24"/>
                <w:szCs w:val="24"/>
              </w:rPr>
              <w:t> </w:t>
            </w:r>
            <w:r>
              <w:rPr>
                <w:rFonts w:ascii="Arial" w:hAnsi="Arial" w:cs="Arial" w:eastAsia="Arial" w:hint="default"/>
                <w:sz w:val="24"/>
                <w:szCs w:val="24"/>
              </w:rPr>
              <w:t>2005</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8</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4</w:t>
            </w:r>
            <w:r>
              <w:rPr>
                <w:rFonts w:ascii="Arial" w:hAnsi="Arial" w:cs="Arial" w:eastAsia="Arial" w:hint="default"/>
                <w:spacing w:val="-6"/>
                <w:sz w:val="24"/>
                <w:szCs w:val="24"/>
              </w:rPr>
              <w:t> </w:t>
            </w:r>
            <w:r>
              <w:rPr>
                <w:rFonts w:ascii="宋体" w:hAnsi="宋体" w:cs="宋体" w:eastAsia="宋体" w:hint="default"/>
                <w:sz w:val="24"/>
                <w:szCs w:val="24"/>
              </w:rPr>
              <w:t>日召开的</w:t>
            </w:r>
            <w:r>
              <w:rPr>
                <w:rFonts w:ascii="宋体" w:hAnsi="宋体" w:cs="宋体" w:eastAsia="宋体" w:hint="default"/>
                <w:spacing w:val="-60"/>
                <w:sz w:val="24"/>
                <w:szCs w:val="24"/>
              </w:rPr>
              <w:t> </w:t>
            </w:r>
            <w:r>
              <w:rPr>
                <w:rFonts w:ascii="Arial" w:hAnsi="Arial" w:cs="Arial" w:eastAsia="Arial" w:hint="default"/>
                <w:sz w:val="24"/>
                <w:szCs w:val="24"/>
              </w:rPr>
              <w:t>2005</w:t>
            </w:r>
            <w:r>
              <w:rPr>
                <w:rFonts w:ascii="Arial" w:hAnsi="Arial" w:cs="Arial" w:eastAsia="Arial" w:hint="default"/>
                <w:spacing w:val="-6"/>
                <w:sz w:val="24"/>
                <w:szCs w:val="24"/>
              </w:rPr>
              <w:t> </w:t>
            </w:r>
            <w:r>
              <w:rPr>
                <w:rFonts w:ascii="宋体" w:hAnsi="宋体" w:cs="宋体" w:eastAsia="宋体" w:hint="default"/>
                <w:spacing w:val="-4"/>
                <w:sz w:val="24"/>
                <w:szCs w:val="24"/>
              </w:rPr>
              <w:t>年第一次临时股东大会审议通过，本公司</w:t>
            </w:r>
          </w:p>
          <w:p>
            <w:pPr>
              <w:pStyle w:val="TableParagraph"/>
              <w:spacing w:line="312" w:lineRule="exact"/>
              <w:ind w:left="239" w:right="0"/>
              <w:jc w:val="both"/>
              <w:rPr>
                <w:rFonts w:ascii="Arial" w:hAnsi="Arial" w:cs="Arial" w:eastAsia="Arial" w:hint="default"/>
                <w:sz w:val="24"/>
                <w:szCs w:val="24"/>
              </w:rPr>
            </w:pPr>
            <w:r>
              <w:rPr>
                <w:rFonts w:ascii="宋体" w:hAnsi="宋体" w:cs="宋体" w:eastAsia="宋体" w:hint="default"/>
                <w:sz w:val="24"/>
                <w:szCs w:val="24"/>
              </w:rPr>
              <w:t>全体非流通股股东根据《股权分置改革方案》向股份变更登记日</w:t>
            </w:r>
            <w:r>
              <w:rPr>
                <w:rFonts w:ascii="Arial" w:hAnsi="Arial" w:cs="Arial" w:eastAsia="Arial" w:hint="default"/>
                <w:sz w:val="24"/>
                <w:szCs w:val="24"/>
              </w:rPr>
              <w:t>(2005  </w:t>
            </w:r>
            <w:r>
              <w:rPr>
                <w:rFonts w:ascii="宋体" w:hAnsi="宋体" w:cs="宋体" w:eastAsia="宋体" w:hint="default"/>
                <w:sz w:val="24"/>
                <w:szCs w:val="24"/>
              </w:rPr>
              <w:t>年</w:t>
            </w:r>
            <w:r>
              <w:rPr>
                <w:rFonts w:ascii="宋体" w:hAnsi="宋体" w:cs="宋体" w:eastAsia="宋体" w:hint="default"/>
                <w:spacing w:val="32"/>
                <w:sz w:val="24"/>
                <w:szCs w:val="24"/>
              </w:rPr>
              <w:t> </w:t>
            </w:r>
            <w:r>
              <w:rPr>
                <w:rFonts w:ascii="Arial" w:hAnsi="Arial" w:cs="Arial" w:eastAsia="Arial" w:hint="default"/>
                <w:sz w:val="24"/>
                <w:szCs w:val="24"/>
              </w:rPr>
              <w:t>8</w:t>
            </w:r>
          </w:p>
          <w:p>
            <w:pPr>
              <w:pStyle w:val="TableParagraph"/>
              <w:spacing w:line="311" w:lineRule="exact"/>
              <w:ind w:left="239" w:right="0"/>
              <w:jc w:val="both"/>
              <w:rPr>
                <w:rFonts w:ascii="Arial" w:hAnsi="Arial" w:cs="Arial" w:eastAsia="Arial" w:hint="default"/>
                <w:sz w:val="24"/>
                <w:szCs w:val="24"/>
              </w:rPr>
            </w:pP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9</w:t>
            </w:r>
            <w:r>
              <w:rPr>
                <w:rFonts w:ascii="Arial" w:hAnsi="Arial" w:cs="Arial" w:eastAsia="Arial" w:hint="default"/>
                <w:spacing w:val="-2"/>
                <w:sz w:val="24"/>
                <w:szCs w:val="24"/>
              </w:rPr>
              <w:t> </w:t>
            </w:r>
            <w:r>
              <w:rPr>
                <w:rFonts w:ascii="宋体" w:hAnsi="宋体" w:cs="宋体" w:eastAsia="宋体" w:hint="default"/>
                <w:sz w:val="24"/>
                <w:szCs w:val="24"/>
              </w:rPr>
              <w:t>日</w:t>
            </w:r>
            <w:r>
              <w:rPr>
                <w:rFonts w:ascii="Arial" w:hAnsi="Arial" w:cs="Arial" w:eastAsia="Arial" w:hint="default"/>
                <w:sz w:val="24"/>
                <w:szCs w:val="24"/>
              </w:rPr>
              <w:t>)</w:t>
            </w:r>
            <w:r>
              <w:rPr>
                <w:rFonts w:ascii="宋体" w:hAnsi="宋体" w:cs="宋体" w:eastAsia="宋体" w:hint="default"/>
                <w:sz w:val="24"/>
                <w:szCs w:val="24"/>
              </w:rPr>
              <w:t>登记在册的流通股股东每</w:t>
            </w:r>
            <w:r>
              <w:rPr>
                <w:rFonts w:ascii="宋体" w:hAnsi="宋体" w:cs="宋体" w:eastAsia="宋体" w:hint="default"/>
                <w:spacing w:val="-56"/>
                <w:sz w:val="24"/>
                <w:szCs w:val="24"/>
              </w:rPr>
              <w:t> </w:t>
            </w:r>
            <w:r>
              <w:rPr>
                <w:rFonts w:ascii="Arial" w:hAnsi="Arial" w:cs="Arial" w:eastAsia="Arial" w:hint="default"/>
                <w:sz w:val="24"/>
                <w:szCs w:val="24"/>
              </w:rPr>
              <w:t>10</w:t>
            </w:r>
            <w:r>
              <w:rPr>
                <w:rFonts w:ascii="Arial" w:hAnsi="Arial" w:cs="Arial" w:eastAsia="Arial" w:hint="default"/>
                <w:spacing w:val="-2"/>
                <w:sz w:val="24"/>
                <w:szCs w:val="24"/>
              </w:rPr>
              <w:t> </w:t>
            </w:r>
            <w:r>
              <w:rPr>
                <w:rFonts w:ascii="宋体" w:hAnsi="宋体" w:cs="宋体" w:eastAsia="宋体" w:hint="default"/>
                <w:sz w:val="24"/>
                <w:szCs w:val="24"/>
              </w:rPr>
              <w:t>股支付</w:t>
            </w:r>
            <w:r>
              <w:rPr>
                <w:rFonts w:ascii="宋体" w:hAnsi="宋体" w:cs="宋体" w:eastAsia="宋体" w:hint="default"/>
                <w:spacing w:val="-57"/>
                <w:sz w:val="24"/>
                <w:szCs w:val="24"/>
              </w:rPr>
              <w:t> </w:t>
            </w:r>
            <w:r>
              <w:rPr>
                <w:rFonts w:ascii="Arial" w:hAnsi="Arial" w:cs="Arial" w:eastAsia="Arial" w:hint="default"/>
                <w:sz w:val="24"/>
                <w:szCs w:val="24"/>
              </w:rPr>
              <w:t>2.5</w:t>
            </w:r>
            <w:r>
              <w:rPr>
                <w:rFonts w:ascii="Arial" w:hAnsi="Arial" w:cs="Arial" w:eastAsia="Arial" w:hint="default"/>
                <w:spacing w:val="-2"/>
                <w:sz w:val="24"/>
                <w:szCs w:val="24"/>
              </w:rPr>
              <w:t> </w:t>
            </w:r>
            <w:r>
              <w:rPr>
                <w:rFonts w:ascii="宋体" w:hAnsi="宋体" w:cs="宋体" w:eastAsia="宋体" w:hint="default"/>
                <w:sz w:val="24"/>
                <w:szCs w:val="24"/>
              </w:rPr>
              <w:t>股对价股份，共</w:t>
            </w:r>
            <w:r>
              <w:rPr>
                <w:rFonts w:ascii="宋体" w:hAnsi="宋体" w:cs="宋体" w:eastAsia="宋体" w:hint="default"/>
                <w:spacing w:val="-56"/>
                <w:sz w:val="24"/>
                <w:szCs w:val="24"/>
              </w:rPr>
              <w:t> </w:t>
            </w:r>
            <w:r>
              <w:rPr>
                <w:rFonts w:ascii="Arial" w:hAnsi="Arial" w:cs="Arial" w:eastAsia="Arial" w:hint="default"/>
                <w:sz w:val="24"/>
                <w:szCs w:val="24"/>
              </w:rPr>
              <w:t>12,500,000</w:t>
            </w:r>
          </w:p>
          <w:p>
            <w:pPr>
              <w:pStyle w:val="TableParagraph"/>
              <w:spacing w:line="312" w:lineRule="exact" w:before="20"/>
              <w:ind w:left="239" w:right="202"/>
              <w:jc w:val="both"/>
              <w:rPr>
                <w:rFonts w:ascii="宋体" w:hAnsi="宋体" w:cs="宋体" w:eastAsia="宋体" w:hint="default"/>
                <w:sz w:val="24"/>
                <w:szCs w:val="24"/>
              </w:rPr>
            </w:pPr>
            <w:r>
              <w:rPr>
                <w:rFonts w:ascii="宋体" w:hAnsi="宋体" w:cs="宋体" w:eastAsia="宋体" w:hint="default"/>
                <w:sz w:val="24"/>
                <w:szCs w:val="24"/>
              </w:rPr>
              <w:t>股对价股份。由此，自</w:t>
            </w:r>
            <w:r>
              <w:rPr>
                <w:rFonts w:ascii="宋体" w:hAnsi="宋体" w:cs="宋体" w:eastAsia="宋体" w:hint="default"/>
                <w:spacing w:val="-65"/>
                <w:sz w:val="24"/>
                <w:szCs w:val="24"/>
              </w:rPr>
              <w:t> </w:t>
            </w:r>
            <w:r>
              <w:rPr>
                <w:rFonts w:ascii="Arial" w:hAnsi="Arial" w:cs="Arial" w:eastAsia="Arial" w:hint="default"/>
                <w:sz w:val="24"/>
                <w:szCs w:val="24"/>
              </w:rPr>
              <w:t>2005</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8</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z w:val="24"/>
                <w:szCs w:val="24"/>
              </w:rPr>
              <w:t>10</w:t>
            </w:r>
            <w:r>
              <w:rPr>
                <w:rFonts w:ascii="Arial" w:hAnsi="Arial" w:cs="Arial" w:eastAsia="Arial" w:hint="default"/>
                <w:spacing w:val="-11"/>
                <w:sz w:val="24"/>
                <w:szCs w:val="24"/>
              </w:rPr>
              <w:t> </w:t>
            </w:r>
            <w:r>
              <w:rPr>
                <w:rFonts w:ascii="宋体" w:hAnsi="宋体" w:cs="宋体" w:eastAsia="宋体" w:hint="default"/>
                <w:sz w:val="24"/>
                <w:szCs w:val="24"/>
              </w:rPr>
              <w:t>日起，本公司原非流通股股东持有的 非流通股股份的性质，变更为有限售条件的流通股。</w:t>
            </w: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20" w:lineRule="exact"/>
              <w:ind w:left="239" w:right="0"/>
              <w:jc w:val="both"/>
              <w:rPr>
                <w:rFonts w:ascii="Arial" w:hAnsi="Arial" w:cs="Arial" w:eastAsia="Arial" w:hint="default"/>
                <w:sz w:val="24"/>
                <w:szCs w:val="24"/>
              </w:rPr>
            </w:pPr>
            <w:r>
              <w:rPr>
                <w:rFonts w:ascii="宋体" w:hAnsi="宋体" w:cs="宋体" w:eastAsia="宋体" w:hint="default"/>
                <w:sz w:val="24"/>
                <w:szCs w:val="24"/>
              </w:rPr>
              <w:t>本公司于</w:t>
            </w:r>
            <w:r>
              <w:rPr>
                <w:rFonts w:ascii="宋体" w:hAnsi="宋体" w:cs="宋体" w:eastAsia="宋体" w:hint="default"/>
                <w:spacing w:val="-77"/>
                <w:sz w:val="24"/>
                <w:szCs w:val="24"/>
              </w:rPr>
              <w:t> </w:t>
            </w:r>
            <w:r>
              <w:rPr>
                <w:rFonts w:ascii="Arial" w:hAnsi="Arial" w:cs="Arial" w:eastAsia="Arial" w:hint="default"/>
                <w:w w:val="99"/>
                <w:sz w:val="24"/>
                <w:szCs w:val="24"/>
              </w:rPr>
              <w:t>2009</w:t>
            </w:r>
            <w:r>
              <w:rPr>
                <w:rFonts w:ascii="Arial" w:hAnsi="Arial" w:cs="Arial" w:eastAsia="Arial" w:hint="default"/>
                <w:spacing w:val="-22"/>
                <w:sz w:val="24"/>
                <w:szCs w:val="24"/>
              </w:rPr>
              <w:t> </w:t>
            </w:r>
            <w:r>
              <w:rPr>
                <w:rFonts w:ascii="宋体" w:hAnsi="宋体" w:cs="宋体" w:eastAsia="宋体" w:hint="default"/>
                <w:sz w:val="24"/>
                <w:szCs w:val="24"/>
              </w:rPr>
              <w:t>年</w:t>
            </w:r>
            <w:r>
              <w:rPr>
                <w:rFonts w:ascii="宋体" w:hAnsi="宋体" w:cs="宋体" w:eastAsia="宋体" w:hint="default"/>
                <w:spacing w:val="-77"/>
                <w:sz w:val="24"/>
                <w:szCs w:val="24"/>
              </w:rPr>
              <w:t> </w:t>
            </w:r>
            <w:r>
              <w:rPr>
                <w:rFonts w:ascii="Arial" w:hAnsi="Arial" w:cs="Arial" w:eastAsia="Arial" w:hint="default"/>
                <w:w w:val="99"/>
                <w:sz w:val="24"/>
                <w:szCs w:val="24"/>
              </w:rPr>
              <w:t>5</w:t>
            </w:r>
            <w:r>
              <w:rPr>
                <w:rFonts w:ascii="Arial" w:hAnsi="Arial" w:cs="Arial" w:eastAsia="Arial" w:hint="default"/>
                <w:spacing w:val="-23"/>
                <w:sz w:val="24"/>
                <w:szCs w:val="24"/>
              </w:rPr>
              <w:t> </w:t>
            </w:r>
            <w:r>
              <w:rPr>
                <w:rFonts w:ascii="宋体" w:hAnsi="宋体" w:cs="宋体" w:eastAsia="宋体" w:hint="default"/>
                <w:sz w:val="24"/>
                <w:szCs w:val="24"/>
              </w:rPr>
              <w:t>月</w:t>
            </w:r>
            <w:r>
              <w:rPr>
                <w:rFonts w:ascii="宋体" w:hAnsi="宋体" w:cs="宋体" w:eastAsia="宋体" w:hint="default"/>
                <w:spacing w:val="-80"/>
                <w:sz w:val="24"/>
                <w:szCs w:val="24"/>
              </w:rPr>
              <w:t> </w:t>
            </w:r>
            <w:r>
              <w:rPr>
                <w:rFonts w:ascii="Arial" w:hAnsi="Arial" w:cs="Arial" w:eastAsia="Arial" w:hint="default"/>
                <w:w w:val="99"/>
                <w:sz w:val="24"/>
                <w:szCs w:val="24"/>
              </w:rPr>
              <w:t>22</w:t>
            </w:r>
            <w:r>
              <w:rPr>
                <w:rFonts w:ascii="Arial" w:hAnsi="Arial" w:cs="Arial" w:eastAsia="Arial" w:hint="default"/>
                <w:spacing w:val="-23"/>
                <w:sz w:val="24"/>
                <w:szCs w:val="24"/>
              </w:rPr>
              <w:t> </w:t>
            </w:r>
            <w:r>
              <w:rPr>
                <w:rFonts w:ascii="宋体" w:hAnsi="宋体" w:cs="宋体" w:eastAsia="宋体" w:hint="default"/>
                <w:sz w:val="24"/>
                <w:szCs w:val="24"/>
              </w:rPr>
              <w:t>日解禁有限售条</w:t>
            </w:r>
            <w:r>
              <w:rPr>
                <w:rFonts w:ascii="宋体" w:hAnsi="宋体" w:cs="宋体" w:eastAsia="宋体" w:hint="default"/>
                <w:spacing w:val="-3"/>
                <w:sz w:val="24"/>
                <w:szCs w:val="24"/>
              </w:rPr>
              <w:t>件</w:t>
            </w:r>
            <w:r>
              <w:rPr>
                <w:rFonts w:ascii="宋体" w:hAnsi="宋体" w:cs="宋体" w:eastAsia="宋体" w:hint="default"/>
                <w:sz w:val="24"/>
                <w:szCs w:val="24"/>
              </w:rPr>
              <w:t>流通股股份</w:t>
            </w:r>
            <w:r>
              <w:rPr>
                <w:rFonts w:ascii="宋体" w:hAnsi="宋体" w:cs="宋体" w:eastAsia="宋体" w:hint="default"/>
                <w:spacing w:val="-77"/>
                <w:sz w:val="24"/>
                <w:szCs w:val="24"/>
              </w:rPr>
              <w:t> </w:t>
            </w:r>
            <w:r>
              <w:rPr>
                <w:rFonts w:ascii="Arial" w:hAnsi="Arial" w:cs="Arial" w:eastAsia="Arial" w:hint="default"/>
                <w:w w:val="99"/>
                <w:sz w:val="24"/>
                <w:szCs w:val="24"/>
              </w:rPr>
              <w:t>16</w:t>
            </w:r>
            <w:r>
              <w:rPr>
                <w:rFonts w:ascii="Arial" w:hAnsi="Arial" w:cs="Arial" w:eastAsia="Arial" w:hint="default"/>
                <w:w w:val="100"/>
                <w:sz w:val="24"/>
                <w:szCs w:val="24"/>
              </w:rPr>
              <w:t>,</w:t>
            </w:r>
            <w:r>
              <w:rPr>
                <w:rFonts w:ascii="Arial" w:hAnsi="Arial" w:cs="Arial" w:eastAsia="Arial" w:hint="default"/>
                <w:spacing w:val="-1"/>
                <w:w w:val="100"/>
                <w:sz w:val="24"/>
                <w:szCs w:val="24"/>
              </w:rPr>
              <w:t>2</w:t>
            </w:r>
            <w:r>
              <w:rPr>
                <w:rFonts w:ascii="Arial" w:hAnsi="Arial" w:cs="Arial" w:eastAsia="Arial" w:hint="default"/>
                <w:w w:val="99"/>
                <w:sz w:val="24"/>
                <w:szCs w:val="24"/>
              </w:rPr>
              <w:t>00</w:t>
            </w:r>
            <w:r>
              <w:rPr>
                <w:rFonts w:ascii="Arial" w:hAnsi="Arial" w:cs="Arial" w:eastAsia="Arial" w:hint="default"/>
                <w:spacing w:val="-22"/>
                <w:sz w:val="24"/>
                <w:szCs w:val="24"/>
              </w:rPr>
              <w:t> </w:t>
            </w:r>
            <w:r>
              <w:rPr>
                <w:rFonts w:ascii="宋体" w:hAnsi="宋体" w:cs="宋体" w:eastAsia="宋体" w:hint="default"/>
                <w:spacing w:val="-3"/>
                <w:sz w:val="24"/>
                <w:szCs w:val="24"/>
              </w:rPr>
              <w:t>万</w:t>
            </w:r>
            <w:r>
              <w:rPr>
                <w:rFonts w:ascii="宋体" w:hAnsi="宋体" w:cs="宋体" w:eastAsia="宋体" w:hint="default"/>
                <w:sz w:val="24"/>
                <w:szCs w:val="24"/>
              </w:rPr>
              <w:t>股</w:t>
            </w:r>
            <w:r>
              <w:rPr>
                <w:rFonts w:ascii="宋体" w:hAnsi="宋体" w:cs="宋体" w:eastAsia="宋体" w:hint="default"/>
                <w:spacing w:val="-120"/>
                <w:sz w:val="24"/>
                <w:szCs w:val="24"/>
              </w:rPr>
              <w:t>；</w:t>
            </w:r>
            <w:r>
              <w:rPr>
                <w:rFonts w:ascii="宋体" w:hAnsi="宋体" w:cs="宋体" w:eastAsia="宋体" w:hint="default"/>
                <w:sz w:val="24"/>
                <w:szCs w:val="24"/>
              </w:rPr>
              <w:t>于</w:t>
            </w:r>
            <w:r>
              <w:rPr>
                <w:rFonts w:ascii="宋体" w:hAnsi="宋体" w:cs="宋体" w:eastAsia="宋体" w:hint="default"/>
                <w:spacing w:val="-77"/>
                <w:sz w:val="24"/>
                <w:szCs w:val="24"/>
              </w:rPr>
              <w:t> </w:t>
            </w:r>
            <w:r>
              <w:rPr>
                <w:rFonts w:ascii="Arial" w:hAnsi="Arial" w:cs="Arial" w:eastAsia="Arial" w:hint="default"/>
                <w:w w:val="99"/>
                <w:sz w:val="24"/>
                <w:szCs w:val="24"/>
              </w:rPr>
              <w:t>2010</w:t>
            </w:r>
            <w:r>
              <w:rPr>
                <w:rFonts w:ascii="Arial" w:hAnsi="Arial" w:cs="Arial" w:eastAsia="Arial" w:hint="default"/>
                <w:sz w:val="24"/>
                <w:szCs w:val="24"/>
              </w:rPr>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8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pacing w:val="-8"/>
                <w:sz w:val="24"/>
                <w:szCs w:val="24"/>
              </w:rPr>
              <w:t>11</w:t>
            </w:r>
            <w:r>
              <w:rPr>
                <w:rFonts w:ascii="Arial" w:hAnsi="Arial" w:cs="Arial" w:eastAsia="Arial" w:hint="default"/>
                <w:sz w:val="24"/>
                <w:szCs w:val="24"/>
              </w:rPr>
              <w:t> </w:t>
            </w:r>
            <w:r>
              <w:rPr>
                <w:rFonts w:ascii="宋体" w:hAnsi="宋体" w:cs="宋体" w:eastAsia="宋体" w:hint="default"/>
                <w:sz w:val="24"/>
                <w:szCs w:val="24"/>
              </w:rPr>
              <w:t>日解禁有限售条件流通股股份</w:t>
            </w:r>
            <w:r>
              <w:rPr>
                <w:rFonts w:ascii="宋体" w:hAnsi="宋体" w:cs="宋体" w:eastAsia="宋体" w:hint="default"/>
                <w:spacing w:val="-53"/>
                <w:sz w:val="24"/>
                <w:szCs w:val="24"/>
              </w:rPr>
              <w:t> </w:t>
            </w:r>
            <w:r>
              <w:rPr>
                <w:rFonts w:ascii="Arial" w:hAnsi="Arial" w:cs="Arial" w:eastAsia="Arial" w:hint="default"/>
                <w:sz w:val="24"/>
                <w:szCs w:val="24"/>
              </w:rPr>
              <w:t>487,952,857</w:t>
            </w:r>
            <w:r>
              <w:rPr>
                <w:rFonts w:ascii="Arial" w:hAnsi="Arial" w:cs="Arial" w:eastAsia="Arial" w:hint="default"/>
                <w:spacing w:val="2"/>
                <w:sz w:val="24"/>
                <w:szCs w:val="24"/>
              </w:rPr>
              <w:t> </w:t>
            </w:r>
            <w:r>
              <w:rPr>
                <w:rFonts w:ascii="宋体" w:hAnsi="宋体" w:cs="宋体" w:eastAsia="宋体" w:hint="default"/>
                <w:sz w:val="24"/>
                <w:szCs w:val="24"/>
              </w:rPr>
              <w:t>股，于</w:t>
            </w:r>
            <w:r>
              <w:rPr>
                <w:rFonts w:ascii="宋体" w:hAnsi="宋体" w:cs="宋体" w:eastAsia="宋体" w:hint="default"/>
                <w:spacing w:val="-56"/>
                <w:sz w:val="24"/>
                <w:szCs w:val="24"/>
              </w:rPr>
              <w:t> </w:t>
            </w:r>
            <w:r>
              <w:rPr>
                <w:rFonts w:ascii="Arial" w:hAnsi="Arial" w:cs="Arial" w:eastAsia="Arial" w:hint="default"/>
                <w:sz w:val="24"/>
                <w:szCs w:val="24"/>
              </w:rPr>
              <w:t>2010</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12 </w:t>
            </w:r>
            <w:r>
              <w:rPr>
                <w:rFonts w:ascii="宋体" w:hAnsi="宋体" w:cs="宋体" w:eastAsia="宋体" w:hint="default"/>
                <w:sz w:val="24"/>
                <w:szCs w:val="24"/>
              </w:rPr>
              <w:t>月</w:t>
            </w:r>
          </w:p>
          <w:p>
            <w:pPr>
              <w:pStyle w:val="TableParagraph"/>
              <w:spacing w:line="312" w:lineRule="exact" w:before="21"/>
              <w:ind w:left="239" w:right="199"/>
              <w:jc w:val="both"/>
              <w:rPr>
                <w:rFonts w:ascii="宋体" w:hAnsi="宋体" w:cs="宋体" w:eastAsia="宋体" w:hint="default"/>
                <w:sz w:val="24"/>
                <w:szCs w:val="24"/>
              </w:rPr>
            </w:pP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日解禁有限售条件流通股股份</w:t>
            </w:r>
            <w:r>
              <w:rPr>
                <w:rFonts w:ascii="宋体" w:hAnsi="宋体" w:cs="宋体" w:eastAsia="宋体" w:hint="default"/>
                <w:spacing w:val="-62"/>
                <w:sz w:val="24"/>
                <w:szCs w:val="24"/>
              </w:rPr>
              <w:t> </w:t>
            </w:r>
            <w:r>
              <w:rPr>
                <w:rFonts w:ascii="Arial" w:hAnsi="Arial" w:cs="Arial" w:eastAsia="Arial" w:hint="default"/>
                <w:sz w:val="24"/>
                <w:szCs w:val="24"/>
              </w:rPr>
              <w:t>240,281,076</w:t>
            </w:r>
            <w:r>
              <w:rPr>
                <w:rFonts w:ascii="Arial" w:hAnsi="Arial" w:cs="Arial" w:eastAsia="Arial" w:hint="default"/>
                <w:spacing w:val="-6"/>
                <w:sz w:val="24"/>
                <w:szCs w:val="24"/>
              </w:rPr>
              <w:t> </w:t>
            </w:r>
            <w:r>
              <w:rPr>
                <w:rFonts w:ascii="宋体" w:hAnsi="宋体" w:cs="宋体" w:eastAsia="宋体" w:hint="default"/>
                <w:spacing w:val="-4"/>
                <w:sz w:val="24"/>
                <w:szCs w:val="24"/>
              </w:rPr>
              <w:t>股。截至</w:t>
            </w:r>
            <w:r>
              <w:rPr>
                <w:rFonts w:ascii="宋体" w:hAnsi="宋体" w:cs="宋体" w:eastAsia="宋体" w:hint="default"/>
                <w:spacing w:val="-65"/>
                <w:sz w:val="24"/>
                <w:szCs w:val="24"/>
              </w:rPr>
              <w:t> </w:t>
            </w: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 止，有限售条件的流通股的情况，详见附注五</w:t>
            </w:r>
            <w:r>
              <w:rPr>
                <w:rFonts w:ascii="Arial" w:hAnsi="Arial" w:cs="Arial" w:eastAsia="Arial" w:hint="default"/>
                <w:sz w:val="24"/>
                <w:szCs w:val="24"/>
              </w:rPr>
              <w:t>(33)</w:t>
            </w:r>
            <w:r>
              <w:rPr>
                <w:rFonts w:ascii="宋体" w:hAnsi="宋体" w:cs="宋体" w:eastAsia="宋体" w:hint="default"/>
                <w:sz w:val="24"/>
                <w:szCs w:val="24"/>
              </w:rPr>
              <w:t>。</w:t>
            </w:r>
          </w:p>
        </w:tc>
      </w:tr>
    </w:tbl>
    <w:p>
      <w:pPr>
        <w:spacing w:after="0" w:line="312" w:lineRule="exact"/>
        <w:jc w:val="both"/>
        <w:rPr>
          <w:rFonts w:ascii="宋体" w:hAnsi="宋体" w:cs="宋体" w:eastAsia="宋体"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2704" type="#_x0000_t75" stroked="false">
            <v:imagedata r:id="rId10" o:title=""/>
          </v:shape>
        </w:pict>
      </w:r>
    </w:p>
    <w:p>
      <w:pPr>
        <w:spacing w:line="240" w:lineRule="auto" w:before="9"/>
        <w:rPr>
          <w:rFonts w:ascii="Times New Roman" w:hAnsi="Times New Roman" w:cs="Times New Roman" w:eastAsia="Times New Roman"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680"/>
        <w:gridCol w:w="8553"/>
      </w:tblGrid>
      <w:tr>
        <w:trPr>
          <w:trHeight w:val="326"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一</w:t>
            </w:r>
          </w:p>
        </w:tc>
        <w:tc>
          <w:tcPr>
            <w:tcW w:w="8553" w:type="dxa"/>
            <w:tcBorders>
              <w:top w:val="nil" w:sz="6" w:space="0" w:color="auto"/>
              <w:left w:val="nil" w:sz="6" w:space="0" w:color="auto"/>
              <w:bottom w:val="nil" w:sz="6" w:space="0" w:color="auto"/>
              <w:right w:val="nil" w:sz="6" w:space="0" w:color="auto"/>
            </w:tcBorders>
          </w:tcPr>
          <w:p>
            <w:pPr>
              <w:pStyle w:val="TableParagraph"/>
              <w:spacing w:line="257" w:lineRule="exact"/>
              <w:ind w:left="239" w:right="0"/>
              <w:jc w:val="left"/>
              <w:rPr>
                <w:rFonts w:ascii="Arial" w:hAnsi="Arial" w:cs="Arial" w:eastAsia="Arial" w:hint="default"/>
                <w:sz w:val="24"/>
                <w:szCs w:val="24"/>
              </w:rPr>
            </w:pPr>
            <w:r>
              <w:rPr>
                <w:rFonts w:ascii="黑体" w:hAnsi="黑体" w:cs="黑体" w:eastAsia="黑体" w:hint="default"/>
                <w:sz w:val="24"/>
                <w:szCs w:val="24"/>
              </w:rPr>
              <w:t>公司基本情况</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2436" w:hRule="exact"/>
        </w:trPr>
        <w:tc>
          <w:tcPr>
            <w:tcW w:w="680" w:type="dxa"/>
            <w:tcBorders>
              <w:top w:val="nil" w:sz="6" w:space="0" w:color="auto"/>
              <w:left w:val="nil" w:sz="6" w:space="0" w:color="auto"/>
              <w:bottom w:val="nil" w:sz="6" w:space="0" w:color="auto"/>
              <w:right w:val="nil" w:sz="6" w:space="0" w:color="auto"/>
            </w:tcBorders>
          </w:tcPr>
          <w:p>
            <w:pPr/>
          </w:p>
        </w:tc>
        <w:tc>
          <w:tcPr>
            <w:tcW w:w="8553" w:type="dxa"/>
            <w:tcBorders>
              <w:top w:val="nil" w:sz="6" w:space="0" w:color="auto"/>
              <w:left w:val="nil" w:sz="6" w:space="0" w:color="auto"/>
              <w:bottom w:val="nil" w:sz="6" w:space="0" w:color="auto"/>
              <w:right w:val="nil" w:sz="6" w:space="0" w:color="auto"/>
            </w:tcBorders>
          </w:tcPr>
          <w:p>
            <w:pPr>
              <w:pStyle w:val="TableParagraph"/>
              <w:spacing w:line="230" w:lineRule="auto" w:before="11"/>
              <w:ind w:left="239" w:right="198"/>
              <w:jc w:val="left"/>
              <w:rPr>
                <w:rFonts w:ascii="宋体" w:hAnsi="宋体" w:cs="宋体" w:eastAsia="宋体" w:hint="default"/>
                <w:sz w:val="24"/>
                <w:szCs w:val="24"/>
              </w:rPr>
            </w:pPr>
            <w:r>
              <w:rPr>
                <w:rFonts w:ascii="宋体" w:hAnsi="宋体" w:cs="宋体" w:eastAsia="宋体" w:hint="default"/>
                <w:spacing w:val="-3"/>
                <w:sz w:val="24"/>
                <w:szCs w:val="24"/>
              </w:rPr>
              <w:t>本公司及子公司</w:t>
            </w:r>
            <w:r>
              <w:rPr>
                <w:rFonts w:ascii="Arial" w:hAnsi="Arial" w:cs="Arial" w:eastAsia="Arial" w:hint="default"/>
                <w:spacing w:val="-3"/>
                <w:sz w:val="24"/>
                <w:szCs w:val="24"/>
              </w:rPr>
              <w:t>(</w:t>
            </w:r>
            <w:r>
              <w:rPr>
                <w:rFonts w:ascii="宋体" w:hAnsi="宋体" w:cs="宋体" w:eastAsia="宋体" w:hint="default"/>
                <w:spacing w:val="-3"/>
                <w:sz w:val="24"/>
                <w:szCs w:val="24"/>
              </w:rPr>
              <w:t>以下合称“本集团”</w:t>
            </w:r>
            <w:r>
              <w:rPr>
                <w:rFonts w:ascii="Arial" w:hAnsi="Arial" w:cs="Arial" w:eastAsia="Arial" w:hint="default"/>
                <w:spacing w:val="-3"/>
                <w:sz w:val="24"/>
                <w:szCs w:val="24"/>
              </w:rPr>
              <w:t>)</w:t>
            </w:r>
            <w:r>
              <w:rPr>
                <w:rFonts w:ascii="宋体" w:hAnsi="宋体" w:cs="宋体" w:eastAsia="宋体" w:hint="default"/>
                <w:spacing w:val="-3"/>
                <w:sz w:val="24"/>
                <w:szCs w:val="24"/>
              </w:rPr>
              <w:t>主要经营家用电器、电子产品、办公设</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2"/>
                <w:sz w:val="24"/>
                <w:szCs w:val="24"/>
              </w:rPr>
              <w:t>备、通讯产品及配件的连锁销售和服务，计算机软件开发、销售、系统集成，</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百货、自行车、电动助力车、摩托车、汽车的连锁销售，实业投资，场地租</w:t>
            </w:r>
          </w:p>
          <w:p>
            <w:pPr>
              <w:pStyle w:val="TableParagraph"/>
              <w:spacing w:line="237" w:lineRule="auto" w:before="2"/>
              <w:ind w:left="239" w:right="311"/>
              <w:jc w:val="both"/>
              <w:rPr>
                <w:rFonts w:ascii="宋体" w:hAnsi="宋体" w:cs="宋体" w:eastAsia="宋体" w:hint="default"/>
                <w:sz w:val="24"/>
                <w:szCs w:val="24"/>
              </w:rPr>
            </w:pPr>
            <w:r>
              <w:rPr>
                <w:rFonts w:ascii="宋体" w:hAnsi="宋体" w:cs="宋体" w:eastAsia="宋体" w:hint="default"/>
                <w:sz w:val="24"/>
                <w:szCs w:val="24"/>
              </w:rPr>
              <w:t>赁，柜台出租，国内商品展览服务，企业形象策划，经济信息咨询服务，人</w:t>
            </w:r>
            <w:r>
              <w:rPr>
                <w:rFonts w:ascii="宋体" w:hAnsi="宋体" w:cs="宋体" w:eastAsia="宋体" w:hint="default"/>
                <w:spacing w:val="-55"/>
                <w:sz w:val="24"/>
                <w:szCs w:val="24"/>
              </w:rPr>
              <w:t> </w:t>
            </w:r>
            <w:r>
              <w:rPr>
                <w:rFonts w:ascii="宋体" w:hAnsi="宋体" w:cs="宋体" w:eastAsia="宋体" w:hint="default"/>
                <w:sz w:val="24"/>
                <w:szCs w:val="24"/>
              </w:rPr>
              <w:t>才培训，商务代理，仓储，微型计算机配件、软件的销售，微型计算机的安</w:t>
            </w:r>
            <w:r>
              <w:rPr>
                <w:rFonts w:ascii="宋体" w:hAnsi="宋体" w:cs="宋体" w:eastAsia="宋体" w:hint="default"/>
                <w:spacing w:val="-55"/>
                <w:sz w:val="24"/>
                <w:szCs w:val="24"/>
              </w:rPr>
              <w:t> </w:t>
            </w:r>
            <w:r>
              <w:rPr>
                <w:rFonts w:ascii="宋体" w:hAnsi="宋体" w:cs="宋体" w:eastAsia="宋体" w:hint="default"/>
                <w:sz w:val="24"/>
                <w:szCs w:val="24"/>
              </w:rPr>
              <w:t>装及维修，废旧物资的回收与销售，乐器销售，工艺礼品，纪念品销售，国</w:t>
            </w:r>
            <w:r>
              <w:rPr>
                <w:rFonts w:ascii="宋体" w:hAnsi="宋体" w:cs="宋体" w:eastAsia="宋体" w:hint="default"/>
                <w:spacing w:val="-55"/>
                <w:sz w:val="24"/>
                <w:szCs w:val="24"/>
              </w:rPr>
              <w:t> </w:t>
            </w:r>
            <w:r>
              <w:rPr>
                <w:rFonts w:ascii="宋体" w:hAnsi="宋体" w:cs="宋体" w:eastAsia="宋体" w:hint="default"/>
                <w:sz w:val="24"/>
                <w:szCs w:val="24"/>
              </w:rPr>
              <w:t>内贸易。</w:t>
            </w:r>
          </w:p>
        </w:tc>
      </w:tr>
      <w:tr>
        <w:trPr>
          <w:trHeight w:val="506" w:hRule="exact"/>
        </w:trPr>
        <w:tc>
          <w:tcPr>
            <w:tcW w:w="680" w:type="dxa"/>
            <w:tcBorders>
              <w:top w:val="nil" w:sz="6" w:space="0" w:color="auto"/>
              <w:left w:val="nil" w:sz="6" w:space="0" w:color="auto"/>
              <w:bottom w:val="nil" w:sz="6" w:space="0" w:color="auto"/>
              <w:right w:val="nil" w:sz="6" w:space="0" w:color="auto"/>
            </w:tcBorders>
          </w:tcPr>
          <w:p>
            <w:pPr/>
          </w:p>
        </w:tc>
        <w:tc>
          <w:tcPr>
            <w:tcW w:w="8553"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239" w:right="0"/>
              <w:jc w:val="left"/>
              <w:rPr>
                <w:rFonts w:ascii="宋体" w:hAnsi="宋体" w:cs="宋体" w:eastAsia="宋体" w:hint="default"/>
                <w:sz w:val="24"/>
                <w:szCs w:val="24"/>
              </w:rPr>
            </w:pPr>
            <w:r>
              <w:rPr>
                <w:rFonts w:ascii="宋体" w:hAnsi="宋体" w:cs="宋体" w:eastAsia="宋体" w:hint="default"/>
                <w:sz w:val="24"/>
                <w:szCs w:val="24"/>
              </w:rPr>
              <w:t>本财务报表由本公司董事会于</w:t>
            </w:r>
            <w:r>
              <w:rPr>
                <w:rFonts w:ascii="宋体" w:hAnsi="宋体" w:cs="宋体" w:eastAsia="宋体" w:hint="default"/>
                <w:spacing w:val="-61"/>
                <w:sz w:val="24"/>
                <w:szCs w:val="24"/>
              </w:rPr>
              <w:t> </w:t>
            </w:r>
            <w:r>
              <w:rPr>
                <w:rFonts w:ascii="Arial" w:hAnsi="Arial" w:cs="Arial" w:eastAsia="Arial" w:hint="default"/>
                <w:sz w:val="24"/>
                <w:szCs w:val="24"/>
              </w:rPr>
              <w:t>2013</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28</w:t>
            </w:r>
            <w:r>
              <w:rPr>
                <w:rFonts w:ascii="Arial" w:hAnsi="Arial" w:cs="Arial" w:eastAsia="Arial" w:hint="default"/>
                <w:spacing w:val="-7"/>
                <w:sz w:val="24"/>
                <w:szCs w:val="24"/>
              </w:rPr>
              <w:t> </w:t>
            </w:r>
            <w:r>
              <w:rPr>
                <w:rFonts w:ascii="宋体" w:hAnsi="宋体" w:cs="宋体" w:eastAsia="宋体" w:hint="default"/>
                <w:sz w:val="24"/>
                <w:szCs w:val="24"/>
              </w:rPr>
              <w:t>日批准报出。</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07"/>
        <w:gridCol w:w="8409"/>
      </w:tblGrid>
      <w:tr>
        <w:trPr>
          <w:trHeight w:val="491"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exact"/>
              <w:ind w:right="64"/>
              <w:jc w:val="center"/>
              <w:rPr>
                <w:rFonts w:ascii="黑体" w:hAnsi="黑体" w:cs="黑体" w:eastAsia="黑体" w:hint="default"/>
                <w:sz w:val="24"/>
                <w:szCs w:val="24"/>
              </w:rPr>
            </w:pPr>
            <w:r>
              <w:rPr>
                <w:rFonts w:ascii="黑体" w:hAnsi="黑体" w:cs="黑体" w:eastAsia="黑体" w:hint="default"/>
                <w:sz w:val="24"/>
                <w:szCs w:val="24"/>
              </w:rPr>
              <w:t>二</w:t>
            </w:r>
          </w:p>
        </w:tc>
        <w:tc>
          <w:tcPr>
            <w:tcW w:w="8409" w:type="dxa"/>
            <w:tcBorders>
              <w:top w:val="nil" w:sz="6" w:space="0" w:color="auto"/>
              <w:left w:val="nil" w:sz="6" w:space="0" w:color="auto"/>
              <w:bottom w:val="nil" w:sz="6" w:space="0" w:color="auto"/>
              <w:right w:val="nil" w:sz="6" w:space="0" w:color="auto"/>
            </w:tcBorders>
          </w:tcPr>
          <w:p>
            <w:pPr>
              <w:pStyle w:val="TableParagraph"/>
              <w:spacing w:line="240" w:lineRule="exact"/>
              <w:ind w:left="213" w:right="0"/>
              <w:jc w:val="left"/>
              <w:rPr>
                <w:rFonts w:ascii="黑体" w:hAnsi="黑体" w:cs="黑体" w:eastAsia="黑体" w:hint="default"/>
                <w:sz w:val="24"/>
                <w:szCs w:val="24"/>
              </w:rPr>
            </w:pPr>
            <w:r>
              <w:rPr>
                <w:rFonts w:ascii="黑体" w:hAnsi="黑体" w:cs="黑体" w:eastAsia="黑体" w:hint="default"/>
                <w:sz w:val="24"/>
                <w:szCs w:val="24"/>
              </w:rPr>
              <w:t>主要会计政策和会计估计</w:t>
            </w:r>
          </w:p>
        </w:tc>
      </w:tr>
      <w:tr>
        <w:trPr>
          <w:trHeight w:val="751"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center"/>
              <w:rPr>
                <w:rFonts w:ascii="Arial" w:hAnsi="Arial" w:cs="Arial" w:eastAsia="Arial" w:hint="default"/>
                <w:sz w:val="24"/>
                <w:szCs w:val="24"/>
              </w:rPr>
            </w:pPr>
            <w:r>
              <w:rPr>
                <w:rFonts w:ascii="Arial"/>
                <w:sz w:val="24"/>
              </w:rPr>
              <w:t>(1)</w:t>
            </w:r>
          </w:p>
        </w:tc>
        <w:tc>
          <w:tcPr>
            <w:tcW w:w="8409"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213" w:right="0"/>
              <w:jc w:val="left"/>
              <w:rPr>
                <w:rFonts w:ascii="黑体" w:hAnsi="黑体" w:cs="黑体" w:eastAsia="黑体" w:hint="default"/>
                <w:sz w:val="24"/>
                <w:szCs w:val="24"/>
              </w:rPr>
            </w:pPr>
            <w:r>
              <w:rPr>
                <w:rFonts w:ascii="黑体" w:hAnsi="黑体" w:cs="黑体" w:eastAsia="黑体" w:hint="default"/>
                <w:sz w:val="24"/>
                <w:szCs w:val="24"/>
              </w:rPr>
              <w:t>财务报表的编制基础</w:t>
            </w:r>
          </w:p>
        </w:tc>
      </w:tr>
      <w:tr>
        <w:trPr>
          <w:trHeight w:val="1993" w:hRule="exact"/>
        </w:trPr>
        <w:tc>
          <w:tcPr>
            <w:tcW w:w="707"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320" w:lineRule="exact" w:before="179"/>
              <w:ind w:left="213" w:right="0"/>
              <w:jc w:val="both"/>
              <w:rPr>
                <w:rFonts w:ascii="宋体" w:hAnsi="宋体" w:cs="宋体" w:eastAsia="宋体" w:hint="default"/>
                <w:sz w:val="24"/>
                <w:szCs w:val="24"/>
              </w:rPr>
            </w:pPr>
            <w:r>
              <w:rPr>
                <w:rFonts w:ascii="宋体" w:hAnsi="宋体" w:cs="宋体" w:eastAsia="宋体" w:hint="default"/>
                <w:sz w:val="24"/>
                <w:szCs w:val="24"/>
              </w:rPr>
              <w:t>本财务报表按照财政部于</w:t>
            </w:r>
            <w:r>
              <w:rPr>
                <w:rFonts w:ascii="宋体" w:hAnsi="宋体" w:cs="宋体" w:eastAsia="宋体" w:hint="default"/>
                <w:spacing w:val="-65"/>
                <w:sz w:val="24"/>
                <w:szCs w:val="24"/>
              </w:rPr>
              <w:t> </w:t>
            </w:r>
            <w:r>
              <w:rPr>
                <w:rFonts w:ascii="Arial" w:hAnsi="Arial" w:cs="Arial" w:eastAsia="Arial" w:hint="default"/>
                <w:sz w:val="24"/>
                <w:szCs w:val="24"/>
              </w:rPr>
              <w:t>2006</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z w:val="24"/>
                <w:szCs w:val="24"/>
              </w:rPr>
              <w:t>15</w:t>
            </w:r>
            <w:r>
              <w:rPr>
                <w:rFonts w:ascii="Arial" w:hAnsi="Arial" w:cs="Arial" w:eastAsia="Arial" w:hint="default"/>
                <w:spacing w:val="-11"/>
                <w:sz w:val="24"/>
                <w:szCs w:val="24"/>
              </w:rPr>
              <w:t> </w:t>
            </w:r>
            <w:r>
              <w:rPr>
                <w:rFonts w:ascii="宋体" w:hAnsi="宋体" w:cs="宋体" w:eastAsia="宋体" w:hint="default"/>
                <w:sz w:val="24"/>
                <w:szCs w:val="24"/>
              </w:rPr>
              <w:t>日颁布的《企业会计准则——基本</w:t>
            </w:r>
          </w:p>
          <w:p>
            <w:pPr>
              <w:pStyle w:val="TableParagraph"/>
              <w:spacing w:line="225" w:lineRule="auto" w:before="6"/>
              <w:ind w:left="213" w:right="198"/>
              <w:jc w:val="both"/>
              <w:rPr>
                <w:rFonts w:ascii="宋体" w:hAnsi="宋体" w:cs="宋体" w:eastAsia="宋体" w:hint="default"/>
                <w:sz w:val="24"/>
                <w:szCs w:val="24"/>
              </w:rPr>
            </w:pPr>
            <w:r>
              <w:rPr>
                <w:rFonts w:ascii="宋体" w:hAnsi="宋体" w:cs="宋体" w:eastAsia="宋体" w:hint="default"/>
                <w:spacing w:val="-6"/>
                <w:sz w:val="24"/>
                <w:szCs w:val="24"/>
              </w:rPr>
              <w:t>准则》和</w:t>
            </w:r>
            <w:r>
              <w:rPr>
                <w:rFonts w:ascii="宋体" w:hAnsi="宋体" w:cs="宋体" w:eastAsia="宋体" w:hint="default"/>
                <w:spacing w:val="-85"/>
                <w:sz w:val="24"/>
                <w:szCs w:val="24"/>
              </w:rPr>
              <w:t> </w:t>
            </w:r>
            <w:r>
              <w:rPr>
                <w:rFonts w:ascii="Arial" w:hAnsi="Arial" w:cs="Arial" w:eastAsia="Arial" w:hint="default"/>
                <w:sz w:val="24"/>
                <w:szCs w:val="24"/>
              </w:rPr>
              <w:t>38</w:t>
            </w:r>
            <w:r>
              <w:rPr>
                <w:rFonts w:ascii="Arial" w:hAnsi="Arial" w:cs="Arial" w:eastAsia="Arial" w:hint="default"/>
                <w:spacing w:val="-31"/>
                <w:sz w:val="24"/>
                <w:szCs w:val="24"/>
              </w:rPr>
              <w:t> </w:t>
            </w:r>
            <w:r>
              <w:rPr>
                <w:rFonts w:ascii="宋体" w:hAnsi="宋体" w:cs="宋体" w:eastAsia="宋体" w:hint="default"/>
                <w:sz w:val="24"/>
                <w:szCs w:val="24"/>
              </w:rPr>
              <w:t>项具体会计准则、其后颁布的企业会计准则应用指南、企业会计 </w:t>
            </w:r>
            <w:r>
              <w:rPr>
                <w:rFonts w:ascii="宋体" w:hAnsi="宋体" w:cs="宋体" w:eastAsia="宋体" w:hint="default"/>
                <w:spacing w:val="-1"/>
                <w:sz w:val="24"/>
                <w:szCs w:val="24"/>
              </w:rPr>
              <w:t>准则解释以及其他相关规定</w:t>
            </w:r>
            <w:r>
              <w:rPr>
                <w:rFonts w:ascii="Arial" w:hAnsi="Arial" w:cs="Arial" w:eastAsia="Arial" w:hint="default"/>
                <w:spacing w:val="-1"/>
                <w:sz w:val="24"/>
                <w:szCs w:val="24"/>
              </w:rPr>
              <w:t>(</w:t>
            </w:r>
            <w:r>
              <w:rPr>
                <w:rFonts w:ascii="宋体" w:hAnsi="宋体" w:cs="宋体" w:eastAsia="宋体" w:hint="default"/>
                <w:spacing w:val="-1"/>
                <w:sz w:val="24"/>
                <w:szCs w:val="24"/>
              </w:rPr>
              <w:t>以下合称</w:t>
            </w:r>
            <w:r>
              <w:rPr>
                <w:rFonts w:ascii="Arial" w:hAnsi="Arial" w:cs="Arial" w:eastAsia="Arial" w:hint="default"/>
                <w:spacing w:val="-1"/>
                <w:sz w:val="24"/>
                <w:szCs w:val="24"/>
              </w:rPr>
              <w:t>“</w:t>
            </w:r>
            <w:r>
              <w:rPr>
                <w:rFonts w:ascii="宋体" w:hAnsi="宋体" w:cs="宋体" w:eastAsia="宋体" w:hint="default"/>
                <w:spacing w:val="-1"/>
                <w:sz w:val="24"/>
                <w:szCs w:val="24"/>
              </w:rPr>
              <w:t>企业会计准则</w:t>
            </w:r>
            <w:r>
              <w:rPr>
                <w:rFonts w:ascii="Arial" w:hAnsi="Arial" w:cs="Arial" w:eastAsia="Arial" w:hint="default"/>
                <w:spacing w:val="-1"/>
                <w:sz w:val="24"/>
                <w:szCs w:val="24"/>
              </w:rPr>
              <w:t>”)</w:t>
            </w:r>
            <w:r>
              <w:rPr>
                <w:rFonts w:ascii="宋体" w:hAnsi="宋体" w:cs="宋体" w:eastAsia="宋体" w:hint="default"/>
                <w:spacing w:val="-1"/>
                <w:sz w:val="24"/>
                <w:szCs w:val="24"/>
              </w:rPr>
              <w:t>、以及中国证券监督管</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理委员会《公开发行证券的公司信息披露编报规则第 </w:t>
            </w:r>
            <w:r>
              <w:rPr>
                <w:rFonts w:ascii="Arial" w:hAnsi="Arial" w:cs="Arial" w:eastAsia="Arial" w:hint="default"/>
                <w:sz w:val="24"/>
                <w:szCs w:val="24"/>
              </w:rPr>
              <w:t>15</w:t>
            </w:r>
            <w:r>
              <w:rPr>
                <w:rFonts w:ascii="Arial" w:hAnsi="Arial" w:cs="Arial" w:eastAsia="Arial" w:hint="default"/>
                <w:spacing w:val="26"/>
                <w:sz w:val="24"/>
                <w:szCs w:val="24"/>
              </w:rPr>
              <w:t> </w:t>
            </w:r>
            <w:r>
              <w:rPr>
                <w:rFonts w:ascii="宋体" w:hAnsi="宋体" w:cs="宋体" w:eastAsia="宋体" w:hint="default"/>
                <w:sz w:val="24"/>
                <w:szCs w:val="24"/>
              </w:rPr>
              <w:t>号——财务报告的 一般规定》</w:t>
            </w:r>
            <w:r>
              <w:rPr>
                <w:rFonts w:ascii="Arial" w:hAnsi="Arial" w:cs="Arial" w:eastAsia="Arial" w:hint="default"/>
                <w:sz w:val="24"/>
                <w:szCs w:val="24"/>
              </w:rPr>
              <w:t>(2010</w:t>
            </w:r>
            <w:r>
              <w:rPr>
                <w:rFonts w:ascii="Arial" w:hAnsi="Arial" w:cs="Arial" w:eastAsia="Arial" w:hint="default"/>
                <w:spacing w:val="-10"/>
                <w:sz w:val="24"/>
                <w:szCs w:val="24"/>
              </w:rPr>
              <w:t> </w:t>
            </w:r>
            <w:r>
              <w:rPr>
                <w:rFonts w:ascii="宋体" w:hAnsi="宋体" w:cs="宋体" w:eastAsia="宋体" w:hint="default"/>
                <w:sz w:val="24"/>
                <w:szCs w:val="24"/>
              </w:rPr>
              <w:t>年修订</w:t>
            </w:r>
            <w:r>
              <w:rPr>
                <w:rFonts w:ascii="Arial" w:hAnsi="Arial" w:cs="Arial" w:eastAsia="Arial" w:hint="default"/>
                <w:sz w:val="24"/>
                <w:szCs w:val="24"/>
              </w:rPr>
              <w:t>)</w:t>
            </w:r>
            <w:r>
              <w:rPr>
                <w:rFonts w:ascii="宋体" w:hAnsi="宋体" w:cs="宋体" w:eastAsia="宋体" w:hint="default"/>
                <w:sz w:val="24"/>
                <w:szCs w:val="24"/>
              </w:rPr>
              <w:t>的披露规定编制。</w:t>
            </w:r>
          </w:p>
        </w:tc>
      </w:tr>
      <w:tr>
        <w:trPr>
          <w:trHeight w:val="751"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1"/>
              <w:jc w:val="center"/>
              <w:rPr>
                <w:rFonts w:ascii="Arial" w:hAnsi="Arial" w:cs="Arial" w:eastAsia="Arial" w:hint="default"/>
                <w:sz w:val="24"/>
                <w:szCs w:val="24"/>
              </w:rPr>
            </w:pPr>
            <w:r>
              <w:rPr>
                <w:rFonts w:ascii="Arial"/>
                <w:sz w:val="24"/>
              </w:rPr>
              <w:t>(2)</w:t>
            </w:r>
          </w:p>
        </w:tc>
        <w:tc>
          <w:tcPr>
            <w:tcW w:w="8409"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13" w:right="0"/>
              <w:jc w:val="left"/>
              <w:rPr>
                <w:rFonts w:ascii="黑体" w:hAnsi="黑体" w:cs="黑体" w:eastAsia="黑体" w:hint="default"/>
                <w:sz w:val="24"/>
                <w:szCs w:val="24"/>
              </w:rPr>
            </w:pPr>
            <w:r>
              <w:rPr>
                <w:rFonts w:ascii="黑体" w:hAnsi="黑体" w:cs="黑体" w:eastAsia="黑体" w:hint="default"/>
                <w:sz w:val="24"/>
                <w:szCs w:val="24"/>
              </w:rPr>
              <w:t>遵循企业会计准则的声明</w:t>
            </w:r>
          </w:p>
        </w:tc>
      </w:tr>
      <w:tr>
        <w:trPr>
          <w:trHeight w:val="1375" w:hRule="exact"/>
        </w:trPr>
        <w:tc>
          <w:tcPr>
            <w:tcW w:w="707"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320" w:lineRule="exact" w:before="185"/>
              <w:ind w:left="213" w:right="0"/>
              <w:jc w:val="left"/>
              <w:rPr>
                <w:rFonts w:ascii="宋体" w:hAnsi="宋体" w:cs="宋体" w:eastAsia="宋体" w:hint="default"/>
                <w:sz w:val="24"/>
                <w:szCs w:val="24"/>
              </w:rPr>
            </w:pPr>
            <w:r>
              <w:rPr>
                <w:rFonts w:ascii="宋体" w:hAnsi="宋体" w:cs="宋体" w:eastAsia="宋体" w:hint="default"/>
                <w:sz w:val="24"/>
                <w:szCs w:val="24"/>
              </w:rPr>
              <w:t>本公司</w:t>
            </w:r>
            <w:r>
              <w:rPr>
                <w:rFonts w:ascii="宋体" w:hAnsi="宋体" w:cs="宋体" w:eastAsia="宋体" w:hint="default"/>
                <w:spacing w:val="-57"/>
                <w:sz w:val="24"/>
                <w:szCs w:val="24"/>
              </w:rPr>
              <w:t> </w:t>
            </w:r>
            <w:r>
              <w:rPr>
                <w:rFonts w:ascii="Arial" w:hAnsi="Arial" w:cs="Arial" w:eastAsia="Arial" w:hint="default"/>
                <w:sz w:val="24"/>
                <w:szCs w:val="24"/>
              </w:rPr>
              <w:t>2012</w:t>
            </w:r>
            <w:r>
              <w:rPr>
                <w:rFonts w:ascii="Arial" w:hAnsi="Arial" w:cs="Arial" w:eastAsia="Arial" w:hint="default"/>
                <w:spacing w:val="-3"/>
                <w:sz w:val="24"/>
                <w:szCs w:val="24"/>
              </w:rPr>
              <w:t> </w:t>
            </w:r>
            <w:r>
              <w:rPr>
                <w:rFonts w:ascii="宋体" w:hAnsi="宋体" w:cs="宋体" w:eastAsia="宋体" w:hint="default"/>
                <w:spacing w:val="-4"/>
                <w:sz w:val="24"/>
                <w:szCs w:val="24"/>
              </w:rPr>
              <w:t>年度财务报表符合企业会计准则的要求，真实、完整地反映了本</w:t>
            </w:r>
          </w:p>
          <w:p>
            <w:pPr>
              <w:pStyle w:val="TableParagraph"/>
              <w:spacing w:line="312" w:lineRule="exact" w:before="20"/>
              <w:ind w:left="213" w:right="198"/>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3"/>
                <w:sz w:val="24"/>
                <w:szCs w:val="24"/>
              </w:rPr>
              <w:t> </w:t>
            </w:r>
            <w:r>
              <w:rPr>
                <w:rFonts w:ascii="Arial" w:hAnsi="Arial" w:cs="Arial" w:eastAsia="Arial" w:hint="default"/>
                <w:sz w:val="24"/>
                <w:szCs w:val="24"/>
              </w:rPr>
              <w:t>2012</w:t>
            </w:r>
            <w:r>
              <w:rPr>
                <w:rFonts w:ascii="Arial" w:hAnsi="Arial" w:cs="Arial" w:eastAsia="Arial" w:hint="default"/>
                <w:spacing w:val="-19"/>
                <w:sz w:val="24"/>
                <w:szCs w:val="24"/>
              </w:rPr>
              <w:t> </w:t>
            </w:r>
            <w:r>
              <w:rPr>
                <w:rFonts w:ascii="宋体" w:hAnsi="宋体" w:cs="宋体" w:eastAsia="宋体" w:hint="default"/>
                <w:sz w:val="24"/>
                <w:szCs w:val="24"/>
              </w:rPr>
              <w:t>年</w:t>
            </w:r>
            <w:r>
              <w:rPr>
                <w:rFonts w:ascii="宋体" w:hAnsi="宋体" w:cs="宋体" w:eastAsia="宋体" w:hint="default"/>
                <w:spacing w:val="-73"/>
                <w:sz w:val="24"/>
                <w:szCs w:val="24"/>
              </w:rPr>
              <w:t> </w:t>
            </w:r>
            <w:r>
              <w:rPr>
                <w:rFonts w:ascii="Arial" w:hAnsi="Arial" w:cs="Arial" w:eastAsia="Arial" w:hint="default"/>
                <w:sz w:val="24"/>
                <w:szCs w:val="24"/>
              </w:rPr>
              <w:t>12</w:t>
            </w:r>
            <w:r>
              <w:rPr>
                <w:rFonts w:ascii="Arial" w:hAnsi="Arial" w:cs="Arial" w:eastAsia="Arial" w:hint="default"/>
                <w:spacing w:val="-19"/>
                <w:sz w:val="24"/>
                <w:szCs w:val="24"/>
              </w:rPr>
              <w:t> </w:t>
            </w:r>
            <w:r>
              <w:rPr>
                <w:rFonts w:ascii="宋体" w:hAnsi="宋体" w:cs="宋体" w:eastAsia="宋体" w:hint="default"/>
                <w:sz w:val="24"/>
                <w:szCs w:val="24"/>
              </w:rPr>
              <w:t>月</w:t>
            </w:r>
            <w:r>
              <w:rPr>
                <w:rFonts w:ascii="宋体" w:hAnsi="宋体" w:cs="宋体" w:eastAsia="宋体" w:hint="default"/>
                <w:spacing w:val="-73"/>
                <w:sz w:val="24"/>
                <w:szCs w:val="24"/>
              </w:rPr>
              <w:t> </w:t>
            </w:r>
            <w:r>
              <w:rPr>
                <w:rFonts w:ascii="Arial" w:hAnsi="Arial" w:cs="Arial" w:eastAsia="Arial" w:hint="default"/>
                <w:sz w:val="24"/>
                <w:szCs w:val="24"/>
              </w:rPr>
              <w:t>31</w:t>
            </w:r>
            <w:r>
              <w:rPr>
                <w:rFonts w:ascii="Arial" w:hAnsi="Arial" w:cs="Arial" w:eastAsia="Arial" w:hint="default"/>
                <w:spacing w:val="-19"/>
                <w:sz w:val="24"/>
                <w:szCs w:val="24"/>
              </w:rPr>
              <w:t> </w:t>
            </w:r>
            <w:r>
              <w:rPr>
                <w:rFonts w:ascii="宋体" w:hAnsi="宋体" w:cs="宋体" w:eastAsia="宋体" w:hint="default"/>
                <w:sz w:val="24"/>
                <w:szCs w:val="24"/>
              </w:rPr>
              <w:t>日的合并及公司财务状况以及</w:t>
            </w:r>
            <w:r>
              <w:rPr>
                <w:rFonts w:ascii="宋体" w:hAnsi="宋体" w:cs="宋体" w:eastAsia="宋体" w:hint="default"/>
                <w:spacing w:val="-73"/>
                <w:sz w:val="24"/>
                <w:szCs w:val="24"/>
              </w:rPr>
              <w:t> </w:t>
            </w:r>
            <w:r>
              <w:rPr>
                <w:rFonts w:ascii="Arial" w:hAnsi="Arial" w:cs="Arial" w:eastAsia="Arial" w:hint="default"/>
                <w:sz w:val="24"/>
                <w:szCs w:val="24"/>
              </w:rPr>
              <w:t>2012</w:t>
            </w:r>
            <w:r>
              <w:rPr>
                <w:rFonts w:ascii="Arial" w:hAnsi="Arial" w:cs="Arial" w:eastAsia="Arial" w:hint="default"/>
                <w:spacing w:val="-19"/>
                <w:sz w:val="24"/>
                <w:szCs w:val="24"/>
              </w:rPr>
              <w:t> </w:t>
            </w:r>
            <w:r>
              <w:rPr>
                <w:rFonts w:ascii="宋体" w:hAnsi="宋体" w:cs="宋体" w:eastAsia="宋体" w:hint="default"/>
                <w:sz w:val="24"/>
                <w:szCs w:val="24"/>
              </w:rPr>
              <w:t>年度的合并及公司 经营成果和现金流量等有关信息。</w:t>
            </w:r>
          </w:p>
        </w:tc>
      </w:tr>
      <w:tr>
        <w:trPr>
          <w:trHeight w:val="761"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1"/>
              <w:jc w:val="center"/>
              <w:rPr>
                <w:rFonts w:ascii="Arial" w:hAnsi="Arial" w:cs="Arial" w:eastAsia="Arial" w:hint="default"/>
                <w:sz w:val="24"/>
                <w:szCs w:val="24"/>
              </w:rPr>
            </w:pPr>
            <w:r>
              <w:rPr>
                <w:rFonts w:ascii="Arial"/>
                <w:sz w:val="24"/>
              </w:rPr>
              <w:t>(3)</w:t>
            </w:r>
          </w:p>
        </w:tc>
        <w:tc>
          <w:tcPr>
            <w:tcW w:w="8409" w:type="dxa"/>
            <w:tcBorders>
              <w:top w:val="nil" w:sz="6" w:space="0" w:color="auto"/>
              <w:left w:val="nil" w:sz="6" w:space="0" w:color="auto"/>
              <w:bottom w:val="nil" w:sz="6" w:space="0" w:color="auto"/>
              <w:right w:val="nil" w:sz="6" w:space="0" w:color="auto"/>
            </w:tcBorders>
          </w:tcPr>
          <w:p>
            <w:pPr>
              <w:pStyle w:val="TableParagraph"/>
              <w:spacing w:line="240" w:lineRule="auto" w:before="188"/>
              <w:ind w:left="213" w:right="0"/>
              <w:jc w:val="left"/>
              <w:rPr>
                <w:rFonts w:ascii="黑体" w:hAnsi="黑体" w:cs="黑体" w:eastAsia="黑体" w:hint="default"/>
                <w:sz w:val="24"/>
                <w:szCs w:val="24"/>
              </w:rPr>
            </w:pPr>
            <w:r>
              <w:rPr>
                <w:rFonts w:ascii="黑体" w:hAnsi="黑体" w:cs="黑体" w:eastAsia="黑体" w:hint="default"/>
                <w:sz w:val="24"/>
                <w:szCs w:val="24"/>
              </w:rPr>
              <w:t>会计年度</w:t>
            </w:r>
          </w:p>
        </w:tc>
      </w:tr>
      <w:tr>
        <w:trPr>
          <w:trHeight w:val="755" w:hRule="exact"/>
        </w:trPr>
        <w:tc>
          <w:tcPr>
            <w:tcW w:w="707"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240" w:lineRule="auto" w:before="185"/>
              <w:ind w:left="213" w:right="0"/>
              <w:jc w:val="left"/>
              <w:rPr>
                <w:rFonts w:ascii="宋体" w:hAnsi="宋体" w:cs="宋体" w:eastAsia="宋体" w:hint="default"/>
                <w:sz w:val="24"/>
                <w:szCs w:val="24"/>
              </w:rPr>
            </w:pPr>
            <w:r>
              <w:rPr>
                <w:rFonts w:ascii="宋体" w:hAnsi="宋体" w:cs="宋体" w:eastAsia="宋体" w:hint="default"/>
                <w:sz w:val="24"/>
                <w:szCs w:val="24"/>
              </w:rPr>
              <w:t>会计年度为公历</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9"/>
                <w:sz w:val="24"/>
                <w:szCs w:val="24"/>
              </w:rPr>
              <w:t> </w:t>
            </w:r>
            <w:r>
              <w:rPr>
                <w:rFonts w:ascii="宋体" w:hAnsi="宋体" w:cs="宋体" w:eastAsia="宋体" w:hint="default"/>
                <w:sz w:val="24"/>
                <w:szCs w:val="24"/>
              </w:rPr>
              <w:t>日起至</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日止。</w:t>
            </w:r>
          </w:p>
        </w:tc>
      </w:tr>
      <w:tr>
        <w:trPr>
          <w:trHeight w:val="745"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1"/>
              <w:jc w:val="center"/>
              <w:rPr>
                <w:rFonts w:ascii="Arial" w:hAnsi="Arial" w:cs="Arial" w:eastAsia="Arial" w:hint="default"/>
                <w:sz w:val="24"/>
                <w:szCs w:val="24"/>
              </w:rPr>
            </w:pPr>
            <w:r>
              <w:rPr>
                <w:rFonts w:ascii="Arial"/>
                <w:sz w:val="24"/>
              </w:rPr>
              <w:t>(4)</w:t>
            </w:r>
          </w:p>
        </w:tc>
        <w:tc>
          <w:tcPr>
            <w:tcW w:w="840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3" w:right="0"/>
              <w:jc w:val="left"/>
              <w:rPr>
                <w:rFonts w:ascii="黑体" w:hAnsi="黑体" w:cs="黑体" w:eastAsia="黑体" w:hint="default"/>
                <w:sz w:val="24"/>
                <w:szCs w:val="24"/>
              </w:rPr>
            </w:pPr>
            <w:r>
              <w:rPr>
                <w:rFonts w:ascii="黑体" w:hAnsi="黑体" w:cs="黑体" w:eastAsia="黑体" w:hint="default"/>
                <w:sz w:val="24"/>
                <w:szCs w:val="24"/>
              </w:rPr>
              <w:t>记账本位币</w:t>
            </w:r>
          </w:p>
        </w:tc>
      </w:tr>
      <w:tr>
        <w:trPr>
          <w:trHeight w:val="494" w:hRule="exact"/>
        </w:trPr>
        <w:tc>
          <w:tcPr>
            <w:tcW w:w="707"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213" w:right="0"/>
              <w:jc w:val="left"/>
              <w:rPr>
                <w:rFonts w:ascii="宋体" w:hAnsi="宋体" w:cs="宋体" w:eastAsia="宋体" w:hint="default"/>
                <w:sz w:val="24"/>
                <w:szCs w:val="24"/>
              </w:rPr>
            </w:pPr>
            <w:r>
              <w:rPr>
                <w:rFonts w:ascii="宋体" w:hAnsi="宋体" w:cs="宋体" w:eastAsia="宋体" w:hint="default"/>
                <w:sz w:val="24"/>
                <w:szCs w:val="24"/>
              </w:rPr>
              <w:t>记账本位币为人民币。</w:t>
            </w:r>
          </w:p>
        </w:tc>
      </w:tr>
    </w:tbl>
    <w:p>
      <w:pPr>
        <w:spacing w:after="0" w:line="240" w:lineRule="auto"/>
        <w:jc w:val="left"/>
        <w:rPr>
          <w:rFonts w:ascii="宋体" w:hAnsi="宋体" w:cs="宋体" w:eastAsia="宋体"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707"/>
        <w:gridCol w:w="8528"/>
      </w:tblGrid>
      <w:tr>
        <w:trPr>
          <w:trHeight w:val="495"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exact"/>
              <w:ind w:right="64"/>
              <w:jc w:val="center"/>
              <w:rPr>
                <w:rFonts w:ascii="黑体" w:hAnsi="黑体" w:cs="黑体" w:eastAsia="黑体" w:hint="default"/>
                <w:sz w:val="24"/>
                <w:szCs w:val="24"/>
              </w:rPr>
            </w:pPr>
            <w:r>
              <w:rPr>
                <w:rFonts w:ascii="黑体" w:hAnsi="黑体" w:cs="黑体" w:eastAsia="黑体" w:hint="default"/>
                <w:sz w:val="24"/>
                <w:szCs w:val="24"/>
              </w:rPr>
              <w:t>二</w:t>
            </w:r>
          </w:p>
        </w:tc>
        <w:tc>
          <w:tcPr>
            <w:tcW w:w="8528" w:type="dxa"/>
            <w:tcBorders>
              <w:top w:val="nil" w:sz="6" w:space="0" w:color="auto"/>
              <w:left w:val="nil" w:sz="6" w:space="0" w:color="auto"/>
              <w:bottom w:val="nil" w:sz="6" w:space="0" w:color="auto"/>
              <w:right w:val="nil" w:sz="6" w:space="0" w:color="auto"/>
            </w:tcBorders>
          </w:tcPr>
          <w:p>
            <w:pPr>
              <w:pStyle w:val="TableParagraph"/>
              <w:spacing w:line="257" w:lineRule="exact"/>
              <w:ind w:left="213"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2"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1"/>
              <w:jc w:val="center"/>
              <w:rPr>
                <w:rFonts w:ascii="Arial" w:hAnsi="Arial" w:cs="Arial" w:eastAsia="Arial" w:hint="default"/>
                <w:sz w:val="24"/>
                <w:szCs w:val="24"/>
              </w:rPr>
            </w:pPr>
            <w:r>
              <w:rPr>
                <w:rFonts w:ascii="Arial"/>
                <w:sz w:val="24"/>
              </w:rPr>
              <w:t>(5)</w:t>
            </w:r>
          </w:p>
        </w:tc>
        <w:tc>
          <w:tcPr>
            <w:tcW w:w="852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3" w:right="0"/>
              <w:jc w:val="left"/>
              <w:rPr>
                <w:rFonts w:ascii="黑体" w:hAnsi="黑体" w:cs="黑体" w:eastAsia="黑体" w:hint="default"/>
                <w:sz w:val="24"/>
                <w:szCs w:val="24"/>
              </w:rPr>
            </w:pPr>
            <w:r>
              <w:rPr>
                <w:rFonts w:ascii="黑体" w:hAnsi="黑体" w:cs="黑体" w:eastAsia="黑体" w:hint="default"/>
                <w:sz w:val="24"/>
                <w:szCs w:val="24"/>
              </w:rPr>
              <w:t>企业合并</w:t>
            </w:r>
          </w:p>
        </w:tc>
      </w:tr>
      <w:tr>
        <w:trPr>
          <w:trHeight w:val="751"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center"/>
              <w:rPr>
                <w:rFonts w:ascii="Arial" w:hAnsi="Arial" w:cs="Arial" w:eastAsia="Arial" w:hint="default"/>
                <w:sz w:val="24"/>
                <w:szCs w:val="24"/>
              </w:rPr>
            </w:pPr>
            <w:r>
              <w:rPr>
                <w:rFonts w:ascii="Arial"/>
                <w:sz w:val="24"/>
              </w:rPr>
              <w:t>(a)</w:t>
            </w:r>
          </w:p>
        </w:tc>
        <w:tc>
          <w:tcPr>
            <w:tcW w:w="8528"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213" w:right="0"/>
              <w:jc w:val="left"/>
              <w:rPr>
                <w:rFonts w:ascii="宋体" w:hAnsi="宋体" w:cs="宋体" w:eastAsia="宋体" w:hint="default"/>
                <w:sz w:val="24"/>
                <w:szCs w:val="24"/>
              </w:rPr>
            </w:pPr>
            <w:r>
              <w:rPr>
                <w:rFonts w:ascii="宋体" w:hAnsi="宋体" w:cs="宋体" w:eastAsia="宋体" w:hint="default"/>
                <w:sz w:val="24"/>
                <w:szCs w:val="24"/>
              </w:rPr>
              <w:t>同一控制下的企业合并</w:t>
            </w:r>
          </w:p>
        </w:tc>
      </w:tr>
      <w:tr>
        <w:trPr>
          <w:trHeight w:val="1988" w:hRule="exact"/>
        </w:trPr>
        <w:tc>
          <w:tcPr>
            <w:tcW w:w="707" w:type="dxa"/>
            <w:tcBorders>
              <w:top w:val="nil" w:sz="6" w:space="0" w:color="auto"/>
              <w:left w:val="nil" w:sz="6" w:space="0" w:color="auto"/>
              <w:bottom w:val="nil" w:sz="6" w:space="0" w:color="auto"/>
              <w:right w:val="nil" w:sz="6" w:space="0" w:color="auto"/>
            </w:tcBorders>
          </w:tcPr>
          <w:p>
            <w:pPr/>
          </w:p>
        </w:tc>
        <w:tc>
          <w:tcPr>
            <w:tcW w:w="8528" w:type="dxa"/>
            <w:tcBorders>
              <w:top w:val="nil" w:sz="6" w:space="0" w:color="auto"/>
              <w:left w:val="nil" w:sz="6" w:space="0" w:color="auto"/>
              <w:bottom w:val="nil" w:sz="6" w:space="0" w:color="auto"/>
              <w:right w:val="nil" w:sz="6" w:space="0" w:color="auto"/>
            </w:tcBorders>
          </w:tcPr>
          <w:p>
            <w:pPr>
              <w:pStyle w:val="TableParagraph"/>
              <w:spacing w:line="230" w:lineRule="auto" w:before="190"/>
              <w:ind w:left="213" w:right="232"/>
              <w:jc w:val="both"/>
              <w:rPr>
                <w:rFonts w:ascii="宋体" w:hAnsi="宋体" w:cs="宋体" w:eastAsia="宋体" w:hint="default"/>
                <w:sz w:val="24"/>
                <w:szCs w:val="24"/>
              </w:rPr>
            </w:pPr>
            <w:r>
              <w:rPr>
                <w:rFonts w:ascii="宋体" w:hAnsi="宋体" w:cs="宋体" w:eastAsia="宋体" w:hint="default"/>
                <w:sz w:val="24"/>
                <w:szCs w:val="24"/>
              </w:rPr>
              <w:t>合并方支付的合并对价及取得的净资产均按账面价值计量。合并方取得的净</w:t>
            </w:r>
            <w:r>
              <w:rPr>
                <w:rFonts w:ascii="宋体" w:hAnsi="宋体" w:cs="宋体" w:eastAsia="宋体" w:hint="default"/>
                <w:spacing w:val="-55"/>
                <w:sz w:val="24"/>
                <w:szCs w:val="24"/>
              </w:rPr>
              <w:t> </w:t>
            </w:r>
            <w:r>
              <w:rPr>
                <w:rFonts w:ascii="宋体" w:hAnsi="宋体" w:cs="宋体" w:eastAsia="宋体" w:hint="default"/>
                <w:sz w:val="24"/>
                <w:szCs w:val="24"/>
              </w:rPr>
              <w:t>资产账面价值与支付的合并对价账面价值的差额，调整资本公积</w:t>
            </w:r>
            <w:r>
              <w:rPr>
                <w:rFonts w:ascii="Arial" w:hAnsi="Arial" w:cs="Arial" w:eastAsia="Arial" w:hint="default"/>
                <w:sz w:val="24"/>
                <w:szCs w:val="24"/>
              </w:rPr>
              <w:t>(</w:t>
            </w:r>
            <w:r>
              <w:rPr>
                <w:rFonts w:ascii="宋体" w:hAnsi="宋体" w:cs="宋体" w:eastAsia="宋体" w:hint="default"/>
                <w:sz w:val="24"/>
                <w:szCs w:val="24"/>
              </w:rPr>
              <w:t>股本溢价</w:t>
            </w:r>
            <w:r>
              <w:rPr>
                <w:rFonts w:ascii="Arial" w:hAnsi="Arial" w:cs="Arial" w:eastAsia="Arial" w:hint="default"/>
                <w:sz w:val="24"/>
                <w:szCs w:val="24"/>
              </w:rPr>
              <w:t>)</w:t>
            </w:r>
            <w:r>
              <w:rPr>
                <w:rFonts w:ascii="宋体" w:hAnsi="宋体" w:cs="宋体" w:eastAsia="宋体" w:hint="default"/>
                <w:sz w:val="24"/>
                <w:szCs w:val="24"/>
              </w:rPr>
              <w:t>； </w:t>
            </w:r>
            <w:r>
              <w:rPr>
                <w:rFonts w:ascii="宋体" w:hAnsi="宋体" w:cs="宋体" w:eastAsia="宋体" w:hint="default"/>
                <w:spacing w:val="-3"/>
                <w:sz w:val="24"/>
                <w:szCs w:val="24"/>
              </w:rPr>
              <w:t>资本公积</w:t>
            </w:r>
            <w:r>
              <w:rPr>
                <w:rFonts w:ascii="Arial" w:hAnsi="Arial" w:cs="Arial" w:eastAsia="Arial" w:hint="default"/>
                <w:spacing w:val="-3"/>
                <w:sz w:val="24"/>
                <w:szCs w:val="24"/>
              </w:rPr>
              <w:t>(</w:t>
            </w:r>
            <w:r>
              <w:rPr>
                <w:rFonts w:ascii="宋体" w:hAnsi="宋体" w:cs="宋体" w:eastAsia="宋体" w:hint="default"/>
                <w:spacing w:val="-3"/>
                <w:sz w:val="24"/>
                <w:szCs w:val="24"/>
              </w:rPr>
              <w:t>股本溢价</w:t>
            </w:r>
            <w:r>
              <w:rPr>
                <w:rFonts w:ascii="Arial" w:hAnsi="Arial" w:cs="Arial" w:eastAsia="Arial" w:hint="default"/>
                <w:spacing w:val="-3"/>
                <w:sz w:val="24"/>
                <w:szCs w:val="24"/>
              </w:rPr>
              <w:t>)</w:t>
            </w:r>
            <w:r>
              <w:rPr>
                <w:rFonts w:ascii="宋体" w:hAnsi="宋体" w:cs="宋体" w:eastAsia="宋体" w:hint="default"/>
                <w:spacing w:val="-3"/>
                <w:sz w:val="24"/>
                <w:szCs w:val="24"/>
              </w:rPr>
              <w:t>不足以冲减的，调整留存收益。为进行企业合并发生的直</w:t>
            </w:r>
          </w:p>
          <w:p>
            <w:pPr>
              <w:pStyle w:val="TableParagraph"/>
              <w:spacing w:line="310" w:lineRule="exact" w:before="15"/>
              <w:ind w:left="213" w:right="312"/>
              <w:jc w:val="both"/>
              <w:rPr>
                <w:rFonts w:ascii="宋体" w:hAnsi="宋体" w:cs="宋体" w:eastAsia="宋体" w:hint="default"/>
                <w:sz w:val="24"/>
                <w:szCs w:val="24"/>
              </w:rPr>
            </w:pPr>
            <w:r>
              <w:rPr>
                <w:rFonts w:ascii="宋体" w:hAnsi="宋体" w:cs="宋体" w:eastAsia="宋体" w:hint="default"/>
                <w:spacing w:val="2"/>
                <w:sz w:val="24"/>
                <w:szCs w:val="24"/>
              </w:rPr>
              <w:t>接相关费用于发生时计入当期损益。为企业合并而发行权益性证券或债务性 </w:t>
            </w:r>
            <w:r>
              <w:rPr>
                <w:rFonts w:ascii="宋体" w:hAnsi="宋体" w:cs="宋体" w:eastAsia="宋体" w:hint="default"/>
                <w:sz w:val="24"/>
                <w:szCs w:val="24"/>
              </w:rPr>
              <w:t>证券的交易费用，计入权益性证券或债务性证券的初始确认金额。</w:t>
            </w:r>
          </w:p>
        </w:tc>
      </w:tr>
      <w:tr>
        <w:trPr>
          <w:trHeight w:val="718"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center"/>
              <w:rPr>
                <w:rFonts w:ascii="Arial" w:hAnsi="Arial" w:cs="Arial" w:eastAsia="Arial" w:hint="default"/>
                <w:sz w:val="24"/>
                <w:szCs w:val="24"/>
              </w:rPr>
            </w:pPr>
            <w:r>
              <w:rPr>
                <w:rFonts w:ascii="Arial"/>
                <w:sz w:val="24"/>
              </w:rPr>
              <w:t>(b)</w:t>
            </w:r>
          </w:p>
        </w:tc>
        <w:tc>
          <w:tcPr>
            <w:tcW w:w="8528"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213" w:right="0"/>
              <w:jc w:val="left"/>
              <w:rPr>
                <w:rFonts w:ascii="宋体" w:hAnsi="宋体" w:cs="宋体" w:eastAsia="宋体" w:hint="default"/>
                <w:sz w:val="24"/>
                <w:szCs w:val="24"/>
              </w:rPr>
            </w:pPr>
            <w:r>
              <w:rPr>
                <w:rFonts w:ascii="宋体" w:hAnsi="宋体" w:cs="宋体" w:eastAsia="宋体" w:hint="default"/>
                <w:sz w:val="24"/>
                <w:szCs w:val="24"/>
              </w:rPr>
              <w:t>非同一控制下的企业合并</w:t>
            </w:r>
          </w:p>
        </w:tc>
      </w:tr>
      <w:tr>
        <w:trPr>
          <w:trHeight w:val="2214" w:hRule="exact"/>
        </w:trPr>
        <w:tc>
          <w:tcPr>
            <w:tcW w:w="707" w:type="dxa"/>
            <w:tcBorders>
              <w:top w:val="nil" w:sz="6" w:space="0" w:color="auto"/>
              <w:left w:val="nil" w:sz="6" w:space="0" w:color="auto"/>
              <w:bottom w:val="nil" w:sz="6" w:space="0" w:color="auto"/>
              <w:right w:val="nil" w:sz="6" w:space="0" w:color="auto"/>
            </w:tcBorders>
          </w:tcPr>
          <w:p>
            <w:pPr/>
          </w:p>
        </w:tc>
        <w:tc>
          <w:tcPr>
            <w:tcW w:w="8528" w:type="dxa"/>
            <w:tcBorders>
              <w:top w:val="nil" w:sz="6" w:space="0" w:color="auto"/>
              <w:left w:val="nil" w:sz="6" w:space="0" w:color="auto"/>
              <w:bottom w:val="nil" w:sz="6" w:space="0" w:color="auto"/>
              <w:right w:val="nil" w:sz="6" w:space="0" w:color="auto"/>
            </w:tcBorders>
          </w:tcPr>
          <w:p>
            <w:pPr>
              <w:pStyle w:val="TableParagraph"/>
              <w:spacing w:line="237" w:lineRule="auto" w:before="148"/>
              <w:ind w:left="213" w:right="311"/>
              <w:jc w:val="both"/>
              <w:rPr>
                <w:rFonts w:ascii="宋体" w:hAnsi="宋体" w:cs="宋体" w:eastAsia="宋体" w:hint="default"/>
                <w:sz w:val="24"/>
                <w:szCs w:val="24"/>
              </w:rPr>
            </w:pPr>
            <w:r>
              <w:rPr>
                <w:rFonts w:ascii="宋体" w:hAnsi="宋体" w:cs="宋体" w:eastAsia="宋体" w:hint="default"/>
                <w:sz w:val="24"/>
                <w:szCs w:val="24"/>
              </w:rPr>
              <w:t>购买方发生的合并成本及在合并中取得的可辨认净资产按购买日的公允价值</w:t>
            </w:r>
            <w:r>
              <w:rPr>
                <w:rFonts w:ascii="宋体" w:hAnsi="宋体" w:cs="宋体" w:eastAsia="宋体" w:hint="default"/>
                <w:spacing w:val="-55"/>
                <w:sz w:val="24"/>
                <w:szCs w:val="24"/>
              </w:rPr>
              <w:t> </w:t>
            </w:r>
            <w:r>
              <w:rPr>
                <w:rFonts w:ascii="宋体" w:hAnsi="宋体" w:cs="宋体" w:eastAsia="宋体" w:hint="default"/>
                <w:sz w:val="24"/>
                <w:szCs w:val="24"/>
              </w:rPr>
              <w:t>计量。合并成本大于合并中取得的被购买方于购买日可辨认净资产公允价值</w:t>
            </w:r>
            <w:r>
              <w:rPr>
                <w:rFonts w:ascii="宋体" w:hAnsi="宋体" w:cs="宋体" w:eastAsia="宋体" w:hint="default"/>
                <w:spacing w:val="-55"/>
                <w:sz w:val="24"/>
                <w:szCs w:val="24"/>
              </w:rPr>
              <w:t> </w:t>
            </w:r>
            <w:r>
              <w:rPr>
                <w:rFonts w:ascii="宋体" w:hAnsi="宋体" w:cs="宋体" w:eastAsia="宋体" w:hint="default"/>
                <w:sz w:val="24"/>
                <w:szCs w:val="24"/>
              </w:rPr>
              <w:t>份额的差额，确认为商誉；合并成本小于合并中取得的被购买方可辨认净资</w:t>
            </w:r>
            <w:r>
              <w:rPr>
                <w:rFonts w:ascii="宋体" w:hAnsi="宋体" w:cs="宋体" w:eastAsia="宋体" w:hint="default"/>
                <w:spacing w:val="-55"/>
                <w:sz w:val="24"/>
                <w:szCs w:val="24"/>
              </w:rPr>
              <w:t> </w:t>
            </w:r>
            <w:r>
              <w:rPr>
                <w:rFonts w:ascii="宋体" w:hAnsi="宋体" w:cs="宋体" w:eastAsia="宋体" w:hint="default"/>
                <w:spacing w:val="2"/>
                <w:sz w:val="24"/>
                <w:szCs w:val="24"/>
              </w:rPr>
              <w:t>产公允价值份额的差额，计入当期损益。为进行企业合并发生的直接相关费</w:t>
            </w:r>
            <w:r>
              <w:rPr>
                <w:rFonts w:ascii="宋体" w:hAnsi="宋体" w:cs="宋体" w:eastAsia="宋体" w:hint="default"/>
                <w:spacing w:val="2"/>
                <w:sz w:val="24"/>
                <w:szCs w:val="24"/>
              </w:rPr>
              <w:t> 用于发生时计入当期损益。为企业合并而发行权益性证券或债务性证券的交 </w:t>
            </w:r>
            <w:r>
              <w:rPr>
                <w:rFonts w:ascii="宋体" w:hAnsi="宋体" w:cs="宋体" w:eastAsia="宋体" w:hint="default"/>
                <w:sz w:val="24"/>
                <w:szCs w:val="24"/>
              </w:rPr>
              <w:t>易费用，计入权益性证券或债务性证券的初始确认金额。</w:t>
            </w:r>
          </w:p>
        </w:tc>
      </w:tr>
      <w:tr>
        <w:trPr>
          <w:trHeight w:val="3553" w:hRule="exact"/>
        </w:trPr>
        <w:tc>
          <w:tcPr>
            <w:tcW w:w="707" w:type="dxa"/>
            <w:tcBorders>
              <w:top w:val="nil" w:sz="6" w:space="0" w:color="auto"/>
              <w:left w:val="nil" w:sz="6" w:space="0" w:color="auto"/>
              <w:bottom w:val="nil" w:sz="6" w:space="0" w:color="auto"/>
              <w:right w:val="nil" w:sz="6" w:space="0" w:color="auto"/>
            </w:tcBorders>
          </w:tcPr>
          <w:p>
            <w:pPr/>
          </w:p>
        </w:tc>
        <w:tc>
          <w:tcPr>
            <w:tcW w:w="8528" w:type="dxa"/>
            <w:tcBorders>
              <w:top w:val="nil" w:sz="6" w:space="0" w:color="auto"/>
              <w:left w:val="nil" w:sz="6" w:space="0" w:color="auto"/>
              <w:bottom w:val="nil" w:sz="6" w:space="0" w:color="auto"/>
              <w:right w:val="nil" w:sz="6" w:space="0" w:color="auto"/>
            </w:tcBorders>
          </w:tcPr>
          <w:p>
            <w:pPr>
              <w:pStyle w:val="TableParagraph"/>
              <w:spacing w:line="232" w:lineRule="auto" w:before="133"/>
              <w:ind w:left="203" w:right="314"/>
              <w:jc w:val="both"/>
              <w:rPr>
                <w:rFonts w:ascii="宋体" w:hAnsi="宋体" w:cs="宋体" w:eastAsia="宋体" w:hint="default"/>
                <w:sz w:val="24"/>
                <w:szCs w:val="24"/>
              </w:rPr>
            </w:pPr>
            <w:r>
              <w:rPr>
                <w:rFonts w:ascii="宋体" w:hAnsi="宋体" w:cs="宋体" w:eastAsia="宋体" w:hint="default"/>
                <w:spacing w:val="2"/>
                <w:sz w:val="24"/>
                <w:szCs w:val="24"/>
              </w:rPr>
              <w:t>通过多次交易分步实现的非同一控制下企业合并，在个别财务报表中，以购</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买日之前所持被购买方的股权投资的账面价值与购买日新增投资成本之和，</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作为该项投资的初始投资成本；购买日之前持有的被购买方的股权涉及其他</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综合收益的，在处置该项投资时将与其相关的其他综合收益</w:t>
            </w:r>
            <w:r>
              <w:rPr>
                <w:rFonts w:ascii="Arial" w:hAnsi="Arial" w:cs="Arial" w:eastAsia="Arial" w:hint="default"/>
                <w:sz w:val="24"/>
                <w:szCs w:val="24"/>
              </w:rPr>
              <w:t>(</w:t>
            </w:r>
            <w:r>
              <w:rPr>
                <w:rFonts w:ascii="宋体" w:hAnsi="宋体" w:cs="宋体" w:eastAsia="宋体" w:hint="default"/>
                <w:sz w:val="24"/>
                <w:szCs w:val="24"/>
              </w:rPr>
              <w:t>例如可供出售金</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融资产公允价值变动计入资本公积的部分，下同</w:t>
            </w:r>
            <w:r>
              <w:rPr>
                <w:rFonts w:ascii="Arial" w:hAnsi="Arial" w:cs="Arial" w:eastAsia="Arial" w:hint="default"/>
                <w:sz w:val="24"/>
                <w:szCs w:val="24"/>
              </w:rPr>
              <w:t>)</w:t>
            </w:r>
            <w:r>
              <w:rPr>
                <w:rFonts w:ascii="宋体" w:hAnsi="宋体" w:cs="宋体" w:eastAsia="宋体" w:hint="default"/>
                <w:sz w:val="24"/>
                <w:szCs w:val="24"/>
              </w:rPr>
              <w:t>转入当期投资收益。在合并</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财务报表中，对于购买日之前持有的被购买方的股权，按照该股权在购买日</w:t>
            </w:r>
            <w:r>
              <w:rPr>
                <w:rFonts w:ascii="宋体" w:hAnsi="宋体" w:cs="宋体" w:eastAsia="宋体" w:hint="default"/>
                <w:sz w:val="24"/>
                <w:szCs w:val="24"/>
              </w:rPr>
            </w:r>
          </w:p>
          <w:p>
            <w:pPr>
              <w:pStyle w:val="TableParagraph"/>
              <w:spacing w:line="240" w:lineRule="auto"/>
              <w:ind w:left="203" w:right="198"/>
              <w:jc w:val="left"/>
              <w:rPr>
                <w:rFonts w:ascii="宋体" w:hAnsi="宋体" w:cs="宋体" w:eastAsia="宋体" w:hint="default"/>
                <w:sz w:val="24"/>
                <w:szCs w:val="24"/>
              </w:rPr>
            </w:pPr>
            <w:r>
              <w:rPr>
                <w:rFonts w:ascii="宋体" w:hAnsi="宋体" w:cs="宋体" w:eastAsia="宋体" w:hint="default"/>
                <w:spacing w:val="-2"/>
                <w:sz w:val="24"/>
                <w:szCs w:val="24"/>
              </w:rPr>
              <w:t>的公允价值进行重新计量，公允价值与其账面价值的差额计入当期投资收益；</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pacing w:val="2"/>
                <w:sz w:val="24"/>
                <w:szCs w:val="24"/>
              </w:rPr>
              <w:t>购买日之前持有的被购买方的股权涉及其他综合收益的，与其相关的其他综</w:t>
            </w:r>
            <w:r>
              <w:rPr>
                <w:rFonts w:ascii="宋体" w:hAnsi="宋体" w:cs="宋体" w:eastAsia="宋体" w:hint="default"/>
                <w:sz w:val="24"/>
                <w:szCs w:val="24"/>
              </w:rPr>
            </w:r>
          </w:p>
          <w:p>
            <w:pPr>
              <w:pStyle w:val="TableParagraph"/>
              <w:spacing w:line="312" w:lineRule="exact" w:before="26"/>
              <w:ind w:left="203" w:right="316"/>
              <w:jc w:val="both"/>
              <w:rPr>
                <w:rFonts w:ascii="宋体" w:hAnsi="宋体" w:cs="宋体" w:eastAsia="宋体" w:hint="default"/>
                <w:sz w:val="24"/>
                <w:szCs w:val="24"/>
              </w:rPr>
            </w:pPr>
            <w:r>
              <w:rPr>
                <w:rFonts w:ascii="宋体" w:hAnsi="宋体" w:cs="宋体" w:eastAsia="宋体" w:hint="default"/>
                <w:spacing w:val="2"/>
                <w:sz w:val="24"/>
                <w:szCs w:val="24"/>
              </w:rPr>
              <w:t>合收益转为购买日所属当期投资收益。商誉为之前持有的被购买方股权的公</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允价值与购买日支付对价的公允价值之和，与取得的子公司可辨认净资产于</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购买日的公允价值份额的差额。</w:t>
            </w:r>
          </w:p>
        </w:tc>
      </w:tr>
    </w:tbl>
    <w:p>
      <w:pPr>
        <w:spacing w:after="0" w:line="312" w:lineRule="exact"/>
        <w:jc w:val="both"/>
        <w:rPr>
          <w:rFonts w:ascii="宋体" w:hAnsi="宋体" w:cs="宋体" w:eastAsia="宋体" w:hint="default"/>
          <w:sz w:val="24"/>
          <w:szCs w:val="24"/>
        </w:rPr>
        <w:sectPr>
          <w:footerReference w:type="default" r:id="rId54"/>
          <w:pgSz w:w="11910" w:h="16850"/>
          <w:pgMar w:footer="1340" w:header="795" w:top="2020" w:bottom="1540" w:left="1420" w:right="0"/>
          <w:pgNumType w:start="98"/>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02"/>
        <w:gridCol w:w="8416"/>
      </w:tblGrid>
      <w:tr>
        <w:trPr>
          <w:trHeight w:val="497"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exact"/>
              <w:ind w:right="59"/>
              <w:jc w:val="center"/>
              <w:rPr>
                <w:rFonts w:ascii="黑体" w:hAnsi="黑体" w:cs="黑体" w:eastAsia="黑体" w:hint="default"/>
                <w:sz w:val="24"/>
                <w:szCs w:val="24"/>
              </w:rPr>
            </w:pPr>
            <w:r>
              <w:rPr>
                <w:rFonts w:ascii="黑体" w:hAnsi="黑体" w:cs="黑体" w:eastAsia="黑体" w:hint="default"/>
                <w:sz w:val="24"/>
                <w:szCs w:val="24"/>
              </w:rPr>
              <w:t>二</w:t>
            </w:r>
          </w:p>
        </w:tc>
        <w:tc>
          <w:tcPr>
            <w:tcW w:w="8416" w:type="dxa"/>
            <w:tcBorders>
              <w:top w:val="nil" w:sz="6" w:space="0" w:color="auto"/>
              <w:left w:val="nil" w:sz="6" w:space="0" w:color="auto"/>
              <w:bottom w:val="nil" w:sz="6" w:space="0" w:color="auto"/>
              <w:right w:val="nil" w:sz="6" w:space="0" w:color="auto"/>
            </w:tcBorders>
          </w:tcPr>
          <w:p>
            <w:pPr>
              <w:pStyle w:val="TableParagraph"/>
              <w:spacing w:line="257" w:lineRule="exact"/>
              <w:ind w:left="208"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5"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6"/>
              <w:jc w:val="center"/>
              <w:rPr>
                <w:rFonts w:ascii="Arial" w:hAnsi="Arial" w:cs="Arial" w:eastAsia="Arial" w:hint="default"/>
                <w:sz w:val="24"/>
                <w:szCs w:val="24"/>
              </w:rPr>
            </w:pPr>
            <w:r>
              <w:rPr>
                <w:rFonts w:ascii="Arial"/>
                <w:sz w:val="24"/>
              </w:rPr>
              <w:t>(6)</w:t>
            </w:r>
          </w:p>
        </w:tc>
        <w:tc>
          <w:tcPr>
            <w:tcW w:w="8416"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08" w:right="0"/>
              <w:jc w:val="left"/>
              <w:rPr>
                <w:rFonts w:ascii="黑体" w:hAnsi="黑体" w:cs="黑体" w:eastAsia="黑体" w:hint="default"/>
                <w:sz w:val="24"/>
                <w:szCs w:val="24"/>
              </w:rPr>
            </w:pPr>
            <w:r>
              <w:rPr>
                <w:rFonts w:ascii="黑体" w:hAnsi="黑体" w:cs="黑体" w:eastAsia="黑体" w:hint="default"/>
                <w:sz w:val="24"/>
                <w:szCs w:val="24"/>
              </w:rPr>
              <w:t>合并财务报表的编制方法</w:t>
            </w:r>
          </w:p>
        </w:tc>
      </w:tr>
      <w:tr>
        <w:trPr>
          <w:trHeight w:val="713" w:hRule="exact"/>
        </w:trPr>
        <w:tc>
          <w:tcPr>
            <w:tcW w:w="702" w:type="dxa"/>
            <w:tcBorders>
              <w:top w:val="nil" w:sz="6" w:space="0" w:color="auto"/>
              <w:left w:val="nil" w:sz="6" w:space="0" w:color="auto"/>
              <w:bottom w:val="nil" w:sz="6" w:space="0" w:color="auto"/>
              <w:right w:val="nil" w:sz="6" w:space="0" w:color="auto"/>
            </w:tcBorders>
          </w:tcPr>
          <w:p>
            <w:pPr/>
          </w:p>
        </w:tc>
        <w:tc>
          <w:tcPr>
            <w:tcW w:w="8416"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08" w:right="0"/>
              <w:jc w:val="left"/>
              <w:rPr>
                <w:rFonts w:ascii="宋体" w:hAnsi="宋体" w:cs="宋体" w:eastAsia="宋体" w:hint="default"/>
                <w:sz w:val="24"/>
                <w:szCs w:val="24"/>
              </w:rPr>
            </w:pPr>
            <w:r>
              <w:rPr>
                <w:rFonts w:ascii="宋体" w:hAnsi="宋体" w:cs="宋体" w:eastAsia="宋体" w:hint="default"/>
                <w:sz w:val="24"/>
                <w:szCs w:val="24"/>
              </w:rPr>
              <w:t>编制合并财务报表时，合并范围包括本公司及全部子公司。</w:t>
            </w:r>
          </w:p>
        </w:tc>
      </w:tr>
      <w:tr>
        <w:trPr>
          <w:trHeight w:val="1611" w:hRule="exact"/>
        </w:trPr>
        <w:tc>
          <w:tcPr>
            <w:tcW w:w="702" w:type="dxa"/>
            <w:tcBorders>
              <w:top w:val="nil" w:sz="6" w:space="0" w:color="auto"/>
              <w:left w:val="nil" w:sz="6" w:space="0" w:color="auto"/>
              <w:bottom w:val="nil" w:sz="6" w:space="0" w:color="auto"/>
              <w:right w:val="nil" w:sz="6" w:space="0" w:color="auto"/>
            </w:tcBorders>
          </w:tcPr>
          <w:p>
            <w:pPr/>
          </w:p>
        </w:tc>
        <w:tc>
          <w:tcPr>
            <w:tcW w:w="8416" w:type="dxa"/>
            <w:tcBorders>
              <w:top w:val="nil" w:sz="6" w:space="0" w:color="auto"/>
              <w:left w:val="nil" w:sz="6" w:space="0" w:color="auto"/>
              <w:bottom w:val="nil" w:sz="6" w:space="0" w:color="auto"/>
              <w:right w:val="nil" w:sz="6" w:space="0" w:color="auto"/>
            </w:tcBorders>
          </w:tcPr>
          <w:p>
            <w:pPr>
              <w:pStyle w:val="TableParagraph"/>
              <w:spacing w:line="237" w:lineRule="auto" w:before="148"/>
              <w:ind w:left="208" w:right="199"/>
              <w:jc w:val="both"/>
              <w:rPr>
                <w:rFonts w:ascii="宋体" w:hAnsi="宋体" w:cs="宋体" w:eastAsia="宋体" w:hint="default"/>
                <w:sz w:val="24"/>
                <w:szCs w:val="24"/>
              </w:rPr>
            </w:pPr>
            <w:r>
              <w:rPr>
                <w:rFonts w:ascii="宋体" w:hAnsi="宋体" w:cs="宋体" w:eastAsia="宋体" w:hint="default"/>
                <w:spacing w:val="2"/>
                <w:sz w:val="24"/>
                <w:szCs w:val="24"/>
              </w:rPr>
              <w:t>从取得子公司的实际控制权之日起，本集团开始将其纳入合并范围；从丧失</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实际控制权之日起停止纳入合并范围。对于同一控制下企业合并取得的子公</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2"/>
                <w:sz w:val="24"/>
                <w:szCs w:val="24"/>
              </w:rPr>
              <w:t>司，自其与本公司同受最终控制方控制之日起纳入本公司合并范围，并将其</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在合并日前实现的净利润在合并利润表中单列项目反映。</w:t>
            </w:r>
          </w:p>
        </w:tc>
      </w:tr>
      <w:tr>
        <w:trPr>
          <w:trHeight w:val="1613" w:hRule="exact"/>
        </w:trPr>
        <w:tc>
          <w:tcPr>
            <w:tcW w:w="702" w:type="dxa"/>
            <w:tcBorders>
              <w:top w:val="nil" w:sz="6" w:space="0" w:color="auto"/>
              <w:left w:val="nil" w:sz="6" w:space="0" w:color="auto"/>
              <w:bottom w:val="nil" w:sz="6" w:space="0" w:color="auto"/>
              <w:right w:val="nil" w:sz="6" w:space="0" w:color="auto"/>
            </w:tcBorders>
          </w:tcPr>
          <w:p>
            <w:pPr/>
          </w:p>
        </w:tc>
        <w:tc>
          <w:tcPr>
            <w:tcW w:w="8416" w:type="dxa"/>
            <w:tcBorders>
              <w:top w:val="nil" w:sz="6" w:space="0" w:color="auto"/>
              <w:left w:val="nil" w:sz="6" w:space="0" w:color="auto"/>
              <w:bottom w:val="nil" w:sz="6" w:space="0" w:color="auto"/>
              <w:right w:val="nil" w:sz="6" w:space="0" w:color="auto"/>
            </w:tcBorders>
          </w:tcPr>
          <w:p>
            <w:pPr>
              <w:pStyle w:val="TableParagraph"/>
              <w:spacing w:line="237" w:lineRule="auto" w:before="148"/>
              <w:ind w:left="208" w:right="199"/>
              <w:jc w:val="both"/>
              <w:rPr>
                <w:rFonts w:ascii="宋体" w:hAnsi="宋体" w:cs="宋体" w:eastAsia="宋体" w:hint="default"/>
                <w:sz w:val="24"/>
                <w:szCs w:val="24"/>
              </w:rPr>
            </w:pPr>
            <w:r>
              <w:rPr>
                <w:rFonts w:ascii="宋体" w:hAnsi="宋体" w:cs="宋体" w:eastAsia="宋体" w:hint="default"/>
                <w:spacing w:val="2"/>
                <w:sz w:val="24"/>
                <w:szCs w:val="24"/>
              </w:rPr>
              <w:t>在编制合并财务报表时，子公司与本公司采用的会计政策或会计期间不一致</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的，按照本公司的会计政策和会计期间对子公司财务报表进行必要的调整。</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对于非同一控制下企业合并取得的子公司，以购买日可辨认净资产公允价值</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为基础对其财务报表进行调整。</w:t>
            </w:r>
          </w:p>
        </w:tc>
      </w:tr>
      <w:tr>
        <w:trPr>
          <w:trHeight w:val="1394" w:hRule="exact"/>
        </w:trPr>
        <w:tc>
          <w:tcPr>
            <w:tcW w:w="702" w:type="dxa"/>
            <w:tcBorders>
              <w:top w:val="nil" w:sz="6" w:space="0" w:color="auto"/>
              <w:left w:val="nil" w:sz="6" w:space="0" w:color="auto"/>
              <w:bottom w:val="nil" w:sz="6" w:space="0" w:color="auto"/>
              <w:right w:val="nil" w:sz="6" w:space="0" w:color="auto"/>
            </w:tcBorders>
          </w:tcPr>
          <w:p>
            <w:pPr/>
          </w:p>
        </w:tc>
        <w:tc>
          <w:tcPr>
            <w:tcW w:w="8416" w:type="dxa"/>
            <w:tcBorders>
              <w:top w:val="nil" w:sz="6" w:space="0" w:color="auto"/>
              <w:left w:val="nil" w:sz="6" w:space="0" w:color="auto"/>
              <w:bottom w:val="nil" w:sz="6" w:space="0" w:color="auto"/>
              <w:right w:val="nil" w:sz="6" w:space="0" w:color="auto"/>
            </w:tcBorders>
          </w:tcPr>
          <w:p>
            <w:pPr>
              <w:pStyle w:val="TableParagraph"/>
              <w:spacing w:line="237" w:lineRule="auto" w:before="148"/>
              <w:ind w:left="208" w:right="198"/>
              <w:jc w:val="both"/>
              <w:rPr>
                <w:rFonts w:ascii="宋体" w:hAnsi="宋体" w:cs="宋体" w:eastAsia="宋体" w:hint="default"/>
                <w:sz w:val="24"/>
                <w:szCs w:val="24"/>
              </w:rPr>
            </w:pPr>
            <w:r>
              <w:rPr>
                <w:rFonts w:ascii="宋体" w:hAnsi="宋体" w:cs="宋体" w:eastAsia="宋体" w:hint="default"/>
                <w:spacing w:val="2"/>
                <w:sz w:val="24"/>
                <w:szCs w:val="24"/>
              </w:rPr>
              <w:t>集团内所有重大往来余额、交易及未实现利润在合并财务报表编制时予以抵</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2"/>
                <w:sz w:val="24"/>
                <w:szCs w:val="24"/>
              </w:rPr>
              <w:t>销。子公司的股东权益及当期净损益中不属于本公司所拥有的部分分别作为</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2"/>
                <w:sz w:val="24"/>
                <w:szCs w:val="24"/>
              </w:rPr>
              <w:t>少数股东权益及少数股东损益在合并财务报表中股东权益及净利润项下单独</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列示。</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08" w:type="dxa"/>
        <w:tblLayout w:type="fixed"/>
        <w:tblCellMar>
          <w:top w:w="0" w:type="dxa"/>
          <w:left w:w="0" w:type="dxa"/>
          <w:bottom w:w="0" w:type="dxa"/>
          <w:right w:w="0" w:type="dxa"/>
        </w:tblCellMar>
        <w:tblLook w:val="01E0"/>
      </w:tblPr>
      <w:tblGrid>
        <w:gridCol w:w="702"/>
        <w:gridCol w:w="8414"/>
      </w:tblGrid>
      <w:tr>
        <w:trPr>
          <w:trHeight w:val="501"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5" w:lineRule="exact"/>
              <w:ind w:right="6"/>
              <w:jc w:val="center"/>
              <w:rPr>
                <w:rFonts w:ascii="Arial" w:hAnsi="Arial" w:cs="Arial" w:eastAsia="Arial" w:hint="default"/>
                <w:sz w:val="24"/>
                <w:szCs w:val="24"/>
              </w:rPr>
            </w:pPr>
            <w:r>
              <w:rPr>
                <w:rFonts w:ascii="Arial"/>
                <w:sz w:val="24"/>
              </w:rPr>
              <w:t>(7)</w:t>
            </w:r>
          </w:p>
        </w:tc>
        <w:tc>
          <w:tcPr>
            <w:tcW w:w="8414" w:type="dxa"/>
            <w:tcBorders>
              <w:top w:val="nil" w:sz="6" w:space="0" w:color="auto"/>
              <w:left w:val="nil" w:sz="6" w:space="0" w:color="auto"/>
              <w:bottom w:val="nil" w:sz="6" w:space="0" w:color="auto"/>
              <w:right w:val="nil" w:sz="6" w:space="0" w:color="auto"/>
            </w:tcBorders>
          </w:tcPr>
          <w:p>
            <w:pPr>
              <w:pStyle w:val="TableParagraph"/>
              <w:spacing w:line="247" w:lineRule="exact"/>
              <w:ind w:left="208" w:right="0"/>
              <w:jc w:val="left"/>
              <w:rPr>
                <w:rFonts w:ascii="黑体" w:hAnsi="黑体" w:cs="黑体" w:eastAsia="黑体" w:hint="default"/>
                <w:sz w:val="24"/>
                <w:szCs w:val="24"/>
              </w:rPr>
            </w:pPr>
            <w:r>
              <w:rPr>
                <w:rFonts w:ascii="黑体" w:hAnsi="黑体" w:cs="黑体" w:eastAsia="黑体" w:hint="default"/>
                <w:sz w:val="24"/>
                <w:szCs w:val="24"/>
              </w:rPr>
              <w:t>购买子公司少数股权</w:t>
            </w:r>
          </w:p>
        </w:tc>
      </w:tr>
      <w:tr>
        <w:trPr>
          <w:trHeight w:val="2300" w:hRule="exact"/>
        </w:trPr>
        <w:tc>
          <w:tcPr>
            <w:tcW w:w="702" w:type="dxa"/>
            <w:tcBorders>
              <w:top w:val="nil" w:sz="6" w:space="0" w:color="auto"/>
              <w:left w:val="nil" w:sz="6" w:space="0" w:color="auto"/>
              <w:bottom w:val="nil" w:sz="6" w:space="0" w:color="auto"/>
              <w:right w:val="nil" w:sz="6" w:space="0" w:color="auto"/>
            </w:tcBorders>
          </w:tcPr>
          <w:p>
            <w:pPr/>
          </w:p>
        </w:tc>
        <w:tc>
          <w:tcPr>
            <w:tcW w:w="8414" w:type="dxa"/>
            <w:tcBorders>
              <w:top w:val="nil" w:sz="6" w:space="0" w:color="auto"/>
              <w:left w:val="nil" w:sz="6" w:space="0" w:color="auto"/>
              <w:bottom w:val="nil" w:sz="6" w:space="0" w:color="auto"/>
              <w:right w:val="nil" w:sz="6" w:space="0" w:color="auto"/>
            </w:tcBorders>
          </w:tcPr>
          <w:p>
            <w:pPr>
              <w:pStyle w:val="TableParagraph"/>
              <w:spacing w:line="235" w:lineRule="auto" w:before="184"/>
              <w:ind w:left="208" w:right="198"/>
              <w:jc w:val="both"/>
              <w:rPr>
                <w:rFonts w:ascii="宋体" w:hAnsi="宋体" w:cs="宋体" w:eastAsia="宋体" w:hint="default"/>
                <w:sz w:val="24"/>
                <w:szCs w:val="24"/>
              </w:rPr>
            </w:pPr>
            <w:r>
              <w:rPr>
                <w:rFonts w:ascii="宋体" w:hAnsi="宋体" w:cs="宋体" w:eastAsia="宋体" w:hint="default"/>
                <w:spacing w:val="2"/>
                <w:sz w:val="24"/>
                <w:szCs w:val="24"/>
              </w:rPr>
              <w:t>在取得对子公司的控制权之后，自子公司的少数股东处取得少数股东拥有的</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对该子公司全部或部分少数股权，在合并财务报表中，子公司的资产、负债</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以购买日或合并日开始持续计算的金额反映。因购买少数股权新增加的长期</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股权投资成本与按照新增持股比例计算应享有子公司自购买日或合并日开始</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3"/>
                <w:sz w:val="24"/>
                <w:szCs w:val="24"/>
              </w:rPr>
              <w:t>持续计算的净资产份额之间的差额调整资本公积，资本公积</w:t>
            </w:r>
            <w:r>
              <w:rPr>
                <w:rFonts w:ascii="Arial" w:hAnsi="Arial" w:cs="Arial" w:eastAsia="Arial" w:hint="default"/>
                <w:spacing w:val="-3"/>
                <w:sz w:val="24"/>
                <w:szCs w:val="24"/>
              </w:rPr>
              <w:t>(</w:t>
            </w:r>
            <w:r>
              <w:rPr>
                <w:rFonts w:ascii="宋体" w:hAnsi="宋体" w:cs="宋体" w:eastAsia="宋体" w:hint="default"/>
                <w:spacing w:val="-3"/>
                <w:sz w:val="24"/>
                <w:szCs w:val="24"/>
              </w:rPr>
              <w:t>资本溢价</w:t>
            </w:r>
            <w:r>
              <w:rPr>
                <w:rFonts w:ascii="Arial" w:hAnsi="Arial" w:cs="Arial" w:eastAsia="Arial" w:hint="default"/>
                <w:spacing w:val="-3"/>
                <w:sz w:val="24"/>
                <w:szCs w:val="24"/>
              </w:rPr>
              <w:t>)</w:t>
            </w:r>
            <w:r>
              <w:rPr>
                <w:rFonts w:ascii="宋体" w:hAnsi="宋体" w:cs="宋体" w:eastAsia="宋体" w:hint="default"/>
                <w:spacing w:val="-3"/>
                <w:sz w:val="24"/>
                <w:szCs w:val="24"/>
              </w:rPr>
              <w:t>的金额</w:t>
            </w:r>
            <w:r>
              <w:rPr>
                <w:rFonts w:ascii="宋体" w:hAnsi="宋体" w:cs="宋体" w:eastAsia="宋体" w:hint="default"/>
                <w:spacing w:val="-90"/>
                <w:sz w:val="24"/>
                <w:szCs w:val="24"/>
              </w:rPr>
              <w:t> </w:t>
            </w:r>
            <w:r>
              <w:rPr>
                <w:rFonts w:ascii="宋体" w:hAnsi="宋体" w:cs="宋体" w:eastAsia="宋体" w:hint="default"/>
                <w:sz w:val="24"/>
                <w:szCs w:val="24"/>
              </w:rPr>
              <w:t>不足冲减的，调整留存收益。</w:t>
            </w:r>
          </w:p>
        </w:tc>
      </w:tr>
      <w:tr>
        <w:trPr>
          <w:trHeight w:val="751"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6"/>
              <w:jc w:val="center"/>
              <w:rPr>
                <w:rFonts w:ascii="Arial" w:hAnsi="Arial" w:cs="Arial" w:eastAsia="Arial" w:hint="default"/>
                <w:sz w:val="24"/>
                <w:szCs w:val="24"/>
              </w:rPr>
            </w:pPr>
            <w:r>
              <w:rPr>
                <w:rFonts w:ascii="Arial"/>
                <w:sz w:val="24"/>
              </w:rPr>
              <w:t>(8)</w:t>
            </w:r>
          </w:p>
        </w:tc>
        <w:tc>
          <w:tcPr>
            <w:tcW w:w="8414"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208" w:right="0"/>
              <w:jc w:val="left"/>
              <w:rPr>
                <w:rFonts w:ascii="黑体" w:hAnsi="黑体" w:cs="黑体" w:eastAsia="黑体" w:hint="default"/>
                <w:sz w:val="24"/>
                <w:szCs w:val="24"/>
              </w:rPr>
            </w:pPr>
            <w:r>
              <w:rPr>
                <w:rFonts w:ascii="黑体" w:hAnsi="黑体" w:cs="黑体" w:eastAsia="黑体" w:hint="default"/>
                <w:sz w:val="24"/>
                <w:szCs w:val="24"/>
              </w:rPr>
              <w:t>现金及现金等价物</w:t>
            </w:r>
          </w:p>
        </w:tc>
      </w:tr>
      <w:tr>
        <w:trPr>
          <w:trHeight w:val="803" w:hRule="exact"/>
        </w:trPr>
        <w:tc>
          <w:tcPr>
            <w:tcW w:w="702" w:type="dxa"/>
            <w:tcBorders>
              <w:top w:val="nil" w:sz="6" w:space="0" w:color="auto"/>
              <w:left w:val="nil" w:sz="6" w:space="0" w:color="auto"/>
              <w:bottom w:val="nil" w:sz="6" w:space="0" w:color="auto"/>
              <w:right w:val="nil" w:sz="6" w:space="0" w:color="auto"/>
            </w:tcBorders>
          </w:tcPr>
          <w:p>
            <w:pPr/>
          </w:p>
        </w:tc>
        <w:tc>
          <w:tcPr>
            <w:tcW w:w="8414"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208" w:right="198"/>
              <w:jc w:val="left"/>
              <w:rPr>
                <w:rFonts w:ascii="宋体" w:hAnsi="宋体" w:cs="宋体" w:eastAsia="宋体" w:hint="default"/>
                <w:sz w:val="24"/>
                <w:szCs w:val="24"/>
              </w:rPr>
            </w:pPr>
            <w:r>
              <w:rPr>
                <w:rFonts w:ascii="宋体" w:hAnsi="宋体" w:cs="宋体" w:eastAsia="宋体" w:hint="default"/>
                <w:spacing w:val="2"/>
                <w:sz w:val="24"/>
                <w:szCs w:val="24"/>
              </w:rPr>
              <w:t>现金及现金等价物是指库存现金，可随时用于支付的存款，以及持有的期限</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短、流动性强、易于转换为已知金额现金、价值变动风险很小的投资。</w:t>
            </w:r>
          </w:p>
        </w:tc>
      </w:tr>
    </w:tbl>
    <w:p>
      <w:pPr>
        <w:spacing w:after="0" w:line="310" w:lineRule="exact"/>
        <w:jc w:val="left"/>
        <w:rPr>
          <w:rFonts w:ascii="宋体" w:hAnsi="宋体" w:cs="宋体" w:eastAsia="宋体"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02"/>
        <w:gridCol w:w="8414"/>
      </w:tblGrid>
      <w:tr>
        <w:trPr>
          <w:trHeight w:val="497"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exact"/>
              <w:ind w:right="59"/>
              <w:jc w:val="center"/>
              <w:rPr>
                <w:rFonts w:ascii="黑体" w:hAnsi="黑体" w:cs="黑体" w:eastAsia="黑体" w:hint="default"/>
                <w:sz w:val="24"/>
                <w:szCs w:val="24"/>
              </w:rPr>
            </w:pPr>
            <w:r>
              <w:rPr>
                <w:rFonts w:ascii="黑体" w:hAnsi="黑体" w:cs="黑体" w:eastAsia="黑体" w:hint="default"/>
                <w:sz w:val="24"/>
                <w:szCs w:val="24"/>
              </w:rPr>
              <w:t>二</w:t>
            </w:r>
          </w:p>
        </w:tc>
        <w:tc>
          <w:tcPr>
            <w:tcW w:w="8414" w:type="dxa"/>
            <w:tcBorders>
              <w:top w:val="nil" w:sz="6" w:space="0" w:color="auto"/>
              <w:left w:val="nil" w:sz="6" w:space="0" w:color="auto"/>
              <w:bottom w:val="nil" w:sz="6" w:space="0" w:color="auto"/>
              <w:right w:val="nil" w:sz="6" w:space="0" w:color="auto"/>
            </w:tcBorders>
          </w:tcPr>
          <w:p>
            <w:pPr>
              <w:pStyle w:val="TableParagraph"/>
              <w:spacing w:line="257" w:lineRule="exact"/>
              <w:ind w:left="208"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2"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6"/>
              <w:jc w:val="center"/>
              <w:rPr>
                <w:rFonts w:ascii="Arial" w:hAnsi="Arial" w:cs="Arial" w:eastAsia="Arial" w:hint="default"/>
                <w:sz w:val="24"/>
                <w:szCs w:val="24"/>
              </w:rPr>
            </w:pPr>
            <w:r>
              <w:rPr>
                <w:rFonts w:ascii="Arial"/>
                <w:sz w:val="24"/>
              </w:rPr>
              <w:t>(9)</w:t>
            </w:r>
          </w:p>
        </w:tc>
        <w:tc>
          <w:tcPr>
            <w:tcW w:w="8414"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08" w:right="0"/>
              <w:jc w:val="left"/>
              <w:rPr>
                <w:rFonts w:ascii="黑体" w:hAnsi="黑体" w:cs="黑体" w:eastAsia="黑体" w:hint="default"/>
                <w:sz w:val="24"/>
                <w:szCs w:val="24"/>
              </w:rPr>
            </w:pPr>
            <w:r>
              <w:rPr>
                <w:rFonts w:ascii="黑体" w:hAnsi="黑体" w:cs="黑体" w:eastAsia="黑体" w:hint="default"/>
                <w:sz w:val="24"/>
                <w:szCs w:val="24"/>
              </w:rPr>
              <w:t>外币折算</w:t>
            </w:r>
          </w:p>
        </w:tc>
      </w:tr>
      <w:tr>
        <w:trPr>
          <w:trHeight w:val="750"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6"/>
              <w:jc w:val="center"/>
              <w:rPr>
                <w:rFonts w:ascii="Arial" w:hAnsi="Arial" w:cs="Arial" w:eastAsia="Arial" w:hint="default"/>
                <w:sz w:val="24"/>
                <w:szCs w:val="24"/>
              </w:rPr>
            </w:pPr>
            <w:r>
              <w:rPr>
                <w:rFonts w:ascii="Arial"/>
                <w:sz w:val="24"/>
              </w:rPr>
              <w:t>(a)</w:t>
            </w:r>
          </w:p>
        </w:tc>
        <w:tc>
          <w:tcPr>
            <w:tcW w:w="8414"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08" w:right="0"/>
              <w:jc w:val="left"/>
              <w:rPr>
                <w:rFonts w:ascii="宋体" w:hAnsi="宋体" w:cs="宋体" w:eastAsia="宋体" w:hint="default"/>
                <w:sz w:val="24"/>
                <w:szCs w:val="24"/>
              </w:rPr>
            </w:pPr>
            <w:r>
              <w:rPr>
                <w:rFonts w:ascii="宋体" w:hAnsi="宋体" w:cs="宋体" w:eastAsia="宋体" w:hint="default"/>
                <w:sz w:val="24"/>
                <w:szCs w:val="24"/>
              </w:rPr>
              <w:t>外币交易</w:t>
            </w:r>
          </w:p>
        </w:tc>
      </w:tr>
      <w:tr>
        <w:trPr>
          <w:trHeight w:val="748" w:hRule="exact"/>
        </w:trPr>
        <w:tc>
          <w:tcPr>
            <w:tcW w:w="702" w:type="dxa"/>
            <w:tcBorders>
              <w:top w:val="nil" w:sz="6" w:space="0" w:color="auto"/>
              <w:left w:val="nil" w:sz="6" w:space="0" w:color="auto"/>
              <w:bottom w:val="nil" w:sz="6" w:space="0" w:color="auto"/>
              <w:right w:val="nil" w:sz="6" w:space="0" w:color="auto"/>
            </w:tcBorders>
          </w:tcPr>
          <w:p>
            <w:pPr/>
          </w:p>
        </w:tc>
        <w:tc>
          <w:tcPr>
            <w:tcW w:w="8414"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08" w:right="0"/>
              <w:jc w:val="left"/>
              <w:rPr>
                <w:rFonts w:ascii="宋体" w:hAnsi="宋体" w:cs="宋体" w:eastAsia="宋体" w:hint="default"/>
                <w:sz w:val="24"/>
                <w:szCs w:val="24"/>
              </w:rPr>
            </w:pPr>
            <w:r>
              <w:rPr>
                <w:rFonts w:ascii="宋体" w:hAnsi="宋体" w:cs="宋体" w:eastAsia="宋体" w:hint="default"/>
                <w:sz w:val="24"/>
                <w:szCs w:val="24"/>
              </w:rPr>
              <w:t>外币交易按交易发生日的即期汇率将外币金额折算为人民币入账。</w:t>
            </w:r>
          </w:p>
        </w:tc>
      </w:tr>
      <w:tr>
        <w:trPr>
          <w:trHeight w:val="1738" w:hRule="exact"/>
        </w:trPr>
        <w:tc>
          <w:tcPr>
            <w:tcW w:w="702" w:type="dxa"/>
            <w:tcBorders>
              <w:top w:val="nil" w:sz="6" w:space="0" w:color="auto"/>
              <w:left w:val="nil" w:sz="6" w:space="0" w:color="auto"/>
              <w:bottom w:val="nil" w:sz="6" w:space="0" w:color="auto"/>
              <w:right w:val="nil" w:sz="6" w:space="0" w:color="auto"/>
            </w:tcBorders>
          </w:tcPr>
          <w:p>
            <w:pPr/>
          </w:p>
        </w:tc>
        <w:tc>
          <w:tcPr>
            <w:tcW w:w="8414" w:type="dxa"/>
            <w:tcBorders>
              <w:top w:val="nil" w:sz="6" w:space="0" w:color="auto"/>
              <w:left w:val="nil" w:sz="6" w:space="0" w:color="auto"/>
              <w:bottom w:val="nil" w:sz="6" w:space="0" w:color="auto"/>
              <w:right w:val="nil" w:sz="6" w:space="0" w:color="auto"/>
            </w:tcBorders>
          </w:tcPr>
          <w:p>
            <w:pPr>
              <w:pStyle w:val="TableParagraph"/>
              <w:spacing w:line="237" w:lineRule="auto" w:before="183"/>
              <w:ind w:left="208" w:right="198"/>
              <w:jc w:val="both"/>
              <w:rPr>
                <w:rFonts w:ascii="宋体" w:hAnsi="宋体" w:cs="宋体" w:eastAsia="宋体" w:hint="default"/>
                <w:sz w:val="24"/>
                <w:szCs w:val="24"/>
              </w:rPr>
            </w:pPr>
            <w:r>
              <w:rPr>
                <w:rFonts w:ascii="宋体" w:hAnsi="宋体" w:cs="宋体" w:eastAsia="宋体" w:hint="default"/>
                <w:spacing w:val="2"/>
                <w:sz w:val="24"/>
                <w:szCs w:val="24"/>
              </w:rPr>
              <w:t>于资产负债表日，外币货币性项目采用资产负债表日的即期汇率折算为人民</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币。为购建符合借款费用资本化条件的资产而借入的外币专门借款产生的汇</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兑差额在资本化期间内予以资本化；其他汇兑差额直接计入当期损益。以历</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2"/>
                <w:sz w:val="24"/>
                <w:szCs w:val="24"/>
              </w:rPr>
              <w:t>史成本计量的外币非货币性项目，采用交易发生日的即期汇率折算。汇率变</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动对现金的影响额在现金流量表中单独列示。</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707"/>
        <w:gridCol w:w="8413"/>
      </w:tblGrid>
      <w:tr>
        <w:trPr>
          <w:trHeight w:val="501"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8413" w:type="dxa"/>
            <w:tcBorders>
              <w:top w:val="nil" w:sz="6" w:space="0" w:color="auto"/>
              <w:left w:val="nil" w:sz="6" w:space="0" w:color="auto"/>
              <w:bottom w:val="nil" w:sz="6" w:space="0" w:color="auto"/>
              <w:right w:val="nil" w:sz="6" w:space="0" w:color="auto"/>
            </w:tcBorders>
          </w:tcPr>
          <w:p>
            <w:pPr>
              <w:pStyle w:val="TableParagraph"/>
              <w:spacing w:line="247" w:lineRule="exact"/>
              <w:ind w:left="213" w:right="0"/>
              <w:jc w:val="left"/>
              <w:rPr>
                <w:rFonts w:ascii="宋体" w:hAnsi="宋体" w:cs="宋体" w:eastAsia="宋体" w:hint="default"/>
                <w:sz w:val="24"/>
                <w:szCs w:val="24"/>
              </w:rPr>
            </w:pPr>
            <w:r>
              <w:rPr>
                <w:rFonts w:ascii="宋体" w:hAnsi="宋体" w:cs="宋体" w:eastAsia="宋体" w:hint="default"/>
                <w:sz w:val="24"/>
                <w:szCs w:val="24"/>
              </w:rPr>
              <w:t>外币财务报表的折算</w:t>
            </w:r>
          </w:p>
        </w:tc>
      </w:tr>
      <w:tr>
        <w:trPr>
          <w:trHeight w:val="2049" w:hRule="exact"/>
        </w:trPr>
        <w:tc>
          <w:tcPr>
            <w:tcW w:w="707" w:type="dxa"/>
            <w:tcBorders>
              <w:top w:val="nil" w:sz="6" w:space="0" w:color="auto"/>
              <w:left w:val="nil" w:sz="6" w:space="0" w:color="auto"/>
              <w:bottom w:val="nil" w:sz="6" w:space="0" w:color="auto"/>
              <w:right w:val="nil" w:sz="6" w:space="0" w:color="auto"/>
            </w:tcBorders>
          </w:tcPr>
          <w:p>
            <w:pPr/>
          </w:p>
        </w:tc>
        <w:tc>
          <w:tcPr>
            <w:tcW w:w="8413"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13" w:right="198"/>
              <w:jc w:val="both"/>
              <w:rPr>
                <w:rFonts w:ascii="宋体" w:hAnsi="宋体" w:cs="宋体" w:eastAsia="宋体" w:hint="default"/>
                <w:sz w:val="24"/>
                <w:szCs w:val="24"/>
              </w:rPr>
            </w:pPr>
            <w:r>
              <w:rPr>
                <w:rFonts w:ascii="宋体" w:hAnsi="宋体" w:cs="宋体" w:eastAsia="宋体" w:hint="default"/>
                <w:sz w:val="24"/>
                <w:szCs w:val="24"/>
              </w:rPr>
              <w:t>境外经营的资产负债表中的资产和负债项目，采用资产负债表日的即期汇率</w:t>
            </w:r>
            <w:r>
              <w:rPr>
                <w:rFonts w:ascii="宋体" w:hAnsi="宋体" w:cs="宋体" w:eastAsia="宋体" w:hint="default"/>
                <w:spacing w:val="-55"/>
                <w:sz w:val="24"/>
                <w:szCs w:val="24"/>
              </w:rPr>
              <w:t> </w:t>
            </w:r>
            <w:r>
              <w:rPr>
                <w:rFonts w:ascii="宋体" w:hAnsi="宋体" w:cs="宋体" w:eastAsia="宋体" w:hint="default"/>
                <w:sz w:val="24"/>
                <w:szCs w:val="24"/>
              </w:rPr>
              <w:t>折算，股东权益中除未分配利润项目外，其他项目采用发生时的即期汇率折</w:t>
            </w:r>
            <w:r>
              <w:rPr>
                <w:rFonts w:ascii="宋体" w:hAnsi="宋体" w:cs="宋体" w:eastAsia="宋体" w:hint="default"/>
                <w:spacing w:val="-55"/>
                <w:sz w:val="24"/>
                <w:szCs w:val="24"/>
              </w:rPr>
              <w:t> </w:t>
            </w:r>
            <w:r>
              <w:rPr>
                <w:rFonts w:ascii="宋体" w:hAnsi="宋体" w:cs="宋体" w:eastAsia="宋体" w:hint="default"/>
                <w:sz w:val="24"/>
                <w:szCs w:val="24"/>
              </w:rPr>
              <w:t>算。境外经营的利润表中的收入与费用项目，采用交易发生日的即期汇率折</w:t>
            </w:r>
            <w:r>
              <w:rPr>
                <w:rFonts w:ascii="宋体" w:hAnsi="宋体" w:cs="宋体" w:eastAsia="宋体" w:hint="default"/>
                <w:spacing w:val="-55"/>
                <w:sz w:val="24"/>
                <w:szCs w:val="24"/>
              </w:rPr>
              <w:t> </w:t>
            </w:r>
            <w:r>
              <w:rPr>
                <w:rFonts w:ascii="宋体" w:hAnsi="宋体" w:cs="宋体" w:eastAsia="宋体" w:hint="default"/>
                <w:sz w:val="24"/>
                <w:szCs w:val="24"/>
              </w:rPr>
              <w:t>算。上述折算产生的外币报表折算差额，在股东权益中以单独项目列示。境</w:t>
            </w:r>
            <w:r>
              <w:rPr>
                <w:rFonts w:ascii="宋体" w:hAnsi="宋体" w:cs="宋体" w:eastAsia="宋体" w:hint="default"/>
                <w:spacing w:val="-55"/>
                <w:sz w:val="24"/>
                <w:szCs w:val="24"/>
              </w:rPr>
              <w:t> </w:t>
            </w:r>
            <w:r>
              <w:rPr>
                <w:rFonts w:ascii="宋体" w:hAnsi="宋体" w:cs="宋体" w:eastAsia="宋体" w:hint="default"/>
                <w:sz w:val="24"/>
                <w:szCs w:val="24"/>
              </w:rPr>
              <w:t>外经营的现金流量项目，采用现金流量发生日的即期汇率折算。汇率变动对</w:t>
            </w:r>
            <w:r>
              <w:rPr>
                <w:rFonts w:ascii="宋体" w:hAnsi="宋体" w:cs="宋体" w:eastAsia="宋体" w:hint="default"/>
                <w:spacing w:val="-55"/>
                <w:sz w:val="24"/>
                <w:szCs w:val="24"/>
              </w:rPr>
              <w:t> </w:t>
            </w:r>
            <w:r>
              <w:rPr>
                <w:rFonts w:ascii="宋体" w:hAnsi="宋体" w:cs="宋体" w:eastAsia="宋体" w:hint="default"/>
                <w:sz w:val="24"/>
                <w:szCs w:val="24"/>
              </w:rPr>
              <w:t>现金的影响额，在现金流量表中单独列示。</w:t>
            </w:r>
          </w:p>
        </w:tc>
      </w:tr>
    </w:tbl>
    <w:p>
      <w:pPr>
        <w:spacing w:after="0" w:line="237" w:lineRule="auto"/>
        <w:jc w:val="both"/>
        <w:rPr>
          <w:rFonts w:ascii="宋体" w:hAnsi="宋体" w:cs="宋体" w:eastAsia="宋体" w:hint="default"/>
          <w:sz w:val="24"/>
          <w:szCs w:val="24"/>
        </w:rPr>
        <w:sectPr>
          <w:footerReference w:type="default" r:id="rId55"/>
          <w:pgSz w:w="11910" w:h="16850"/>
          <w:pgMar w:footer="1340" w:header="795"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74"/>
        <w:gridCol w:w="8486"/>
      </w:tblGrid>
      <w:tr>
        <w:trPr>
          <w:trHeight w:val="495"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86" w:type="dxa"/>
            <w:tcBorders>
              <w:top w:val="nil" w:sz="6" w:space="0" w:color="auto"/>
              <w:left w:val="nil" w:sz="6" w:space="0" w:color="auto"/>
              <w:bottom w:val="nil" w:sz="6" w:space="0" w:color="auto"/>
              <w:right w:val="nil" w:sz="6" w:space="0" w:color="auto"/>
            </w:tcBorders>
          </w:tcPr>
          <w:p>
            <w:pPr>
              <w:pStyle w:val="TableParagraph"/>
              <w:spacing w:line="257" w:lineRule="exact"/>
              <w:ind w:left="146"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1"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(10)</w:t>
            </w:r>
          </w:p>
        </w:tc>
        <w:tc>
          <w:tcPr>
            <w:tcW w:w="8486"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6" w:right="0"/>
              <w:jc w:val="left"/>
              <w:rPr>
                <w:rFonts w:ascii="黑体" w:hAnsi="黑体" w:cs="黑体" w:eastAsia="黑体" w:hint="default"/>
                <w:sz w:val="24"/>
                <w:szCs w:val="24"/>
              </w:rPr>
            </w:pPr>
            <w:r>
              <w:rPr>
                <w:rFonts w:ascii="黑体" w:hAnsi="黑体" w:cs="黑体" w:eastAsia="黑体" w:hint="default"/>
                <w:sz w:val="24"/>
                <w:szCs w:val="24"/>
              </w:rPr>
              <w:t>金融工具</w:t>
            </w:r>
          </w:p>
        </w:tc>
      </w:tr>
      <w:tr>
        <w:trPr>
          <w:trHeight w:val="748"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486"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46" w:right="0"/>
              <w:jc w:val="left"/>
              <w:rPr>
                <w:rFonts w:ascii="宋体" w:hAnsi="宋体" w:cs="宋体" w:eastAsia="宋体" w:hint="default"/>
                <w:sz w:val="24"/>
                <w:szCs w:val="24"/>
              </w:rPr>
            </w:pPr>
            <w:r>
              <w:rPr>
                <w:rFonts w:ascii="宋体" w:hAnsi="宋体" w:cs="宋体" w:eastAsia="宋体" w:hint="default"/>
                <w:sz w:val="24"/>
                <w:szCs w:val="24"/>
              </w:rPr>
              <w:t>金融资产</w:t>
            </w:r>
          </w:p>
        </w:tc>
      </w:tr>
      <w:tr>
        <w:trPr>
          <w:trHeight w:val="752"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(i)</w:t>
            </w:r>
          </w:p>
        </w:tc>
        <w:tc>
          <w:tcPr>
            <w:tcW w:w="8486"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46" w:right="0"/>
              <w:jc w:val="left"/>
              <w:rPr>
                <w:rFonts w:ascii="宋体" w:hAnsi="宋体" w:cs="宋体" w:eastAsia="宋体" w:hint="default"/>
                <w:sz w:val="24"/>
                <w:szCs w:val="24"/>
              </w:rPr>
            </w:pPr>
            <w:r>
              <w:rPr>
                <w:rFonts w:ascii="宋体" w:hAnsi="宋体" w:cs="宋体" w:eastAsia="宋体" w:hint="default"/>
                <w:sz w:val="24"/>
                <w:szCs w:val="24"/>
              </w:rPr>
              <w:t>金融资产分类</w:t>
            </w:r>
          </w:p>
        </w:tc>
      </w:tr>
      <w:tr>
        <w:trPr>
          <w:trHeight w:val="1369" w:hRule="exact"/>
        </w:trPr>
        <w:tc>
          <w:tcPr>
            <w:tcW w:w="774" w:type="dxa"/>
            <w:tcBorders>
              <w:top w:val="nil" w:sz="6" w:space="0" w:color="auto"/>
              <w:left w:val="nil" w:sz="6" w:space="0" w:color="auto"/>
              <w:bottom w:val="nil" w:sz="6" w:space="0" w:color="auto"/>
              <w:right w:val="nil" w:sz="6" w:space="0" w:color="auto"/>
            </w:tcBorders>
          </w:tcPr>
          <w:p>
            <w:pPr/>
          </w:p>
        </w:tc>
        <w:tc>
          <w:tcPr>
            <w:tcW w:w="8486"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46" w:right="347"/>
              <w:jc w:val="both"/>
              <w:rPr>
                <w:rFonts w:ascii="宋体" w:hAnsi="宋体" w:cs="宋体" w:eastAsia="宋体" w:hint="default"/>
                <w:sz w:val="24"/>
                <w:szCs w:val="24"/>
              </w:rPr>
            </w:pPr>
            <w:r>
              <w:rPr>
                <w:rFonts w:ascii="宋体" w:hAnsi="宋体" w:cs="宋体" w:eastAsia="宋体" w:hint="default"/>
                <w:sz w:val="24"/>
                <w:szCs w:val="24"/>
              </w:rPr>
              <w:t>金融资产于初始确认时分类为：以公允价值计量且其变动计入当期损益的金</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融资产、应收款项、可供出售金融资产和持有至到期投资。金融资产的分类</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取决于本集团对金融资产的持有意图和持有能力。</w:t>
            </w:r>
          </w:p>
        </w:tc>
      </w:tr>
      <w:tr>
        <w:trPr>
          <w:trHeight w:val="748" w:hRule="exact"/>
        </w:trPr>
        <w:tc>
          <w:tcPr>
            <w:tcW w:w="774" w:type="dxa"/>
            <w:tcBorders>
              <w:top w:val="nil" w:sz="6" w:space="0" w:color="auto"/>
              <w:left w:val="nil" w:sz="6" w:space="0" w:color="auto"/>
              <w:bottom w:val="nil" w:sz="6" w:space="0" w:color="auto"/>
              <w:right w:val="nil" w:sz="6" w:space="0" w:color="auto"/>
            </w:tcBorders>
          </w:tcPr>
          <w:p>
            <w:pPr/>
          </w:p>
        </w:tc>
        <w:tc>
          <w:tcPr>
            <w:tcW w:w="8486"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46"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以公允价值计量且其变动计入当期损益的金融资产</w:t>
            </w:r>
          </w:p>
        </w:tc>
      </w:tr>
      <w:tr>
        <w:trPr>
          <w:trHeight w:val="1375" w:hRule="exact"/>
        </w:trPr>
        <w:tc>
          <w:tcPr>
            <w:tcW w:w="774" w:type="dxa"/>
            <w:tcBorders>
              <w:top w:val="nil" w:sz="6" w:space="0" w:color="auto"/>
              <w:left w:val="nil" w:sz="6" w:space="0" w:color="auto"/>
              <w:bottom w:val="nil" w:sz="6" w:space="0" w:color="auto"/>
              <w:right w:val="nil" w:sz="6" w:space="0" w:color="auto"/>
            </w:tcBorders>
          </w:tcPr>
          <w:p>
            <w:pPr/>
          </w:p>
        </w:tc>
        <w:tc>
          <w:tcPr>
            <w:tcW w:w="8486"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146" w:right="318"/>
              <w:jc w:val="left"/>
              <w:rPr>
                <w:rFonts w:ascii="宋体" w:hAnsi="宋体" w:cs="宋体" w:eastAsia="宋体" w:hint="default"/>
                <w:sz w:val="24"/>
                <w:szCs w:val="24"/>
              </w:rPr>
            </w:pPr>
            <w:r>
              <w:rPr>
                <w:rFonts w:ascii="宋体" w:hAnsi="宋体" w:cs="宋体" w:eastAsia="宋体" w:hint="default"/>
                <w:spacing w:val="2"/>
                <w:sz w:val="24"/>
                <w:szCs w:val="24"/>
              </w:rPr>
              <w:t>以公允价值计量且其变动计入当期损益的金融资产包括持有目的为短期内出</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3"/>
                <w:sz w:val="24"/>
                <w:szCs w:val="24"/>
              </w:rPr>
              <w:t>售的金融资产，该资产在资产负债表中以交易性金融资产列示。于</w:t>
            </w:r>
            <w:r>
              <w:rPr>
                <w:rFonts w:ascii="宋体" w:hAnsi="宋体" w:cs="宋体" w:eastAsia="宋体" w:hint="default"/>
                <w:spacing w:val="-56"/>
                <w:sz w:val="24"/>
                <w:szCs w:val="24"/>
              </w:rPr>
              <w:t> </w:t>
            </w:r>
            <w:r>
              <w:rPr>
                <w:rFonts w:ascii="Arial" w:hAnsi="Arial" w:cs="Arial" w:eastAsia="Arial" w:hint="default"/>
                <w:sz w:val="24"/>
                <w:szCs w:val="24"/>
              </w:rPr>
              <w:t>2012</w:t>
            </w:r>
            <w:r>
              <w:rPr>
                <w:rFonts w:ascii="Arial" w:hAnsi="Arial" w:cs="Arial" w:eastAsia="Arial" w:hint="default"/>
                <w:spacing w:val="-2"/>
                <w:sz w:val="24"/>
                <w:szCs w:val="24"/>
              </w:rPr>
              <w:t> </w:t>
            </w:r>
            <w:r>
              <w:rPr>
                <w:rFonts w:ascii="宋体" w:hAnsi="宋体" w:cs="宋体" w:eastAsia="宋体" w:hint="default"/>
                <w:sz w:val="24"/>
                <w:szCs w:val="24"/>
              </w:rPr>
              <w:t>年度</w:t>
            </w:r>
          </w:p>
          <w:p>
            <w:pPr>
              <w:pStyle w:val="TableParagraph"/>
              <w:spacing w:line="301" w:lineRule="exact"/>
              <w:ind w:left="146" w:right="0"/>
              <w:jc w:val="left"/>
              <w:rPr>
                <w:rFonts w:ascii="宋体" w:hAnsi="宋体" w:cs="宋体" w:eastAsia="宋体" w:hint="default"/>
                <w:sz w:val="24"/>
                <w:szCs w:val="24"/>
              </w:rPr>
            </w:pPr>
            <w:r>
              <w:rPr>
                <w:rFonts w:ascii="宋体" w:hAnsi="宋体" w:cs="宋体" w:eastAsia="宋体" w:hint="default"/>
                <w:sz w:val="24"/>
                <w:szCs w:val="24"/>
              </w:rPr>
              <w:t>及</w:t>
            </w:r>
            <w:r>
              <w:rPr>
                <w:rFonts w:ascii="宋体" w:hAnsi="宋体" w:cs="宋体" w:eastAsia="宋体" w:hint="default"/>
                <w:spacing w:val="-61"/>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年度，本集团无此类金融资产。</w:t>
            </w:r>
          </w:p>
        </w:tc>
      </w:tr>
      <w:tr>
        <w:trPr>
          <w:trHeight w:val="742" w:hRule="exact"/>
        </w:trPr>
        <w:tc>
          <w:tcPr>
            <w:tcW w:w="774" w:type="dxa"/>
            <w:tcBorders>
              <w:top w:val="nil" w:sz="6" w:space="0" w:color="auto"/>
              <w:left w:val="nil" w:sz="6" w:space="0" w:color="auto"/>
              <w:bottom w:val="nil" w:sz="6" w:space="0" w:color="auto"/>
              <w:right w:val="nil" w:sz="6" w:space="0" w:color="auto"/>
            </w:tcBorders>
          </w:tcPr>
          <w:p>
            <w:pPr/>
          </w:p>
        </w:tc>
        <w:tc>
          <w:tcPr>
            <w:tcW w:w="8486"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46" w:right="0"/>
              <w:jc w:val="left"/>
              <w:rPr>
                <w:rFonts w:ascii="宋体" w:hAnsi="宋体" w:cs="宋体" w:eastAsia="宋体" w:hint="default"/>
                <w:sz w:val="24"/>
                <w:szCs w:val="24"/>
              </w:rPr>
            </w:pPr>
            <w:r>
              <w:rPr>
                <w:rFonts w:ascii="宋体" w:hAnsi="宋体" w:cs="宋体" w:eastAsia="宋体" w:hint="default"/>
                <w:sz w:val="24"/>
                <w:szCs w:val="24"/>
              </w:rPr>
              <w:t>应收款项</w:t>
            </w:r>
          </w:p>
        </w:tc>
      </w:tr>
      <w:tr>
        <w:trPr>
          <w:trHeight w:val="1057" w:hRule="exact"/>
        </w:trPr>
        <w:tc>
          <w:tcPr>
            <w:tcW w:w="774" w:type="dxa"/>
            <w:tcBorders>
              <w:top w:val="nil" w:sz="6" w:space="0" w:color="auto"/>
              <w:left w:val="nil" w:sz="6" w:space="0" w:color="auto"/>
              <w:bottom w:val="nil" w:sz="6" w:space="0" w:color="auto"/>
              <w:right w:val="nil" w:sz="6" w:space="0" w:color="auto"/>
            </w:tcBorders>
          </w:tcPr>
          <w:p>
            <w:pPr/>
          </w:p>
        </w:tc>
        <w:tc>
          <w:tcPr>
            <w:tcW w:w="8486"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146" w:right="329"/>
              <w:jc w:val="left"/>
              <w:rPr>
                <w:rFonts w:ascii="宋体" w:hAnsi="宋体" w:cs="宋体" w:eastAsia="宋体" w:hint="default"/>
                <w:sz w:val="24"/>
                <w:szCs w:val="24"/>
              </w:rPr>
            </w:pPr>
            <w:r>
              <w:rPr>
                <w:rFonts w:ascii="宋体" w:hAnsi="宋体" w:cs="宋体" w:eastAsia="宋体" w:hint="default"/>
                <w:spacing w:val="2"/>
                <w:sz w:val="24"/>
                <w:szCs w:val="24"/>
              </w:rPr>
              <w:t>应收款项是指在活跃市场中没有报价、回收金额固定或可确定的非衍生金融</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资产。</w:t>
            </w:r>
          </w:p>
        </w:tc>
      </w:tr>
      <w:tr>
        <w:trPr>
          <w:trHeight w:val="748" w:hRule="exact"/>
        </w:trPr>
        <w:tc>
          <w:tcPr>
            <w:tcW w:w="774" w:type="dxa"/>
            <w:tcBorders>
              <w:top w:val="nil" w:sz="6" w:space="0" w:color="auto"/>
              <w:left w:val="nil" w:sz="6" w:space="0" w:color="auto"/>
              <w:bottom w:val="nil" w:sz="6" w:space="0" w:color="auto"/>
              <w:right w:val="nil" w:sz="6" w:space="0" w:color="auto"/>
            </w:tcBorders>
          </w:tcPr>
          <w:p>
            <w:pPr/>
          </w:p>
        </w:tc>
        <w:tc>
          <w:tcPr>
            <w:tcW w:w="8486"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46"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r>
      <w:tr>
        <w:trPr>
          <w:trHeight w:val="1427" w:hRule="exact"/>
        </w:trPr>
        <w:tc>
          <w:tcPr>
            <w:tcW w:w="774" w:type="dxa"/>
            <w:tcBorders>
              <w:top w:val="nil" w:sz="6" w:space="0" w:color="auto"/>
              <w:left w:val="nil" w:sz="6" w:space="0" w:color="auto"/>
              <w:bottom w:val="nil" w:sz="6" w:space="0" w:color="auto"/>
              <w:right w:val="nil" w:sz="6" w:space="0" w:color="auto"/>
            </w:tcBorders>
          </w:tcPr>
          <w:p>
            <w:pPr/>
          </w:p>
        </w:tc>
        <w:tc>
          <w:tcPr>
            <w:tcW w:w="8486"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46" w:right="320"/>
              <w:jc w:val="left"/>
              <w:rPr>
                <w:rFonts w:ascii="宋体" w:hAnsi="宋体" w:cs="宋体" w:eastAsia="宋体" w:hint="default"/>
                <w:sz w:val="24"/>
                <w:szCs w:val="24"/>
              </w:rPr>
            </w:pPr>
            <w:r>
              <w:rPr>
                <w:rFonts w:ascii="宋体" w:hAnsi="宋体" w:cs="宋体" w:eastAsia="宋体" w:hint="default"/>
                <w:spacing w:val="2"/>
                <w:sz w:val="24"/>
                <w:szCs w:val="24"/>
              </w:rPr>
              <w:t>可供出售金融资产包括初始确认时即被指定为可供出售的非衍生金融资产及</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3"/>
                <w:sz w:val="24"/>
                <w:szCs w:val="24"/>
              </w:rPr>
              <w:t>未被划分为其他类的金融资产。自资产负债表日起</w:t>
            </w:r>
            <w:r>
              <w:rPr>
                <w:rFonts w:ascii="宋体" w:hAnsi="宋体" w:cs="宋体" w:eastAsia="宋体" w:hint="default"/>
                <w:spacing w:val="-54"/>
                <w:sz w:val="24"/>
                <w:szCs w:val="24"/>
              </w:rPr>
              <w:t> </w:t>
            </w:r>
            <w:r>
              <w:rPr>
                <w:rFonts w:ascii="Arial" w:hAnsi="Arial" w:cs="Arial" w:eastAsia="Arial" w:hint="default"/>
                <w:sz w:val="24"/>
                <w:szCs w:val="24"/>
              </w:rPr>
              <w:t>12 </w:t>
            </w:r>
            <w:r>
              <w:rPr>
                <w:rFonts w:ascii="宋体" w:hAnsi="宋体" w:cs="宋体" w:eastAsia="宋体" w:hint="default"/>
                <w:sz w:val="24"/>
                <w:szCs w:val="24"/>
              </w:rPr>
              <w:t>个月内将出售的可供出</w:t>
            </w:r>
          </w:p>
          <w:p>
            <w:pPr>
              <w:pStyle w:val="TableParagraph"/>
              <w:spacing w:line="312" w:lineRule="exact" w:before="9"/>
              <w:ind w:left="146" w:right="198"/>
              <w:jc w:val="left"/>
              <w:rPr>
                <w:rFonts w:ascii="宋体" w:hAnsi="宋体" w:cs="宋体" w:eastAsia="宋体" w:hint="default"/>
                <w:sz w:val="24"/>
                <w:szCs w:val="24"/>
              </w:rPr>
            </w:pPr>
            <w:r>
              <w:rPr>
                <w:rFonts w:ascii="宋体" w:hAnsi="宋体" w:cs="宋体" w:eastAsia="宋体" w:hint="default"/>
                <w:spacing w:val="-5"/>
                <w:sz w:val="24"/>
                <w:szCs w:val="24"/>
              </w:rPr>
              <w:t>售金融资产在资产负债表中列示为其他流动资产。于</w:t>
            </w:r>
            <w:r>
              <w:rPr>
                <w:rFonts w:ascii="宋体" w:hAnsi="宋体" w:cs="宋体" w:eastAsia="宋体" w:hint="default"/>
                <w:spacing w:val="-58"/>
                <w:sz w:val="24"/>
                <w:szCs w:val="24"/>
              </w:rPr>
              <w:t> </w:t>
            </w:r>
            <w:r>
              <w:rPr>
                <w:rFonts w:ascii="Arial" w:hAnsi="Arial" w:cs="Arial" w:eastAsia="Arial" w:hint="default"/>
                <w:spacing w:val="-1"/>
                <w:w w:val="99"/>
                <w:sz w:val="24"/>
                <w:szCs w:val="24"/>
              </w:rPr>
              <w:t>2012</w:t>
            </w:r>
            <w:r>
              <w:rPr>
                <w:rFonts w:ascii="Arial" w:hAnsi="Arial" w:cs="Arial" w:eastAsia="Arial" w:hint="default"/>
                <w:spacing w:val="-5"/>
                <w:w w:val="99"/>
                <w:sz w:val="24"/>
                <w:szCs w:val="24"/>
              </w:rPr>
              <w:t> </w:t>
            </w:r>
            <w:r>
              <w:rPr>
                <w:rFonts w:ascii="宋体" w:hAnsi="宋体" w:cs="宋体" w:eastAsia="宋体" w:hint="default"/>
                <w:sz w:val="24"/>
                <w:szCs w:val="24"/>
              </w:rPr>
              <w:t>年度及</w:t>
            </w:r>
            <w:r>
              <w:rPr>
                <w:rFonts w:ascii="宋体" w:hAnsi="宋体" w:cs="宋体" w:eastAsia="宋体" w:hint="default"/>
                <w:spacing w:val="-60"/>
                <w:sz w:val="24"/>
                <w:szCs w:val="24"/>
              </w:rPr>
              <w:t> </w:t>
            </w:r>
            <w:r>
              <w:rPr>
                <w:rFonts w:ascii="Arial" w:hAnsi="Arial" w:cs="Arial" w:eastAsia="Arial" w:hint="default"/>
                <w:spacing w:val="-5"/>
                <w:w w:val="99"/>
                <w:sz w:val="24"/>
                <w:szCs w:val="24"/>
              </w:rPr>
              <w:t>2011 </w:t>
            </w:r>
            <w:r>
              <w:rPr>
                <w:rFonts w:ascii="宋体" w:hAnsi="宋体" w:cs="宋体" w:eastAsia="宋体" w:hint="default"/>
                <w:sz w:val="24"/>
                <w:szCs w:val="24"/>
              </w:rPr>
              <w:t>年度， 本集团的可供出售金融资产为股票投资。</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818" w:type="dxa"/>
        <w:tblLayout w:type="fixed"/>
        <w:tblCellMar>
          <w:top w:w="0" w:type="dxa"/>
          <w:left w:w="0" w:type="dxa"/>
          <w:bottom w:w="0" w:type="dxa"/>
          <w:right w:w="0" w:type="dxa"/>
        </w:tblCellMar>
        <w:tblLook w:val="01E0"/>
      </w:tblPr>
      <w:tblGrid>
        <w:gridCol w:w="8432"/>
      </w:tblGrid>
      <w:tr>
        <w:trPr>
          <w:trHeight w:val="493" w:hRule="exact"/>
        </w:trPr>
        <w:tc>
          <w:tcPr>
            <w:tcW w:w="843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r>
      <w:tr>
        <w:trPr>
          <w:trHeight w:val="1751" w:hRule="exact"/>
        </w:trPr>
        <w:tc>
          <w:tcPr>
            <w:tcW w:w="8432"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200" w:right="202"/>
              <w:jc w:val="left"/>
              <w:rPr>
                <w:rFonts w:ascii="宋体" w:hAnsi="宋体" w:cs="宋体" w:eastAsia="宋体" w:hint="default"/>
                <w:sz w:val="24"/>
                <w:szCs w:val="24"/>
              </w:rPr>
            </w:pPr>
            <w:r>
              <w:rPr>
                <w:rFonts w:ascii="宋体" w:hAnsi="宋体" w:cs="宋体" w:eastAsia="宋体" w:hint="default"/>
                <w:spacing w:val="2"/>
                <w:sz w:val="24"/>
                <w:szCs w:val="24"/>
              </w:rPr>
              <w:t>持有至到期投资是指到期日固定、回收金额固定或可确定，且管理层有明确</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意图和能力持有至到期的非衍生金融资产。取得时期限超过</w:t>
            </w:r>
            <w:r>
              <w:rPr>
                <w:rFonts w:ascii="宋体" w:hAnsi="宋体" w:cs="宋体" w:eastAsia="宋体" w:hint="default"/>
                <w:spacing w:val="-82"/>
                <w:sz w:val="24"/>
                <w:szCs w:val="24"/>
              </w:rPr>
              <w:t> </w:t>
            </w:r>
            <w:r>
              <w:rPr>
                <w:rFonts w:ascii="Arial" w:hAnsi="Arial" w:cs="Arial" w:eastAsia="Arial" w:hint="default"/>
                <w:sz w:val="24"/>
                <w:szCs w:val="24"/>
              </w:rPr>
              <w:t>12</w:t>
            </w:r>
            <w:r>
              <w:rPr>
                <w:rFonts w:ascii="Arial" w:hAnsi="Arial" w:cs="Arial" w:eastAsia="Arial" w:hint="default"/>
                <w:spacing w:val="-28"/>
                <w:sz w:val="24"/>
                <w:szCs w:val="24"/>
              </w:rPr>
              <w:t> </w:t>
            </w:r>
            <w:r>
              <w:rPr>
                <w:rFonts w:ascii="宋体" w:hAnsi="宋体" w:cs="宋体" w:eastAsia="宋体" w:hint="default"/>
                <w:sz w:val="24"/>
                <w:szCs w:val="24"/>
              </w:rPr>
              <w:t>个月但自资产</w:t>
            </w:r>
          </w:p>
          <w:p>
            <w:pPr>
              <w:pStyle w:val="TableParagraph"/>
              <w:spacing w:line="288" w:lineRule="exact"/>
              <w:ind w:left="200" w:right="0"/>
              <w:jc w:val="left"/>
              <w:rPr>
                <w:rFonts w:ascii="宋体" w:hAnsi="宋体" w:cs="宋体" w:eastAsia="宋体" w:hint="default"/>
                <w:sz w:val="24"/>
                <w:szCs w:val="24"/>
              </w:rPr>
            </w:pPr>
            <w:r>
              <w:rPr>
                <w:rFonts w:ascii="宋体" w:hAnsi="宋体" w:cs="宋体" w:eastAsia="宋体" w:hint="default"/>
                <w:sz w:val="24"/>
                <w:szCs w:val="24"/>
              </w:rPr>
              <w:t>负债表日起</w:t>
            </w:r>
            <w:r>
              <w:rPr>
                <w:rFonts w:ascii="宋体" w:hAnsi="宋体" w:cs="宋体" w:eastAsia="宋体" w:hint="default"/>
                <w:spacing w:val="-60"/>
                <w:sz w:val="24"/>
                <w:szCs w:val="24"/>
              </w:rPr>
              <w:t> </w:t>
            </w:r>
            <w:r>
              <w:rPr>
                <w:rFonts w:ascii="Arial" w:hAnsi="Arial" w:cs="Arial" w:eastAsia="Arial" w:hint="default"/>
                <w:w w:val="99"/>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个月</w:t>
            </w:r>
            <w:r>
              <w:rPr>
                <w:rFonts w:ascii="Arial" w:hAnsi="Arial" w:cs="Arial" w:eastAsia="Arial" w:hint="default"/>
                <w:spacing w:val="-1"/>
                <w:sz w:val="24"/>
                <w:szCs w:val="24"/>
              </w:rPr>
              <w:t>(</w:t>
            </w:r>
            <w:r>
              <w:rPr>
                <w:rFonts w:ascii="宋体" w:hAnsi="宋体" w:cs="宋体" w:eastAsia="宋体" w:hint="default"/>
                <w:sz w:val="24"/>
                <w:szCs w:val="24"/>
              </w:rPr>
              <w:t>含</w:t>
            </w:r>
            <w:r>
              <w:rPr>
                <w:rFonts w:ascii="宋体" w:hAnsi="宋体" w:cs="宋体" w:eastAsia="宋体" w:hint="default"/>
                <w:spacing w:val="-60"/>
                <w:sz w:val="24"/>
                <w:szCs w:val="24"/>
              </w:rPr>
              <w:t> </w:t>
            </w:r>
            <w:r>
              <w:rPr>
                <w:rFonts w:ascii="Arial" w:hAnsi="Arial" w:cs="Arial" w:eastAsia="Arial" w:hint="default"/>
                <w:w w:val="99"/>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个月</w:t>
            </w:r>
            <w:r>
              <w:rPr>
                <w:rFonts w:ascii="Arial" w:hAnsi="Arial" w:cs="Arial" w:eastAsia="Arial" w:hint="default"/>
                <w:spacing w:val="-1"/>
                <w:sz w:val="24"/>
                <w:szCs w:val="24"/>
              </w:rPr>
              <w:t>)</w:t>
            </w:r>
            <w:r>
              <w:rPr>
                <w:rFonts w:ascii="宋体" w:hAnsi="宋体" w:cs="宋体" w:eastAsia="宋体" w:hint="default"/>
                <w:sz w:val="24"/>
                <w:szCs w:val="24"/>
              </w:rPr>
              <w:t>内到期的持有至到期投资</w:t>
            </w:r>
            <w:r>
              <w:rPr>
                <w:rFonts w:ascii="宋体" w:hAnsi="宋体" w:cs="宋体" w:eastAsia="宋体" w:hint="default"/>
                <w:spacing w:val="-106"/>
                <w:sz w:val="24"/>
                <w:szCs w:val="24"/>
              </w:rPr>
              <w:t>，</w:t>
            </w:r>
            <w:r>
              <w:rPr>
                <w:rFonts w:ascii="宋体" w:hAnsi="宋体" w:cs="宋体" w:eastAsia="宋体" w:hint="default"/>
                <w:sz w:val="24"/>
                <w:szCs w:val="24"/>
              </w:rPr>
              <w:t>列示</w:t>
            </w:r>
            <w:r>
              <w:rPr>
                <w:rFonts w:ascii="宋体" w:hAnsi="宋体" w:cs="宋体" w:eastAsia="宋体" w:hint="default"/>
                <w:spacing w:val="1"/>
                <w:sz w:val="24"/>
                <w:szCs w:val="24"/>
              </w:rPr>
              <w:t>为</w:t>
            </w:r>
            <w:r>
              <w:rPr>
                <w:rFonts w:ascii="宋体" w:hAnsi="宋体" w:cs="宋体" w:eastAsia="宋体" w:hint="default"/>
                <w:sz w:val="24"/>
                <w:szCs w:val="24"/>
              </w:rPr>
              <w:t>一年内到期</w:t>
            </w:r>
          </w:p>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pacing w:val="-5"/>
                <w:sz w:val="24"/>
                <w:szCs w:val="24"/>
              </w:rPr>
              <w:t>的非流动资产；取得时期限在</w:t>
            </w:r>
            <w:r>
              <w:rPr>
                <w:rFonts w:ascii="宋体" w:hAnsi="宋体" w:cs="宋体" w:eastAsia="宋体" w:hint="default"/>
                <w:spacing w:val="-55"/>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个月之内</w:t>
            </w:r>
            <w:r>
              <w:rPr>
                <w:rFonts w:ascii="Arial" w:hAnsi="Arial" w:cs="Arial" w:eastAsia="Arial" w:hint="default"/>
                <w:sz w:val="24"/>
                <w:szCs w:val="24"/>
              </w:rPr>
              <w:t>(</w:t>
            </w:r>
            <w:r>
              <w:rPr>
                <w:rFonts w:ascii="宋体" w:hAnsi="宋体" w:cs="宋体" w:eastAsia="宋体" w:hint="default"/>
                <w:sz w:val="24"/>
                <w:szCs w:val="24"/>
              </w:rPr>
              <w:t>含</w:t>
            </w:r>
            <w:r>
              <w:rPr>
                <w:rFonts w:ascii="宋体" w:hAnsi="宋体" w:cs="宋体" w:eastAsia="宋体" w:hint="default"/>
                <w:spacing w:val="-55"/>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pacing w:val="-5"/>
                <w:sz w:val="24"/>
                <w:szCs w:val="24"/>
              </w:rPr>
              <w:t>个月</w:t>
            </w:r>
            <w:r>
              <w:rPr>
                <w:rFonts w:ascii="Arial" w:hAnsi="Arial" w:cs="Arial" w:eastAsia="Arial" w:hint="default"/>
                <w:spacing w:val="-5"/>
                <w:sz w:val="24"/>
                <w:szCs w:val="24"/>
              </w:rPr>
              <w:t>)</w:t>
            </w:r>
            <w:r>
              <w:rPr>
                <w:rFonts w:ascii="宋体" w:hAnsi="宋体" w:cs="宋体" w:eastAsia="宋体" w:hint="default"/>
                <w:spacing w:val="-5"/>
                <w:sz w:val="24"/>
                <w:szCs w:val="24"/>
              </w:rPr>
              <w:t>的持有至到期投资，列</w:t>
            </w:r>
          </w:p>
          <w:p>
            <w:pPr>
              <w:pStyle w:val="TableParagraph"/>
              <w:spacing w:line="322" w:lineRule="exact"/>
              <w:ind w:left="200" w:right="0"/>
              <w:jc w:val="left"/>
              <w:rPr>
                <w:rFonts w:ascii="宋体" w:hAnsi="宋体" w:cs="宋体" w:eastAsia="宋体" w:hint="default"/>
                <w:sz w:val="24"/>
                <w:szCs w:val="24"/>
              </w:rPr>
            </w:pPr>
            <w:r>
              <w:rPr>
                <w:rFonts w:ascii="宋体" w:hAnsi="宋体" w:cs="宋体" w:eastAsia="宋体" w:hint="default"/>
                <w:sz w:val="24"/>
                <w:szCs w:val="24"/>
              </w:rPr>
              <w:t>示为其他流动资产。于</w:t>
            </w:r>
            <w:r>
              <w:rPr>
                <w:rFonts w:ascii="宋体" w:hAnsi="宋体" w:cs="宋体" w:eastAsia="宋体" w:hint="default"/>
                <w:spacing w:val="-61"/>
                <w:sz w:val="24"/>
                <w:szCs w:val="24"/>
              </w:rPr>
              <w:t> </w:t>
            </w: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年度及</w:t>
            </w:r>
            <w:r>
              <w:rPr>
                <w:rFonts w:ascii="宋体" w:hAnsi="宋体" w:cs="宋体" w:eastAsia="宋体" w:hint="default"/>
                <w:spacing w:val="-61"/>
                <w:sz w:val="24"/>
                <w:szCs w:val="24"/>
              </w:rPr>
              <w:t> </w:t>
            </w:r>
            <w:r>
              <w:rPr>
                <w:rFonts w:ascii="Arial" w:hAnsi="Arial" w:cs="Arial" w:eastAsia="Arial" w:hint="default"/>
                <w:spacing w:val="-5"/>
                <w:sz w:val="24"/>
                <w:szCs w:val="24"/>
              </w:rPr>
              <w:t>2011</w:t>
            </w:r>
            <w:r>
              <w:rPr>
                <w:rFonts w:ascii="Arial" w:hAnsi="Arial" w:cs="Arial" w:eastAsia="Arial" w:hint="default"/>
                <w:spacing w:val="-9"/>
                <w:sz w:val="24"/>
                <w:szCs w:val="24"/>
              </w:rPr>
              <w:t> </w:t>
            </w:r>
            <w:r>
              <w:rPr>
                <w:rFonts w:ascii="宋体" w:hAnsi="宋体" w:cs="宋体" w:eastAsia="宋体" w:hint="default"/>
                <w:sz w:val="24"/>
                <w:szCs w:val="24"/>
              </w:rPr>
              <w:t>年度，本集团无此类金融资产。</w:t>
            </w:r>
          </w:p>
        </w:tc>
      </w:tr>
    </w:tbl>
    <w:p>
      <w:pPr>
        <w:spacing w:after="0" w:line="322" w:lineRule="exact"/>
        <w:jc w:val="left"/>
        <w:rPr>
          <w:rFonts w:ascii="宋体" w:hAnsi="宋体" w:cs="宋体" w:eastAsia="宋体" w:hint="default"/>
          <w:sz w:val="24"/>
          <w:szCs w:val="24"/>
        </w:rPr>
        <w:sectPr>
          <w:footerReference w:type="default" r:id="rId56"/>
          <w:pgSz w:w="11910" w:h="16850"/>
          <w:pgMar w:footer="1336" w:header="795" w:top="2020" w:bottom="152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1596448" type="#_x0000_t75" stroked="false">
            <v:imagedata r:id="rId10" o:title=""/>
          </v:shape>
        </w:pict>
      </w: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69"/>
        <w:gridCol w:w="8464"/>
      </w:tblGrid>
      <w:tr>
        <w:trPr>
          <w:trHeight w:val="497" w:hRule="exact"/>
        </w:trPr>
        <w:tc>
          <w:tcPr>
            <w:tcW w:w="76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64"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(10)</w:t>
            </w:r>
          </w:p>
        </w:tc>
        <w:tc>
          <w:tcPr>
            <w:tcW w:w="8464"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50" w:right="0"/>
              <w:jc w:val="left"/>
              <w:rPr>
                <w:rFonts w:ascii="Arial" w:hAnsi="Arial" w:cs="Arial" w:eastAsia="Arial" w:hint="default"/>
                <w:sz w:val="24"/>
                <w:szCs w:val="24"/>
              </w:rPr>
            </w:pPr>
            <w:r>
              <w:rPr>
                <w:rFonts w:ascii="黑体" w:hAnsi="黑体" w:cs="黑体" w:eastAsia="黑体" w:hint="default"/>
                <w:sz w:val="24"/>
                <w:szCs w:val="24"/>
              </w:rPr>
              <w:t>金融工具</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6" w:hRule="exact"/>
        </w:trPr>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(a)</w:t>
            </w:r>
          </w:p>
        </w:tc>
        <w:tc>
          <w:tcPr>
            <w:tcW w:w="846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0" w:right="0"/>
              <w:jc w:val="left"/>
              <w:rPr>
                <w:rFonts w:ascii="Arial" w:hAnsi="Arial" w:cs="Arial" w:eastAsia="Arial" w:hint="default"/>
                <w:sz w:val="24"/>
                <w:szCs w:val="24"/>
              </w:rPr>
            </w:pPr>
            <w:r>
              <w:rPr>
                <w:rFonts w:ascii="宋体" w:hAnsi="宋体" w:cs="宋体" w:eastAsia="宋体" w:hint="default"/>
                <w:sz w:val="24"/>
                <w:szCs w:val="24"/>
              </w:rPr>
              <w:t>金融资产</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746" w:hRule="exact"/>
        </w:trPr>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(ii)</w:t>
            </w:r>
          </w:p>
        </w:tc>
        <w:tc>
          <w:tcPr>
            <w:tcW w:w="846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1" w:right="0"/>
              <w:jc w:val="left"/>
              <w:rPr>
                <w:rFonts w:ascii="宋体" w:hAnsi="宋体" w:cs="宋体" w:eastAsia="宋体" w:hint="default"/>
                <w:sz w:val="24"/>
                <w:szCs w:val="24"/>
              </w:rPr>
            </w:pPr>
            <w:r>
              <w:rPr>
                <w:rFonts w:ascii="宋体" w:hAnsi="宋体" w:cs="宋体" w:eastAsia="宋体" w:hint="default"/>
                <w:sz w:val="24"/>
                <w:szCs w:val="24"/>
              </w:rPr>
              <w:t>确认和计量</w:t>
            </w:r>
          </w:p>
        </w:tc>
      </w:tr>
      <w:tr>
        <w:trPr>
          <w:trHeight w:val="1370" w:hRule="exact"/>
        </w:trPr>
        <w:tc>
          <w:tcPr>
            <w:tcW w:w="769" w:type="dxa"/>
            <w:tcBorders>
              <w:top w:val="nil" w:sz="6" w:space="0" w:color="auto"/>
              <w:left w:val="nil" w:sz="6" w:space="0" w:color="auto"/>
              <w:bottom w:val="nil" w:sz="6" w:space="0" w:color="auto"/>
              <w:right w:val="nil" w:sz="6" w:space="0" w:color="auto"/>
            </w:tcBorders>
          </w:tcPr>
          <w:p>
            <w:pPr/>
          </w:p>
        </w:tc>
        <w:tc>
          <w:tcPr>
            <w:tcW w:w="8464" w:type="dxa"/>
            <w:tcBorders>
              <w:top w:val="nil" w:sz="6" w:space="0" w:color="auto"/>
              <w:left w:val="nil" w:sz="6" w:space="0" w:color="auto"/>
              <w:bottom w:val="nil" w:sz="6" w:space="0" w:color="auto"/>
              <w:right w:val="nil" w:sz="6" w:space="0" w:color="auto"/>
            </w:tcBorders>
          </w:tcPr>
          <w:p>
            <w:pPr>
              <w:pStyle w:val="TableParagraph"/>
              <w:spacing w:line="310" w:lineRule="exact" w:before="213"/>
              <w:ind w:left="141" w:right="315"/>
              <w:jc w:val="left"/>
              <w:rPr>
                <w:rFonts w:ascii="宋体" w:hAnsi="宋体" w:cs="宋体" w:eastAsia="宋体" w:hint="default"/>
                <w:sz w:val="24"/>
                <w:szCs w:val="24"/>
              </w:rPr>
            </w:pPr>
            <w:r>
              <w:rPr>
                <w:rFonts w:ascii="宋体" w:hAnsi="宋体" w:cs="宋体" w:eastAsia="宋体" w:hint="default"/>
                <w:spacing w:val="2"/>
                <w:sz w:val="24"/>
                <w:szCs w:val="24"/>
              </w:rPr>
              <w:t>金融资产于本集团成为金融工具合同的一方时，按公允价值在资产负债表内</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确认。以公允价值计量且其变动计入当期损益的金融资产，取得时发生的相</w:t>
            </w:r>
          </w:p>
          <w:p>
            <w:pPr>
              <w:pStyle w:val="TableParagraph"/>
              <w:spacing w:line="284" w:lineRule="exact"/>
              <w:ind w:left="141" w:right="0"/>
              <w:jc w:val="left"/>
              <w:rPr>
                <w:rFonts w:ascii="宋体" w:hAnsi="宋体" w:cs="宋体" w:eastAsia="宋体" w:hint="default"/>
                <w:sz w:val="24"/>
                <w:szCs w:val="24"/>
              </w:rPr>
            </w:pPr>
            <w:r>
              <w:rPr>
                <w:rFonts w:ascii="宋体" w:hAnsi="宋体" w:cs="宋体" w:eastAsia="宋体" w:hint="default"/>
                <w:sz w:val="24"/>
                <w:szCs w:val="24"/>
              </w:rPr>
              <w:t>关交易费用计入当期损益；其他金融资产的相关交易费用计入初始确认金额。</w:t>
            </w:r>
          </w:p>
        </w:tc>
      </w:tr>
      <w:tr>
        <w:trPr>
          <w:trHeight w:val="1681" w:hRule="exact"/>
        </w:trPr>
        <w:tc>
          <w:tcPr>
            <w:tcW w:w="769" w:type="dxa"/>
            <w:tcBorders>
              <w:top w:val="nil" w:sz="6" w:space="0" w:color="auto"/>
              <w:left w:val="nil" w:sz="6" w:space="0" w:color="auto"/>
              <w:bottom w:val="nil" w:sz="6" w:space="0" w:color="auto"/>
              <w:right w:val="nil" w:sz="6" w:space="0" w:color="auto"/>
            </w:tcBorders>
          </w:tcPr>
          <w:p>
            <w:pPr/>
          </w:p>
        </w:tc>
        <w:tc>
          <w:tcPr>
            <w:tcW w:w="8464"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41" w:right="294"/>
              <w:jc w:val="both"/>
              <w:rPr>
                <w:rFonts w:ascii="宋体" w:hAnsi="宋体" w:cs="宋体" w:eastAsia="宋体" w:hint="default"/>
                <w:sz w:val="24"/>
                <w:szCs w:val="24"/>
              </w:rPr>
            </w:pPr>
            <w:r>
              <w:rPr>
                <w:rFonts w:ascii="宋体" w:hAnsi="宋体" w:cs="宋体" w:eastAsia="宋体" w:hint="default"/>
                <w:spacing w:val="2"/>
                <w:sz w:val="24"/>
                <w:szCs w:val="24"/>
              </w:rPr>
              <w:t>以公允价值计量且其变动计入当期损益的金融资产和可供出售金融资产按照</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2"/>
                <w:sz w:val="24"/>
                <w:szCs w:val="24"/>
              </w:rPr>
              <w:t>公允价值进行后续计量，但在活跃市场中没有报价且其公允价值不能可靠计</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2"/>
                <w:sz w:val="24"/>
                <w:szCs w:val="24"/>
              </w:rPr>
              <w:t>量的权益工具投资，按照成本计量；应收款项以及持有至到期投资采用实际</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利率法，以摊余成本计量。</w:t>
            </w:r>
          </w:p>
        </w:tc>
      </w:tr>
      <w:tr>
        <w:trPr>
          <w:trHeight w:val="1369" w:hRule="exact"/>
        </w:trPr>
        <w:tc>
          <w:tcPr>
            <w:tcW w:w="769" w:type="dxa"/>
            <w:tcBorders>
              <w:top w:val="nil" w:sz="6" w:space="0" w:color="auto"/>
              <w:left w:val="nil" w:sz="6" w:space="0" w:color="auto"/>
              <w:bottom w:val="nil" w:sz="6" w:space="0" w:color="auto"/>
              <w:right w:val="nil" w:sz="6" w:space="0" w:color="auto"/>
            </w:tcBorders>
          </w:tcPr>
          <w:p>
            <w:pPr/>
          </w:p>
        </w:tc>
        <w:tc>
          <w:tcPr>
            <w:tcW w:w="8464" w:type="dxa"/>
            <w:tcBorders>
              <w:top w:val="nil" w:sz="6" w:space="0" w:color="auto"/>
              <w:left w:val="nil" w:sz="6" w:space="0" w:color="auto"/>
              <w:bottom w:val="nil" w:sz="6" w:space="0" w:color="auto"/>
              <w:right w:val="nil" w:sz="6" w:space="0" w:color="auto"/>
            </w:tcBorders>
          </w:tcPr>
          <w:p>
            <w:pPr>
              <w:pStyle w:val="TableParagraph"/>
              <w:spacing w:line="237" w:lineRule="auto" w:before="183"/>
              <w:ind w:left="141" w:right="291"/>
              <w:jc w:val="both"/>
              <w:rPr>
                <w:rFonts w:ascii="宋体" w:hAnsi="宋体" w:cs="宋体" w:eastAsia="宋体" w:hint="default"/>
                <w:sz w:val="24"/>
                <w:szCs w:val="24"/>
              </w:rPr>
            </w:pPr>
            <w:r>
              <w:rPr>
                <w:rFonts w:ascii="宋体" w:hAnsi="宋体" w:cs="宋体" w:eastAsia="宋体" w:hint="default"/>
                <w:spacing w:val="2"/>
                <w:sz w:val="24"/>
                <w:szCs w:val="24"/>
              </w:rPr>
              <w:t>以公允价值计量且其变动计入当期损益的金融资产的公允价值变动作为公允</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pacing w:val="2"/>
                <w:sz w:val="24"/>
                <w:szCs w:val="24"/>
              </w:rPr>
              <w:t>价值变动损益计入当期损益；在资产持有期间所取得的利息或现金股利以及</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处置时产生的处置损益计入当期损益。</w:t>
            </w:r>
          </w:p>
        </w:tc>
      </w:tr>
      <w:tr>
        <w:trPr>
          <w:trHeight w:val="1739" w:hRule="exact"/>
        </w:trPr>
        <w:tc>
          <w:tcPr>
            <w:tcW w:w="769" w:type="dxa"/>
            <w:tcBorders>
              <w:top w:val="nil" w:sz="6" w:space="0" w:color="auto"/>
              <w:left w:val="nil" w:sz="6" w:space="0" w:color="auto"/>
              <w:bottom w:val="nil" w:sz="6" w:space="0" w:color="auto"/>
              <w:right w:val="nil" w:sz="6" w:space="0" w:color="auto"/>
            </w:tcBorders>
          </w:tcPr>
          <w:p>
            <w:pPr/>
          </w:p>
        </w:tc>
        <w:tc>
          <w:tcPr>
            <w:tcW w:w="8464"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41" w:right="294"/>
              <w:jc w:val="both"/>
              <w:rPr>
                <w:rFonts w:ascii="宋体" w:hAnsi="宋体" w:cs="宋体" w:eastAsia="宋体" w:hint="default"/>
                <w:sz w:val="24"/>
                <w:szCs w:val="24"/>
              </w:rPr>
            </w:pPr>
            <w:r>
              <w:rPr>
                <w:rFonts w:ascii="宋体" w:hAnsi="宋体" w:cs="宋体" w:eastAsia="宋体" w:hint="default"/>
                <w:spacing w:val="2"/>
                <w:sz w:val="24"/>
                <w:szCs w:val="24"/>
              </w:rPr>
              <w:t>除减值损失及外币货币性金融资产形成的汇兑损益外，可供出售金融资产公</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2"/>
                <w:sz w:val="24"/>
                <w:szCs w:val="24"/>
              </w:rPr>
              <w:t>允价值变动直接计入股东权益，待该金融资产终止确认时，原直接计入权益</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2"/>
                <w:sz w:val="24"/>
                <w:szCs w:val="24"/>
              </w:rPr>
              <w:t>的公允价值变动累计额转入当期损益。可供出售债务工具投资在持有期间按</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pacing w:val="2"/>
                <w:sz w:val="24"/>
                <w:szCs w:val="24"/>
              </w:rPr>
              <w:t>实际利率法计算的利息，以及被投资单位已宣告发放的与可供出售权益工具</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投资相关的现金股利，作为投资收益计入当期损益。</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tbl>
      <w:tblPr>
        <w:tblW w:w="0" w:type="auto"/>
        <w:jc w:val="left"/>
        <w:tblInd w:w="108" w:type="dxa"/>
        <w:tblLayout w:type="fixed"/>
        <w:tblCellMar>
          <w:top w:w="0" w:type="dxa"/>
          <w:left w:w="0" w:type="dxa"/>
          <w:bottom w:w="0" w:type="dxa"/>
          <w:right w:w="0" w:type="dxa"/>
        </w:tblCellMar>
        <w:tblLook w:val="01E0"/>
      </w:tblPr>
      <w:tblGrid>
        <w:gridCol w:w="715"/>
        <w:gridCol w:w="8427"/>
      </w:tblGrid>
      <w:tr>
        <w:trPr>
          <w:trHeight w:val="501"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(iii)</w:t>
            </w:r>
          </w:p>
        </w:tc>
        <w:tc>
          <w:tcPr>
            <w:tcW w:w="8427" w:type="dxa"/>
            <w:tcBorders>
              <w:top w:val="nil" w:sz="6" w:space="0" w:color="auto"/>
              <w:left w:val="nil" w:sz="6" w:space="0" w:color="auto"/>
              <w:bottom w:val="nil" w:sz="6" w:space="0" w:color="auto"/>
              <w:right w:val="nil" w:sz="6" w:space="0" w:color="auto"/>
            </w:tcBorders>
          </w:tcPr>
          <w:p>
            <w:pPr>
              <w:pStyle w:val="TableParagraph"/>
              <w:spacing w:line="247" w:lineRule="exact"/>
              <w:ind w:left="197" w:right="0"/>
              <w:jc w:val="left"/>
              <w:rPr>
                <w:rFonts w:ascii="宋体" w:hAnsi="宋体" w:cs="宋体" w:eastAsia="宋体" w:hint="default"/>
                <w:sz w:val="24"/>
                <w:szCs w:val="24"/>
              </w:rPr>
            </w:pPr>
            <w:r>
              <w:rPr>
                <w:rFonts w:ascii="宋体" w:hAnsi="宋体" w:cs="宋体" w:eastAsia="宋体" w:hint="default"/>
                <w:sz w:val="24"/>
                <w:szCs w:val="24"/>
              </w:rPr>
              <w:t>金融资产减值</w:t>
            </w:r>
          </w:p>
        </w:tc>
      </w:tr>
      <w:tr>
        <w:trPr>
          <w:trHeight w:val="1192" w:hRule="exact"/>
        </w:trPr>
        <w:tc>
          <w:tcPr>
            <w:tcW w:w="715" w:type="dxa"/>
            <w:tcBorders>
              <w:top w:val="nil" w:sz="6" w:space="0" w:color="auto"/>
              <w:left w:val="nil" w:sz="6" w:space="0" w:color="auto"/>
              <w:bottom w:val="nil" w:sz="6" w:space="0" w:color="auto"/>
              <w:right w:val="nil" w:sz="6" w:space="0" w:color="auto"/>
            </w:tcBorders>
          </w:tcPr>
          <w:p>
            <w:pPr/>
          </w:p>
        </w:tc>
        <w:tc>
          <w:tcPr>
            <w:tcW w:w="8427"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97" w:right="201"/>
              <w:jc w:val="both"/>
              <w:rPr>
                <w:rFonts w:ascii="宋体" w:hAnsi="宋体" w:cs="宋体" w:eastAsia="宋体" w:hint="default"/>
                <w:sz w:val="24"/>
                <w:szCs w:val="24"/>
              </w:rPr>
            </w:pPr>
            <w:r>
              <w:rPr>
                <w:rFonts w:ascii="宋体" w:hAnsi="宋体" w:cs="宋体" w:eastAsia="宋体" w:hint="default"/>
                <w:spacing w:val="2"/>
                <w:sz w:val="24"/>
                <w:szCs w:val="24"/>
              </w:rPr>
              <w:t>除以公允价值计量且其变动计入当期损益的金融资产外，本集团于资产负债</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pacing w:val="2"/>
                <w:sz w:val="24"/>
                <w:szCs w:val="24"/>
              </w:rPr>
              <w:t>表日对金融资产的账面价值进行检查，如果有客观证据表明某项金融资产发</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生减值的，计提减值准备。</w:t>
            </w:r>
          </w:p>
        </w:tc>
      </w:tr>
      <w:tr>
        <w:trPr>
          <w:trHeight w:val="2182" w:hRule="exact"/>
        </w:trPr>
        <w:tc>
          <w:tcPr>
            <w:tcW w:w="715" w:type="dxa"/>
            <w:tcBorders>
              <w:top w:val="nil" w:sz="6" w:space="0" w:color="auto"/>
              <w:left w:val="nil" w:sz="6" w:space="0" w:color="auto"/>
              <w:bottom w:val="nil" w:sz="6" w:space="0" w:color="auto"/>
              <w:right w:val="nil" w:sz="6" w:space="0" w:color="auto"/>
            </w:tcBorders>
          </w:tcPr>
          <w:p>
            <w:pPr/>
          </w:p>
        </w:tc>
        <w:tc>
          <w:tcPr>
            <w:tcW w:w="8427" w:type="dxa"/>
            <w:tcBorders>
              <w:top w:val="nil" w:sz="6" w:space="0" w:color="auto"/>
              <w:left w:val="nil" w:sz="6" w:space="0" w:color="auto"/>
              <w:bottom w:val="nil" w:sz="6" w:space="0" w:color="auto"/>
              <w:right w:val="nil" w:sz="6" w:space="0" w:color="auto"/>
            </w:tcBorders>
          </w:tcPr>
          <w:p>
            <w:pPr>
              <w:pStyle w:val="TableParagraph"/>
              <w:spacing w:line="230" w:lineRule="auto" w:before="14"/>
              <w:ind w:left="197" w:right="198"/>
              <w:jc w:val="both"/>
              <w:rPr>
                <w:rFonts w:ascii="宋体" w:hAnsi="宋体" w:cs="宋体" w:eastAsia="宋体" w:hint="default"/>
                <w:sz w:val="24"/>
                <w:szCs w:val="24"/>
              </w:rPr>
            </w:pPr>
            <w:r>
              <w:rPr>
                <w:rFonts w:ascii="宋体" w:hAnsi="宋体" w:cs="宋体" w:eastAsia="宋体" w:hint="default"/>
                <w:spacing w:val="2"/>
                <w:sz w:val="24"/>
                <w:szCs w:val="24"/>
              </w:rPr>
              <w:t>表明可供出售权益工具投资发生减值的客观证据包括权益工具投资的公允价</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2"/>
                <w:sz w:val="24"/>
                <w:szCs w:val="24"/>
              </w:rPr>
              <w:t>值发生严重或非暂时性下跌。本集团于资产负债表日对各项可供出售权益工</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2"/>
                <w:sz w:val="24"/>
                <w:szCs w:val="24"/>
              </w:rPr>
              <w:t>具投资单独进行检查，若该权益工具投资于资产负债表日的公允价值低于其</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初始投资成本超过</w:t>
            </w:r>
            <w:r>
              <w:rPr>
                <w:rFonts w:ascii="宋体" w:hAnsi="宋体" w:cs="宋体" w:eastAsia="宋体" w:hint="default"/>
                <w:spacing w:val="-68"/>
                <w:sz w:val="24"/>
                <w:szCs w:val="24"/>
              </w:rPr>
              <w:t> </w:t>
            </w:r>
            <w:r>
              <w:rPr>
                <w:rFonts w:ascii="Arial" w:hAnsi="Arial" w:cs="Arial" w:eastAsia="Arial" w:hint="default"/>
                <w:sz w:val="24"/>
                <w:szCs w:val="24"/>
              </w:rPr>
              <w:t>50%(</w:t>
            </w:r>
            <w:r>
              <w:rPr>
                <w:rFonts w:ascii="宋体" w:hAnsi="宋体" w:cs="宋体" w:eastAsia="宋体" w:hint="default"/>
                <w:sz w:val="24"/>
                <w:szCs w:val="24"/>
              </w:rPr>
              <w:t>含</w:t>
            </w:r>
            <w:r>
              <w:rPr>
                <w:rFonts w:ascii="宋体" w:hAnsi="宋体" w:cs="宋体" w:eastAsia="宋体" w:hint="default"/>
                <w:spacing w:val="-69"/>
                <w:sz w:val="24"/>
                <w:szCs w:val="24"/>
              </w:rPr>
              <w:t> </w:t>
            </w:r>
            <w:r>
              <w:rPr>
                <w:rFonts w:ascii="Arial" w:hAnsi="Arial" w:cs="Arial" w:eastAsia="Arial" w:hint="default"/>
                <w:sz w:val="24"/>
                <w:szCs w:val="24"/>
              </w:rPr>
              <w:t>50%)</w:t>
            </w:r>
            <w:r>
              <w:rPr>
                <w:rFonts w:ascii="宋体" w:hAnsi="宋体" w:cs="宋体" w:eastAsia="宋体" w:hint="default"/>
                <w:sz w:val="24"/>
                <w:szCs w:val="24"/>
              </w:rPr>
              <w:t>或低于其初始投资成本持续时间超过一年</w:t>
            </w:r>
            <w:r>
              <w:rPr>
                <w:rFonts w:ascii="Arial" w:hAnsi="Arial" w:cs="Arial" w:eastAsia="Arial" w:hint="default"/>
                <w:sz w:val="24"/>
                <w:szCs w:val="24"/>
              </w:rPr>
              <w:t>(</w:t>
            </w:r>
            <w:r>
              <w:rPr>
                <w:rFonts w:ascii="宋体" w:hAnsi="宋体" w:cs="宋体" w:eastAsia="宋体" w:hint="default"/>
                <w:sz w:val="24"/>
                <w:szCs w:val="24"/>
              </w:rPr>
              <w:t>含 一年</w:t>
            </w:r>
            <w:r>
              <w:rPr>
                <w:rFonts w:ascii="Arial" w:hAnsi="Arial" w:cs="Arial" w:eastAsia="Arial" w:hint="default"/>
                <w:sz w:val="24"/>
                <w:szCs w:val="24"/>
              </w:rPr>
              <w:t>)</w:t>
            </w:r>
            <w:r>
              <w:rPr>
                <w:rFonts w:ascii="宋体" w:hAnsi="宋体" w:cs="宋体" w:eastAsia="宋体" w:hint="default"/>
                <w:sz w:val="24"/>
                <w:szCs w:val="24"/>
              </w:rPr>
              <w:t>的，则表明其发生减值；若该权益工具投资于资产负债表日的公允价值</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低于其初始投资成本超过</w:t>
            </w:r>
            <w:r>
              <w:rPr>
                <w:rFonts w:ascii="宋体" w:hAnsi="宋体" w:cs="宋体" w:eastAsia="宋体" w:hint="default"/>
                <w:spacing w:val="-59"/>
                <w:sz w:val="24"/>
                <w:szCs w:val="24"/>
              </w:rPr>
              <w:t> </w:t>
            </w:r>
            <w:r>
              <w:rPr>
                <w:rFonts w:ascii="Arial" w:hAnsi="Arial" w:cs="Arial" w:eastAsia="Arial" w:hint="default"/>
                <w:sz w:val="24"/>
                <w:szCs w:val="24"/>
              </w:rPr>
              <w:t>20%(</w:t>
            </w:r>
            <w:r>
              <w:rPr>
                <w:rFonts w:ascii="宋体" w:hAnsi="宋体" w:cs="宋体" w:eastAsia="宋体" w:hint="default"/>
                <w:sz w:val="24"/>
                <w:szCs w:val="24"/>
              </w:rPr>
              <w:t>含</w:t>
            </w:r>
            <w:r>
              <w:rPr>
                <w:rFonts w:ascii="宋体" w:hAnsi="宋体" w:cs="宋体" w:eastAsia="宋体" w:hint="default"/>
                <w:spacing w:val="-60"/>
                <w:sz w:val="24"/>
                <w:szCs w:val="24"/>
              </w:rPr>
              <w:t> </w:t>
            </w:r>
            <w:r>
              <w:rPr>
                <w:rFonts w:ascii="Arial" w:hAnsi="Arial" w:cs="Arial" w:eastAsia="Arial" w:hint="default"/>
                <w:sz w:val="24"/>
                <w:szCs w:val="24"/>
              </w:rPr>
              <w:t>20%)</w:t>
            </w:r>
            <w:r>
              <w:rPr>
                <w:rFonts w:ascii="宋体" w:hAnsi="宋体" w:cs="宋体" w:eastAsia="宋体" w:hint="default"/>
                <w:sz w:val="24"/>
                <w:szCs w:val="24"/>
              </w:rPr>
              <w:t>但尚未达到</w:t>
            </w:r>
            <w:r>
              <w:rPr>
                <w:rFonts w:ascii="宋体" w:hAnsi="宋体" w:cs="宋体" w:eastAsia="宋体" w:hint="default"/>
                <w:spacing w:val="-60"/>
                <w:sz w:val="24"/>
                <w:szCs w:val="24"/>
              </w:rPr>
              <w:t> </w:t>
            </w:r>
            <w:r>
              <w:rPr>
                <w:rFonts w:ascii="Arial" w:hAnsi="Arial" w:cs="Arial" w:eastAsia="Arial" w:hint="default"/>
                <w:sz w:val="24"/>
                <w:szCs w:val="24"/>
              </w:rPr>
              <w:t>50%</w:t>
            </w:r>
            <w:r>
              <w:rPr>
                <w:rFonts w:ascii="宋体" w:hAnsi="宋体" w:cs="宋体" w:eastAsia="宋体" w:hint="default"/>
                <w:sz w:val="24"/>
                <w:szCs w:val="24"/>
              </w:rPr>
              <w:t>的，本集团会综合考 虑其他相关因素诸如价格波动率等，判断该权益工具投资是否发生减值。</w:t>
            </w:r>
          </w:p>
        </w:tc>
      </w:tr>
    </w:tbl>
    <w:p>
      <w:pPr>
        <w:spacing w:after="0" w:line="230" w:lineRule="auto"/>
        <w:jc w:val="both"/>
        <w:rPr>
          <w:rFonts w:ascii="宋体" w:hAnsi="宋体" w:cs="宋体" w:eastAsia="宋体" w:hint="default"/>
          <w:sz w:val="24"/>
          <w:szCs w:val="24"/>
        </w:rPr>
        <w:sectPr>
          <w:footerReference w:type="default" r:id="rId57"/>
          <w:pgSz w:w="11910" w:h="16850"/>
          <w:pgMar w:footer="708" w:header="795" w:top="2020" w:bottom="900" w:left="1420" w:right="0"/>
          <w:pgNumType w:start="102"/>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2752" type="#_x0000_t75" stroked="false">
            <v:imagedata r:id="rId10" o:title=""/>
          </v:shape>
        </w:pict>
      </w: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44"/>
        <w:gridCol w:w="8398"/>
      </w:tblGrid>
      <w:tr>
        <w:trPr>
          <w:trHeight w:val="497" w:hRule="exact"/>
        </w:trPr>
        <w:tc>
          <w:tcPr>
            <w:tcW w:w="74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98" w:type="dxa"/>
            <w:tcBorders>
              <w:top w:val="nil" w:sz="6" w:space="0" w:color="auto"/>
              <w:left w:val="nil" w:sz="6" w:space="0" w:color="auto"/>
              <w:bottom w:val="nil" w:sz="6" w:space="0" w:color="auto"/>
              <w:right w:val="nil" w:sz="6" w:space="0" w:color="auto"/>
            </w:tcBorders>
          </w:tcPr>
          <w:p>
            <w:pPr>
              <w:pStyle w:val="TableParagraph"/>
              <w:spacing w:line="257" w:lineRule="exact"/>
              <w:ind w:left="116"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(10)</w:t>
            </w:r>
          </w:p>
        </w:tc>
        <w:tc>
          <w:tcPr>
            <w:tcW w:w="8398"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16" w:right="0"/>
              <w:jc w:val="left"/>
              <w:rPr>
                <w:rFonts w:ascii="Arial" w:hAnsi="Arial" w:cs="Arial" w:eastAsia="Arial" w:hint="default"/>
                <w:sz w:val="24"/>
                <w:szCs w:val="24"/>
              </w:rPr>
            </w:pPr>
            <w:r>
              <w:rPr>
                <w:rFonts w:ascii="黑体" w:hAnsi="黑体" w:cs="黑体" w:eastAsia="黑体" w:hint="default"/>
                <w:sz w:val="24"/>
                <w:szCs w:val="24"/>
              </w:rPr>
              <w:t>金融工具</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6" w:hRule="exact"/>
        </w:trPr>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(a)</w:t>
            </w:r>
          </w:p>
        </w:tc>
        <w:tc>
          <w:tcPr>
            <w:tcW w:w="839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6" w:right="0"/>
              <w:jc w:val="left"/>
              <w:rPr>
                <w:rFonts w:ascii="Arial" w:hAnsi="Arial" w:cs="Arial" w:eastAsia="Arial" w:hint="default"/>
                <w:sz w:val="24"/>
                <w:szCs w:val="24"/>
              </w:rPr>
            </w:pPr>
            <w:r>
              <w:rPr>
                <w:rFonts w:ascii="宋体" w:hAnsi="宋体" w:cs="宋体" w:eastAsia="宋体" w:hint="default"/>
                <w:sz w:val="24"/>
                <w:szCs w:val="24"/>
              </w:rPr>
              <w:t>金融资产</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752" w:hRule="exact"/>
        </w:trPr>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(iii)</w:t>
            </w:r>
          </w:p>
        </w:tc>
        <w:tc>
          <w:tcPr>
            <w:tcW w:w="839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68" w:right="0"/>
              <w:jc w:val="left"/>
              <w:rPr>
                <w:rFonts w:ascii="Arial" w:hAnsi="Arial" w:cs="Arial" w:eastAsia="Arial" w:hint="default"/>
                <w:sz w:val="24"/>
                <w:szCs w:val="24"/>
              </w:rPr>
            </w:pPr>
            <w:r>
              <w:rPr>
                <w:rFonts w:ascii="宋体" w:hAnsi="宋体" w:cs="宋体" w:eastAsia="宋体" w:hint="default"/>
                <w:sz w:val="24"/>
                <w:szCs w:val="24"/>
              </w:rPr>
              <w:t>金融资产减值</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1674" w:hRule="exact"/>
        </w:trPr>
        <w:tc>
          <w:tcPr>
            <w:tcW w:w="744" w:type="dxa"/>
            <w:tcBorders>
              <w:top w:val="nil" w:sz="6" w:space="0" w:color="auto"/>
              <w:left w:val="nil" w:sz="6" w:space="0" w:color="auto"/>
              <w:bottom w:val="nil" w:sz="6" w:space="0" w:color="auto"/>
              <w:right w:val="nil" w:sz="6" w:space="0" w:color="auto"/>
            </w:tcBorders>
          </w:tcPr>
          <w:p>
            <w:pPr/>
          </w:p>
        </w:tc>
        <w:tc>
          <w:tcPr>
            <w:tcW w:w="8398" w:type="dxa"/>
            <w:tcBorders>
              <w:top w:val="nil" w:sz="6" w:space="0" w:color="auto"/>
              <w:left w:val="nil" w:sz="6" w:space="0" w:color="auto"/>
              <w:bottom w:val="nil" w:sz="6" w:space="0" w:color="auto"/>
              <w:right w:val="nil" w:sz="6" w:space="0" w:color="auto"/>
            </w:tcBorders>
          </w:tcPr>
          <w:p>
            <w:pPr>
              <w:pStyle w:val="TableParagraph"/>
              <w:spacing w:line="228" w:lineRule="auto" w:before="188"/>
              <w:ind w:left="116" w:right="198"/>
              <w:jc w:val="both"/>
              <w:rPr>
                <w:rFonts w:ascii="宋体" w:hAnsi="宋体" w:cs="宋体" w:eastAsia="宋体" w:hint="default"/>
                <w:sz w:val="24"/>
                <w:szCs w:val="24"/>
              </w:rPr>
            </w:pPr>
            <w:r>
              <w:rPr>
                <w:rFonts w:ascii="宋体" w:hAnsi="宋体" w:cs="宋体" w:eastAsia="宋体" w:hint="default"/>
                <w:spacing w:val="2"/>
                <w:sz w:val="24"/>
                <w:szCs w:val="24"/>
              </w:rPr>
              <w:t>以摊余成本计量的金融资产发生减值时，按预计未来现金流量</w:t>
            </w:r>
            <w:r>
              <w:rPr>
                <w:rFonts w:ascii="Arial" w:hAnsi="Arial" w:cs="Arial" w:eastAsia="Arial" w:hint="default"/>
                <w:spacing w:val="2"/>
                <w:sz w:val="24"/>
                <w:szCs w:val="24"/>
              </w:rPr>
              <w:t>(</w:t>
            </w:r>
            <w:r>
              <w:rPr>
                <w:rFonts w:ascii="宋体" w:hAnsi="宋体" w:cs="宋体" w:eastAsia="宋体" w:hint="default"/>
                <w:spacing w:val="2"/>
                <w:sz w:val="24"/>
                <w:szCs w:val="24"/>
              </w:rPr>
              <w:t>不包括尚未发 </w:t>
            </w:r>
            <w:r>
              <w:rPr>
                <w:rFonts w:ascii="宋体" w:hAnsi="宋体" w:cs="宋体" w:eastAsia="宋体" w:hint="default"/>
                <w:sz w:val="24"/>
                <w:szCs w:val="24"/>
              </w:rPr>
              <w:t>生的未来信用损失</w:t>
            </w:r>
            <w:r>
              <w:rPr>
                <w:rFonts w:ascii="Arial" w:hAnsi="Arial" w:cs="Arial" w:eastAsia="Arial" w:hint="default"/>
                <w:sz w:val="24"/>
                <w:szCs w:val="24"/>
              </w:rPr>
              <w:t>)</w:t>
            </w:r>
            <w:r>
              <w:rPr>
                <w:rFonts w:ascii="宋体" w:hAnsi="宋体" w:cs="宋体" w:eastAsia="宋体" w:hint="default"/>
                <w:sz w:val="24"/>
                <w:szCs w:val="24"/>
              </w:rPr>
              <w:t>现值低于账面价值的差额，计提减值准备。如果有客观证</w:t>
            </w:r>
            <w:r>
              <w:rPr>
                <w:rFonts w:ascii="宋体" w:hAnsi="宋体" w:cs="宋体" w:eastAsia="宋体" w:hint="default"/>
                <w:spacing w:val="-53"/>
                <w:sz w:val="24"/>
                <w:szCs w:val="24"/>
              </w:rPr>
              <w:t> </w:t>
            </w:r>
            <w:r>
              <w:rPr>
                <w:rFonts w:ascii="宋体" w:hAnsi="宋体" w:cs="宋体" w:eastAsia="宋体" w:hint="default"/>
                <w:spacing w:val="-3"/>
                <w:sz w:val="24"/>
                <w:szCs w:val="24"/>
              </w:rPr>
              <w:t>据表明该金融资产价值已恢复，且客观上与确认该损失后发生的事项有关，原</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确认的减值损失予以转回，计入当期损益。</w:t>
            </w:r>
          </w:p>
        </w:tc>
      </w:tr>
      <w:tr>
        <w:trPr>
          <w:trHeight w:val="1989" w:hRule="exact"/>
        </w:trPr>
        <w:tc>
          <w:tcPr>
            <w:tcW w:w="744" w:type="dxa"/>
            <w:tcBorders>
              <w:top w:val="nil" w:sz="6" w:space="0" w:color="auto"/>
              <w:left w:val="nil" w:sz="6" w:space="0" w:color="auto"/>
              <w:bottom w:val="nil" w:sz="6" w:space="0" w:color="auto"/>
              <w:right w:val="nil" w:sz="6" w:space="0" w:color="auto"/>
            </w:tcBorders>
          </w:tcPr>
          <w:p>
            <w:pPr/>
          </w:p>
        </w:tc>
        <w:tc>
          <w:tcPr>
            <w:tcW w:w="8398" w:type="dxa"/>
            <w:tcBorders>
              <w:top w:val="nil" w:sz="6" w:space="0" w:color="auto"/>
              <w:left w:val="nil" w:sz="6" w:space="0" w:color="auto"/>
              <w:bottom w:val="nil" w:sz="6" w:space="0" w:color="auto"/>
              <w:right w:val="nil" w:sz="6" w:space="0" w:color="auto"/>
            </w:tcBorders>
          </w:tcPr>
          <w:p>
            <w:pPr>
              <w:pStyle w:val="TableParagraph"/>
              <w:spacing w:line="237" w:lineRule="auto" w:before="183"/>
              <w:ind w:left="116" w:right="198"/>
              <w:jc w:val="both"/>
              <w:rPr>
                <w:rFonts w:ascii="宋体" w:hAnsi="宋体" w:cs="宋体" w:eastAsia="宋体" w:hint="default"/>
                <w:sz w:val="24"/>
                <w:szCs w:val="24"/>
              </w:rPr>
            </w:pPr>
            <w:r>
              <w:rPr>
                <w:rFonts w:ascii="宋体" w:hAnsi="宋体" w:cs="宋体" w:eastAsia="宋体" w:hint="default"/>
                <w:spacing w:val="-3"/>
                <w:sz w:val="24"/>
                <w:szCs w:val="24"/>
              </w:rPr>
              <w:t>可供出售金融资产发生减值时，原直接计入股东权益的因公允价值下降形成的</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3"/>
                <w:sz w:val="24"/>
                <w:szCs w:val="24"/>
              </w:rPr>
              <w:t>累计损失予以转出并计入减值损失。对已确认减值损失的可供出售债务工具投</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3"/>
                <w:sz w:val="24"/>
                <w:szCs w:val="24"/>
              </w:rPr>
              <w:t>资，在期后公允价值上升且客观上与确认原减值损失后发生的事项有关的，原</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pacing w:val="-3"/>
                <w:sz w:val="24"/>
                <w:szCs w:val="24"/>
              </w:rPr>
              <w:t>确认的减值损失予以转回并计入当期损益。对已确认减值损失的可供出售权益</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工具投资，期后公允价值上升直接计入股东权益。</w:t>
            </w:r>
          </w:p>
        </w:tc>
      </w:tr>
      <w:tr>
        <w:trPr>
          <w:trHeight w:val="751" w:hRule="exact"/>
        </w:trPr>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(iv)</w:t>
            </w:r>
          </w:p>
        </w:tc>
        <w:tc>
          <w:tcPr>
            <w:tcW w:w="8398"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16" w:right="0"/>
              <w:jc w:val="left"/>
              <w:rPr>
                <w:rFonts w:ascii="宋体" w:hAnsi="宋体" w:cs="宋体" w:eastAsia="宋体" w:hint="default"/>
                <w:sz w:val="24"/>
                <w:szCs w:val="24"/>
              </w:rPr>
            </w:pPr>
            <w:r>
              <w:rPr>
                <w:rFonts w:ascii="宋体" w:hAnsi="宋体" w:cs="宋体" w:eastAsia="宋体" w:hint="default"/>
                <w:sz w:val="24"/>
                <w:szCs w:val="24"/>
              </w:rPr>
              <w:t>金融资产的终止确认</w:t>
            </w:r>
          </w:p>
        </w:tc>
      </w:tr>
      <w:tr>
        <w:trPr>
          <w:trHeight w:val="1994" w:hRule="exact"/>
        </w:trPr>
        <w:tc>
          <w:tcPr>
            <w:tcW w:w="744" w:type="dxa"/>
            <w:tcBorders>
              <w:top w:val="nil" w:sz="6" w:space="0" w:color="auto"/>
              <w:left w:val="nil" w:sz="6" w:space="0" w:color="auto"/>
              <w:bottom w:val="nil" w:sz="6" w:space="0" w:color="auto"/>
              <w:right w:val="nil" w:sz="6" w:space="0" w:color="auto"/>
            </w:tcBorders>
          </w:tcPr>
          <w:p>
            <w:pPr/>
          </w:p>
        </w:tc>
        <w:tc>
          <w:tcPr>
            <w:tcW w:w="8398" w:type="dxa"/>
            <w:tcBorders>
              <w:top w:val="nil" w:sz="6" w:space="0" w:color="auto"/>
              <w:left w:val="nil" w:sz="6" w:space="0" w:color="auto"/>
              <w:bottom w:val="nil" w:sz="6" w:space="0" w:color="auto"/>
              <w:right w:val="nil" w:sz="6" w:space="0" w:color="auto"/>
            </w:tcBorders>
          </w:tcPr>
          <w:p>
            <w:pPr>
              <w:pStyle w:val="TableParagraph"/>
              <w:spacing w:line="228" w:lineRule="auto" w:before="193"/>
              <w:ind w:left="116" w:right="198"/>
              <w:jc w:val="both"/>
              <w:rPr>
                <w:rFonts w:ascii="宋体" w:hAnsi="宋体" w:cs="宋体" w:eastAsia="宋体" w:hint="default"/>
                <w:sz w:val="24"/>
                <w:szCs w:val="24"/>
              </w:rPr>
            </w:pPr>
            <w:r>
              <w:rPr>
                <w:rFonts w:ascii="宋体" w:hAnsi="宋体" w:cs="宋体" w:eastAsia="宋体" w:hint="default"/>
                <w:sz w:val="24"/>
                <w:szCs w:val="24"/>
              </w:rPr>
              <w:t>金融资产满足下列条件之一的，予以终止确认：</w:t>
            </w:r>
            <w:r>
              <w:rPr>
                <w:rFonts w:ascii="Arial" w:hAnsi="Arial" w:cs="Arial" w:eastAsia="Arial" w:hint="default"/>
                <w:sz w:val="24"/>
                <w:szCs w:val="24"/>
              </w:rPr>
              <w:t>(1)</w:t>
            </w:r>
            <w:r>
              <w:rPr>
                <w:rFonts w:ascii="Arial" w:hAnsi="Arial" w:cs="Arial" w:eastAsia="Arial" w:hint="default"/>
                <w:spacing w:val="38"/>
                <w:sz w:val="24"/>
                <w:szCs w:val="24"/>
              </w:rPr>
              <w:t> </w:t>
            </w:r>
            <w:r>
              <w:rPr>
                <w:rFonts w:ascii="宋体" w:hAnsi="宋体" w:cs="宋体" w:eastAsia="宋体" w:hint="default"/>
                <w:sz w:val="24"/>
                <w:szCs w:val="24"/>
              </w:rPr>
              <w:t>收取该金融资产现金流量</w:t>
            </w:r>
            <w:r>
              <w:rPr>
                <w:rFonts w:ascii="宋体" w:hAnsi="宋体" w:cs="宋体" w:eastAsia="宋体" w:hint="default"/>
                <w:w w:val="99"/>
                <w:sz w:val="24"/>
                <w:szCs w:val="24"/>
              </w:rPr>
              <w:t> </w:t>
            </w:r>
            <w:r>
              <w:rPr>
                <w:rFonts w:ascii="宋体" w:hAnsi="宋体" w:cs="宋体" w:eastAsia="宋体" w:hint="default"/>
                <w:sz w:val="24"/>
                <w:szCs w:val="24"/>
              </w:rPr>
              <w:t>的合同权利终止；</w:t>
            </w:r>
            <w:r>
              <w:rPr>
                <w:rFonts w:ascii="Arial" w:hAnsi="Arial" w:cs="Arial" w:eastAsia="Arial" w:hint="default"/>
                <w:sz w:val="24"/>
                <w:szCs w:val="24"/>
              </w:rPr>
              <w:t>(2)</w:t>
            </w:r>
            <w:r>
              <w:rPr>
                <w:rFonts w:ascii="Arial" w:hAnsi="Arial" w:cs="Arial" w:eastAsia="Arial" w:hint="default"/>
                <w:spacing w:val="39"/>
                <w:sz w:val="24"/>
                <w:szCs w:val="24"/>
              </w:rPr>
              <w:t> </w:t>
            </w:r>
            <w:r>
              <w:rPr>
                <w:rFonts w:ascii="宋体" w:hAnsi="宋体" w:cs="宋体" w:eastAsia="宋体" w:hint="default"/>
                <w:sz w:val="24"/>
                <w:szCs w:val="24"/>
              </w:rPr>
              <w:t>该金融资产已转移，且本集团将金融资产所有权上几乎</w:t>
            </w:r>
            <w:r>
              <w:rPr>
                <w:rFonts w:ascii="宋体" w:hAnsi="宋体" w:cs="宋体" w:eastAsia="宋体" w:hint="default"/>
                <w:w w:val="99"/>
                <w:sz w:val="24"/>
                <w:szCs w:val="24"/>
              </w:rPr>
              <w:t> </w:t>
            </w:r>
            <w:r>
              <w:rPr>
                <w:rFonts w:ascii="宋体" w:hAnsi="宋体" w:cs="宋体" w:eastAsia="宋体" w:hint="default"/>
                <w:sz w:val="24"/>
                <w:szCs w:val="24"/>
              </w:rPr>
              <w:t>所有的风险和报酬转移给转入方；或者</w:t>
            </w:r>
            <w:r>
              <w:rPr>
                <w:rFonts w:ascii="Arial" w:hAnsi="Arial" w:cs="Arial" w:eastAsia="Arial" w:hint="default"/>
                <w:sz w:val="24"/>
                <w:szCs w:val="24"/>
              </w:rPr>
              <w:t>(3)</w:t>
            </w:r>
            <w:r>
              <w:rPr>
                <w:rFonts w:ascii="Arial" w:hAnsi="Arial" w:cs="Arial" w:eastAsia="Arial" w:hint="default"/>
                <w:spacing w:val="38"/>
                <w:sz w:val="24"/>
                <w:szCs w:val="24"/>
              </w:rPr>
              <w:t> </w:t>
            </w:r>
            <w:r>
              <w:rPr>
                <w:rFonts w:ascii="宋体" w:hAnsi="宋体" w:cs="宋体" w:eastAsia="宋体" w:hint="default"/>
                <w:sz w:val="24"/>
                <w:szCs w:val="24"/>
              </w:rPr>
              <w:t>该金融资产已转移，虽然本集团既</w:t>
            </w:r>
            <w:r>
              <w:rPr>
                <w:rFonts w:ascii="宋体" w:hAnsi="宋体" w:cs="宋体" w:eastAsia="宋体" w:hint="default"/>
                <w:w w:val="99"/>
                <w:sz w:val="24"/>
                <w:szCs w:val="24"/>
              </w:rPr>
              <w:t> </w:t>
            </w:r>
            <w:r>
              <w:rPr>
                <w:rFonts w:ascii="宋体" w:hAnsi="宋体" w:cs="宋体" w:eastAsia="宋体" w:hint="default"/>
                <w:spacing w:val="-3"/>
                <w:sz w:val="24"/>
                <w:szCs w:val="24"/>
              </w:rPr>
              <w:t>没有转移也没有保留金融资产所有权上几乎所有的风险和报酬，但是放弃了对</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该金融资产控制。</w:t>
            </w:r>
          </w:p>
        </w:tc>
      </w:tr>
      <w:tr>
        <w:trPr>
          <w:trHeight w:val="804" w:hRule="exact"/>
        </w:trPr>
        <w:tc>
          <w:tcPr>
            <w:tcW w:w="744" w:type="dxa"/>
            <w:tcBorders>
              <w:top w:val="nil" w:sz="6" w:space="0" w:color="auto"/>
              <w:left w:val="nil" w:sz="6" w:space="0" w:color="auto"/>
              <w:bottom w:val="nil" w:sz="6" w:space="0" w:color="auto"/>
              <w:right w:val="nil" w:sz="6" w:space="0" w:color="auto"/>
            </w:tcBorders>
          </w:tcPr>
          <w:p>
            <w:pPr/>
          </w:p>
        </w:tc>
        <w:tc>
          <w:tcPr>
            <w:tcW w:w="8398" w:type="dxa"/>
            <w:tcBorders>
              <w:top w:val="nil" w:sz="6" w:space="0" w:color="auto"/>
              <w:left w:val="nil" w:sz="6" w:space="0" w:color="auto"/>
              <w:bottom w:val="nil" w:sz="6" w:space="0" w:color="auto"/>
              <w:right w:val="nil" w:sz="6" w:space="0" w:color="auto"/>
            </w:tcBorders>
          </w:tcPr>
          <w:p>
            <w:pPr>
              <w:pStyle w:val="TableParagraph"/>
              <w:spacing w:line="310" w:lineRule="exact" w:before="213"/>
              <w:ind w:left="116" w:right="199"/>
              <w:jc w:val="left"/>
              <w:rPr>
                <w:rFonts w:ascii="宋体" w:hAnsi="宋体" w:cs="宋体" w:eastAsia="宋体" w:hint="default"/>
                <w:sz w:val="24"/>
                <w:szCs w:val="24"/>
              </w:rPr>
            </w:pPr>
            <w:r>
              <w:rPr>
                <w:rFonts w:ascii="宋体" w:hAnsi="宋体" w:cs="宋体" w:eastAsia="宋体" w:hint="default"/>
                <w:spacing w:val="-3"/>
                <w:sz w:val="24"/>
                <w:szCs w:val="24"/>
              </w:rPr>
              <w:t>金融资产终止确认时，其账面价值与收到的对价以及原直接计入股东权益的公</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允价值变动累计额之和的差额，计入当期损益。</w:t>
            </w:r>
          </w:p>
        </w:tc>
      </w:tr>
    </w:tbl>
    <w:p>
      <w:pPr>
        <w:spacing w:after="0" w:line="310" w:lineRule="exact"/>
        <w:jc w:val="left"/>
        <w:rPr>
          <w:rFonts w:ascii="宋体" w:hAnsi="宋体" w:cs="宋体" w:eastAsia="宋体"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780"/>
        <w:gridCol w:w="8437"/>
      </w:tblGrid>
      <w:tr>
        <w:trPr>
          <w:trHeight w:val="497" w:hRule="exact"/>
        </w:trPr>
        <w:tc>
          <w:tcPr>
            <w:tcW w:w="7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37" w:type="dxa"/>
            <w:tcBorders>
              <w:top w:val="nil" w:sz="6" w:space="0" w:color="auto"/>
              <w:left w:val="nil" w:sz="6" w:space="0" w:color="auto"/>
              <w:bottom w:val="nil" w:sz="6" w:space="0" w:color="auto"/>
              <w:right w:val="nil" w:sz="6" w:space="0" w:color="auto"/>
            </w:tcBorders>
          </w:tcPr>
          <w:p>
            <w:pPr>
              <w:pStyle w:val="TableParagraph"/>
              <w:spacing w:line="257" w:lineRule="exact"/>
              <w:ind w:left="152"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(10)</w:t>
            </w:r>
          </w:p>
        </w:tc>
        <w:tc>
          <w:tcPr>
            <w:tcW w:w="8437"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52" w:right="0"/>
              <w:jc w:val="left"/>
              <w:rPr>
                <w:rFonts w:ascii="Arial" w:hAnsi="Arial" w:cs="Arial" w:eastAsia="Arial" w:hint="default"/>
                <w:sz w:val="24"/>
                <w:szCs w:val="24"/>
              </w:rPr>
            </w:pPr>
            <w:r>
              <w:rPr>
                <w:rFonts w:ascii="黑体" w:hAnsi="黑体" w:cs="黑体" w:eastAsia="黑体" w:hint="default"/>
                <w:sz w:val="24"/>
                <w:szCs w:val="24"/>
              </w:rPr>
              <w:t>金融工具</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4" w:hRule="exact"/>
        </w:trPr>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(b)</w:t>
            </w:r>
          </w:p>
        </w:tc>
        <w:tc>
          <w:tcPr>
            <w:tcW w:w="843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2" w:right="0"/>
              <w:jc w:val="left"/>
              <w:rPr>
                <w:rFonts w:ascii="宋体" w:hAnsi="宋体" w:cs="宋体" w:eastAsia="宋体" w:hint="default"/>
                <w:sz w:val="24"/>
                <w:szCs w:val="24"/>
              </w:rPr>
            </w:pPr>
            <w:r>
              <w:rPr>
                <w:rFonts w:ascii="宋体" w:hAnsi="宋体" w:cs="宋体" w:eastAsia="宋体" w:hint="default"/>
                <w:sz w:val="24"/>
                <w:szCs w:val="24"/>
              </w:rPr>
              <w:t>金融负债</w:t>
            </w:r>
          </w:p>
        </w:tc>
      </w:tr>
      <w:tr>
        <w:trPr>
          <w:trHeight w:val="1661" w:hRule="exact"/>
        </w:trPr>
        <w:tc>
          <w:tcPr>
            <w:tcW w:w="780" w:type="dxa"/>
            <w:tcBorders>
              <w:top w:val="nil" w:sz="6" w:space="0" w:color="auto"/>
              <w:left w:val="nil" w:sz="6" w:space="0" w:color="auto"/>
              <w:bottom w:val="nil" w:sz="6" w:space="0" w:color="auto"/>
              <w:right w:val="nil" w:sz="6" w:space="0" w:color="auto"/>
            </w:tcBorders>
          </w:tcPr>
          <w:p>
            <w:pPr/>
          </w:p>
        </w:tc>
        <w:tc>
          <w:tcPr>
            <w:tcW w:w="8437"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52" w:right="198"/>
              <w:jc w:val="both"/>
              <w:rPr>
                <w:rFonts w:ascii="宋体" w:hAnsi="宋体" w:cs="宋体" w:eastAsia="宋体" w:hint="default"/>
                <w:sz w:val="24"/>
                <w:szCs w:val="24"/>
              </w:rPr>
            </w:pPr>
            <w:r>
              <w:rPr>
                <w:rFonts w:ascii="宋体" w:hAnsi="宋体" w:cs="宋体" w:eastAsia="宋体" w:hint="default"/>
                <w:spacing w:val="4"/>
                <w:sz w:val="24"/>
                <w:szCs w:val="24"/>
              </w:rPr>
              <w:t>金融负债于初始确认时分类为以公允价值计量且其变动计入当期损益的金融</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3"/>
                <w:sz w:val="24"/>
                <w:szCs w:val="24"/>
              </w:rPr>
              <w:t>负债和其他金融负债。本集团的金融负债主要为以公允价值计量且其变动计入</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3"/>
                <w:sz w:val="24"/>
                <w:szCs w:val="24"/>
              </w:rPr>
              <w:t>当期损益的金融负债和其他金融负债，包括远期外汇合约、应付款项、借款及</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应付债券等。</w:t>
            </w:r>
          </w:p>
        </w:tc>
      </w:tr>
      <w:tr>
        <w:trPr>
          <w:trHeight w:val="1212" w:hRule="exact"/>
        </w:trPr>
        <w:tc>
          <w:tcPr>
            <w:tcW w:w="780" w:type="dxa"/>
            <w:tcBorders>
              <w:top w:val="nil" w:sz="6" w:space="0" w:color="auto"/>
              <w:left w:val="nil" w:sz="6" w:space="0" w:color="auto"/>
              <w:bottom w:val="nil" w:sz="6" w:space="0" w:color="auto"/>
              <w:right w:val="nil" w:sz="6" w:space="0" w:color="auto"/>
            </w:tcBorders>
          </w:tcPr>
          <w:p>
            <w:pPr/>
          </w:p>
        </w:tc>
        <w:tc>
          <w:tcPr>
            <w:tcW w:w="8437" w:type="dxa"/>
            <w:tcBorders>
              <w:top w:val="nil" w:sz="6" w:space="0" w:color="auto"/>
              <w:left w:val="nil" w:sz="6" w:space="0" w:color="auto"/>
              <w:bottom w:val="nil" w:sz="6" w:space="0" w:color="auto"/>
              <w:right w:val="nil" w:sz="6" w:space="0" w:color="auto"/>
            </w:tcBorders>
          </w:tcPr>
          <w:p>
            <w:pPr>
              <w:pStyle w:val="TableParagraph"/>
              <w:spacing w:line="237" w:lineRule="auto" w:before="162"/>
              <w:ind w:left="152" w:right="228"/>
              <w:jc w:val="both"/>
              <w:rPr>
                <w:rFonts w:ascii="宋体" w:hAnsi="宋体" w:cs="宋体" w:eastAsia="宋体" w:hint="default"/>
                <w:sz w:val="24"/>
                <w:szCs w:val="24"/>
              </w:rPr>
            </w:pPr>
            <w:r>
              <w:rPr>
                <w:rFonts w:ascii="宋体" w:hAnsi="宋体" w:cs="宋体" w:eastAsia="宋体" w:hint="default"/>
                <w:spacing w:val="3"/>
                <w:sz w:val="24"/>
                <w:szCs w:val="24"/>
              </w:rPr>
              <w:t>本集团的以公允价值计量且其变动计入当期损益的金融负债主要为期限一年</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pacing w:val="-4"/>
                <w:sz w:val="24"/>
                <w:szCs w:val="24"/>
              </w:rPr>
              <w:t>以上的远期外汇合约。以公允价值计量且其变动计入当期损益的金融负债以公</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允价值进行初始计量，并以公允价值进行后续计量。</w:t>
            </w:r>
          </w:p>
        </w:tc>
      </w:tr>
      <w:tr>
        <w:trPr>
          <w:trHeight w:val="960" w:hRule="exact"/>
        </w:trPr>
        <w:tc>
          <w:tcPr>
            <w:tcW w:w="780" w:type="dxa"/>
            <w:tcBorders>
              <w:top w:val="nil" w:sz="6" w:space="0" w:color="auto"/>
              <w:left w:val="nil" w:sz="6" w:space="0" w:color="auto"/>
              <w:bottom w:val="nil" w:sz="6" w:space="0" w:color="auto"/>
              <w:right w:val="nil" w:sz="6" w:space="0" w:color="auto"/>
            </w:tcBorders>
          </w:tcPr>
          <w:p>
            <w:pPr/>
          </w:p>
        </w:tc>
        <w:tc>
          <w:tcPr>
            <w:tcW w:w="8437" w:type="dxa"/>
            <w:tcBorders>
              <w:top w:val="nil" w:sz="6" w:space="0" w:color="auto"/>
              <w:left w:val="nil" w:sz="6" w:space="0" w:color="auto"/>
              <w:bottom w:val="nil" w:sz="6" w:space="0" w:color="auto"/>
              <w:right w:val="nil" w:sz="6" w:space="0" w:color="auto"/>
            </w:tcBorders>
          </w:tcPr>
          <w:p>
            <w:pPr>
              <w:pStyle w:val="TableParagraph"/>
              <w:spacing w:line="310" w:lineRule="exact" w:before="74"/>
              <w:ind w:left="152" w:right="228"/>
              <w:jc w:val="left"/>
              <w:rPr>
                <w:rFonts w:ascii="宋体" w:hAnsi="宋体" w:cs="宋体" w:eastAsia="宋体" w:hint="default"/>
                <w:sz w:val="24"/>
                <w:szCs w:val="24"/>
              </w:rPr>
            </w:pPr>
            <w:r>
              <w:rPr>
                <w:rFonts w:ascii="宋体" w:hAnsi="宋体" w:cs="宋体" w:eastAsia="宋体" w:hint="default"/>
                <w:spacing w:val="-4"/>
                <w:sz w:val="24"/>
                <w:szCs w:val="24"/>
              </w:rPr>
              <w:t>应付款项包括应付账款、其他应付款等，以公允价值进行初始计量，并采用实</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际利率法按摊余成本进行后续计量。</w:t>
            </w:r>
          </w:p>
        </w:tc>
      </w:tr>
      <w:tr>
        <w:trPr>
          <w:trHeight w:val="960" w:hRule="exact"/>
        </w:trPr>
        <w:tc>
          <w:tcPr>
            <w:tcW w:w="780" w:type="dxa"/>
            <w:tcBorders>
              <w:top w:val="nil" w:sz="6" w:space="0" w:color="auto"/>
              <w:left w:val="nil" w:sz="6" w:space="0" w:color="auto"/>
              <w:bottom w:val="nil" w:sz="6" w:space="0" w:color="auto"/>
              <w:right w:val="nil" w:sz="6" w:space="0" w:color="auto"/>
            </w:tcBorders>
          </w:tcPr>
          <w:p>
            <w:pPr/>
          </w:p>
        </w:tc>
        <w:tc>
          <w:tcPr>
            <w:tcW w:w="84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0" w:lineRule="exact"/>
              <w:ind w:left="152" w:right="228"/>
              <w:jc w:val="left"/>
              <w:rPr>
                <w:rFonts w:ascii="宋体" w:hAnsi="宋体" w:cs="宋体" w:eastAsia="宋体" w:hint="default"/>
                <w:sz w:val="24"/>
                <w:szCs w:val="24"/>
              </w:rPr>
            </w:pPr>
            <w:r>
              <w:rPr>
                <w:rFonts w:ascii="宋体" w:hAnsi="宋体" w:cs="宋体" w:eastAsia="宋体" w:hint="default"/>
                <w:spacing w:val="-4"/>
                <w:sz w:val="24"/>
                <w:szCs w:val="24"/>
              </w:rPr>
              <w:t>借款及应付债券按其公允价值扣除交易费用后的金额进行初始计量，并采用实</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际利率法按摊余成本进行后续计量。</w:t>
            </w:r>
          </w:p>
        </w:tc>
      </w:tr>
      <w:tr>
        <w:trPr>
          <w:trHeight w:val="1094" w:hRule="exact"/>
        </w:trPr>
        <w:tc>
          <w:tcPr>
            <w:tcW w:w="780" w:type="dxa"/>
            <w:tcBorders>
              <w:top w:val="nil" w:sz="6" w:space="0" w:color="auto"/>
              <w:left w:val="nil" w:sz="6" w:space="0" w:color="auto"/>
              <w:bottom w:val="nil" w:sz="6" w:space="0" w:color="auto"/>
              <w:right w:val="nil" w:sz="6" w:space="0" w:color="auto"/>
            </w:tcBorders>
          </w:tcPr>
          <w:p>
            <w:pPr/>
          </w:p>
        </w:tc>
        <w:tc>
          <w:tcPr>
            <w:tcW w:w="8437" w:type="dxa"/>
            <w:tcBorders>
              <w:top w:val="nil" w:sz="6" w:space="0" w:color="auto"/>
              <w:left w:val="nil" w:sz="6" w:space="0" w:color="auto"/>
              <w:bottom w:val="nil" w:sz="6" w:space="0" w:color="auto"/>
              <w:right w:val="nil" w:sz="6" w:space="0" w:color="auto"/>
            </w:tcBorders>
          </w:tcPr>
          <w:p>
            <w:pPr>
              <w:pStyle w:val="TableParagraph"/>
              <w:spacing w:line="225" w:lineRule="auto" w:before="59"/>
              <w:ind w:left="152" w:right="225"/>
              <w:jc w:val="both"/>
              <w:rPr>
                <w:rFonts w:ascii="宋体" w:hAnsi="宋体" w:cs="宋体" w:eastAsia="宋体" w:hint="default"/>
                <w:sz w:val="24"/>
                <w:szCs w:val="24"/>
              </w:rPr>
            </w:pPr>
            <w:r>
              <w:rPr>
                <w:rFonts w:ascii="宋体" w:hAnsi="宋体" w:cs="宋体" w:eastAsia="宋体" w:hint="default"/>
                <w:spacing w:val="-1"/>
                <w:sz w:val="24"/>
                <w:szCs w:val="24"/>
              </w:rPr>
              <w:t>其他金融负债期限在一年以下</w:t>
            </w:r>
            <w:r>
              <w:rPr>
                <w:rFonts w:ascii="Arial" w:hAnsi="Arial" w:cs="Arial" w:eastAsia="Arial" w:hint="default"/>
                <w:spacing w:val="-1"/>
                <w:sz w:val="24"/>
                <w:szCs w:val="24"/>
              </w:rPr>
              <w:t>(</w:t>
            </w:r>
            <w:r>
              <w:rPr>
                <w:rFonts w:ascii="宋体" w:hAnsi="宋体" w:cs="宋体" w:eastAsia="宋体" w:hint="default"/>
                <w:spacing w:val="-1"/>
                <w:sz w:val="24"/>
                <w:szCs w:val="24"/>
              </w:rPr>
              <w:t>含一年</w:t>
            </w:r>
            <w:r>
              <w:rPr>
                <w:rFonts w:ascii="Arial" w:hAnsi="Arial" w:cs="Arial" w:eastAsia="Arial" w:hint="default"/>
                <w:spacing w:val="-1"/>
                <w:sz w:val="24"/>
                <w:szCs w:val="24"/>
              </w:rPr>
              <w:t>)</w:t>
            </w:r>
            <w:r>
              <w:rPr>
                <w:rFonts w:ascii="宋体" w:hAnsi="宋体" w:cs="宋体" w:eastAsia="宋体" w:hint="default"/>
                <w:spacing w:val="-1"/>
                <w:sz w:val="24"/>
                <w:szCs w:val="24"/>
              </w:rPr>
              <w:t>的，列示为流动负债；期限在一年以上</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5"/>
                <w:sz w:val="24"/>
                <w:szCs w:val="24"/>
              </w:rPr>
              <w:t>但自资产负债表日起一年内</w:t>
            </w:r>
            <w:r>
              <w:rPr>
                <w:rFonts w:ascii="Arial" w:hAnsi="Arial" w:cs="Arial" w:eastAsia="Arial" w:hint="default"/>
                <w:spacing w:val="5"/>
                <w:sz w:val="24"/>
                <w:szCs w:val="24"/>
              </w:rPr>
              <w:t>(</w:t>
            </w:r>
            <w:r>
              <w:rPr>
                <w:rFonts w:ascii="宋体" w:hAnsi="宋体" w:cs="宋体" w:eastAsia="宋体" w:hint="default"/>
                <w:spacing w:val="5"/>
                <w:sz w:val="24"/>
                <w:szCs w:val="24"/>
              </w:rPr>
              <w:t>含一年</w:t>
            </w:r>
            <w:r>
              <w:rPr>
                <w:rFonts w:ascii="Arial" w:hAnsi="Arial" w:cs="Arial" w:eastAsia="Arial" w:hint="default"/>
                <w:spacing w:val="5"/>
                <w:sz w:val="24"/>
                <w:szCs w:val="24"/>
              </w:rPr>
              <w:t>)</w:t>
            </w:r>
            <w:r>
              <w:rPr>
                <w:rFonts w:ascii="宋体" w:hAnsi="宋体" w:cs="宋体" w:eastAsia="宋体" w:hint="default"/>
                <w:spacing w:val="5"/>
                <w:sz w:val="24"/>
                <w:szCs w:val="24"/>
              </w:rPr>
              <w:t>到期的，列示为一年内到期的非流动负</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债；其余列示为非流动负债。</w:t>
            </w:r>
          </w:p>
        </w:tc>
      </w:tr>
      <w:tr>
        <w:trPr>
          <w:trHeight w:val="1229" w:hRule="exact"/>
        </w:trPr>
        <w:tc>
          <w:tcPr>
            <w:tcW w:w="780" w:type="dxa"/>
            <w:tcBorders>
              <w:top w:val="nil" w:sz="6" w:space="0" w:color="auto"/>
              <w:left w:val="nil" w:sz="6" w:space="0" w:color="auto"/>
              <w:bottom w:val="nil" w:sz="6" w:space="0" w:color="auto"/>
              <w:right w:val="nil" w:sz="6" w:space="0" w:color="auto"/>
            </w:tcBorders>
          </w:tcPr>
          <w:p>
            <w:pPr/>
          </w:p>
        </w:tc>
        <w:tc>
          <w:tcPr>
            <w:tcW w:w="8437" w:type="dxa"/>
            <w:tcBorders>
              <w:top w:val="nil" w:sz="6" w:space="0" w:color="auto"/>
              <w:left w:val="nil" w:sz="6" w:space="0" w:color="auto"/>
              <w:bottom w:val="nil" w:sz="6" w:space="0" w:color="auto"/>
              <w:right w:val="nil" w:sz="6" w:space="0" w:color="auto"/>
            </w:tcBorders>
          </w:tcPr>
          <w:p>
            <w:pPr>
              <w:pStyle w:val="TableParagraph"/>
              <w:spacing w:line="237" w:lineRule="auto" w:before="45"/>
              <w:ind w:left="152" w:right="228"/>
              <w:jc w:val="both"/>
              <w:rPr>
                <w:rFonts w:ascii="宋体" w:hAnsi="宋体" w:cs="宋体" w:eastAsia="宋体" w:hint="default"/>
                <w:sz w:val="24"/>
                <w:szCs w:val="24"/>
              </w:rPr>
            </w:pPr>
            <w:r>
              <w:rPr>
                <w:rFonts w:ascii="宋体" w:hAnsi="宋体" w:cs="宋体" w:eastAsia="宋体" w:hint="default"/>
                <w:spacing w:val="-4"/>
                <w:sz w:val="24"/>
                <w:szCs w:val="24"/>
              </w:rPr>
              <w:t>当金融负债的现时义务全部或部分已经解除时，终止确认该金融负债或义务已</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pacing w:val="-4"/>
                <w:sz w:val="24"/>
                <w:szCs w:val="24"/>
              </w:rPr>
              <w:t>解除的部分。终止确认部分的账面价值与支付的对价之间的差额，计入当期损</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益。</w:t>
            </w:r>
          </w:p>
        </w:tc>
      </w:tr>
      <w:tr>
        <w:trPr>
          <w:trHeight w:val="752" w:hRule="exact"/>
        </w:trPr>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(c)</w:t>
            </w:r>
          </w:p>
        </w:tc>
        <w:tc>
          <w:tcPr>
            <w:tcW w:w="8437"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52" w:right="0"/>
              <w:jc w:val="left"/>
              <w:rPr>
                <w:rFonts w:ascii="宋体" w:hAnsi="宋体" w:cs="宋体" w:eastAsia="宋体" w:hint="default"/>
                <w:sz w:val="24"/>
                <w:szCs w:val="24"/>
              </w:rPr>
            </w:pPr>
            <w:r>
              <w:rPr>
                <w:rFonts w:ascii="宋体" w:hAnsi="宋体" w:cs="宋体" w:eastAsia="宋体" w:hint="default"/>
                <w:sz w:val="24"/>
                <w:szCs w:val="24"/>
              </w:rPr>
              <w:t>金融工具的公允价值确定</w:t>
            </w:r>
          </w:p>
        </w:tc>
      </w:tr>
      <w:tr>
        <w:trPr>
          <w:trHeight w:val="1736" w:hRule="exact"/>
        </w:trPr>
        <w:tc>
          <w:tcPr>
            <w:tcW w:w="780" w:type="dxa"/>
            <w:tcBorders>
              <w:top w:val="nil" w:sz="6" w:space="0" w:color="auto"/>
              <w:left w:val="nil" w:sz="6" w:space="0" w:color="auto"/>
              <w:bottom w:val="nil" w:sz="6" w:space="0" w:color="auto"/>
              <w:right w:val="nil" w:sz="6" w:space="0" w:color="auto"/>
            </w:tcBorders>
          </w:tcPr>
          <w:p>
            <w:pPr/>
          </w:p>
        </w:tc>
        <w:tc>
          <w:tcPr>
            <w:tcW w:w="8437"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52" w:right="202"/>
              <w:jc w:val="both"/>
              <w:rPr>
                <w:rFonts w:ascii="宋体" w:hAnsi="宋体" w:cs="宋体" w:eastAsia="宋体" w:hint="default"/>
                <w:sz w:val="24"/>
                <w:szCs w:val="24"/>
              </w:rPr>
            </w:pPr>
            <w:r>
              <w:rPr>
                <w:rFonts w:ascii="宋体" w:hAnsi="宋体" w:cs="宋体" w:eastAsia="宋体" w:hint="default"/>
                <w:spacing w:val="-3"/>
                <w:sz w:val="24"/>
                <w:szCs w:val="24"/>
              </w:rPr>
              <w:t>存在活跃市场的金融工具，以活跃市场中的报价确定其公允价值。不存在活跃</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pacing w:val="-3"/>
                <w:sz w:val="24"/>
                <w:szCs w:val="24"/>
              </w:rPr>
              <w:t>市场的金融工具，采用估值技术确定其公允价值。估值技术包括参考熟悉情况</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pacing w:val="-3"/>
                <w:sz w:val="24"/>
                <w:szCs w:val="24"/>
              </w:rPr>
              <w:t>并自愿交易的各方最近进行的市场交易中使用的价格、参照实质上相同的其他</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3"/>
                <w:sz w:val="24"/>
                <w:szCs w:val="24"/>
              </w:rPr>
              <w:t>金融资产的当前公允价值、现金流量折现法等。采用估值技术时，尽可能最大</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程度使用可观察到的市场参数，减少使用与本集团特定相关的参数。</w:t>
            </w:r>
          </w:p>
        </w:tc>
      </w:tr>
    </w:tbl>
    <w:p>
      <w:pPr>
        <w:spacing w:after="0" w:line="237" w:lineRule="auto"/>
        <w:jc w:val="both"/>
        <w:rPr>
          <w:rFonts w:ascii="宋体" w:hAnsi="宋体" w:cs="宋体" w:eastAsia="宋体" w:hint="default"/>
          <w:sz w:val="24"/>
          <w:szCs w:val="24"/>
        </w:rPr>
        <w:sectPr>
          <w:footerReference w:type="default" r:id="rId58"/>
          <w:pgSz w:w="11910" w:h="16850"/>
          <w:pgMar w:footer="1340" w:header="795" w:top="2020" w:bottom="1540" w:left="1340" w:right="0"/>
          <w:pgNumType w:start="104"/>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772"/>
        <w:gridCol w:w="3900"/>
        <w:gridCol w:w="4544"/>
      </w:tblGrid>
      <w:tr>
        <w:trPr>
          <w:trHeight w:val="49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3900" w:type="dxa"/>
            <w:tcBorders>
              <w:top w:val="nil" w:sz="6" w:space="0" w:color="auto"/>
              <w:left w:val="nil" w:sz="6" w:space="0" w:color="auto"/>
              <w:bottom w:val="nil" w:sz="6" w:space="0" w:color="auto"/>
              <w:right w:val="nil" w:sz="6" w:space="0" w:color="auto"/>
            </w:tcBorders>
          </w:tcPr>
          <w:p>
            <w:pPr>
              <w:pStyle w:val="TableParagraph"/>
              <w:spacing w:line="257" w:lineRule="exact"/>
              <w:ind w:left="16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4544" w:type="dxa"/>
            <w:tcBorders>
              <w:top w:val="nil" w:sz="6" w:space="0" w:color="auto"/>
              <w:left w:val="nil" w:sz="6" w:space="0" w:color="auto"/>
              <w:bottom w:val="nil" w:sz="6" w:space="0" w:color="auto"/>
              <w:right w:val="nil" w:sz="6" w:space="0" w:color="auto"/>
            </w:tcBorders>
          </w:tcPr>
          <w:p>
            <w:pPr/>
          </w:p>
        </w:tc>
      </w:tr>
      <w:tr>
        <w:trPr>
          <w:trHeight w:val="7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pacing w:val="-5"/>
                <w:sz w:val="24"/>
              </w:rPr>
              <w:t>(11)</w:t>
            </w:r>
          </w:p>
        </w:tc>
        <w:tc>
          <w:tcPr>
            <w:tcW w:w="3900"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60" w:right="0"/>
              <w:jc w:val="left"/>
              <w:rPr>
                <w:rFonts w:ascii="黑体" w:hAnsi="黑体" w:cs="黑体" w:eastAsia="黑体" w:hint="default"/>
                <w:sz w:val="24"/>
                <w:szCs w:val="24"/>
              </w:rPr>
            </w:pPr>
            <w:r>
              <w:rPr>
                <w:rFonts w:ascii="黑体" w:hAnsi="黑体" w:cs="黑体" w:eastAsia="黑体" w:hint="default"/>
                <w:sz w:val="24"/>
                <w:szCs w:val="24"/>
              </w:rPr>
              <w:t>应收款项</w:t>
            </w:r>
          </w:p>
        </w:tc>
        <w:tc>
          <w:tcPr>
            <w:tcW w:w="4544" w:type="dxa"/>
            <w:tcBorders>
              <w:top w:val="nil" w:sz="6" w:space="0" w:color="auto"/>
              <w:left w:val="nil" w:sz="6" w:space="0" w:color="auto"/>
              <w:bottom w:val="nil" w:sz="6" w:space="0" w:color="auto"/>
              <w:right w:val="nil" w:sz="6" w:space="0" w:color="auto"/>
            </w:tcBorders>
          </w:tcPr>
          <w:p>
            <w:pPr/>
          </w:p>
        </w:tc>
      </w:tr>
      <w:tr>
        <w:trPr>
          <w:trHeight w:val="1366" w:hRule="exact"/>
        </w:trPr>
        <w:tc>
          <w:tcPr>
            <w:tcW w:w="9215" w:type="dxa"/>
            <w:gridSpan w:val="3"/>
            <w:tcBorders>
              <w:top w:val="nil" w:sz="6" w:space="0" w:color="auto"/>
              <w:left w:val="nil" w:sz="6" w:space="0" w:color="auto"/>
              <w:bottom w:val="nil" w:sz="6" w:space="0" w:color="auto"/>
              <w:right w:val="nil" w:sz="6" w:space="0" w:color="auto"/>
            </w:tcBorders>
          </w:tcPr>
          <w:p>
            <w:pPr>
              <w:pStyle w:val="TableParagraph"/>
              <w:spacing w:line="237" w:lineRule="auto" w:before="182"/>
              <w:ind w:left="931" w:right="200"/>
              <w:jc w:val="both"/>
              <w:rPr>
                <w:rFonts w:ascii="宋体" w:hAnsi="宋体" w:cs="宋体" w:eastAsia="宋体" w:hint="default"/>
                <w:sz w:val="24"/>
                <w:szCs w:val="24"/>
              </w:rPr>
            </w:pPr>
            <w:r>
              <w:rPr>
                <w:rFonts w:ascii="宋体" w:hAnsi="宋体" w:cs="宋体" w:eastAsia="宋体" w:hint="default"/>
                <w:spacing w:val="-3"/>
                <w:sz w:val="24"/>
                <w:szCs w:val="24"/>
              </w:rPr>
              <w:t>应收款项包括应收账款、其他应收款等。本集团销售商品或提供劳务形成的应</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3"/>
                <w:sz w:val="24"/>
                <w:szCs w:val="24"/>
              </w:rPr>
              <w:t>收账款，按从购货方或劳务接受方应收的合同或协议价款的公允价值作为初始</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确认金额。</w:t>
            </w:r>
          </w:p>
        </w:tc>
      </w:tr>
      <w:tr>
        <w:trPr>
          <w:trHeight w:val="574"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4"/>
              <w:ind w:left="160" w:right="0"/>
              <w:jc w:val="left"/>
              <w:rPr>
                <w:rFonts w:ascii="宋体" w:hAnsi="宋体" w:cs="宋体" w:eastAsia="宋体" w:hint="default"/>
                <w:sz w:val="24"/>
                <w:szCs w:val="24"/>
              </w:rPr>
            </w:pPr>
            <w:r>
              <w:rPr>
                <w:rFonts w:ascii="宋体" w:hAnsi="宋体" w:cs="宋体" w:eastAsia="宋体" w:hint="default"/>
                <w:sz w:val="24"/>
                <w:szCs w:val="24"/>
              </w:rPr>
              <w:t>单项金额重大并单独计提坏账准备的应收款项</w:t>
            </w:r>
          </w:p>
        </w:tc>
      </w:tr>
      <w:tr>
        <w:trPr>
          <w:trHeight w:val="701" w:hRule="exact"/>
        </w:trPr>
        <w:tc>
          <w:tcPr>
            <w:tcW w:w="9215" w:type="dxa"/>
            <w:gridSpan w:val="3"/>
            <w:tcBorders>
              <w:top w:val="nil" w:sz="6" w:space="0" w:color="auto"/>
              <w:left w:val="nil" w:sz="6" w:space="0" w:color="auto"/>
              <w:bottom w:val="nil" w:sz="6" w:space="0" w:color="auto"/>
              <w:right w:val="nil" w:sz="6" w:space="0" w:color="auto"/>
            </w:tcBorders>
          </w:tcPr>
          <w:p>
            <w:pPr>
              <w:pStyle w:val="TableParagraph"/>
              <w:spacing w:line="310" w:lineRule="exact" w:before="34"/>
              <w:ind w:left="931" w:right="203"/>
              <w:jc w:val="left"/>
              <w:rPr>
                <w:rFonts w:ascii="宋体" w:hAnsi="宋体" w:cs="宋体" w:eastAsia="宋体" w:hint="default"/>
                <w:sz w:val="24"/>
                <w:szCs w:val="24"/>
              </w:rPr>
            </w:pPr>
            <w:r>
              <w:rPr>
                <w:rFonts w:ascii="宋体" w:hAnsi="宋体" w:cs="宋体" w:eastAsia="宋体" w:hint="default"/>
                <w:spacing w:val="-3"/>
                <w:sz w:val="24"/>
                <w:szCs w:val="24"/>
              </w:rPr>
              <w:t>对于单项金额重大的应收款项，单独进行减值测试。当存在客观证据表明本集</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团将无法按应收款项的原有条款收回款项时，计提坏账准备。</w:t>
            </w:r>
          </w:p>
        </w:tc>
      </w:tr>
      <w:tr>
        <w:trPr>
          <w:trHeight w:val="397" w:hRule="exact"/>
        </w:trPr>
        <w:tc>
          <w:tcPr>
            <w:tcW w:w="921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
              <w:ind w:left="931" w:right="0"/>
              <w:jc w:val="left"/>
              <w:rPr>
                <w:rFonts w:ascii="宋体" w:hAnsi="宋体" w:cs="宋体" w:eastAsia="宋体" w:hint="default"/>
                <w:sz w:val="24"/>
                <w:szCs w:val="24"/>
              </w:rPr>
            </w:pPr>
            <w:r>
              <w:rPr>
                <w:rFonts w:ascii="宋体" w:hAnsi="宋体" w:cs="宋体" w:eastAsia="宋体" w:hint="default"/>
                <w:sz w:val="24"/>
                <w:szCs w:val="24"/>
              </w:rPr>
              <w:t>单项金额重大的判断标准为：单项金额超过</w:t>
            </w:r>
            <w:r>
              <w:rPr>
                <w:rFonts w:ascii="宋体" w:hAnsi="宋体" w:cs="宋体" w:eastAsia="宋体" w:hint="default"/>
                <w:spacing w:val="-61"/>
                <w:sz w:val="24"/>
                <w:szCs w:val="24"/>
              </w:rPr>
              <w:t> </w:t>
            </w:r>
            <w:r>
              <w:rPr>
                <w:rFonts w:ascii="Arial" w:hAnsi="Arial" w:cs="Arial" w:eastAsia="Arial" w:hint="default"/>
                <w:sz w:val="24"/>
                <w:szCs w:val="24"/>
              </w:rPr>
              <w:t>100,000,000</w:t>
            </w:r>
            <w:r>
              <w:rPr>
                <w:rFonts w:ascii="Arial" w:hAnsi="Arial" w:cs="Arial" w:eastAsia="Arial" w:hint="default"/>
                <w:spacing w:val="-7"/>
                <w:sz w:val="24"/>
                <w:szCs w:val="24"/>
              </w:rPr>
              <w:t> </w:t>
            </w:r>
            <w:r>
              <w:rPr>
                <w:rFonts w:ascii="宋体" w:hAnsi="宋体" w:cs="宋体" w:eastAsia="宋体" w:hint="default"/>
                <w:sz w:val="24"/>
                <w:szCs w:val="24"/>
              </w:rPr>
              <w:t>元。</w:t>
            </w:r>
          </w:p>
        </w:tc>
      </w:tr>
      <w:tr>
        <w:trPr>
          <w:trHeight w:val="871" w:hRule="exact"/>
        </w:trPr>
        <w:tc>
          <w:tcPr>
            <w:tcW w:w="9215" w:type="dxa"/>
            <w:gridSpan w:val="3"/>
            <w:tcBorders>
              <w:top w:val="nil" w:sz="6" w:space="0" w:color="auto"/>
              <w:left w:val="nil" w:sz="6" w:space="0" w:color="auto"/>
              <w:bottom w:val="nil" w:sz="6" w:space="0" w:color="auto"/>
              <w:right w:val="nil" w:sz="6" w:space="0" w:color="auto"/>
            </w:tcBorders>
          </w:tcPr>
          <w:p>
            <w:pPr>
              <w:pStyle w:val="TableParagraph"/>
              <w:spacing w:line="312" w:lineRule="exact" w:before="26"/>
              <w:ind w:left="931" w:right="200"/>
              <w:jc w:val="left"/>
              <w:rPr>
                <w:rFonts w:ascii="宋体" w:hAnsi="宋体" w:cs="宋体" w:eastAsia="宋体" w:hint="default"/>
                <w:sz w:val="24"/>
                <w:szCs w:val="24"/>
              </w:rPr>
            </w:pPr>
            <w:r>
              <w:rPr>
                <w:rFonts w:ascii="宋体" w:hAnsi="宋体" w:cs="宋体" w:eastAsia="宋体" w:hint="default"/>
                <w:spacing w:val="-3"/>
                <w:sz w:val="24"/>
                <w:szCs w:val="24"/>
              </w:rPr>
              <w:t>单项金额重大并单独计提坏账准备的计提方法为：根据应收款项的预计未来现</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金流量现值低于其账面价值的差额进行计提。</w:t>
            </w:r>
          </w:p>
        </w:tc>
      </w:tr>
      <w:tr>
        <w:trPr>
          <w:trHeight w:val="752"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3900"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60" w:right="0"/>
              <w:jc w:val="left"/>
              <w:rPr>
                <w:rFonts w:ascii="宋体" w:hAnsi="宋体" w:cs="宋体" w:eastAsia="宋体" w:hint="default"/>
                <w:sz w:val="24"/>
                <w:szCs w:val="24"/>
              </w:rPr>
            </w:pPr>
            <w:r>
              <w:rPr>
                <w:rFonts w:ascii="宋体" w:hAnsi="宋体" w:cs="宋体" w:eastAsia="宋体" w:hint="default"/>
                <w:sz w:val="24"/>
                <w:szCs w:val="24"/>
              </w:rPr>
              <w:t>按组合计提坏账准备的应收款项</w:t>
            </w:r>
          </w:p>
        </w:tc>
        <w:tc>
          <w:tcPr>
            <w:tcW w:w="4544" w:type="dxa"/>
            <w:tcBorders>
              <w:top w:val="nil" w:sz="6" w:space="0" w:color="auto"/>
              <w:left w:val="nil" w:sz="6" w:space="0" w:color="auto"/>
              <w:bottom w:val="nil" w:sz="6" w:space="0" w:color="auto"/>
              <w:right w:val="nil" w:sz="6" w:space="0" w:color="auto"/>
            </w:tcBorders>
          </w:tcPr>
          <w:p>
            <w:pPr/>
          </w:p>
        </w:tc>
      </w:tr>
      <w:tr>
        <w:trPr>
          <w:trHeight w:val="1369" w:hRule="exact"/>
        </w:trPr>
        <w:tc>
          <w:tcPr>
            <w:tcW w:w="772" w:type="dxa"/>
            <w:tcBorders>
              <w:top w:val="nil" w:sz="6" w:space="0" w:color="auto"/>
              <w:left w:val="nil" w:sz="6" w:space="0" w:color="auto"/>
              <w:bottom w:val="nil" w:sz="6" w:space="0" w:color="auto"/>
              <w:right w:val="nil" w:sz="6" w:space="0" w:color="auto"/>
            </w:tcBorders>
          </w:tcPr>
          <w:p>
            <w:pPr/>
          </w:p>
        </w:tc>
        <w:tc>
          <w:tcPr>
            <w:tcW w:w="8444" w:type="dxa"/>
            <w:gridSpan w:val="2"/>
            <w:tcBorders>
              <w:top w:val="nil" w:sz="6" w:space="0" w:color="auto"/>
              <w:left w:val="nil" w:sz="6" w:space="0" w:color="auto"/>
              <w:bottom w:val="nil" w:sz="6" w:space="0" w:color="auto"/>
              <w:right w:val="nil" w:sz="6" w:space="0" w:color="auto"/>
            </w:tcBorders>
          </w:tcPr>
          <w:p>
            <w:pPr>
              <w:pStyle w:val="TableParagraph"/>
              <w:spacing w:line="237" w:lineRule="auto" w:before="183"/>
              <w:ind w:left="160" w:right="200"/>
              <w:jc w:val="both"/>
              <w:rPr>
                <w:rFonts w:ascii="宋体" w:hAnsi="宋体" w:cs="宋体" w:eastAsia="宋体" w:hint="default"/>
                <w:sz w:val="24"/>
                <w:szCs w:val="24"/>
              </w:rPr>
            </w:pPr>
            <w:r>
              <w:rPr>
                <w:rFonts w:ascii="宋体" w:hAnsi="宋体" w:cs="宋体" w:eastAsia="宋体" w:hint="default"/>
                <w:spacing w:val="-3"/>
                <w:sz w:val="24"/>
                <w:szCs w:val="24"/>
              </w:rPr>
              <w:t>对于单项金额不重大的应收款项，与经单独测试后未减值的应收款项一起按信</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3"/>
                <w:sz w:val="24"/>
                <w:szCs w:val="24"/>
              </w:rPr>
              <w:t>用风险特征划分为若干组合，根据以前年度与之具有类似信用风险特征的应收</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款项组合的实际损失率为基础，结合现时情况确定应计提的坏账准备。</w:t>
            </w:r>
          </w:p>
        </w:tc>
      </w:tr>
      <w:tr>
        <w:trPr>
          <w:trHeight w:val="570" w:hRule="exact"/>
        </w:trPr>
        <w:tc>
          <w:tcPr>
            <w:tcW w:w="772"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60" w:right="0"/>
              <w:jc w:val="left"/>
              <w:rPr>
                <w:rFonts w:ascii="宋体" w:hAnsi="宋体" w:cs="宋体" w:eastAsia="宋体" w:hint="default"/>
                <w:sz w:val="24"/>
                <w:szCs w:val="24"/>
              </w:rPr>
            </w:pPr>
            <w:r>
              <w:rPr>
                <w:rFonts w:ascii="宋体" w:hAnsi="宋体" w:cs="宋体" w:eastAsia="宋体" w:hint="default"/>
                <w:sz w:val="24"/>
                <w:szCs w:val="24"/>
              </w:rPr>
              <w:t>确定组合的依据如下：</w:t>
            </w:r>
          </w:p>
        </w:tc>
        <w:tc>
          <w:tcPr>
            <w:tcW w:w="4544" w:type="dxa"/>
            <w:tcBorders>
              <w:top w:val="nil" w:sz="6" w:space="0" w:color="auto"/>
              <w:left w:val="nil" w:sz="6" w:space="0" w:color="auto"/>
              <w:bottom w:val="nil" w:sz="6" w:space="0" w:color="auto"/>
              <w:right w:val="nil" w:sz="6" w:space="0" w:color="auto"/>
            </w:tcBorders>
          </w:tcPr>
          <w:p>
            <w:pPr/>
          </w:p>
        </w:tc>
      </w:tr>
      <w:tr>
        <w:trPr>
          <w:trHeight w:val="392" w:hRule="exact"/>
        </w:trPr>
        <w:tc>
          <w:tcPr>
            <w:tcW w:w="772"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60" w:right="0"/>
              <w:jc w:val="left"/>
              <w:rPr>
                <w:rFonts w:ascii="宋体" w:hAnsi="宋体" w:cs="宋体" w:eastAsia="宋体" w:hint="default"/>
                <w:sz w:val="24"/>
                <w:szCs w:val="24"/>
              </w:rPr>
            </w:pPr>
            <w:r>
              <w:rPr>
                <w:rFonts w:ascii="宋体" w:hAnsi="宋体" w:cs="宋体" w:eastAsia="宋体" w:hint="default"/>
                <w:sz w:val="24"/>
                <w:szCs w:val="24"/>
              </w:rPr>
              <w:t>政府补贴组合</w:t>
            </w:r>
          </w:p>
        </w:tc>
        <w:tc>
          <w:tcPr>
            <w:tcW w:w="454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39" w:right="0"/>
              <w:jc w:val="left"/>
              <w:rPr>
                <w:rFonts w:ascii="宋体" w:hAnsi="宋体" w:cs="宋体" w:eastAsia="宋体" w:hint="default"/>
                <w:sz w:val="24"/>
                <w:szCs w:val="24"/>
              </w:rPr>
            </w:pPr>
            <w:r>
              <w:rPr>
                <w:rFonts w:ascii="宋体" w:hAnsi="宋体" w:cs="宋体" w:eastAsia="宋体" w:hint="default"/>
                <w:sz w:val="24"/>
                <w:szCs w:val="24"/>
              </w:rPr>
              <w:t>所有应收的政府补贴款项</w:t>
            </w:r>
          </w:p>
        </w:tc>
      </w:tr>
      <w:tr>
        <w:trPr>
          <w:trHeight w:val="391" w:hRule="exact"/>
        </w:trPr>
        <w:tc>
          <w:tcPr>
            <w:tcW w:w="772"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60" w:right="0"/>
              <w:jc w:val="left"/>
              <w:rPr>
                <w:rFonts w:ascii="宋体" w:hAnsi="宋体" w:cs="宋体" w:eastAsia="宋体" w:hint="default"/>
                <w:sz w:val="24"/>
                <w:szCs w:val="24"/>
              </w:rPr>
            </w:pPr>
            <w:r>
              <w:rPr>
                <w:rFonts w:ascii="宋体" w:hAnsi="宋体" w:cs="宋体" w:eastAsia="宋体" w:hint="default"/>
                <w:sz w:val="24"/>
                <w:szCs w:val="24"/>
              </w:rPr>
              <w:t>节能补贴组合</w:t>
            </w:r>
          </w:p>
        </w:tc>
        <w:tc>
          <w:tcPr>
            <w:tcW w:w="454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39" w:right="0"/>
              <w:jc w:val="left"/>
              <w:rPr>
                <w:rFonts w:ascii="宋体" w:hAnsi="宋体" w:cs="宋体" w:eastAsia="宋体" w:hint="default"/>
                <w:sz w:val="24"/>
                <w:szCs w:val="24"/>
              </w:rPr>
            </w:pPr>
            <w:r>
              <w:rPr>
                <w:rFonts w:ascii="宋体" w:hAnsi="宋体" w:cs="宋体" w:eastAsia="宋体" w:hint="default"/>
                <w:sz w:val="24"/>
                <w:szCs w:val="24"/>
              </w:rPr>
              <w:t>所有应收的节能补贴款项</w:t>
            </w:r>
          </w:p>
        </w:tc>
      </w:tr>
      <w:tr>
        <w:trPr>
          <w:trHeight w:val="701" w:hRule="exact"/>
        </w:trPr>
        <w:tc>
          <w:tcPr>
            <w:tcW w:w="772"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60" w:right="0"/>
              <w:jc w:val="left"/>
              <w:rPr>
                <w:rFonts w:ascii="宋体" w:hAnsi="宋体" w:cs="宋体" w:eastAsia="宋体" w:hint="default"/>
                <w:sz w:val="24"/>
                <w:szCs w:val="24"/>
              </w:rPr>
            </w:pPr>
            <w:r>
              <w:rPr>
                <w:rFonts w:ascii="宋体" w:hAnsi="宋体" w:cs="宋体" w:eastAsia="宋体" w:hint="default"/>
                <w:sz w:val="24"/>
                <w:szCs w:val="24"/>
              </w:rPr>
              <w:t>其他款项</w:t>
            </w:r>
          </w:p>
        </w:tc>
        <w:tc>
          <w:tcPr>
            <w:tcW w:w="4544"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39" w:right="207"/>
              <w:jc w:val="left"/>
              <w:rPr>
                <w:rFonts w:ascii="宋体" w:hAnsi="宋体" w:cs="宋体" w:eastAsia="宋体" w:hint="default"/>
                <w:sz w:val="24"/>
                <w:szCs w:val="24"/>
              </w:rPr>
            </w:pPr>
            <w:r>
              <w:rPr>
                <w:rFonts w:ascii="宋体" w:hAnsi="宋体" w:cs="宋体" w:eastAsia="宋体" w:hint="default"/>
                <w:spacing w:val="5"/>
                <w:sz w:val="24"/>
                <w:szCs w:val="24"/>
              </w:rPr>
              <w:t>短期应收款项中除政府补贴及节能补贴</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外的其他款项</w:t>
            </w:r>
          </w:p>
        </w:tc>
      </w:tr>
      <w:tr>
        <w:trPr>
          <w:trHeight w:val="703" w:hRule="exact"/>
        </w:trPr>
        <w:tc>
          <w:tcPr>
            <w:tcW w:w="772"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60" w:right="0"/>
              <w:jc w:val="left"/>
              <w:rPr>
                <w:rFonts w:ascii="宋体" w:hAnsi="宋体" w:cs="宋体" w:eastAsia="宋体" w:hint="default"/>
                <w:sz w:val="24"/>
                <w:szCs w:val="24"/>
              </w:rPr>
            </w:pPr>
            <w:r>
              <w:rPr>
                <w:rFonts w:ascii="宋体" w:hAnsi="宋体" w:cs="宋体" w:eastAsia="宋体" w:hint="default"/>
                <w:sz w:val="24"/>
                <w:szCs w:val="24"/>
              </w:rPr>
              <w:t>房屋租赁保证金及采购保证金组合</w:t>
            </w:r>
          </w:p>
        </w:tc>
        <w:tc>
          <w:tcPr>
            <w:tcW w:w="4544"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39" w:right="198"/>
              <w:jc w:val="left"/>
              <w:rPr>
                <w:rFonts w:ascii="宋体" w:hAnsi="宋体" w:cs="宋体" w:eastAsia="宋体" w:hint="default"/>
                <w:sz w:val="24"/>
                <w:szCs w:val="24"/>
              </w:rPr>
            </w:pPr>
            <w:r>
              <w:rPr>
                <w:rFonts w:ascii="宋体" w:hAnsi="宋体" w:cs="宋体" w:eastAsia="宋体" w:hint="default"/>
                <w:spacing w:val="7"/>
                <w:sz w:val="24"/>
                <w:szCs w:val="24"/>
              </w:rPr>
              <w:t>所有长期应收款中的房屋租赁保证金及 </w:t>
            </w:r>
            <w:r>
              <w:rPr>
                <w:rFonts w:ascii="宋体" w:hAnsi="宋体" w:cs="宋体" w:eastAsia="宋体" w:hint="default"/>
                <w:sz w:val="24"/>
                <w:szCs w:val="24"/>
              </w:rPr>
              <w:t>采购保证金</w:t>
            </w:r>
          </w:p>
        </w:tc>
      </w:tr>
      <w:tr>
        <w:trPr>
          <w:trHeight w:val="391" w:hRule="exact"/>
        </w:trPr>
        <w:tc>
          <w:tcPr>
            <w:tcW w:w="772" w:type="dxa"/>
            <w:tcBorders>
              <w:top w:val="nil" w:sz="6" w:space="0" w:color="auto"/>
              <w:left w:val="nil" w:sz="6" w:space="0" w:color="auto"/>
              <w:bottom w:val="nil" w:sz="6" w:space="0" w:color="auto"/>
              <w:right w:val="nil" w:sz="6" w:space="0" w:color="auto"/>
            </w:tcBorders>
          </w:tcPr>
          <w:p>
            <w:pPr/>
          </w:p>
        </w:tc>
        <w:tc>
          <w:tcPr>
            <w:tcW w:w="8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left="160" w:right="0"/>
              <w:jc w:val="left"/>
              <w:rPr>
                <w:rFonts w:ascii="宋体" w:hAnsi="宋体" w:cs="宋体" w:eastAsia="宋体" w:hint="default"/>
                <w:sz w:val="24"/>
                <w:szCs w:val="24"/>
              </w:rPr>
            </w:pPr>
            <w:r>
              <w:rPr>
                <w:rFonts w:ascii="宋体" w:hAnsi="宋体" w:cs="宋体" w:eastAsia="宋体" w:hint="default"/>
                <w:sz w:val="24"/>
                <w:szCs w:val="24"/>
              </w:rPr>
              <w:t>按组合计提坏账准备的计提方法如下：</w:t>
            </w:r>
          </w:p>
        </w:tc>
      </w:tr>
      <w:tr>
        <w:trPr>
          <w:trHeight w:val="1370" w:hRule="exact"/>
        </w:trPr>
        <w:tc>
          <w:tcPr>
            <w:tcW w:w="772"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nil" w:sz="6" w:space="0" w:color="auto"/>
              <w:right w:val="nil" w:sz="6" w:space="0" w:color="auto"/>
            </w:tcBorders>
          </w:tcPr>
          <w:p>
            <w:pPr>
              <w:pStyle w:val="TableParagraph"/>
              <w:spacing w:line="508" w:lineRule="auto" w:before="1"/>
              <w:ind w:left="160" w:right="2297"/>
              <w:jc w:val="left"/>
              <w:rPr>
                <w:rFonts w:ascii="宋体" w:hAnsi="宋体" w:cs="宋体" w:eastAsia="宋体" w:hint="default"/>
                <w:sz w:val="24"/>
                <w:szCs w:val="24"/>
              </w:rPr>
            </w:pPr>
            <w:r>
              <w:rPr>
                <w:rFonts w:ascii="宋体" w:hAnsi="宋体" w:cs="宋体" w:eastAsia="宋体" w:hint="default"/>
                <w:sz w:val="24"/>
                <w:szCs w:val="24"/>
              </w:rPr>
              <w:t>政府补贴组合 节能补贴组合</w:t>
            </w:r>
          </w:p>
        </w:tc>
        <w:tc>
          <w:tcPr>
            <w:tcW w:w="4544"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39" w:right="198"/>
              <w:jc w:val="left"/>
              <w:rPr>
                <w:rFonts w:ascii="Arial" w:hAnsi="Arial" w:cs="Arial" w:eastAsia="Arial" w:hint="default"/>
                <w:sz w:val="24"/>
                <w:szCs w:val="24"/>
              </w:rPr>
            </w:pPr>
            <w:r>
              <w:rPr>
                <w:rFonts w:ascii="宋体" w:hAnsi="宋体" w:cs="宋体" w:eastAsia="宋体" w:hint="default"/>
                <w:spacing w:val="7"/>
                <w:sz w:val="24"/>
                <w:szCs w:val="24"/>
              </w:rPr>
              <w:t>依据以前年度实际损失率，结合现时情 </w:t>
            </w:r>
            <w:r>
              <w:rPr>
                <w:rFonts w:ascii="宋体" w:hAnsi="宋体" w:cs="宋体" w:eastAsia="宋体" w:hint="default"/>
                <w:sz w:val="24"/>
                <w:szCs w:val="24"/>
              </w:rPr>
              <w:t>况，确定计提比例为</w:t>
            </w:r>
            <w:r>
              <w:rPr>
                <w:rFonts w:ascii="宋体" w:hAnsi="宋体" w:cs="宋体" w:eastAsia="宋体" w:hint="default"/>
                <w:spacing w:val="-61"/>
                <w:sz w:val="24"/>
                <w:szCs w:val="24"/>
              </w:rPr>
              <w:t> </w:t>
            </w:r>
            <w:r>
              <w:rPr>
                <w:rFonts w:ascii="Arial" w:hAnsi="Arial" w:cs="Arial" w:eastAsia="Arial" w:hint="default"/>
                <w:sz w:val="24"/>
                <w:szCs w:val="24"/>
              </w:rPr>
              <w:t>0%</w:t>
            </w:r>
          </w:p>
          <w:p>
            <w:pPr>
              <w:pStyle w:val="TableParagraph"/>
              <w:spacing w:line="310" w:lineRule="exact" w:before="42"/>
              <w:ind w:left="139" w:right="198"/>
              <w:jc w:val="left"/>
              <w:rPr>
                <w:rFonts w:ascii="Arial" w:hAnsi="Arial" w:cs="Arial" w:eastAsia="Arial" w:hint="default"/>
                <w:sz w:val="24"/>
                <w:szCs w:val="24"/>
              </w:rPr>
            </w:pPr>
            <w:r>
              <w:rPr>
                <w:rFonts w:ascii="宋体" w:hAnsi="宋体" w:cs="宋体" w:eastAsia="宋体" w:hint="default"/>
                <w:spacing w:val="7"/>
                <w:sz w:val="24"/>
                <w:szCs w:val="24"/>
              </w:rPr>
              <w:t>依据以前年度实际损失率，结合现时情 </w:t>
            </w:r>
            <w:r>
              <w:rPr>
                <w:rFonts w:ascii="宋体" w:hAnsi="宋体" w:cs="宋体" w:eastAsia="宋体" w:hint="default"/>
                <w:sz w:val="24"/>
                <w:szCs w:val="24"/>
              </w:rPr>
              <w:t>况，确定计提比例为</w:t>
            </w:r>
            <w:r>
              <w:rPr>
                <w:rFonts w:ascii="宋体" w:hAnsi="宋体" w:cs="宋体" w:eastAsia="宋体" w:hint="default"/>
                <w:spacing w:val="-61"/>
                <w:sz w:val="24"/>
                <w:szCs w:val="24"/>
              </w:rPr>
              <w:t> </w:t>
            </w:r>
            <w:r>
              <w:rPr>
                <w:rFonts w:ascii="Arial" w:hAnsi="Arial" w:cs="Arial" w:eastAsia="Arial" w:hint="default"/>
                <w:sz w:val="24"/>
                <w:szCs w:val="24"/>
              </w:rPr>
              <w:t>0%</w:t>
            </w:r>
          </w:p>
        </w:tc>
      </w:tr>
      <w:tr>
        <w:trPr>
          <w:trHeight w:val="386" w:hRule="exact"/>
        </w:trPr>
        <w:tc>
          <w:tcPr>
            <w:tcW w:w="772"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nil" w:sz="6" w:space="0" w:color="auto"/>
              <w:right w:val="nil" w:sz="6" w:space="0" w:color="auto"/>
            </w:tcBorders>
          </w:tcPr>
          <w:p>
            <w:pPr>
              <w:pStyle w:val="TableParagraph"/>
              <w:spacing w:line="311" w:lineRule="exact"/>
              <w:ind w:left="160" w:right="0"/>
              <w:jc w:val="left"/>
              <w:rPr>
                <w:rFonts w:ascii="宋体" w:hAnsi="宋体" w:cs="宋体" w:eastAsia="宋体" w:hint="default"/>
                <w:sz w:val="24"/>
                <w:szCs w:val="24"/>
              </w:rPr>
            </w:pPr>
            <w:r>
              <w:rPr>
                <w:rFonts w:ascii="宋体" w:hAnsi="宋体" w:cs="宋体" w:eastAsia="宋体" w:hint="default"/>
                <w:sz w:val="24"/>
                <w:szCs w:val="24"/>
              </w:rPr>
              <w:t>其他款项</w:t>
            </w:r>
          </w:p>
        </w:tc>
        <w:tc>
          <w:tcPr>
            <w:tcW w:w="4544" w:type="dxa"/>
            <w:tcBorders>
              <w:top w:val="nil" w:sz="6" w:space="0" w:color="auto"/>
              <w:left w:val="nil" w:sz="6" w:space="0" w:color="auto"/>
              <w:bottom w:val="nil" w:sz="6" w:space="0" w:color="auto"/>
              <w:right w:val="nil" w:sz="6" w:space="0" w:color="auto"/>
            </w:tcBorders>
          </w:tcPr>
          <w:p>
            <w:pPr>
              <w:pStyle w:val="TableParagraph"/>
              <w:spacing w:line="311" w:lineRule="exact"/>
              <w:ind w:left="139" w:right="0"/>
              <w:jc w:val="left"/>
              <w:rPr>
                <w:rFonts w:ascii="宋体" w:hAnsi="宋体" w:cs="宋体" w:eastAsia="宋体" w:hint="default"/>
                <w:sz w:val="24"/>
                <w:szCs w:val="24"/>
              </w:rPr>
            </w:pPr>
            <w:r>
              <w:rPr>
                <w:rFonts w:ascii="宋体" w:hAnsi="宋体" w:cs="宋体" w:eastAsia="宋体" w:hint="default"/>
                <w:sz w:val="24"/>
                <w:szCs w:val="24"/>
              </w:rPr>
              <w:t>账龄分析法</w:t>
            </w:r>
          </w:p>
        </w:tc>
      </w:tr>
      <w:tr>
        <w:trPr>
          <w:trHeight w:val="637" w:hRule="exact"/>
        </w:trPr>
        <w:tc>
          <w:tcPr>
            <w:tcW w:w="772"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60" w:right="0"/>
              <w:jc w:val="left"/>
              <w:rPr>
                <w:rFonts w:ascii="宋体" w:hAnsi="宋体" w:cs="宋体" w:eastAsia="宋体" w:hint="default"/>
                <w:sz w:val="24"/>
                <w:szCs w:val="24"/>
              </w:rPr>
            </w:pPr>
            <w:r>
              <w:rPr>
                <w:rFonts w:ascii="宋体" w:hAnsi="宋体" w:cs="宋体" w:eastAsia="宋体" w:hint="default"/>
                <w:sz w:val="24"/>
                <w:szCs w:val="24"/>
              </w:rPr>
              <w:t>房屋租赁保证金及采购保证金组合</w:t>
            </w:r>
          </w:p>
        </w:tc>
        <w:tc>
          <w:tcPr>
            <w:tcW w:w="4544"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39" w:right="198"/>
              <w:jc w:val="left"/>
              <w:rPr>
                <w:rFonts w:ascii="Arial" w:hAnsi="Arial" w:cs="Arial" w:eastAsia="Arial" w:hint="default"/>
                <w:sz w:val="24"/>
                <w:szCs w:val="24"/>
              </w:rPr>
            </w:pPr>
            <w:r>
              <w:rPr>
                <w:rFonts w:ascii="宋体" w:hAnsi="宋体" w:cs="宋体" w:eastAsia="宋体" w:hint="default"/>
                <w:spacing w:val="7"/>
                <w:sz w:val="24"/>
                <w:szCs w:val="24"/>
              </w:rPr>
              <w:t>依据以前年度实际损失率，结合现时情 </w:t>
            </w:r>
            <w:r>
              <w:rPr>
                <w:rFonts w:ascii="宋体" w:hAnsi="宋体" w:cs="宋体" w:eastAsia="宋体" w:hint="default"/>
                <w:sz w:val="24"/>
                <w:szCs w:val="24"/>
              </w:rPr>
              <w:t>况，确定计提比例为</w:t>
            </w:r>
            <w:r>
              <w:rPr>
                <w:rFonts w:ascii="宋体" w:hAnsi="宋体" w:cs="宋体" w:eastAsia="宋体" w:hint="default"/>
                <w:spacing w:val="-61"/>
                <w:sz w:val="24"/>
                <w:szCs w:val="24"/>
              </w:rPr>
              <w:t> </w:t>
            </w:r>
            <w:r>
              <w:rPr>
                <w:rFonts w:ascii="Arial" w:hAnsi="Arial" w:cs="Arial" w:eastAsia="Arial" w:hint="default"/>
                <w:sz w:val="24"/>
                <w:szCs w:val="24"/>
              </w:rPr>
              <w:t>0%</w:t>
            </w:r>
          </w:p>
        </w:tc>
      </w:tr>
    </w:tbl>
    <w:p>
      <w:pPr>
        <w:spacing w:after="0" w:line="310" w:lineRule="exact"/>
        <w:jc w:val="left"/>
        <w:rPr>
          <w:rFonts w:ascii="Arial" w:hAnsi="Arial" w:cs="Arial" w:eastAsia="Arial" w:hint="default"/>
          <w:sz w:val="24"/>
          <w:szCs w:val="24"/>
        </w:rPr>
        <w:sectPr>
          <w:pgSz w:w="11910" w:h="16850"/>
          <w:pgMar w:header="795" w:footer="1340" w:top="2020" w:bottom="1540" w:left="134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1596400" type="#_x0000_t75" stroked="false">
            <v:imagedata r:id="rId10" o:title=""/>
          </v:shape>
        </w:pict>
      </w: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34"/>
        <w:gridCol w:w="2959"/>
        <w:gridCol w:w="2789"/>
        <w:gridCol w:w="2659"/>
      </w:tblGrid>
      <w:tr>
        <w:trPr>
          <w:trHeight w:val="497" w:hRule="exact"/>
        </w:trPr>
        <w:tc>
          <w:tcPr>
            <w:tcW w:w="73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5749"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23"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659" w:type="dxa"/>
            <w:tcBorders>
              <w:top w:val="nil" w:sz="6" w:space="0" w:color="auto"/>
              <w:left w:val="nil" w:sz="6" w:space="0" w:color="auto"/>
              <w:bottom w:val="nil" w:sz="6" w:space="0" w:color="auto"/>
              <w:right w:val="nil" w:sz="6" w:space="0" w:color="auto"/>
            </w:tcBorders>
          </w:tcPr>
          <w:p>
            <w:pPr/>
          </w:p>
        </w:tc>
      </w:tr>
      <w:tr>
        <w:trPr>
          <w:trHeight w:val="748" w:hRule="exact"/>
        </w:trPr>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pacing w:val="-5"/>
                <w:sz w:val="24"/>
              </w:rPr>
              <w:t>(11)</w:t>
            </w: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23" w:right="0"/>
              <w:jc w:val="left"/>
              <w:rPr>
                <w:rFonts w:ascii="Arial" w:hAnsi="Arial" w:cs="Arial" w:eastAsia="Arial" w:hint="default"/>
                <w:sz w:val="24"/>
                <w:szCs w:val="24"/>
              </w:rPr>
            </w:pPr>
            <w:r>
              <w:rPr>
                <w:rFonts w:ascii="黑体" w:hAnsi="黑体" w:cs="黑体" w:eastAsia="黑体" w:hint="default"/>
                <w:sz w:val="24"/>
                <w:szCs w:val="24"/>
              </w:rPr>
              <w:t>应收款项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89" w:type="dxa"/>
            <w:tcBorders>
              <w:top w:val="nil" w:sz="6" w:space="0" w:color="auto"/>
              <w:left w:val="nil" w:sz="6" w:space="0" w:color="auto"/>
              <w:bottom w:val="nil" w:sz="6" w:space="0" w:color="auto"/>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
        </w:tc>
      </w:tr>
      <w:tr>
        <w:trPr>
          <w:trHeight w:val="580" w:hRule="exact"/>
        </w:trPr>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(b)</w:t>
            </w:r>
          </w:p>
        </w:tc>
        <w:tc>
          <w:tcPr>
            <w:tcW w:w="57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123" w:right="0"/>
              <w:jc w:val="left"/>
              <w:rPr>
                <w:rFonts w:ascii="Calibri" w:hAnsi="Calibri" w:cs="Calibri" w:eastAsia="Calibri" w:hint="default"/>
                <w:sz w:val="24"/>
                <w:szCs w:val="24"/>
              </w:rPr>
            </w:pPr>
            <w:r>
              <w:rPr>
                <w:rFonts w:ascii="宋体" w:hAnsi="宋体" w:cs="宋体" w:eastAsia="宋体" w:hint="default"/>
                <w:sz w:val="24"/>
                <w:szCs w:val="24"/>
              </w:rPr>
              <w:t>按组合计提坏账准备的应收款项</w:t>
            </w:r>
            <w:r>
              <w:rPr>
                <w:rFonts w:ascii="Calibri" w:hAnsi="Calibri" w:cs="Calibri" w:eastAsia="Calibri" w:hint="default"/>
                <w:sz w:val="24"/>
                <w:szCs w:val="24"/>
              </w:rPr>
              <w:t>(</w:t>
            </w:r>
            <w:r>
              <w:rPr>
                <w:rFonts w:ascii="宋体" w:hAnsi="宋体" w:cs="宋体" w:eastAsia="宋体" w:hint="default"/>
                <w:sz w:val="24"/>
                <w:szCs w:val="24"/>
              </w:rPr>
              <w:t>续</w:t>
            </w:r>
            <w:r>
              <w:rPr>
                <w:rFonts w:ascii="Calibri" w:hAnsi="Calibri" w:cs="Calibri" w:eastAsia="Calibri" w:hint="default"/>
                <w:sz w:val="24"/>
                <w:szCs w:val="24"/>
              </w:rPr>
              <w:t>)</w:t>
            </w:r>
          </w:p>
        </w:tc>
        <w:tc>
          <w:tcPr>
            <w:tcW w:w="2659" w:type="dxa"/>
            <w:tcBorders>
              <w:top w:val="nil" w:sz="6" w:space="0" w:color="auto"/>
              <w:left w:val="nil" w:sz="6" w:space="0" w:color="auto"/>
              <w:bottom w:val="nil" w:sz="6" w:space="0" w:color="auto"/>
              <w:right w:val="nil" w:sz="6" w:space="0" w:color="auto"/>
            </w:tcBorders>
          </w:tcPr>
          <w:p>
            <w:pPr/>
          </w:p>
        </w:tc>
      </w:tr>
      <w:tr>
        <w:trPr>
          <w:trHeight w:val="537" w:hRule="exact"/>
        </w:trPr>
        <w:tc>
          <w:tcPr>
            <w:tcW w:w="734" w:type="dxa"/>
            <w:tcBorders>
              <w:top w:val="nil" w:sz="6" w:space="0" w:color="auto"/>
              <w:left w:val="nil" w:sz="6" w:space="0" w:color="auto"/>
              <w:bottom w:val="nil" w:sz="6" w:space="0" w:color="auto"/>
              <w:right w:val="nil" w:sz="6" w:space="0" w:color="auto"/>
            </w:tcBorders>
          </w:tcPr>
          <w:p>
            <w:pPr/>
          </w:p>
        </w:tc>
        <w:tc>
          <w:tcPr>
            <w:tcW w:w="5749" w:type="dxa"/>
            <w:gridSpan w:val="2"/>
            <w:tcBorders>
              <w:top w:val="nil" w:sz="6" w:space="0" w:color="auto"/>
              <w:left w:val="nil" w:sz="6" w:space="0" w:color="auto"/>
              <w:bottom w:val="nil" w:sz="6" w:space="0" w:color="auto"/>
              <w:right w:val="nil" w:sz="6" w:space="0" w:color="auto"/>
            </w:tcBorders>
          </w:tcPr>
          <w:p>
            <w:pPr>
              <w:pStyle w:val="TableParagraph"/>
              <w:spacing w:line="302" w:lineRule="exact"/>
              <w:ind w:left="123" w:right="0"/>
              <w:jc w:val="left"/>
              <w:rPr>
                <w:rFonts w:ascii="宋体" w:hAnsi="宋体" w:cs="宋体" w:eastAsia="宋体" w:hint="default"/>
                <w:sz w:val="24"/>
                <w:szCs w:val="24"/>
              </w:rPr>
            </w:pPr>
            <w:r>
              <w:rPr>
                <w:rFonts w:ascii="宋体" w:hAnsi="宋体" w:cs="宋体" w:eastAsia="宋体" w:hint="default"/>
                <w:sz w:val="24"/>
                <w:szCs w:val="24"/>
              </w:rPr>
              <w:t>组合中，采用账龄分析法的计提比例列示如下：</w:t>
            </w:r>
          </w:p>
        </w:tc>
        <w:tc>
          <w:tcPr>
            <w:tcW w:w="2659" w:type="dxa"/>
            <w:tcBorders>
              <w:top w:val="nil" w:sz="6" w:space="0" w:color="auto"/>
              <w:left w:val="nil" w:sz="6" w:space="0" w:color="auto"/>
              <w:bottom w:val="nil" w:sz="6" w:space="0" w:color="auto"/>
              <w:right w:val="nil" w:sz="6" w:space="0" w:color="auto"/>
            </w:tcBorders>
          </w:tcPr>
          <w:p>
            <w:pPr/>
          </w:p>
        </w:tc>
      </w:tr>
      <w:tr>
        <w:trPr>
          <w:trHeight w:val="546" w:hRule="exact"/>
        </w:trPr>
        <w:tc>
          <w:tcPr>
            <w:tcW w:w="734" w:type="dxa"/>
            <w:tcBorders>
              <w:top w:val="nil" w:sz="6" w:space="0" w:color="auto"/>
              <w:left w:val="nil" w:sz="6" w:space="0" w:color="auto"/>
              <w:bottom w:val="nil" w:sz="6" w:space="0" w:color="auto"/>
              <w:right w:val="nil" w:sz="6" w:space="0" w:color="auto"/>
            </w:tcBorders>
          </w:tcPr>
          <w:p>
            <w:pPr/>
          </w:p>
        </w:tc>
        <w:tc>
          <w:tcPr>
            <w:tcW w:w="2959" w:type="dxa"/>
            <w:tcBorders>
              <w:top w:val="nil" w:sz="6" w:space="0" w:color="auto"/>
              <w:left w:val="nil" w:sz="6" w:space="0" w:color="auto"/>
              <w:bottom w:val="nil" w:sz="6" w:space="0" w:color="auto"/>
              <w:right w:val="nil" w:sz="6" w:space="0" w:color="auto"/>
            </w:tcBorders>
          </w:tcPr>
          <w:p>
            <w:pPr/>
          </w:p>
        </w:tc>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97"/>
              <w:jc w:val="right"/>
              <w:rPr>
                <w:rFonts w:ascii="宋体" w:hAnsi="宋体" w:cs="宋体" w:eastAsia="宋体" w:hint="default"/>
                <w:sz w:val="24"/>
                <w:szCs w:val="24"/>
              </w:rPr>
            </w:pPr>
            <w:r>
              <w:rPr>
                <w:rFonts w:ascii="宋体" w:hAnsi="宋体" w:cs="宋体" w:eastAsia="宋体" w:hint="default"/>
                <w:sz w:val="24"/>
                <w:szCs w:val="24"/>
              </w:rPr>
              <w:t>应收账款计提比例</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0"/>
              <w:jc w:val="right"/>
              <w:rPr>
                <w:rFonts w:ascii="宋体" w:hAnsi="宋体" w:cs="宋体" w:eastAsia="宋体" w:hint="default"/>
                <w:sz w:val="24"/>
                <w:szCs w:val="24"/>
              </w:rPr>
            </w:pPr>
            <w:r>
              <w:rPr>
                <w:rFonts w:ascii="宋体" w:hAnsi="宋体" w:cs="宋体" w:eastAsia="宋体" w:hint="default"/>
                <w:sz w:val="24"/>
                <w:szCs w:val="24"/>
              </w:rPr>
              <w:t>其他应收款计提比例</w:t>
            </w:r>
          </w:p>
        </w:tc>
      </w:tr>
      <w:tr>
        <w:trPr>
          <w:trHeight w:val="396" w:hRule="exact"/>
        </w:trPr>
        <w:tc>
          <w:tcPr>
            <w:tcW w:w="734" w:type="dxa"/>
            <w:tcBorders>
              <w:top w:val="nil" w:sz="6" w:space="0" w:color="auto"/>
              <w:left w:val="nil" w:sz="6" w:space="0" w:color="auto"/>
              <w:bottom w:val="nil" w:sz="6" w:space="0" w:color="auto"/>
              <w:right w:val="nil" w:sz="6" w:space="0" w:color="auto"/>
            </w:tcBorders>
          </w:tcPr>
          <w:p>
            <w:pP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3"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96"/>
              <w:jc w:val="right"/>
              <w:rPr>
                <w:rFonts w:ascii="Arial" w:hAnsi="Arial" w:cs="Arial" w:eastAsia="Arial" w:hint="default"/>
                <w:sz w:val="24"/>
                <w:szCs w:val="24"/>
              </w:rPr>
            </w:pPr>
            <w:r>
              <w:rPr>
                <w:rFonts w:ascii="Arial"/>
                <w:w w:val="95"/>
                <w:sz w:val="24"/>
              </w:rPr>
              <w:t>5%</w:t>
            </w:r>
            <w:r>
              <w:rPr>
                <w:rFonts w:ascii="Arial"/>
                <w:sz w:val="24"/>
              </w:rPr>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0"/>
              <w:jc w:val="right"/>
              <w:rPr>
                <w:rFonts w:ascii="Arial" w:hAnsi="Arial" w:cs="Arial" w:eastAsia="Arial" w:hint="default"/>
                <w:sz w:val="24"/>
                <w:szCs w:val="24"/>
              </w:rPr>
            </w:pPr>
            <w:r>
              <w:rPr>
                <w:rFonts w:ascii="Arial"/>
                <w:w w:val="95"/>
                <w:sz w:val="24"/>
              </w:rPr>
              <w:t>5%</w:t>
            </w:r>
            <w:r>
              <w:rPr>
                <w:rFonts w:ascii="Arial"/>
                <w:sz w:val="24"/>
              </w:rPr>
            </w:r>
          </w:p>
        </w:tc>
      </w:tr>
      <w:tr>
        <w:trPr>
          <w:trHeight w:val="396" w:hRule="exact"/>
        </w:trPr>
        <w:tc>
          <w:tcPr>
            <w:tcW w:w="734" w:type="dxa"/>
            <w:tcBorders>
              <w:top w:val="nil" w:sz="6" w:space="0" w:color="auto"/>
              <w:left w:val="nil" w:sz="6" w:space="0" w:color="auto"/>
              <w:bottom w:val="nil" w:sz="6" w:space="0" w:color="auto"/>
              <w:right w:val="nil" w:sz="6" w:space="0" w:color="auto"/>
            </w:tcBorders>
          </w:tcPr>
          <w:p>
            <w:pP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3"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4"/>
              <w:jc w:val="right"/>
              <w:rPr>
                <w:rFonts w:ascii="Arial" w:hAnsi="Arial" w:cs="Arial" w:eastAsia="Arial" w:hint="default"/>
                <w:sz w:val="24"/>
                <w:szCs w:val="24"/>
              </w:rPr>
            </w:pPr>
            <w:r>
              <w:rPr>
                <w:rFonts w:ascii="Arial"/>
                <w:w w:val="95"/>
                <w:sz w:val="24"/>
              </w:rPr>
              <w:t>10%</w:t>
            </w:r>
            <w:r>
              <w:rPr>
                <w:rFonts w:ascii="Arial"/>
                <w:sz w:val="24"/>
              </w:rPr>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8"/>
              <w:jc w:val="right"/>
              <w:rPr>
                <w:rFonts w:ascii="Arial" w:hAnsi="Arial" w:cs="Arial" w:eastAsia="Arial" w:hint="default"/>
                <w:sz w:val="24"/>
                <w:szCs w:val="24"/>
              </w:rPr>
            </w:pPr>
            <w:r>
              <w:rPr>
                <w:rFonts w:ascii="Arial"/>
                <w:w w:val="95"/>
                <w:sz w:val="24"/>
              </w:rPr>
              <w:t>10%</w:t>
            </w:r>
            <w:r>
              <w:rPr>
                <w:rFonts w:ascii="Arial"/>
                <w:sz w:val="24"/>
              </w:rPr>
            </w:r>
          </w:p>
        </w:tc>
      </w:tr>
      <w:tr>
        <w:trPr>
          <w:trHeight w:val="391" w:hRule="exact"/>
        </w:trPr>
        <w:tc>
          <w:tcPr>
            <w:tcW w:w="734" w:type="dxa"/>
            <w:tcBorders>
              <w:top w:val="nil" w:sz="6" w:space="0" w:color="auto"/>
              <w:left w:val="nil" w:sz="6" w:space="0" w:color="auto"/>
              <w:bottom w:val="nil" w:sz="6" w:space="0" w:color="auto"/>
              <w:right w:val="nil" w:sz="6" w:space="0" w:color="auto"/>
            </w:tcBorders>
          </w:tcPr>
          <w:p>
            <w:pP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3"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94"/>
              <w:jc w:val="right"/>
              <w:rPr>
                <w:rFonts w:ascii="Arial" w:hAnsi="Arial" w:cs="Arial" w:eastAsia="Arial" w:hint="default"/>
                <w:sz w:val="24"/>
                <w:szCs w:val="24"/>
              </w:rPr>
            </w:pPr>
            <w:r>
              <w:rPr>
                <w:rFonts w:ascii="Arial"/>
                <w:w w:val="95"/>
                <w:sz w:val="24"/>
              </w:rPr>
              <w:t>20%</w:t>
            </w:r>
            <w:r>
              <w:rPr>
                <w:rFonts w:ascii="Arial"/>
                <w:sz w:val="24"/>
              </w:rPr>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98"/>
              <w:jc w:val="right"/>
              <w:rPr>
                <w:rFonts w:ascii="Arial" w:hAnsi="Arial" w:cs="Arial" w:eastAsia="Arial" w:hint="default"/>
                <w:sz w:val="24"/>
                <w:szCs w:val="24"/>
              </w:rPr>
            </w:pPr>
            <w:r>
              <w:rPr>
                <w:rFonts w:ascii="Arial"/>
                <w:w w:val="95"/>
                <w:sz w:val="24"/>
              </w:rPr>
              <w:t>20%</w:t>
            </w:r>
            <w:r>
              <w:rPr>
                <w:rFonts w:ascii="Arial"/>
                <w:sz w:val="24"/>
              </w:rPr>
            </w:r>
          </w:p>
        </w:tc>
      </w:tr>
      <w:tr>
        <w:trPr>
          <w:trHeight w:val="391" w:hRule="exact"/>
        </w:trPr>
        <w:tc>
          <w:tcPr>
            <w:tcW w:w="734" w:type="dxa"/>
            <w:tcBorders>
              <w:top w:val="nil" w:sz="6" w:space="0" w:color="auto"/>
              <w:left w:val="nil" w:sz="6" w:space="0" w:color="auto"/>
              <w:bottom w:val="nil" w:sz="6" w:space="0" w:color="auto"/>
              <w:right w:val="nil" w:sz="6" w:space="0" w:color="auto"/>
            </w:tcBorders>
          </w:tcPr>
          <w:p>
            <w:pP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3"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94"/>
              <w:jc w:val="right"/>
              <w:rPr>
                <w:rFonts w:ascii="Arial" w:hAnsi="Arial" w:cs="Arial" w:eastAsia="Arial" w:hint="default"/>
                <w:sz w:val="24"/>
                <w:szCs w:val="24"/>
              </w:rPr>
            </w:pPr>
            <w:r>
              <w:rPr>
                <w:rFonts w:ascii="Arial"/>
                <w:w w:val="95"/>
                <w:sz w:val="24"/>
              </w:rPr>
              <w:t>30%</w:t>
            </w:r>
            <w:r>
              <w:rPr>
                <w:rFonts w:ascii="Arial"/>
                <w:sz w:val="24"/>
              </w:rPr>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98"/>
              <w:jc w:val="right"/>
              <w:rPr>
                <w:rFonts w:ascii="Arial" w:hAnsi="Arial" w:cs="Arial" w:eastAsia="Arial" w:hint="default"/>
                <w:sz w:val="24"/>
                <w:szCs w:val="24"/>
              </w:rPr>
            </w:pPr>
            <w:r>
              <w:rPr>
                <w:rFonts w:ascii="Arial"/>
                <w:w w:val="95"/>
                <w:sz w:val="24"/>
              </w:rPr>
              <w:t>30%</w:t>
            </w:r>
            <w:r>
              <w:rPr>
                <w:rFonts w:ascii="Arial"/>
                <w:sz w:val="24"/>
              </w:rPr>
            </w:r>
          </w:p>
        </w:tc>
      </w:tr>
      <w:tr>
        <w:trPr>
          <w:trHeight w:val="391" w:hRule="exact"/>
        </w:trPr>
        <w:tc>
          <w:tcPr>
            <w:tcW w:w="734" w:type="dxa"/>
            <w:tcBorders>
              <w:top w:val="nil" w:sz="6" w:space="0" w:color="auto"/>
              <w:left w:val="nil" w:sz="6" w:space="0" w:color="auto"/>
              <w:bottom w:val="nil" w:sz="6" w:space="0" w:color="auto"/>
              <w:right w:val="nil" w:sz="6" w:space="0" w:color="auto"/>
            </w:tcBorders>
          </w:tcPr>
          <w:p>
            <w:pP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3"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94"/>
              <w:jc w:val="right"/>
              <w:rPr>
                <w:rFonts w:ascii="Arial" w:hAnsi="Arial" w:cs="Arial" w:eastAsia="Arial" w:hint="default"/>
                <w:sz w:val="24"/>
                <w:szCs w:val="24"/>
              </w:rPr>
            </w:pPr>
            <w:r>
              <w:rPr>
                <w:rFonts w:ascii="Arial"/>
                <w:w w:val="95"/>
                <w:sz w:val="24"/>
              </w:rPr>
              <w:t>60%</w:t>
            </w:r>
            <w:r>
              <w:rPr>
                <w:rFonts w:ascii="Arial"/>
                <w:sz w:val="24"/>
              </w:rPr>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98"/>
              <w:jc w:val="right"/>
              <w:rPr>
                <w:rFonts w:ascii="Arial" w:hAnsi="Arial" w:cs="Arial" w:eastAsia="Arial" w:hint="default"/>
                <w:sz w:val="24"/>
                <w:szCs w:val="24"/>
              </w:rPr>
            </w:pPr>
            <w:r>
              <w:rPr>
                <w:rFonts w:ascii="Arial"/>
                <w:w w:val="95"/>
                <w:sz w:val="24"/>
              </w:rPr>
              <w:t>60%</w:t>
            </w:r>
            <w:r>
              <w:rPr>
                <w:rFonts w:ascii="Arial"/>
                <w:sz w:val="24"/>
              </w:rPr>
            </w:r>
          </w:p>
        </w:tc>
      </w:tr>
      <w:tr>
        <w:trPr>
          <w:trHeight w:val="319" w:hRule="exact"/>
        </w:trPr>
        <w:tc>
          <w:tcPr>
            <w:tcW w:w="734" w:type="dxa"/>
            <w:tcBorders>
              <w:top w:val="nil" w:sz="6" w:space="0" w:color="auto"/>
              <w:left w:val="nil" w:sz="6" w:space="0" w:color="auto"/>
              <w:bottom w:val="nil" w:sz="6" w:space="0" w:color="auto"/>
              <w:right w:val="nil" w:sz="6" w:space="0" w:color="auto"/>
            </w:tcBorders>
          </w:tcPr>
          <w:p>
            <w:pP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3"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94"/>
              <w:jc w:val="right"/>
              <w:rPr>
                <w:rFonts w:ascii="Arial" w:hAnsi="Arial" w:cs="Arial" w:eastAsia="Arial" w:hint="default"/>
                <w:sz w:val="24"/>
                <w:szCs w:val="24"/>
              </w:rPr>
            </w:pPr>
            <w:r>
              <w:rPr>
                <w:rFonts w:ascii="Arial"/>
                <w:w w:val="95"/>
                <w:sz w:val="24"/>
              </w:rPr>
              <w:t>100%</w:t>
            </w:r>
            <w:r>
              <w:rPr>
                <w:rFonts w:ascii="Arial"/>
                <w:sz w:val="24"/>
              </w:rPr>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98"/>
              <w:jc w:val="right"/>
              <w:rPr>
                <w:rFonts w:ascii="Arial" w:hAnsi="Arial" w:cs="Arial" w:eastAsia="Arial" w:hint="default"/>
                <w:sz w:val="24"/>
                <w:szCs w:val="24"/>
              </w:rPr>
            </w:pPr>
            <w:r>
              <w:rPr>
                <w:rFonts w:ascii="Arial"/>
                <w:w w:val="95"/>
                <w:sz w:val="24"/>
              </w:rPr>
              <w:t>100%</w:t>
            </w:r>
            <w:r>
              <w:rPr>
                <w:rFonts w:ascii="Arial"/>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08" w:type="dxa"/>
        <w:tblLayout w:type="fixed"/>
        <w:tblCellMar>
          <w:top w:w="0" w:type="dxa"/>
          <w:left w:w="0" w:type="dxa"/>
          <w:bottom w:w="0" w:type="dxa"/>
          <w:right w:w="0" w:type="dxa"/>
        </w:tblCellMar>
        <w:tblLook w:val="01E0"/>
      </w:tblPr>
      <w:tblGrid>
        <w:gridCol w:w="765"/>
        <w:gridCol w:w="8399"/>
      </w:tblGrid>
      <w:tr>
        <w:trPr>
          <w:trHeight w:val="509" w:hRule="exact"/>
        </w:trPr>
        <w:tc>
          <w:tcPr>
            <w:tcW w:w="76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(c)</w:t>
            </w:r>
          </w:p>
        </w:tc>
        <w:tc>
          <w:tcPr>
            <w:tcW w:w="8399" w:type="dxa"/>
            <w:tcBorders>
              <w:top w:val="nil" w:sz="6" w:space="0" w:color="auto"/>
              <w:left w:val="nil" w:sz="6" w:space="0" w:color="auto"/>
              <w:bottom w:val="nil" w:sz="6" w:space="0" w:color="auto"/>
              <w:right w:val="nil" w:sz="6" w:space="0" w:color="auto"/>
            </w:tcBorders>
          </w:tcPr>
          <w:p>
            <w:pPr>
              <w:pStyle w:val="TableParagraph"/>
              <w:spacing w:line="247" w:lineRule="exact"/>
              <w:ind w:left="137" w:right="0"/>
              <w:jc w:val="left"/>
              <w:rPr>
                <w:rFonts w:ascii="宋体" w:hAnsi="宋体" w:cs="宋体" w:eastAsia="宋体" w:hint="default"/>
                <w:sz w:val="24"/>
                <w:szCs w:val="24"/>
              </w:rPr>
            </w:pPr>
            <w:r>
              <w:rPr>
                <w:rFonts w:ascii="宋体" w:hAnsi="宋体" w:cs="宋体" w:eastAsia="宋体" w:hint="default"/>
                <w:sz w:val="24"/>
                <w:szCs w:val="24"/>
              </w:rPr>
              <w:t>单项金额虽不重大但单项计提坏账准备的应收款项：</w:t>
            </w:r>
          </w:p>
        </w:tc>
      </w:tr>
      <w:tr>
        <w:trPr>
          <w:trHeight w:val="888" w:hRule="exact"/>
        </w:trPr>
        <w:tc>
          <w:tcPr>
            <w:tcW w:w="765" w:type="dxa"/>
            <w:tcBorders>
              <w:top w:val="nil" w:sz="6" w:space="0" w:color="auto"/>
              <w:left w:val="nil" w:sz="6" w:space="0" w:color="auto"/>
              <w:bottom w:val="nil" w:sz="6" w:space="0" w:color="auto"/>
              <w:right w:val="nil" w:sz="6" w:space="0" w:color="auto"/>
            </w:tcBorders>
          </w:tcPr>
          <w:p>
            <w:pPr/>
          </w:p>
        </w:tc>
        <w:tc>
          <w:tcPr>
            <w:tcW w:w="83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0" w:lineRule="exact"/>
              <w:ind w:left="137" w:right="198"/>
              <w:jc w:val="left"/>
              <w:rPr>
                <w:rFonts w:ascii="宋体" w:hAnsi="宋体" w:cs="宋体" w:eastAsia="宋体" w:hint="default"/>
                <w:sz w:val="24"/>
                <w:szCs w:val="24"/>
              </w:rPr>
            </w:pPr>
            <w:r>
              <w:rPr>
                <w:rFonts w:ascii="宋体" w:hAnsi="宋体" w:cs="宋体" w:eastAsia="宋体" w:hint="default"/>
                <w:spacing w:val="-3"/>
                <w:sz w:val="24"/>
                <w:szCs w:val="24"/>
              </w:rPr>
              <w:t>单项计提坏账准备的理由为：存在客观证据表明本集团将无法按应收款项的原</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有条款收回款项。</w:t>
            </w:r>
          </w:p>
        </w:tc>
      </w:tr>
      <w:tr>
        <w:trPr>
          <w:trHeight w:val="877" w:hRule="exact"/>
        </w:trPr>
        <w:tc>
          <w:tcPr>
            <w:tcW w:w="765" w:type="dxa"/>
            <w:tcBorders>
              <w:top w:val="nil" w:sz="6" w:space="0" w:color="auto"/>
              <w:left w:val="nil" w:sz="6" w:space="0" w:color="auto"/>
              <w:bottom w:val="nil" w:sz="6" w:space="0" w:color="auto"/>
              <w:right w:val="nil" w:sz="6" w:space="0" w:color="auto"/>
            </w:tcBorders>
          </w:tcPr>
          <w:p>
            <w:pPr/>
          </w:p>
        </w:tc>
        <w:tc>
          <w:tcPr>
            <w:tcW w:w="8399" w:type="dxa"/>
            <w:tcBorders>
              <w:top w:val="nil" w:sz="6" w:space="0" w:color="auto"/>
              <w:left w:val="nil" w:sz="6" w:space="0" w:color="auto"/>
              <w:bottom w:val="nil" w:sz="6" w:space="0" w:color="auto"/>
              <w:right w:val="nil" w:sz="6" w:space="0" w:color="auto"/>
            </w:tcBorders>
          </w:tcPr>
          <w:p>
            <w:pPr>
              <w:pStyle w:val="TableParagraph"/>
              <w:spacing w:line="310" w:lineRule="exact" w:before="35"/>
              <w:ind w:left="137" w:right="198"/>
              <w:jc w:val="left"/>
              <w:rPr>
                <w:rFonts w:ascii="宋体" w:hAnsi="宋体" w:cs="宋体" w:eastAsia="宋体" w:hint="default"/>
                <w:sz w:val="24"/>
                <w:szCs w:val="24"/>
              </w:rPr>
            </w:pPr>
            <w:r>
              <w:rPr>
                <w:rFonts w:ascii="宋体" w:hAnsi="宋体" w:cs="宋体" w:eastAsia="宋体" w:hint="default"/>
                <w:spacing w:val="-3"/>
                <w:sz w:val="24"/>
                <w:szCs w:val="24"/>
              </w:rPr>
              <w:t>坏账准备的计提方法为：根据应收款项的预计未来现金流量现值低于其账面价</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值的差额进行计提。</w:t>
            </w:r>
          </w:p>
        </w:tc>
      </w:tr>
      <w:tr>
        <w:trPr>
          <w:trHeight w:val="1059" w:hRule="exact"/>
        </w:trPr>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(d)</w:t>
            </w:r>
          </w:p>
        </w:tc>
        <w:tc>
          <w:tcPr>
            <w:tcW w:w="83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0" w:lineRule="exact"/>
              <w:ind w:left="137" w:right="198"/>
              <w:jc w:val="left"/>
              <w:rPr>
                <w:rFonts w:ascii="宋体" w:hAnsi="宋体" w:cs="宋体" w:eastAsia="宋体" w:hint="default"/>
                <w:sz w:val="24"/>
                <w:szCs w:val="24"/>
              </w:rPr>
            </w:pPr>
            <w:r>
              <w:rPr>
                <w:rFonts w:ascii="宋体" w:hAnsi="宋体" w:cs="宋体" w:eastAsia="宋体" w:hint="default"/>
                <w:spacing w:val="-3"/>
                <w:sz w:val="24"/>
                <w:szCs w:val="24"/>
              </w:rPr>
              <w:t>本集团向金融机构以不附追索权方式转让应收款项的，按交易款项扣除已转销</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应收账款的账面价值和相关税费后的差额计入当期损益。</w:t>
            </w:r>
          </w:p>
        </w:tc>
      </w:tr>
      <w:tr>
        <w:trPr>
          <w:trHeight w:val="748" w:hRule="exact"/>
        </w:trPr>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(12)</w:t>
            </w:r>
          </w:p>
        </w:tc>
        <w:tc>
          <w:tcPr>
            <w:tcW w:w="8399"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37" w:right="0"/>
              <w:jc w:val="left"/>
              <w:rPr>
                <w:rFonts w:ascii="黑体" w:hAnsi="黑体" w:cs="黑体" w:eastAsia="黑体" w:hint="default"/>
                <w:sz w:val="24"/>
                <w:szCs w:val="24"/>
              </w:rPr>
            </w:pPr>
            <w:r>
              <w:rPr>
                <w:rFonts w:ascii="黑体" w:hAnsi="黑体" w:cs="黑体" w:eastAsia="黑体" w:hint="default"/>
                <w:sz w:val="24"/>
                <w:szCs w:val="24"/>
              </w:rPr>
              <w:t>存货</w:t>
            </w:r>
          </w:p>
        </w:tc>
      </w:tr>
      <w:tr>
        <w:trPr>
          <w:trHeight w:val="573" w:hRule="exact"/>
        </w:trPr>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399"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37" w:right="0"/>
              <w:jc w:val="left"/>
              <w:rPr>
                <w:rFonts w:ascii="宋体" w:hAnsi="宋体" w:cs="宋体" w:eastAsia="宋体" w:hint="default"/>
                <w:sz w:val="24"/>
                <w:szCs w:val="24"/>
              </w:rPr>
            </w:pPr>
            <w:r>
              <w:rPr>
                <w:rFonts w:ascii="宋体" w:hAnsi="宋体" w:cs="宋体" w:eastAsia="宋体" w:hint="default"/>
                <w:sz w:val="24"/>
                <w:szCs w:val="24"/>
              </w:rPr>
              <w:t>分类</w:t>
            </w:r>
          </w:p>
        </w:tc>
      </w:tr>
      <w:tr>
        <w:trPr>
          <w:trHeight w:val="565" w:hRule="exact"/>
        </w:trPr>
        <w:tc>
          <w:tcPr>
            <w:tcW w:w="765" w:type="dxa"/>
            <w:tcBorders>
              <w:top w:val="nil" w:sz="6" w:space="0" w:color="auto"/>
              <w:left w:val="nil" w:sz="6" w:space="0" w:color="auto"/>
              <w:bottom w:val="nil" w:sz="6" w:space="0" w:color="auto"/>
              <w:right w:val="nil" w:sz="6" w:space="0" w:color="auto"/>
            </w:tcBorders>
          </w:tcPr>
          <w:p>
            <w:pPr/>
          </w:p>
        </w:tc>
        <w:tc>
          <w:tcPr>
            <w:tcW w:w="839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37" w:right="0"/>
              <w:jc w:val="left"/>
              <w:rPr>
                <w:rFonts w:ascii="宋体" w:hAnsi="宋体" w:cs="宋体" w:eastAsia="宋体" w:hint="default"/>
                <w:sz w:val="24"/>
                <w:szCs w:val="24"/>
              </w:rPr>
            </w:pPr>
            <w:r>
              <w:rPr>
                <w:rFonts w:ascii="宋体" w:hAnsi="宋体" w:cs="宋体" w:eastAsia="宋体" w:hint="default"/>
                <w:sz w:val="24"/>
                <w:szCs w:val="24"/>
              </w:rPr>
              <w:t>存货包括库存商品和安装维修用备件，按成本与可变现净值孰低计量。</w:t>
            </w:r>
          </w:p>
        </w:tc>
      </w:tr>
      <w:tr>
        <w:trPr>
          <w:trHeight w:val="573" w:hRule="exact"/>
        </w:trPr>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8399"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37" w:right="0"/>
              <w:jc w:val="left"/>
              <w:rPr>
                <w:rFonts w:ascii="宋体" w:hAnsi="宋体" w:cs="宋体" w:eastAsia="宋体" w:hint="default"/>
                <w:sz w:val="24"/>
                <w:szCs w:val="24"/>
              </w:rPr>
            </w:pPr>
            <w:r>
              <w:rPr>
                <w:rFonts w:ascii="宋体" w:hAnsi="宋体" w:cs="宋体" w:eastAsia="宋体" w:hint="default"/>
                <w:sz w:val="24"/>
                <w:szCs w:val="24"/>
              </w:rPr>
              <w:t>发出存货的计价方法</w:t>
            </w:r>
          </w:p>
        </w:tc>
      </w:tr>
      <w:tr>
        <w:trPr>
          <w:trHeight w:val="546" w:hRule="exact"/>
        </w:trPr>
        <w:tc>
          <w:tcPr>
            <w:tcW w:w="765" w:type="dxa"/>
            <w:tcBorders>
              <w:top w:val="nil" w:sz="6" w:space="0" w:color="auto"/>
              <w:left w:val="nil" w:sz="6" w:space="0" w:color="auto"/>
              <w:bottom w:val="nil" w:sz="6" w:space="0" w:color="auto"/>
              <w:right w:val="nil" w:sz="6" w:space="0" w:color="auto"/>
            </w:tcBorders>
          </w:tcPr>
          <w:p>
            <w:pPr/>
          </w:p>
        </w:tc>
        <w:tc>
          <w:tcPr>
            <w:tcW w:w="839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37" w:right="0"/>
              <w:jc w:val="left"/>
              <w:rPr>
                <w:rFonts w:ascii="宋体" w:hAnsi="宋体" w:cs="宋体" w:eastAsia="宋体" w:hint="default"/>
                <w:sz w:val="24"/>
                <w:szCs w:val="24"/>
              </w:rPr>
            </w:pPr>
            <w:r>
              <w:rPr>
                <w:rFonts w:ascii="宋体" w:hAnsi="宋体" w:cs="宋体" w:eastAsia="宋体" w:hint="default"/>
                <w:sz w:val="24"/>
                <w:szCs w:val="24"/>
              </w:rPr>
              <w:t>库存商品销售时的成本按先进先出法核算。</w:t>
            </w:r>
          </w:p>
        </w:tc>
      </w:tr>
      <w:tr>
        <w:trPr>
          <w:trHeight w:val="553" w:hRule="exact"/>
        </w:trPr>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99"/>
              <w:ind w:left="200" w:right="0"/>
              <w:jc w:val="left"/>
              <w:rPr>
                <w:rFonts w:ascii="Arial" w:hAnsi="Arial" w:cs="Arial" w:eastAsia="Arial" w:hint="default"/>
                <w:sz w:val="24"/>
                <w:szCs w:val="24"/>
              </w:rPr>
            </w:pPr>
            <w:r>
              <w:rPr>
                <w:rFonts w:ascii="Arial"/>
                <w:sz w:val="24"/>
              </w:rPr>
              <w:t>(c)</w:t>
            </w:r>
          </w:p>
        </w:tc>
        <w:tc>
          <w:tcPr>
            <w:tcW w:w="8399"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37" w:right="0"/>
              <w:jc w:val="left"/>
              <w:rPr>
                <w:rFonts w:ascii="宋体" w:hAnsi="宋体" w:cs="宋体" w:eastAsia="宋体" w:hint="default"/>
                <w:sz w:val="24"/>
                <w:szCs w:val="24"/>
              </w:rPr>
            </w:pPr>
            <w:r>
              <w:rPr>
                <w:rFonts w:ascii="宋体" w:hAnsi="宋体" w:cs="宋体" w:eastAsia="宋体" w:hint="default"/>
                <w:sz w:val="24"/>
                <w:szCs w:val="24"/>
              </w:rPr>
              <w:t>存货可变现净值的确定依据及存货跌价准备的计提方法</w:t>
            </w:r>
          </w:p>
        </w:tc>
      </w:tr>
      <w:tr>
        <w:trPr>
          <w:trHeight w:val="625" w:hRule="exact"/>
        </w:trPr>
        <w:tc>
          <w:tcPr>
            <w:tcW w:w="765" w:type="dxa"/>
            <w:tcBorders>
              <w:top w:val="nil" w:sz="6" w:space="0" w:color="auto"/>
              <w:left w:val="nil" w:sz="6" w:space="0" w:color="auto"/>
              <w:bottom w:val="nil" w:sz="6" w:space="0" w:color="auto"/>
              <w:right w:val="nil" w:sz="6" w:space="0" w:color="auto"/>
            </w:tcBorders>
          </w:tcPr>
          <w:p>
            <w:pPr/>
          </w:p>
        </w:tc>
        <w:tc>
          <w:tcPr>
            <w:tcW w:w="8399"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37" w:right="198"/>
              <w:jc w:val="left"/>
              <w:rPr>
                <w:rFonts w:ascii="宋体" w:hAnsi="宋体" w:cs="宋体" w:eastAsia="宋体" w:hint="default"/>
                <w:sz w:val="24"/>
                <w:szCs w:val="24"/>
              </w:rPr>
            </w:pPr>
            <w:r>
              <w:rPr>
                <w:rFonts w:ascii="宋体" w:hAnsi="宋体" w:cs="宋体" w:eastAsia="宋体" w:hint="default"/>
                <w:spacing w:val="-3"/>
                <w:sz w:val="24"/>
                <w:szCs w:val="24"/>
              </w:rPr>
              <w:t>存货跌价准备按存货成本高于其可变现净值的差额计提。可变现净值按日常活</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动中，以存货的估计售价减去估计的销售费用以及相关税费后的金额确定。</w:t>
            </w:r>
          </w:p>
        </w:tc>
      </w:tr>
    </w:tbl>
    <w:p>
      <w:pPr>
        <w:spacing w:after="0" w:line="310" w:lineRule="exact"/>
        <w:jc w:val="left"/>
        <w:rPr>
          <w:rFonts w:ascii="宋体" w:hAnsi="宋体" w:cs="宋体" w:eastAsia="宋体" w:hint="default"/>
          <w:sz w:val="24"/>
          <w:szCs w:val="24"/>
        </w:rPr>
        <w:sectPr>
          <w:footerReference w:type="default" r:id="rId59"/>
          <w:pgSz w:w="11910" w:h="16850"/>
          <w:pgMar w:footer="708" w:header="795" w:top="2020" w:bottom="900" w:left="1420" w:right="0"/>
          <w:pgNumType w:start="106"/>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2800" type="#_x0000_t75" stroked="false">
            <v:imagedata r:id="rId10" o:title=""/>
          </v:shape>
        </w:pict>
      </w:r>
    </w:p>
    <w:p>
      <w:pPr>
        <w:spacing w:line="240" w:lineRule="auto" w:before="4"/>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74"/>
        <w:gridCol w:w="8463"/>
      </w:tblGrid>
      <w:tr>
        <w:trPr>
          <w:trHeight w:val="495"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63" w:type="dxa"/>
            <w:tcBorders>
              <w:top w:val="nil" w:sz="6" w:space="0" w:color="auto"/>
              <w:left w:val="nil" w:sz="6" w:space="0" w:color="auto"/>
              <w:bottom w:val="nil" w:sz="6" w:space="0" w:color="auto"/>
              <w:right w:val="nil" w:sz="6" w:space="0" w:color="auto"/>
            </w:tcBorders>
          </w:tcPr>
          <w:p>
            <w:pPr>
              <w:pStyle w:val="TableParagraph"/>
              <w:spacing w:line="257" w:lineRule="exact"/>
              <w:ind w:left="146"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6"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(12)</w:t>
            </w:r>
          </w:p>
        </w:tc>
        <w:tc>
          <w:tcPr>
            <w:tcW w:w="846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6" w:right="0"/>
              <w:jc w:val="left"/>
              <w:rPr>
                <w:rFonts w:ascii="Arial" w:hAnsi="Arial" w:cs="Arial" w:eastAsia="Arial" w:hint="default"/>
                <w:sz w:val="24"/>
                <w:szCs w:val="24"/>
              </w:rPr>
            </w:pPr>
            <w:r>
              <w:rPr>
                <w:rFonts w:ascii="黑体" w:hAnsi="黑体" w:cs="黑体" w:eastAsia="黑体" w:hint="default"/>
                <w:sz w:val="24"/>
                <w:szCs w:val="24"/>
              </w:rPr>
              <w:t>存货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2"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(d)</w:t>
            </w:r>
          </w:p>
        </w:tc>
        <w:tc>
          <w:tcPr>
            <w:tcW w:w="846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6" w:right="0"/>
              <w:jc w:val="left"/>
              <w:rPr>
                <w:rFonts w:ascii="宋体" w:hAnsi="宋体" w:cs="宋体" w:eastAsia="宋体" w:hint="default"/>
                <w:sz w:val="24"/>
                <w:szCs w:val="24"/>
              </w:rPr>
            </w:pPr>
            <w:r>
              <w:rPr>
                <w:rFonts w:ascii="宋体" w:hAnsi="宋体" w:cs="宋体" w:eastAsia="宋体" w:hint="default"/>
                <w:sz w:val="24"/>
                <w:szCs w:val="24"/>
              </w:rPr>
              <w:t>本集团的存货盘存制度采用永续盘存制。</w:t>
            </w:r>
          </w:p>
        </w:tc>
      </w:tr>
      <w:tr>
        <w:trPr>
          <w:trHeight w:val="756"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(e)</w:t>
            </w:r>
          </w:p>
        </w:tc>
        <w:tc>
          <w:tcPr>
            <w:tcW w:w="8463"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46" w:right="0"/>
              <w:jc w:val="left"/>
              <w:rPr>
                <w:rFonts w:ascii="宋体" w:hAnsi="宋体" w:cs="宋体" w:eastAsia="宋体" w:hint="default"/>
                <w:sz w:val="24"/>
                <w:szCs w:val="24"/>
              </w:rPr>
            </w:pPr>
            <w:r>
              <w:rPr>
                <w:rFonts w:ascii="宋体" w:hAnsi="宋体" w:cs="宋体" w:eastAsia="宋体" w:hint="default"/>
                <w:sz w:val="24"/>
                <w:szCs w:val="24"/>
              </w:rPr>
              <w:t>安装维修用备件的摊销方法</w:t>
            </w:r>
          </w:p>
        </w:tc>
      </w:tr>
      <w:tr>
        <w:trPr>
          <w:trHeight w:val="754" w:hRule="exact"/>
        </w:trPr>
        <w:tc>
          <w:tcPr>
            <w:tcW w:w="774" w:type="dxa"/>
            <w:tcBorders>
              <w:top w:val="nil" w:sz="6" w:space="0" w:color="auto"/>
              <w:left w:val="nil" w:sz="6" w:space="0" w:color="auto"/>
              <w:bottom w:val="nil" w:sz="6" w:space="0" w:color="auto"/>
              <w:right w:val="nil" w:sz="6" w:space="0" w:color="auto"/>
            </w:tcBorders>
          </w:tcPr>
          <w:p>
            <w:pPr/>
          </w:p>
        </w:tc>
        <w:tc>
          <w:tcPr>
            <w:tcW w:w="8463"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46" w:right="0"/>
              <w:jc w:val="left"/>
              <w:rPr>
                <w:rFonts w:ascii="宋体" w:hAnsi="宋体" w:cs="宋体" w:eastAsia="宋体" w:hint="default"/>
                <w:sz w:val="24"/>
                <w:szCs w:val="24"/>
              </w:rPr>
            </w:pPr>
            <w:r>
              <w:rPr>
                <w:rFonts w:ascii="宋体" w:hAnsi="宋体" w:cs="宋体" w:eastAsia="宋体" w:hint="default"/>
                <w:sz w:val="24"/>
                <w:szCs w:val="24"/>
              </w:rPr>
              <w:t>安装维修用备件采用一次转销法进行摊销。</w:t>
            </w:r>
          </w:p>
        </w:tc>
      </w:tr>
      <w:tr>
        <w:trPr>
          <w:trHeight w:val="756"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(13)</w:t>
            </w:r>
          </w:p>
        </w:tc>
        <w:tc>
          <w:tcPr>
            <w:tcW w:w="8463" w:type="dxa"/>
            <w:tcBorders>
              <w:top w:val="nil" w:sz="6" w:space="0" w:color="auto"/>
              <w:left w:val="nil" w:sz="6" w:space="0" w:color="auto"/>
              <w:bottom w:val="nil" w:sz="6" w:space="0" w:color="auto"/>
              <w:right w:val="nil" w:sz="6" w:space="0" w:color="auto"/>
            </w:tcBorders>
          </w:tcPr>
          <w:p>
            <w:pPr>
              <w:pStyle w:val="TableParagraph"/>
              <w:spacing w:line="240" w:lineRule="auto" w:before="189"/>
              <w:ind w:left="146" w:right="0"/>
              <w:jc w:val="left"/>
              <w:rPr>
                <w:rFonts w:ascii="黑体" w:hAnsi="黑体" w:cs="黑体" w:eastAsia="黑体" w:hint="default"/>
                <w:sz w:val="24"/>
                <w:szCs w:val="24"/>
              </w:rPr>
            </w:pPr>
            <w:r>
              <w:rPr>
                <w:rFonts w:ascii="黑体" w:hAnsi="黑体" w:cs="黑体" w:eastAsia="黑体" w:hint="default"/>
                <w:sz w:val="24"/>
                <w:szCs w:val="24"/>
              </w:rPr>
              <w:t>长期股权投资</w:t>
            </w:r>
          </w:p>
        </w:tc>
      </w:tr>
      <w:tr>
        <w:trPr>
          <w:trHeight w:val="1369" w:hRule="exact"/>
        </w:trPr>
        <w:tc>
          <w:tcPr>
            <w:tcW w:w="774" w:type="dxa"/>
            <w:tcBorders>
              <w:top w:val="nil" w:sz="6" w:space="0" w:color="auto"/>
              <w:left w:val="nil" w:sz="6" w:space="0" w:color="auto"/>
              <w:bottom w:val="nil" w:sz="6" w:space="0" w:color="auto"/>
              <w:right w:val="nil" w:sz="6" w:space="0" w:color="auto"/>
            </w:tcBorders>
          </w:tcPr>
          <w:p>
            <w:pPr/>
          </w:p>
        </w:tc>
        <w:tc>
          <w:tcPr>
            <w:tcW w:w="8463"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46" w:right="198"/>
              <w:jc w:val="left"/>
              <w:rPr>
                <w:rFonts w:ascii="宋体" w:hAnsi="宋体" w:cs="宋体" w:eastAsia="宋体" w:hint="default"/>
                <w:sz w:val="24"/>
                <w:szCs w:val="24"/>
              </w:rPr>
            </w:pPr>
            <w:r>
              <w:rPr>
                <w:rFonts w:ascii="宋体" w:hAnsi="宋体" w:cs="宋体" w:eastAsia="宋体" w:hint="default"/>
                <w:spacing w:val="2"/>
                <w:sz w:val="24"/>
                <w:szCs w:val="24"/>
              </w:rPr>
              <w:t>长期股权投资包括：本公司对子公司的长期股权投资；本集团对联营企业的 </w:t>
            </w:r>
            <w:r>
              <w:rPr>
                <w:rFonts w:ascii="宋体" w:hAnsi="宋体" w:cs="宋体" w:eastAsia="宋体" w:hint="default"/>
                <w:spacing w:val="-2"/>
                <w:sz w:val="24"/>
                <w:szCs w:val="24"/>
              </w:rPr>
              <w:t>长期股权投资；以及本集团对被投资单位不具有控制、共同控制或重大影响，</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并且在活跃市场中没有报价、公允价值不能可靠计量的长期股权投资。</w:t>
            </w:r>
          </w:p>
        </w:tc>
      </w:tr>
      <w:tr>
        <w:trPr>
          <w:trHeight w:val="1059" w:hRule="exact"/>
        </w:trPr>
        <w:tc>
          <w:tcPr>
            <w:tcW w:w="774" w:type="dxa"/>
            <w:tcBorders>
              <w:top w:val="nil" w:sz="6" w:space="0" w:color="auto"/>
              <w:left w:val="nil" w:sz="6" w:space="0" w:color="auto"/>
              <w:bottom w:val="nil" w:sz="6" w:space="0" w:color="auto"/>
              <w:right w:val="nil" w:sz="6" w:space="0" w:color="auto"/>
            </w:tcBorders>
          </w:tcPr>
          <w:p>
            <w:pPr/>
          </w:p>
        </w:tc>
        <w:tc>
          <w:tcPr>
            <w:tcW w:w="8463" w:type="dxa"/>
            <w:tcBorders>
              <w:top w:val="nil" w:sz="6" w:space="0" w:color="auto"/>
              <w:left w:val="nil" w:sz="6" w:space="0" w:color="auto"/>
              <w:bottom w:val="nil" w:sz="6" w:space="0" w:color="auto"/>
              <w:right w:val="nil" w:sz="6" w:space="0" w:color="auto"/>
            </w:tcBorders>
          </w:tcPr>
          <w:p>
            <w:pPr>
              <w:pStyle w:val="TableParagraph"/>
              <w:spacing w:line="310" w:lineRule="exact" w:before="213"/>
              <w:ind w:left="146" w:right="314"/>
              <w:jc w:val="left"/>
              <w:rPr>
                <w:rFonts w:ascii="宋体" w:hAnsi="宋体" w:cs="宋体" w:eastAsia="宋体" w:hint="default"/>
                <w:sz w:val="24"/>
                <w:szCs w:val="24"/>
              </w:rPr>
            </w:pPr>
            <w:r>
              <w:rPr>
                <w:rFonts w:ascii="宋体" w:hAnsi="宋体" w:cs="宋体" w:eastAsia="宋体" w:hint="default"/>
                <w:spacing w:val="2"/>
                <w:sz w:val="24"/>
                <w:szCs w:val="24"/>
              </w:rPr>
              <w:t>子公司是指本公司能够对其实施控制的被投资单位；联营企业是指本集团能 </w:t>
            </w:r>
            <w:r>
              <w:rPr>
                <w:rFonts w:ascii="宋体" w:hAnsi="宋体" w:cs="宋体" w:eastAsia="宋体" w:hint="default"/>
                <w:sz w:val="24"/>
                <w:szCs w:val="24"/>
              </w:rPr>
              <w:t>够对其财务和经营决策具有重大影响的被投资单位。</w:t>
            </w:r>
          </w:p>
        </w:tc>
      </w:tr>
      <w:tr>
        <w:trPr>
          <w:trHeight w:val="1676" w:hRule="exact"/>
        </w:trPr>
        <w:tc>
          <w:tcPr>
            <w:tcW w:w="774" w:type="dxa"/>
            <w:tcBorders>
              <w:top w:val="nil" w:sz="6" w:space="0" w:color="auto"/>
              <w:left w:val="nil" w:sz="6" w:space="0" w:color="auto"/>
              <w:bottom w:val="nil" w:sz="6" w:space="0" w:color="auto"/>
              <w:right w:val="nil" w:sz="6" w:space="0" w:color="auto"/>
            </w:tcBorders>
          </w:tcPr>
          <w:p>
            <w:pPr/>
          </w:p>
        </w:tc>
        <w:tc>
          <w:tcPr>
            <w:tcW w:w="8463" w:type="dxa"/>
            <w:tcBorders>
              <w:top w:val="nil" w:sz="6" w:space="0" w:color="auto"/>
              <w:left w:val="nil" w:sz="6" w:space="0" w:color="auto"/>
              <w:bottom w:val="nil" w:sz="6" w:space="0" w:color="auto"/>
              <w:right w:val="nil" w:sz="6" w:space="0" w:color="auto"/>
            </w:tcBorders>
          </w:tcPr>
          <w:p>
            <w:pPr>
              <w:pStyle w:val="TableParagraph"/>
              <w:spacing w:line="237" w:lineRule="auto" w:before="183"/>
              <w:ind w:left="146" w:right="314"/>
              <w:jc w:val="both"/>
              <w:rPr>
                <w:rFonts w:ascii="宋体" w:hAnsi="宋体" w:cs="宋体" w:eastAsia="宋体" w:hint="default"/>
                <w:sz w:val="24"/>
                <w:szCs w:val="24"/>
              </w:rPr>
            </w:pPr>
            <w:r>
              <w:rPr>
                <w:rFonts w:ascii="宋体" w:hAnsi="宋体" w:cs="宋体" w:eastAsia="宋体" w:hint="default"/>
                <w:sz w:val="24"/>
                <w:szCs w:val="24"/>
              </w:rPr>
              <w:t>对子公司的投资，在公司财务报表中按照成本法确定的金额列示，在编制合</w:t>
            </w:r>
            <w:r>
              <w:rPr>
                <w:rFonts w:ascii="宋体" w:hAnsi="宋体" w:cs="宋体" w:eastAsia="宋体" w:hint="default"/>
                <w:spacing w:val="-55"/>
                <w:sz w:val="24"/>
                <w:szCs w:val="24"/>
              </w:rPr>
              <w:t> </w:t>
            </w:r>
            <w:r>
              <w:rPr>
                <w:rFonts w:ascii="宋体" w:hAnsi="宋体" w:cs="宋体" w:eastAsia="宋体" w:hint="default"/>
                <w:spacing w:val="2"/>
                <w:sz w:val="24"/>
                <w:szCs w:val="24"/>
              </w:rPr>
              <w:t>并财务报表时按权益法调整后进行合并；对联营企业投资采用权益法核算；</w:t>
            </w:r>
            <w:r>
              <w:rPr>
                <w:rFonts w:ascii="宋体" w:hAnsi="宋体" w:cs="宋体" w:eastAsia="宋体" w:hint="default"/>
                <w:spacing w:val="2"/>
                <w:sz w:val="24"/>
                <w:szCs w:val="24"/>
              </w:rPr>
              <w:t> </w:t>
            </w:r>
            <w:r>
              <w:rPr>
                <w:rFonts w:ascii="宋体" w:hAnsi="宋体" w:cs="宋体" w:eastAsia="宋体" w:hint="default"/>
                <w:sz w:val="24"/>
                <w:szCs w:val="24"/>
              </w:rPr>
              <w:t>对被投资单位不具有控制、共同控制或重大影响，并且在活跃市场中没有报</w:t>
            </w:r>
            <w:r>
              <w:rPr>
                <w:rFonts w:ascii="宋体" w:hAnsi="宋体" w:cs="宋体" w:eastAsia="宋体" w:hint="default"/>
                <w:spacing w:val="-55"/>
                <w:sz w:val="24"/>
                <w:szCs w:val="24"/>
              </w:rPr>
              <w:t> </w:t>
            </w:r>
            <w:r>
              <w:rPr>
                <w:rFonts w:ascii="宋体" w:hAnsi="宋体" w:cs="宋体" w:eastAsia="宋体" w:hint="default"/>
                <w:sz w:val="24"/>
                <w:szCs w:val="24"/>
              </w:rPr>
              <w:t>价、公允价值不能可靠计量的长期股权投资，采用成本法核算。</w:t>
            </w:r>
          </w:p>
        </w:tc>
      </w:tr>
      <w:tr>
        <w:trPr>
          <w:trHeight w:val="752"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463"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46" w:right="0"/>
              <w:jc w:val="left"/>
              <w:rPr>
                <w:rFonts w:ascii="宋体" w:hAnsi="宋体" w:cs="宋体" w:eastAsia="宋体" w:hint="default"/>
                <w:sz w:val="24"/>
                <w:szCs w:val="24"/>
              </w:rPr>
            </w:pPr>
            <w:r>
              <w:rPr>
                <w:rFonts w:ascii="宋体" w:hAnsi="宋体" w:cs="宋体" w:eastAsia="宋体" w:hint="default"/>
                <w:sz w:val="24"/>
                <w:szCs w:val="24"/>
              </w:rPr>
              <w:t>投资成本确定</w:t>
            </w:r>
          </w:p>
        </w:tc>
      </w:tr>
      <w:tr>
        <w:trPr>
          <w:trHeight w:val="2718" w:hRule="exact"/>
        </w:trPr>
        <w:tc>
          <w:tcPr>
            <w:tcW w:w="774" w:type="dxa"/>
            <w:tcBorders>
              <w:top w:val="nil" w:sz="6" w:space="0" w:color="auto"/>
              <w:left w:val="nil" w:sz="6" w:space="0" w:color="auto"/>
              <w:bottom w:val="nil" w:sz="6" w:space="0" w:color="auto"/>
              <w:right w:val="nil" w:sz="6" w:space="0" w:color="auto"/>
            </w:tcBorders>
          </w:tcPr>
          <w:p>
            <w:pPr/>
          </w:p>
        </w:tc>
        <w:tc>
          <w:tcPr>
            <w:tcW w:w="8463"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46" w:right="315"/>
              <w:jc w:val="both"/>
              <w:rPr>
                <w:rFonts w:ascii="宋体" w:hAnsi="宋体" w:cs="宋体" w:eastAsia="宋体" w:hint="default"/>
                <w:sz w:val="24"/>
                <w:szCs w:val="24"/>
              </w:rPr>
            </w:pPr>
            <w:r>
              <w:rPr>
                <w:rFonts w:ascii="宋体" w:hAnsi="宋体" w:cs="宋体" w:eastAsia="宋体" w:hint="default"/>
                <w:sz w:val="24"/>
                <w:szCs w:val="24"/>
              </w:rPr>
              <w:t>对于企业合并形成的长期股权投资：同一控制下企业合并取得的长期股权投</w:t>
            </w:r>
            <w:r>
              <w:rPr>
                <w:rFonts w:ascii="宋体" w:hAnsi="宋体" w:cs="宋体" w:eastAsia="宋体" w:hint="default"/>
                <w:spacing w:val="-55"/>
                <w:sz w:val="24"/>
                <w:szCs w:val="24"/>
              </w:rPr>
              <w:t> </w:t>
            </w:r>
            <w:r>
              <w:rPr>
                <w:rFonts w:ascii="宋体" w:hAnsi="宋体" w:cs="宋体" w:eastAsia="宋体" w:hint="default"/>
                <w:sz w:val="24"/>
                <w:szCs w:val="24"/>
              </w:rPr>
              <w:t>资，在合并日按照取得被合并方所有者权益账面价值的份额作为投资成本；</w:t>
            </w:r>
            <w:r>
              <w:rPr>
                <w:rFonts w:ascii="宋体" w:hAnsi="宋体" w:cs="宋体" w:eastAsia="宋体" w:hint="default"/>
                <w:spacing w:val="-55"/>
                <w:sz w:val="24"/>
                <w:szCs w:val="24"/>
              </w:rPr>
              <w:t> </w:t>
            </w:r>
            <w:r>
              <w:rPr>
                <w:rFonts w:ascii="宋体" w:hAnsi="宋体" w:cs="宋体" w:eastAsia="宋体" w:hint="default"/>
                <w:sz w:val="24"/>
                <w:szCs w:val="24"/>
              </w:rPr>
              <w:t>非同一控制下企业合并取得的长期股权投资，按照合并成本作为长期股权投</w:t>
            </w:r>
            <w:r>
              <w:rPr>
                <w:rFonts w:ascii="宋体" w:hAnsi="宋体" w:cs="宋体" w:eastAsia="宋体" w:hint="default"/>
                <w:spacing w:val="-55"/>
                <w:sz w:val="24"/>
                <w:szCs w:val="24"/>
              </w:rPr>
              <w:t> </w:t>
            </w:r>
            <w:r>
              <w:rPr>
                <w:rFonts w:ascii="宋体" w:hAnsi="宋体" w:cs="宋体" w:eastAsia="宋体" w:hint="default"/>
                <w:sz w:val="24"/>
                <w:szCs w:val="24"/>
              </w:rPr>
              <w:t>资的投资成本。</w:t>
            </w:r>
          </w:p>
          <w:p>
            <w:pPr>
              <w:pStyle w:val="TableParagraph"/>
              <w:spacing w:line="240" w:lineRule="auto" w:before="5"/>
              <w:ind w:right="0"/>
              <w:jc w:val="left"/>
              <w:rPr>
                <w:rFonts w:ascii="Times New Roman" w:hAnsi="Times New Roman" w:cs="Times New Roman" w:eastAsia="Times New Roman" w:hint="default"/>
                <w:sz w:val="33"/>
                <w:szCs w:val="33"/>
              </w:rPr>
            </w:pPr>
          </w:p>
          <w:p>
            <w:pPr>
              <w:pStyle w:val="TableParagraph"/>
              <w:spacing w:line="312" w:lineRule="exact"/>
              <w:ind w:left="146" w:right="315"/>
              <w:jc w:val="both"/>
              <w:rPr>
                <w:rFonts w:ascii="宋体" w:hAnsi="宋体" w:cs="宋体" w:eastAsia="宋体" w:hint="default"/>
                <w:sz w:val="24"/>
                <w:szCs w:val="24"/>
              </w:rPr>
            </w:pPr>
            <w:r>
              <w:rPr>
                <w:rFonts w:ascii="宋体" w:hAnsi="宋体" w:cs="宋体" w:eastAsia="宋体" w:hint="default"/>
                <w:sz w:val="24"/>
                <w:szCs w:val="24"/>
              </w:rPr>
              <w:t>对于以企业合并以外的其他方式取得的长期股权投资：支付现金取得的长期</w:t>
            </w:r>
            <w:r>
              <w:rPr>
                <w:rFonts w:ascii="宋体" w:hAnsi="宋体" w:cs="宋体" w:eastAsia="宋体" w:hint="default"/>
                <w:spacing w:val="-55"/>
                <w:sz w:val="24"/>
                <w:szCs w:val="24"/>
              </w:rPr>
              <w:t> </w:t>
            </w:r>
            <w:r>
              <w:rPr>
                <w:rFonts w:ascii="宋体" w:hAnsi="宋体" w:cs="宋体" w:eastAsia="宋体" w:hint="default"/>
                <w:sz w:val="24"/>
                <w:szCs w:val="24"/>
              </w:rPr>
              <w:t>股权投资，按照实际支付的购买价款作为初始投资成本；发行权益性证券取</w:t>
            </w:r>
            <w:r>
              <w:rPr>
                <w:rFonts w:ascii="宋体" w:hAnsi="宋体" w:cs="宋体" w:eastAsia="宋体" w:hint="default"/>
                <w:spacing w:val="-55"/>
                <w:sz w:val="24"/>
                <w:szCs w:val="24"/>
              </w:rPr>
              <w:t> </w:t>
            </w:r>
            <w:r>
              <w:rPr>
                <w:rFonts w:ascii="宋体" w:hAnsi="宋体" w:cs="宋体" w:eastAsia="宋体" w:hint="default"/>
                <w:sz w:val="24"/>
                <w:szCs w:val="24"/>
              </w:rPr>
              <w:t>得的长期股权投资，以发行权益性证券的公允价值作为初始投资成本。</w:t>
            </w:r>
          </w:p>
        </w:tc>
      </w:tr>
    </w:tbl>
    <w:p>
      <w:pPr>
        <w:spacing w:after="0" w:line="312" w:lineRule="exact"/>
        <w:jc w:val="both"/>
        <w:rPr>
          <w:rFonts w:ascii="宋体" w:hAnsi="宋体" w:cs="宋体" w:eastAsia="宋体"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1596352" type="#_x0000_t75" stroked="false">
            <v:imagedata r:id="rId10" o:title=""/>
          </v:shape>
        </w:pict>
      </w: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76"/>
        <w:gridCol w:w="8364"/>
      </w:tblGrid>
      <w:tr>
        <w:trPr>
          <w:trHeight w:val="497"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64" w:type="dxa"/>
            <w:tcBorders>
              <w:top w:val="nil" w:sz="6" w:space="0" w:color="auto"/>
              <w:left w:val="nil" w:sz="6" w:space="0" w:color="auto"/>
              <w:bottom w:val="nil" w:sz="6" w:space="0" w:color="auto"/>
              <w:right w:val="nil" w:sz="6" w:space="0" w:color="auto"/>
            </w:tcBorders>
          </w:tcPr>
          <w:p>
            <w:pPr>
              <w:pStyle w:val="TableParagraph"/>
              <w:spacing w:line="257" w:lineRule="exact"/>
              <w:ind w:left="148"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(13)</w:t>
            </w:r>
          </w:p>
        </w:tc>
        <w:tc>
          <w:tcPr>
            <w:tcW w:w="8364"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48"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4"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(b)</w:t>
            </w:r>
          </w:p>
        </w:tc>
        <w:tc>
          <w:tcPr>
            <w:tcW w:w="836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8" w:right="0"/>
              <w:jc w:val="left"/>
              <w:rPr>
                <w:rFonts w:ascii="宋体" w:hAnsi="宋体" w:cs="宋体" w:eastAsia="宋体" w:hint="default"/>
                <w:sz w:val="24"/>
                <w:szCs w:val="24"/>
              </w:rPr>
            </w:pPr>
            <w:r>
              <w:rPr>
                <w:rFonts w:ascii="宋体" w:hAnsi="宋体" w:cs="宋体" w:eastAsia="宋体" w:hint="default"/>
                <w:sz w:val="24"/>
                <w:szCs w:val="24"/>
              </w:rPr>
              <w:t>后续计量及损益确认方法</w:t>
            </w:r>
          </w:p>
        </w:tc>
      </w:tr>
      <w:tr>
        <w:trPr>
          <w:trHeight w:val="1059" w:hRule="exact"/>
        </w:trPr>
        <w:tc>
          <w:tcPr>
            <w:tcW w:w="776" w:type="dxa"/>
            <w:tcBorders>
              <w:top w:val="nil" w:sz="6" w:space="0" w:color="auto"/>
              <w:left w:val="nil" w:sz="6" w:space="0" w:color="auto"/>
              <w:bottom w:val="nil" w:sz="6" w:space="0" w:color="auto"/>
              <w:right w:val="nil" w:sz="6" w:space="0" w:color="auto"/>
            </w:tcBorders>
          </w:tcPr>
          <w:p>
            <w:pPr/>
          </w:p>
        </w:tc>
        <w:tc>
          <w:tcPr>
            <w:tcW w:w="8364"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48" w:right="198"/>
              <w:jc w:val="left"/>
              <w:rPr>
                <w:rFonts w:ascii="宋体" w:hAnsi="宋体" w:cs="宋体" w:eastAsia="宋体" w:hint="default"/>
                <w:sz w:val="24"/>
                <w:szCs w:val="24"/>
              </w:rPr>
            </w:pPr>
            <w:r>
              <w:rPr>
                <w:rFonts w:ascii="宋体" w:hAnsi="宋体" w:cs="宋体" w:eastAsia="宋体" w:hint="default"/>
                <w:spacing w:val="2"/>
                <w:sz w:val="24"/>
                <w:szCs w:val="24"/>
              </w:rPr>
              <w:t>采用成本法核算的长期股权投资，按照初始投资成本计量，被投资单位宣告</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分派的现金股利或利润，确认为投资收益计入当期损益。</w:t>
            </w:r>
          </w:p>
        </w:tc>
      </w:tr>
      <w:tr>
        <w:trPr>
          <w:trHeight w:val="1681" w:hRule="exact"/>
        </w:trPr>
        <w:tc>
          <w:tcPr>
            <w:tcW w:w="776" w:type="dxa"/>
            <w:tcBorders>
              <w:top w:val="nil" w:sz="6" w:space="0" w:color="auto"/>
              <w:left w:val="nil" w:sz="6" w:space="0" w:color="auto"/>
              <w:bottom w:val="nil" w:sz="6" w:space="0" w:color="auto"/>
              <w:right w:val="nil" w:sz="6" w:space="0" w:color="auto"/>
            </w:tcBorders>
          </w:tcPr>
          <w:p>
            <w:pPr/>
          </w:p>
        </w:tc>
        <w:tc>
          <w:tcPr>
            <w:tcW w:w="8364"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48" w:right="230"/>
              <w:jc w:val="both"/>
              <w:rPr>
                <w:rFonts w:ascii="宋体" w:hAnsi="宋体" w:cs="宋体" w:eastAsia="宋体" w:hint="default"/>
                <w:sz w:val="24"/>
                <w:szCs w:val="24"/>
              </w:rPr>
            </w:pPr>
            <w:r>
              <w:rPr>
                <w:rFonts w:ascii="宋体" w:hAnsi="宋体" w:cs="宋体" w:eastAsia="宋体" w:hint="default"/>
                <w:sz w:val="24"/>
                <w:szCs w:val="24"/>
              </w:rPr>
              <w:t>采用权益法核算的长期股权投资，初始投资成本大于投资时应享有被投资单</w:t>
            </w:r>
            <w:r>
              <w:rPr>
                <w:rFonts w:ascii="宋体" w:hAnsi="宋体" w:cs="宋体" w:eastAsia="宋体" w:hint="default"/>
                <w:spacing w:val="-67"/>
                <w:sz w:val="24"/>
                <w:szCs w:val="24"/>
              </w:rPr>
              <w:t> </w:t>
            </w:r>
            <w:r>
              <w:rPr>
                <w:rFonts w:ascii="宋体" w:hAnsi="宋体" w:cs="宋体" w:eastAsia="宋体" w:hint="default"/>
                <w:spacing w:val="-67"/>
                <w:sz w:val="24"/>
                <w:szCs w:val="24"/>
              </w:rPr>
            </w:r>
            <w:r>
              <w:rPr>
                <w:rFonts w:ascii="宋体" w:hAnsi="宋体" w:cs="宋体" w:eastAsia="宋体" w:hint="default"/>
                <w:sz w:val="24"/>
                <w:szCs w:val="24"/>
              </w:rPr>
              <w:t>位可辨认净资产公允价值份额的，以初始投资成本作为长期股权投资成本；</w:t>
            </w:r>
            <w:r>
              <w:rPr>
                <w:rFonts w:ascii="宋体" w:hAnsi="宋体" w:cs="宋体" w:eastAsia="宋体" w:hint="default"/>
                <w:spacing w:val="-64"/>
                <w:sz w:val="24"/>
                <w:szCs w:val="24"/>
              </w:rPr>
              <w:t> </w:t>
            </w:r>
            <w:r>
              <w:rPr>
                <w:rFonts w:ascii="宋体" w:hAnsi="宋体" w:cs="宋体" w:eastAsia="宋体" w:hint="default"/>
                <w:spacing w:val="-64"/>
                <w:sz w:val="24"/>
                <w:szCs w:val="24"/>
              </w:rPr>
            </w:r>
            <w:r>
              <w:rPr>
                <w:rFonts w:ascii="宋体" w:hAnsi="宋体" w:cs="宋体" w:eastAsia="宋体" w:hint="default"/>
                <w:sz w:val="24"/>
                <w:szCs w:val="24"/>
              </w:rPr>
              <w:t>初始投资成本小于投资时应享有被投资单位可辨认净资产公允价值份额的，</w:t>
            </w:r>
            <w:r>
              <w:rPr>
                <w:rFonts w:ascii="宋体" w:hAnsi="宋体" w:cs="宋体" w:eastAsia="宋体" w:hint="default"/>
                <w:spacing w:val="-67"/>
                <w:sz w:val="24"/>
                <w:szCs w:val="24"/>
              </w:rPr>
              <w:t> </w:t>
            </w:r>
            <w:r>
              <w:rPr>
                <w:rFonts w:ascii="宋体" w:hAnsi="宋体" w:cs="宋体" w:eastAsia="宋体" w:hint="default"/>
                <w:spacing w:val="-67"/>
                <w:sz w:val="24"/>
                <w:szCs w:val="24"/>
              </w:rPr>
            </w:r>
            <w:r>
              <w:rPr>
                <w:rFonts w:ascii="宋体" w:hAnsi="宋体" w:cs="宋体" w:eastAsia="宋体" w:hint="default"/>
                <w:sz w:val="24"/>
                <w:szCs w:val="24"/>
              </w:rPr>
              <w:t>其差额计入当期损益，并相应调增长期股权投资成本。</w:t>
            </w:r>
          </w:p>
        </w:tc>
      </w:tr>
      <w:tr>
        <w:trPr>
          <w:trHeight w:val="4168" w:hRule="exact"/>
        </w:trPr>
        <w:tc>
          <w:tcPr>
            <w:tcW w:w="776" w:type="dxa"/>
            <w:tcBorders>
              <w:top w:val="nil" w:sz="6" w:space="0" w:color="auto"/>
              <w:left w:val="nil" w:sz="6" w:space="0" w:color="auto"/>
              <w:bottom w:val="nil" w:sz="6" w:space="0" w:color="auto"/>
              <w:right w:val="nil" w:sz="6" w:space="0" w:color="auto"/>
            </w:tcBorders>
          </w:tcPr>
          <w:p>
            <w:pPr/>
          </w:p>
        </w:tc>
        <w:tc>
          <w:tcPr>
            <w:tcW w:w="8364" w:type="dxa"/>
            <w:tcBorders>
              <w:top w:val="nil" w:sz="6" w:space="0" w:color="auto"/>
              <w:left w:val="nil" w:sz="6" w:space="0" w:color="auto"/>
              <w:bottom w:val="nil" w:sz="6" w:space="0" w:color="auto"/>
              <w:right w:val="nil" w:sz="6" w:space="0" w:color="auto"/>
            </w:tcBorders>
          </w:tcPr>
          <w:p>
            <w:pPr>
              <w:pStyle w:val="TableParagraph"/>
              <w:spacing w:line="237" w:lineRule="auto" w:before="183"/>
              <w:ind w:left="148" w:right="220"/>
              <w:jc w:val="both"/>
              <w:rPr>
                <w:rFonts w:ascii="宋体" w:hAnsi="宋体" w:cs="宋体" w:eastAsia="宋体" w:hint="default"/>
                <w:sz w:val="24"/>
                <w:szCs w:val="24"/>
              </w:rPr>
            </w:pPr>
            <w:r>
              <w:rPr>
                <w:rFonts w:ascii="宋体" w:hAnsi="宋体" w:cs="宋体" w:eastAsia="宋体" w:hint="default"/>
                <w:sz w:val="24"/>
                <w:szCs w:val="24"/>
              </w:rPr>
              <w:t>采用权益法核算的长期股权投资，本集团按应享有或应分担的被投资单位的</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净损益份额确认当期投资损益。确认被投资单位发生的净亏损，以长期股权</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投资的账面价值以及其他实质上构成对被投资单位净投资的长期权益减记至</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零为限，但本集团负有承担额外损失义务且符合或有事项准则所规定的预计</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负债确认条件的，继续确认投资损失并作为预计负债核算。被投资单位除净</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损益以外股东权益的其他变动，在本集团持股比例不变的情况下，按照持股</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比例计算应享有或承担的部分直接计入资本公积。被投资单位分派的利润或</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现金股利于宣告分派时按照本集团应分得的部分，相应减少长期股权投资的</w:t>
            </w:r>
            <w:r>
              <w:rPr>
                <w:rFonts w:ascii="宋体" w:hAnsi="宋体" w:cs="宋体" w:eastAsia="宋体" w:hint="default"/>
                <w:spacing w:val="-62"/>
                <w:sz w:val="24"/>
                <w:szCs w:val="24"/>
              </w:rPr>
              <w:t> </w:t>
            </w:r>
            <w:r>
              <w:rPr>
                <w:rFonts w:ascii="宋体" w:hAnsi="宋体" w:cs="宋体" w:eastAsia="宋体" w:hint="default"/>
                <w:spacing w:val="-62"/>
                <w:sz w:val="24"/>
                <w:szCs w:val="24"/>
              </w:rPr>
            </w:r>
            <w:r>
              <w:rPr>
                <w:rFonts w:ascii="宋体" w:hAnsi="宋体" w:cs="宋体" w:eastAsia="宋体" w:hint="default"/>
                <w:sz w:val="24"/>
                <w:szCs w:val="24"/>
              </w:rPr>
              <w:t>账面价值。本集团与被投资单位之间未实现的内部交易损益按照持股比例计</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算归属于本集团的部分，予以抵销，在此基础上确认投资损益。本集团与被</w:t>
            </w:r>
            <w:r>
              <w:rPr>
                <w:rFonts w:ascii="宋体" w:hAnsi="宋体" w:cs="宋体" w:eastAsia="宋体" w:hint="default"/>
                <w:spacing w:val="-63"/>
                <w:sz w:val="24"/>
                <w:szCs w:val="24"/>
              </w:rPr>
              <w:t> </w:t>
            </w:r>
            <w:r>
              <w:rPr>
                <w:rFonts w:ascii="宋体" w:hAnsi="宋体" w:cs="宋体" w:eastAsia="宋体" w:hint="default"/>
                <w:spacing w:val="-63"/>
                <w:sz w:val="24"/>
                <w:szCs w:val="24"/>
              </w:rPr>
            </w:r>
            <w:r>
              <w:rPr>
                <w:rFonts w:ascii="宋体" w:hAnsi="宋体" w:cs="宋体" w:eastAsia="宋体" w:hint="default"/>
                <w:sz w:val="24"/>
                <w:szCs w:val="24"/>
              </w:rPr>
              <w:t>投资单位发生的内部交易损失，其中属于资产减值损失的部分，相应的未实</w:t>
            </w:r>
            <w:r>
              <w:rPr>
                <w:rFonts w:ascii="宋体" w:hAnsi="宋体" w:cs="宋体" w:eastAsia="宋体" w:hint="default"/>
                <w:spacing w:val="-60"/>
                <w:sz w:val="24"/>
                <w:szCs w:val="24"/>
              </w:rPr>
              <w:t> </w:t>
            </w:r>
            <w:r>
              <w:rPr>
                <w:rFonts w:ascii="宋体" w:hAnsi="宋体" w:cs="宋体" w:eastAsia="宋体" w:hint="default"/>
                <w:spacing w:val="-60"/>
                <w:sz w:val="24"/>
                <w:szCs w:val="24"/>
              </w:rPr>
            </w:r>
            <w:r>
              <w:rPr>
                <w:rFonts w:ascii="宋体" w:hAnsi="宋体" w:cs="宋体" w:eastAsia="宋体" w:hint="default"/>
                <w:sz w:val="24"/>
                <w:szCs w:val="24"/>
              </w:rPr>
              <w:t>现损失不予抵销。</w:t>
            </w:r>
          </w:p>
        </w:tc>
      </w:tr>
      <w:tr>
        <w:trPr>
          <w:trHeight w:val="752"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(c)</w:t>
            </w:r>
          </w:p>
        </w:tc>
        <w:tc>
          <w:tcPr>
            <w:tcW w:w="8364"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48" w:right="0"/>
              <w:jc w:val="left"/>
              <w:rPr>
                <w:rFonts w:ascii="宋体" w:hAnsi="宋体" w:cs="宋体" w:eastAsia="宋体" w:hint="default"/>
                <w:sz w:val="24"/>
                <w:szCs w:val="24"/>
              </w:rPr>
            </w:pPr>
            <w:r>
              <w:rPr>
                <w:rFonts w:ascii="宋体" w:hAnsi="宋体" w:cs="宋体" w:eastAsia="宋体" w:hint="default"/>
                <w:sz w:val="24"/>
                <w:szCs w:val="24"/>
              </w:rPr>
              <w:t>确定对被投资单位具有控制、共同控制、重大影响的依据</w:t>
            </w:r>
          </w:p>
        </w:tc>
      </w:tr>
      <w:tr>
        <w:trPr>
          <w:trHeight w:val="1369" w:hRule="exact"/>
        </w:trPr>
        <w:tc>
          <w:tcPr>
            <w:tcW w:w="776" w:type="dxa"/>
            <w:tcBorders>
              <w:top w:val="nil" w:sz="6" w:space="0" w:color="auto"/>
              <w:left w:val="nil" w:sz="6" w:space="0" w:color="auto"/>
              <w:bottom w:val="nil" w:sz="6" w:space="0" w:color="auto"/>
              <w:right w:val="nil" w:sz="6" w:space="0" w:color="auto"/>
            </w:tcBorders>
          </w:tcPr>
          <w:p>
            <w:pPr/>
          </w:p>
        </w:tc>
        <w:tc>
          <w:tcPr>
            <w:tcW w:w="8364"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48" w:right="221"/>
              <w:jc w:val="both"/>
              <w:rPr>
                <w:rFonts w:ascii="宋体" w:hAnsi="宋体" w:cs="宋体" w:eastAsia="宋体" w:hint="default"/>
                <w:sz w:val="24"/>
                <w:szCs w:val="24"/>
              </w:rPr>
            </w:pPr>
            <w:r>
              <w:rPr>
                <w:rFonts w:ascii="宋体" w:hAnsi="宋体" w:cs="宋体" w:eastAsia="宋体" w:hint="default"/>
                <w:sz w:val="24"/>
                <w:szCs w:val="24"/>
              </w:rPr>
              <w:t>控制是指有权决定被投资单位的财务和经营政策，并能据以从其经营活动中</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获取利益。在确定能否对被投资单位实施控制时，被投资单位当期可转换公</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司债券、当期可执行认股权证等潜在表决权因素也同时予以考虑。</w:t>
            </w:r>
          </w:p>
        </w:tc>
      </w:tr>
      <w:tr>
        <w:trPr>
          <w:trHeight w:val="1058" w:hRule="exact"/>
        </w:trPr>
        <w:tc>
          <w:tcPr>
            <w:tcW w:w="776" w:type="dxa"/>
            <w:tcBorders>
              <w:top w:val="nil" w:sz="6" w:space="0" w:color="auto"/>
              <w:left w:val="nil" w:sz="6" w:space="0" w:color="auto"/>
              <w:bottom w:val="nil" w:sz="6" w:space="0" w:color="auto"/>
              <w:right w:val="nil" w:sz="6" w:space="0" w:color="auto"/>
            </w:tcBorders>
          </w:tcPr>
          <w:p>
            <w:pPr/>
          </w:p>
        </w:tc>
        <w:tc>
          <w:tcPr>
            <w:tcW w:w="8364" w:type="dxa"/>
            <w:tcBorders>
              <w:top w:val="nil" w:sz="6" w:space="0" w:color="auto"/>
              <w:left w:val="nil" w:sz="6" w:space="0" w:color="auto"/>
              <w:bottom w:val="nil" w:sz="6" w:space="0" w:color="auto"/>
              <w:right w:val="nil" w:sz="6" w:space="0" w:color="auto"/>
            </w:tcBorders>
          </w:tcPr>
          <w:p>
            <w:pPr>
              <w:pStyle w:val="TableParagraph"/>
              <w:spacing w:line="310" w:lineRule="exact" w:before="212"/>
              <w:ind w:left="148" w:right="221"/>
              <w:jc w:val="left"/>
              <w:rPr>
                <w:rFonts w:ascii="宋体" w:hAnsi="宋体" w:cs="宋体" w:eastAsia="宋体" w:hint="default"/>
                <w:sz w:val="24"/>
                <w:szCs w:val="24"/>
              </w:rPr>
            </w:pPr>
            <w:r>
              <w:rPr>
                <w:rFonts w:ascii="宋体" w:hAnsi="宋体" w:cs="宋体" w:eastAsia="宋体" w:hint="default"/>
                <w:sz w:val="24"/>
                <w:szCs w:val="24"/>
              </w:rPr>
              <w:t>共同控制是指按照合同约定对某项经济活动所享有的控制，仅在与该项经济</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活动相关的重要财务和经营决策需要分享控制权的投资方一致同意时存在。</w:t>
            </w:r>
          </w:p>
        </w:tc>
      </w:tr>
      <w:tr>
        <w:trPr>
          <w:trHeight w:val="804" w:hRule="exact"/>
        </w:trPr>
        <w:tc>
          <w:tcPr>
            <w:tcW w:w="776" w:type="dxa"/>
            <w:tcBorders>
              <w:top w:val="nil" w:sz="6" w:space="0" w:color="auto"/>
              <w:left w:val="nil" w:sz="6" w:space="0" w:color="auto"/>
              <w:bottom w:val="nil" w:sz="6" w:space="0" w:color="auto"/>
              <w:right w:val="nil" w:sz="6" w:space="0" w:color="auto"/>
            </w:tcBorders>
          </w:tcPr>
          <w:p>
            <w:pPr/>
          </w:p>
        </w:tc>
        <w:tc>
          <w:tcPr>
            <w:tcW w:w="8364" w:type="dxa"/>
            <w:tcBorders>
              <w:top w:val="nil" w:sz="6" w:space="0" w:color="auto"/>
              <w:left w:val="nil" w:sz="6" w:space="0" w:color="auto"/>
              <w:bottom w:val="nil" w:sz="6" w:space="0" w:color="auto"/>
              <w:right w:val="nil" w:sz="6" w:space="0" w:color="auto"/>
            </w:tcBorders>
          </w:tcPr>
          <w:p>
            <w:pPr>
              <w:pStyle w:val="TableParagraph"/>
              <w:spacing w:line="310" w:lineRule="exact" w:before="212"/>
              <w:ind w:left="148" w:right="221"/>
              <w:jc w:val="left"/>
              <w:rPr>
                <w:rFonts w:ascii="宋体" w:hAnsi="宋体" w:cs="宋体" w:eastAsia="宋体" w:hint="default"/>
                <w:sz w:val="24"/>
                <w:szCs w:val="24"/>
              </w:rPr>
            </w:pPr>
            <w:r>
              <w:rPr>
                <w:rFonts w:ascii="宋体" w:hAnsi="宋体" w:cs="宋体" w:eastAsia="宋体" w:hint="default"/>
                <w:sz w:val="24"/>
                <w:szCs w:val="24"/>
              </w:rPr>
              <w:t>重大影响是指对被投资单位的财务和经营政策有参与决策的权力，但并不能</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够控制或者与其他方一起共同控制这些政策的制定。</w:t>
            </w:r>
          </w:p>
        </w:tc>
      </w:tr>
    </w:tbl>
    <w:p>
      <w:pPr>
        <w:spacing w:after="0" w:line="310" w:lineRule="exact"/>
        <w:jc w:val="left"/>
        <w:rPr>
          <w:rFonts w:ascii="宋体" w:hAnsi="宋体" w:cs="宋体" w:eastAsia="宋体"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2848" type="#_x0000_t75" stroked="false">
            <v:imagedata r:id="rId10" o:title=""/>
          </v:shape>
        </w:pict>
      </w: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85"/>
        <w:gridCol w:w="1550"/>
        <w:gridCol w:w="2265"/>
        <w:gridCol w:w="2244"/>
        <w:gridCol w:w="2277"/>
      </w:tblGrid>
      <w:tr>
        <w:trPr>
          <w:trHeight w:val="497"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3815"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6"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44" w:type="dxa"/>
            <w:tcBorders>
              <w:top w:val="nil" w:sz="6" w:space="0" w:color="auto"/>
              <w:left w:val="nil" w:sz="6" w:space="0" w:color="auto"/>
              <w:bottom w:val="nil" w:sz="6" w:space="0" w:color="auto"/>
              <w:right w:val="nil" w:sz="6" w:space="0" w:color="auto"/>
            </w:tcBorders>
          </w:tcPr>
          <w:p>
            <w:pPr/>
          </w:p>
        </w:tc>
        <w:tc>
          <w:tcPr>
            <w:tcW w:w="2277" w:type="dxa"/>
            <w:tcBorders>
              <w:top w:val="nil" w:sz="6" w:space="0" w:color="auto"/>
              <w:left w:val="nil" w:sz="6" w:space="0" w:color="auto"/>
              <w:bottom w:val="nil" w:sz="6" w:space="0" w:color="auto"/>
              <w:right w:val="nil" w:sz="6" w:space="0" w:color="auto"/>
            </w:tcBorders>
          </w:tcPr>
          <w:p>
            <w:pPr/>
          </w:p>
        </w:tc>
      </w:tr>
      <w:tr>
        <w:trPr>
          <w:trHeight w:val="748"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(13)</w:t>
            </w:r>
          </w:p>
        </w:tc>
        <w:tc>
          <w:tcPr>
            <w:tcW w:w="38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8"/>
              <w:ind w:left="156"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44" w:type="dxa"/>
            <w:tcBorders>
              <w:top w:val="nil" w:sz="6" w:space="0" w:color="auto"/>
              <w:left w:val="nil" w:sz="6" w:space="0" w:color="auto"/>
              <w:bottom w:val="nil" w:sz="6" w:space="0" w:color="auto"/>
              <w:right w:val="nil" w:sz="6" w:space="0" w:color="auto"/>
            </w:tcBorders>
          </w:tcPr>
          <w:p>
            <w:pPr/>
          </w:p>
        </w:tc>
        <w:tc>
          <w:tcPr>
            <w:tcW w:w="2277" w:type="dxa"/>
            <w:tcBorders>
              <w:top w:val="nil" w:sz="6" w:space="0" w:color="auto"/>
              <w:left w:val="nil" w:sz="6" w:space="0" w:color="auto"/>
              <w:bottom w:val="nil" w:sz="6" w:space="0" w:color="auto"/>
              <w:right w:val="nil" w:sz="6" w:space="0" w:color="auto"/>
            </w:tcBorders>
          </w:tcPr>
          <w:p>
            <w:pPr/>
          </w:p>
        </w:tc>
      </w:tr>
      <w:tr>
        <w:trPr>
          <w:trHeight w:val="744"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(d)</w:t>
            </w:r>
          </w:p>
        </w:tc>
        <w:tc>
          <w:tcPr>
            <w:tcW w:w="38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156" w:right="0"/>
              <w:jc w:val="left"/>
              <w:rPr>
                <w:rFonts w:ascii="宋体" w:hAnsi="宋体" w:cs="宋体" w:eastAsia="宋体" w:hint="default"/>
                <w:sz w:val="24"/>
                <w:szCs w:val="24"/>
              </w:rPr>
            </w:pPr>
            <w:r>
              <w:rPr>
                <w:rFonts w:ascii="宋体" w:hAnsi="宋体" w:cs="宋体" w:eastAsia="宋体" w:hint="default"/>
                <w:sz w:val="24"/>
                <w:szCs w:val="24"/>
              </w:rPr>
              <w:t>长期股权投资减值</w:t>
            </w:r>
          </w:p>
        </w:tc>
        <w:tc>
          <w:tcPr>
            <w:tcW w:w="2244" w:type="dxa"/>
            <w:tcBorders>
              <w:top w:val="nil" w:sz="6" w:space="0" w:color="auto"/>
              <w:left w:val="nil" w:sz="6" w:space="0" w:color="auto"/>
              <w:bottom w:val="nil" w:sz="6" w:space="0" w:color="auto"/>
              <w:right w:val="nil" w:sz="6" w:space="0" w:color="auto"/>
            </w:tcBorders>
          </w:tcPr>
          <w:p>
            <w:pPr/>
          </w:p>
        </w:tc>
        <w:tc>
          <w:tcPr>
            <w:tcW w:w="2277" w:type="dxa"/>
            <w:tcBorders>
              <w:top w:val="nil" w:sz="6" w:space="0" w:color="auto"/>
              <w:left w:val="nil" w:sz="6" w:space="0" w:color="auto"/>
              <w:bottom w:val="nil" w:sz="6" w:space="0" w:color="auto"/>
              <w:right w:val="nil" w:sz="6" w:space="0" w:color="auto"/>
            </w:tcBorders>
          </w:tcPr>
          <w:p>
            <w:pPr/>
          </w:p>
        </w:tc>
      </w:tr>
      <w:tr>
        <w:trPr>
          <w:trHeight w:val="1989" w:hRule="exact"/>
        </w:trPr>
        <w:tc>
          <w:tcPr>
            <w:tcW w:w="9121" w:type="dxa"/>
            <w:gridSpan w:val="5"/>
            <w:tcBorders>
              <w:top w:val="nil" w:sz="6" w:space="0" w:color="auto"/>
              <w:left w:val="nil" w:sz="6" w:space="0" w:color="auto"/>
              <w:bottom w:val="nil" w:sz="6" w:space="0" w:color="auto"/>
              <w:right w:val="nil" w:sz="6" w:space="0" w:color="auto"/>
            </w:tcBorders>
          </w:tcPr>
          <w:p>
            <w:pPr>
              <w:pStyle w:val="TableParagraph"/>
              <w:spacing w:line="235" w:lineRule="auto" w:before="184"/>
              <w:ind w:left="941" w:right="198"/>
              <w:jc w:val="both"/>
              <w:rPr>
                <w:rFonts w:ascii="宋体" w:hAnsi="宋体" w:cs="宋体" w:eastAsia="宋体" w:hint="default"/>
                <w:sz w:val="24"/>
                <w:szCs w:val="24"/>
              </w:rPr>
            </w:pPr>
            <w:r>
              <w:rPr>
                <w:rFonts w:ascii="宋体" w:hAnsi="宋体" w:cs="宋体" w:eastAsia="宋体" w:hint="default"/>
                <w:sz w:val="24"/>
                <w:szCs w:val="24"/>
              </w:rPr>
              <w:t>对子公司、联营企业的长期股权投资，当其可收回金额低于其账面价值时，</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pacing w:val="-2"/>
                <w:sz w:val="24"/>
                <w:szCs w:val="24"/>
              </w:rPr>
              <w:t>账面价值减记至可收回金额</w:t>
            </w:r>
            <w:r>
              <w:rPr>
                <w:rFonts w:ascii="Arial" w:hAnsi="Arial" w:cs="Arial" w:eastAsia="Arial" w:hint="default"/>
                <w:spacing w:val="-2"/>
                <w:sz w:val="24"/>
                <w:szCs w:val="24"/>
              </w:rPr>
              <w:t>(</w:t>
            </w:r>
            <w:r>
              <w:rPr>
                <w:rFonts w:ascii="宋体" w:hAnsi="宋体" w:cs="宋体" w:eastAsia="宋体" w:hint="default"/>
                <w:spacing w:val="-2"/>
                <w:sz w:val="24"/>
                <w:szCs w:val="24"/>
              </w:rPr>
              <w:t>附注二</w:t>
            </w:r>
            <w:r>
              <w:rPr>
                <w:rFonts w:ascii="Arial" w:hAnsi="Arial" w:cs="Arial" w:eastAsia="Arial" w:hint="default"/>
                <w:spacing w:val="-2"/>
                <w:sz w:val="24"/>
                <w:szCs w:val="24"/>
              </w:rPr>
              <w:t>(20))</w:t>
            </w:r>
            <w:r>
              <w:rPr>
                <w:rFonts w:ascii="宋体" w:hAnsi="宋体" w:cs="宋体" w:eastAsia="宋体" w:hint="default"/>
                <w:spacing w:val="-2"/>
                <w:sz w:val="24"/>
                <w:szCs w:val="24"/>
              </w:rPr>
              <w:t>。在活跃市场中没有报价且其公允价</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值不能可靠计量的其他长期股权投资发生减值时，按其账面价值超过按类似</w:t>
            </w:r>
            <w:r>
              <w:rPr>
                <w:rFonts w:ascii="宋体" w:hAnsi="宋体" w:cs="宋体" w:eastAsia="宋体" w:hint="default"/>
                <w:spacing w:val="-68"/>
                <w:sz w:val="24"/>
                <w:szCs w:val="24"/>
              </w:rPr>
              <w:t> </w:t>
            </w:r>
            <w:r>
              <w:rPr>
                <w:rFonts w:ascii="宋体" w:hAnsi="宋体" w:cs="宋体" w:eastAsia="宋体" w:hint="default"/>
                <w:spacing w:val="-68"/>
                <w:sz w:val="24"/>
                <w:szCs w:val="24"/>
              </w:rPr>
            </w:r>
            <w:r>
              <w:rPr>
                <w:rFonts w:ascii="宋体" w:hAnsi="宋体" w:cs="宋体" w:eastAsia="宋体" w:hint="default"/>
                <w:sz w:val="24"/>
                <w:szCs w:val="24"/>
              </w:rPr>
              <w:t>金融资产当时市场收益率对未来现金流量折现确定的现值之间的差额，确认</w:t>
            </w:r>
            <w:r>
              <w:rPr>
                <w:rFonts w:ascii="宋体" w:hAnsi="宋体" w:cs="宋体" w:eastAsia="宋体" w:hint="default"/>
                <w:spacing w:val="-67"/>
                <w:sz w:val="24"/>
                <w:szCs w:val="24"/>
              </w:rPr>
              <w:t> </w:t>
            </w:r>
            <w:r>
              <w:rPr>
                <w:rFonts w:ascii="宋体" w:hAnsi="宋体" w:cs="宋体" w:eastAsia="宋体" w:hint="default"/>
                <w:spacing w:val="-67"/>
                <w:sz w:val="24"/>
                <w:szCs w:val="24"/>
              </w:rPr>
            </w:r>
            <w:r>
              <w:rPr>
                <w:rFonts w:ascii="宋体" w:hAnsi="宋体" w:cs="宋体" w:eastAsia="宋体" w:hint="default"/>
                <w:sz w:val="24"/>
                <w:szCs w:val="24"/>
              </w:rPr>
              <w:t>减值损失。减值损失一经确认，以后期间不予转回价值得以恢复的部分。</w:t>
            </w:r>
          </w:p>
        </w:tc>
      </w:tr>
      <w:tr>
        <w:trPr>
          <w:trHeight w:val="751"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(14)</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6" w:right="0"/>
              <w:jc w:val="left"/>
              <w:rPr>
                <w:rFonts w:ascii="黑体" w:hAnsi="黑体" w:cs="黑体" w:eastAsia="黑体" w:hint="default"/>
                <w:sz w:val="24"/>
                <w:szCs w:val="24"/>
              </w:rPr>
            </w:pPr>
            <w:r>
              <w:rPr>
                <w:rFonts w:ascii="黑体" w:hAnsi="黑体" w:cs="黑体" w:eastAsia="黑体" w:hint="default"/>
                <w:sz w:val="24"/>
                <w:szCs w:val="24"/>
              </w:rPr>
              <w:t>投资性房地</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94" w:right="0"/>
              <w:jc w:val="left"/>
              <w:rPr>
                <w:rFonts w:ascii="黑体" w:hAnsi="黑体" w:cs="黑体" w:eastAsia="黑体" w:hint="default"/>
                <w:sz w:val="24"/>
                <w:szCs w:val="24"/>
              </w:rPr>
            </w:pPr>
            <w:r>
              <w:rPr>
                <w:rFonts w:ascii="黑体" w:hAnsi="黑体" w:cs="黑体" w:eastAsia="黑体" w:hint="default"/>
                <w:sz w:val="24"/>
                <w:szCs w:val="24"/>
              </w:rPr>
              <w:t>产</w:t>
            </w:r>
          </w:p>
        </w:tc>
        <w:tc>
          <w:tcPr>
            <w:tcW w:w="2244" w:type="dxa"/>
            <w:tcBorders>
              <w:top w:val="nil" w:sz="6" w:space="0" w:color="auto"/>
              <w:left w:val="nil" w:sz="6" w:space="0" w:color="auto"/>
              <w:bottom w:val="nil" w:sz="6" w:space="0" w:color="auto"/>
              <w:right w:val="nil" w:sz="6" w:space="0" w:color="auto"/>
            </w:tcBorders>
          </w:tcPr>
          <w:p>
            <w:pPr/>
          </w:p>
        </w:tc>
        <w:tc>
          <w:tcPr>
            <w:tcW w:w="2277" w:type="dxa"/>
            <w:tcBorders>
              <w:top w:val="nil" w:sz="6" w:space="0" w:color="auto"/>
              <w:left w:val="nil" w:sz="6" w:space="0" w:color="auto"/>
              <w:bottom w:val="nil" w:sz="6" w:space="0" w:color="auto"/>
              <w:right w:val="nil" w:sz="6" w:space="0" w:color="auto"/>
            </w:tcBorders>
          </w:tcPr>
          <w:p>
            <w:pPr/>
          </w:p>
        </w:tc>
      </w:tr>
      <w:tr>
        <w:trPr>
          <w:trHeight w:val="1680" w:hRule="exact"/>
        </w:trPr>
        <w:tc>
          <w:tcPr>
            <w:tcW w:w="785" w:type="dxa"/>
            <w:tcBorders>
              <w:top w:val="nil" w:sz="6" w:space="0" w:color="auto"/>
              <w:left w:val="nil" w:sz="6" w:space="0" w:color="auto"/>
              <w:bottom w:val="nil" w:sz="6" w:space="0" w:color="auto"/>
              <w:right w:val="nil" w:sz="6" w:space="0" w:color="auto"/>
            </w:tcBorders>
          </w:tcPr>
          <w:p>
            <w:pPr/>
          </w:p>
        </w:tc>
        <w:tc>
          <w:tcPr>
            <w:tcW w:w="8336"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83"/>
              <w:ind w:left="156" w:right="201"/>
              <w:jc w:val="both"/>
              <w:rPr>
                <w:rFonts w:ascii="宋体" w:hAnsi="宋体" w:cs="宋体" w:eastAsia="宋体" w:hint="default"/>
                <w:sz w:val="24"/>
                <w:szCs w:val="24"/>
              </w:rPr>
            </w:pPr>
            <w:r>
              <w:rPr>
                <w:rFonts w:ascii="宋体" w:hAnsi="宋体" w:cs="宋体" w:eastAsia="宋体" w:hint="default"/>
                <w:sz w:val="24"/>
                <w:szCs w:val="24"/>
              </w:rPr>
              <w:t>投资性房地产包括已出租的土地使用权和以出租为目的的建筑物以及正在建</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造或开发过程中将来用于出租的建筑物，以成本进行初始计量。与投资性房</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地产有关的后续支出，在相关的经济利益很可能流入本集团且其成本能够可</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靠的计量时，计入投资性房地产成本；否则，于发生时计入当期损益。</w:t>
            </w:r>
          </w:p>
        </w:tc>
      </w:tr>
      <w:tr>
        <w:trPr>
          <w:trHeight w:val="1193" w:hRule="exact"/>
        </w:trPr>
        <w:tc>
          <w:tcPr>
            <w:tcW w:w="785" w:type="dxa"/>
            <w:tcBorders>
              <w:top w:val="nil" w:sz="6" w:space="0" w:color="auto"/>
              <w:left w:val="nil" w:sz="6" w:space="0" w:color="auto"/>
              <w:bottom w:val="nil" w:sz="6" w:space="0" w:color="auto"/>
              <w:right w:val="nil" w:sz="6" w:space="0" w:color="auto"/>
            </w:tcBorders>
          </w:tcPr>
          <w:p>
            <w:pPr/>
          </w:p>
        </w:tc>
        <w:tc>
          <w:tcPr>
            <w:tcW w:w="8336"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83"/>
              <w:ind w:left="156" w:right="207"/>
              <w:jc w:val="both"/>
              <w:rPr>
                <w:rFonts w:ascii="宋体" w:hAnsi="宋体" w:cs="宋体" w:eastAsia="宋体" w:hint="default"/>
                <w:sz w:val="24"/>
                <w:szCs w:val="24"/>
              </w:rPr>
            </w:pPr>
            <w:r>
              <w:rPr>
                <w:rFonts w:ascii="宋体" w:hAnsi="宋体" w:cs="宋体" w:eastAsia="宋体" w:hint="default"/>
                <w:sz w:val="24"/>
                <w:szCs w:val="24"/>
              </w:rPr>
              <w:t>本集团采用成本模式对所有投资性房地产进行后续计量，按其预计使用寿命</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及净残值率对建筑物计提折旧。投资性房地产的预计使用寿命、净残值率及</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年折旧率列示如下：</w:t>
            </w:r>
          </w:p>
        </w:tc>
      </w:tr>
      <w:tr>
        <w:trPr>
          <w:trHeight w:val="572" w:hRule="exact"/>
        </w:trPr>
        <w:tc>
          <w:tcPr>
            <w:tcW w:w="785"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96"/>
              <w:jc w:val="right"/>
              <w:rPr>
                <w:rFonts w:ascii="宋体" w:hAnsi="宋体" w:cs="宋体" w:eastAsia="宋体" w:hint="default"/>
                <w:sz w:val="24"/>
                <w:szCs w:val="24"/>
              </w:rPr>
            </w:pPr>
            <w:r>
              <w:rPr>
                <w:rFonts w:ascii="宋体" w:hAnsi="宋体" w:cs="宋体" w:eastAsia="宋体" w:hint="default"/>
                <w:sz w:val="24"/>
                <w:szCs w:val="24"/>
              </w:rPr>
              <w:t>预计使用寿命</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07"/>
              <w:jc w:val="right"/>
              <w:rPr>
                <w:rFonts w:ascii="宋体" w:hAnsi="宋体" w:cs="宋体" w:eastAsia="宋体" w:hint="default"/>
                <w:sz w:val="24"/>
                <w:szCs w:val="24"/>
              </w:rPr>
            </w:pPr>
            <w:r>
              <w:rPr>
                <w:rFonts w:ascii="宋体" w:hAnsi="宋体" w:cs="宋体" w:eastAsia="宋体" w:hint="default"/>
                <w:sz w:val="24"/>
                <w:szCs w:val="24"/>
              </w:rPr>
              <w:t>预计净残值率</w:t>
            </w:r>
          </w:p>
        </w:tc>
        <w:tc>
          <w:tcPr>
            <w:tcW w:w="22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05"/>
              <w:jc w:val="right"/>
              <w:rPr>
                <w:rFonts w:ascii="宋体" w:hAnsi="宋体" w:cs="宋体" w:eastAsia="宋体" w:hint="default"/>
                <w:sz w:val="24"/>
                <w:szCs w:val="24"/>
              </w:rPr>
            </w:pPr>
            <w:r>
              <w:rPr>
                <w:rFonts w:ascii="宋体" w:hAnsi="宋体" w:cs="宋体" w:eastAsia="宋体" w:hint="default"/>
                <w:spacing w:val="-1"/>
                <w:sz w:val="24"/>
                <w:szCs w:val="24"/>
              </w:rPr>
              <w:t>年折旧</w:t>
            </w:r>
            <w:r>
              <w:rPr>
                <w:rFonts w:ascii="Arial" w:hAnsi="Arial" w:cs="Arial" w:eastAsia="Arial" w:hint="default"/>
                <w:spacing w:val="-1"/>
                <w:sz w:val="24"/>
                <w:szCs w:val="24"/>
              </w:rPr>
              <w:t>(</w:t>
            </w:r>
            <w:r>
              <w:rPr>
                <w:rFonts w:ascii="宋体" w:hAnsi="宋体" w:cs="宋体" w:eastAsia="宋体" w:hint="default"/>
                <w:spacing w:val="-1"/>
                <w:sz w:val="24"/>
                <w:szCs w:val="24"/>
              </w:rPr>
              <w:t>摊销</w:t>
            </w:r>
            <w:r>
              <w:rPr>
                <w:rFonts w:ascii="Arial" w:hAnsi="Arial" w:cs="Arial" w:eastAsia="Arial" w:hint="default"/>
                <w:spacing w:val="-1"/>
                <w:sz w:val="24"/>
                <w:szCs w:val="24"/>
              </w:rPr>
              <w:t>)</w:t>
            </w:r>
            <w:r>
              <w:rPr>
                <w:rFonts w:ascii="宋体" w:hAnsi="宋体" w:cs="宋体" w:eastAsia="宋体" w:hint="default"/>
                <w:spacing w:val="-1"/>
                <w:sz w:val="24"/>
                <w:szCs w:val="24"/>
              </w:rPr>
              <w:t>率</w:t>
            </w:r>
          </w:p>
        </w:tc>
      </w:tr>
      <w:tr>
        <w:trPr>
          <w:trHeight w:val="750" w:hRule="exact"/>
        </w:trPr>
        <w:tc>
          <w:tcPr>
            <w:tcW w:w="785"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6" w:right="0"/>
              <w:jc w:val="left"/>
              <w:rPr>
                <w:rFonts w:ascii="宋体" w:hAnsi="宋体" w:cs="宋体" w:eastAsia="宋体" w:hint="default"/>
                <w:sz w:val="24"/>
                <w:szCs w:val="24"/>
              </w:rPr>
            </w:pPr>
            <w:r>
              <w:rPr>
                <w:rFonts w:ascii="宋体" w:hAnsi="宋体" w:cs="宋体" w:eastAsia="宋体" w:hint="default"/>
                <w:sz w:val="24"/>
                <w:szCs w:val="24"/>
              </w:rPr>
              <w:t>建筑物</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394"/>
              <w:jc w:val="right"/>
              <w:rPr>
                <w:rFonts w:ascii="宋体" w:hAnsi="宋体" w:cs="宋体" w:eastAsia="宋体" w:hint="default"/>
                <w:sz w:val="24"/>
                <w:szCs w:val="24"/>
              </w:rPr>
            </w:pPr>
            <w:r>
              <w:rPr>
                <w:rFonts w:ascii="Arial" w:hAnsi="Arial" w:cs="Arial" w:eastAsia="Arial" w:hint="default"/>
                <w:sz w:val="24"/>
                <w:szCs w:val="24"/>
              </w:rPr>
              <w:t>20</w:t>
            </w:r>
            <w:r>
              <w:rPr>
                <w:rFonts w:ascii="Arial" w:hAnsi="Arial" w:cs="Arial" w:eastAsia="Arial" w:hint="default"/>
                <w:spacing w:val="-7"/>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40</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406"/>
              <w:jc w:val="right"/>
              <w:rPr>
                <w:rFonts w:ascii="Arial" w:hAnsi="Arial" w:cs="Arial" w:eastAsia="Arial" w:hint="default"/>
                <w:sz w:val="24"/>
                <w:szCs w:val="24"/>
              </w:rPr>
            </w:pPr>
            <w:r>
              <w:rPr>
                <w:rFonts w:ascii="Arial"/>
                <w:w w:val="95"/>
                <w:sz w:val="24"/>
              </w:rPr>
              <w:t>3%</w:t>
            </w:r>
            <w:r>
              <w:rPr>
                <w:rFonts w:ascii="Arial"/>
                <w:sz w:val="24"/>
              </w:rPr>
            </w:r>
          </w:p>
        </w:tc>
        <w:tc>
          <w:tcPr>
            <w:tcW w:w="2277"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203"/>
              <w:jc w:val="right"/>
              <w:rPr>
                <w:rFonts w:ascii="Arial" w:hAnsi="Arial" w:cs="Arial" w:eastAsia="Arial" w:hint="default"/>
                <w:sz w:val="24"/>
                <w:szCs w:val="24"/>
              </w:rPr>
            </w:pPr>
            <w:r>
              <w:rPr>
                <w:rFonts w:ascii="Arial" w:hAnsi="Arial" w:cs="Arial" w:eastAsia="Arial" w:hint="default"/>
                <w:sz w:val="24"/>
                <w:szCs w:val="24"/>
              </w:rPr>
              <w:t>2.43%</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4.85%</w:t>
            </w:r>
          </w:p>
        </w:tc>
      </w:tr>
      <w:tr>
        <w:trPr>
          <w:trHeight w:val="1497" w:hRule="exact"/>
        </w:trPr>
        <w:tc>
          <w:tcPr>
            <w:tcW w:w="785" w:type="dxa"/>
            <w:tcBorders>
              <w:top w:val="nil" w:sz="6" w:space="0" w:color="auto"/>
              <w:left w:val="nil" w:sz="6" w:space="0" w:color="auto"/>
              <w:bottom w:val="nil" w:sz="6" w:space="0" w:color="auto"/>
              <w:right w:val="nil" w:sz="6" w:space="0" w:color="auto"/>
            </w:tcBorders>
          </w:tcPr>
          <w:p>
            <w:pPr/>
          </w:p>
        </w:tc>
        <w:tc>
          <w:tcPr>
            <w:tcW w:w="8336"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76"/>
              <w:ind w:left="156" w:right="207"/>
              <w:jc w:val="both"/>
              <w:rPr>
                <w:rFonts w:ascii="宋体" w:hAnsi="宋体" w:cs="宋体" w:eastAsia="宋体" w:hint="default"/>
                <w:sz w:val="24"/>
                <w:szCs w:val="24"/>
              </w:rPr>
            </w:pPr>
            <w:r>
              <w:rPr>
                <w:rFonts w:ascii="宋体" w:hAnsi="宋体" w:cs="宋体" w:eastAsia="宋体" w:hint="default"/>
                <w:sz w:val="24"/>
                <w:szCs w:val="24"/>
              </w:rPr>
              <w:t>投资性房地产的用途改变为自用时，自改变之日起，将该投资性房地产转换</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为固定资产。自用房地产的用途改变为赚取租金时，自改变之日起，将固定</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资产转换为投资性房地产。发生转换时，以转换前的账面价值作为转换后的</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入账价值。</w:t>
            </w:r>
          </w:p>
        </w:tc>
      </w:tr>
      <w:tr>
        <w:trPr>
          <w:trHeight w:val="703" w:hRule="exact"/>
        </w:trPr>
        <w:tc>
          <w:tcPr>
            <w:tcW w:w="785" w:type="dxa"/>
            <w:tcBorders>
              <w:top w:val="nil" w:sz="6" w:space="0" w:color="auto"/>
              <w:left w:val="nil" w:sz="6" w:space="0" w:color="auto"/>
              <w:bottom w:val="nil" w:sz="6" w:space="0" w:color="auto"/>
              <w:right w:val="nil" w:sz="6" w:space="0" w:color="auto"/>
            </w:tcBorders>
          </w:tcPr>
          <w:p>
            <w:pPr/>
          </w:p>
        </w:tc>
        <w:tc>
          <w:tcPr>
            <w:tcW w:w="8336"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32"/>
              <w:ind w:left="156" w:right="207"/>
              <w:jc w:val="left"/>
              <w:rPr>
                <w:rFonts w:ascii="宋体" w:hAnsi="宋体" w:cs="宋体" w:eastAsia="宋体" w:hint="default"/>
                <w:sz w:val="24"/>
                <w:szCs w:val="24"/>
              </w:rPr>
            </w:pPr>
            <w:r>
              <w:rPr>
                <w:rFonts w:ascii="宋体" w:hAnsi="宋体" w:cs="宋体" w:eastAsia="宋体" w:hint="default"/>
                <w:sz w:val="24"/>
                <w:szCs w:val="24"/>
              </w:rPr>
              <w:t>对投资性房地产的预计使用寿命、预计净残值和折旧方法于每年年度终了进</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行复核并作适当调整。</w:t>
            </w:r>
          </w:p>
        </w:tc>
      </w:tr>
      <w:tr>
        <w:trPr>
          <w:trHeight w:val="1013" w:hRule="exact"/>
        </w:trPr>
        <w:tc>
          <w:tcPr>
            <w:tcW w:w="785" w:type="dxa"/>
            <w:tcBorders>
              <w:top w:val="nil" w:sz="6" w:space="0" w:color="auto"/>
              <w:left w:val="nil" w:sz="6" w:space="0" w:color="auto"/>
              <w:bottom w:val="nil" w:sz="6" w:space="0" w:color="auto"/>
              <w:right w:val="nil" w:sz="6" w:space="0" w:color="auto"/>
            </w:tcBorders>
          </w:tcPr>
          <w:p>
            <w:pPr/>
          </w:p>
        </w:tc>
        <w:tc>
          <w:tcPr>
            <w:tcW w:w="8336"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4"/>
              <w:ind w:left="156" w:right="203"/>
              <w:jc w:val="both"/>
              <w:rPr>
                <w:rFonts w:ascii="宋体" w:hAnsi="宋体" w:cs="宋体" w:eastAsia="宋体" w:hint="default"/>
                <w:sz w:val="24"/>
                <w:szCs w:val="24"/>
              </w:rPr>
            </w:pPr>
            <w:r>
              <w:rPr>
                <w:rFonts w:ascii="宋体" w:hAnsi="宋体" w:cs="宋体" w:eastAsia="宋体" w:hint="default"/>
                <w:sz w:val="24"/>
                <w:szCs w:val="24"/>
              </w:rPr>
              <w:t>当投资性房地产被处置、或者永久退出使用且预计不能从其处置中取得经济</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利益时，终止确认该项投资性房地产。投资性房地产出售、转让、报废或毁</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损的处置收入扣除其账面价值和相关税费后计入当期损益。</w:t>
            </w:r>
          </w:p>
        </w:tc>
      </w:tr>
      <w:tr>
        <w:trPr>
          <w:trHeight w:val="640" w:hRule="exact"/>
        </w:trPr>
        <w:tc>
          <w:tcPr>
            <w:tcW w:w="785" w:type="dxa"/>
            <w:tcBorders>
              <w:top w:val="nil" w:sz="6" w:space="0" w:color="auto"/>
              <w:left w:val="nil" w:sz="6" w:space="0" w:color="auto"/>
              <w:bottom w:val="nil" w:sz="6" w:space="0" w:color="auto"/>
              <w:right w:val="nil" w:sz="6" w:space="0" w:color="auto"/>
            </w:tcBorders>
          </w:tcPr>
          <w:p>
            <w:pPr/>
          </w:p>
        </w:tc>
        <w:tc>
          <w:tcPr>
            <w:tcW w:w="833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
              <w:ind w:left="156" w:right="207"/>
              <w:jc w:val="left"/>
              <w:rPr>
                <w:rFonts w:ascii="宋体" w:hAnsi="宋体" w:cs="宋体" w:eastAsia="宋体" w:hint="default"/>
                <w:sz w:val="24"/>
                <w:szCs w:val="24"/>
              </w:rPr>
            </w:pPr>
            <w:r>
              <w:rPr>
                <w:rFonts w:ascii="宋体" w:hAnsi="宋体" w:cs="宋体" w:eastAsia="宋体" w:hint="default"/>
                <w:sz w:val="24"/>
                <w:szCs w:val="24"/>
              </w:rPr>
              <w:t>当投资性房地产的可收回金额低于其账面价值时，账面价值减记至可收回金</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额</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(20))</w:t>
            </w:r>
            <w:r>
              <w:rPr>
                <w:rFonts w:ascii="宋体" w:hAnsi="宋体" w:cs="宋体" w:eastAsia="宋体" w:hint="default"/>
                <w:sz w:val="24"/>
                <w:szCs w:val="24"/>
              </w:rPr>
              <w:t>。</w:t>
            </w:r>
          </w:p>
        </w:tc>
      </w:tr>
    </w:tbl>
    <w:p>
      <w:pPr>
        <w:spacing w:after="0" w:line="240" w:lineRule="auto"/>
        <w:jc w:val="left"/>
        <w:rPr>
          <w:rFonts w:ascii="宋体" w:hAnsi="宋体" w:cs="宋体" w:eastAsia="宋体"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79"/>
        <w:gridCol w:w="2340"/>
        <w:gridCol w:w="2079"/>
        <w:gridCol w:w="1683"/>
        <w:gridCol w:w="2238"/>
      </w:tblGrid>
      <w:tr>
        <w:trPr>
          <w:trHeight w:val="497"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4419"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83" w:type="dxa"/>
            <w:tcBorders>
              <w:top w:val="nil" w:sz="6" w:space="0" w:color="auto"/>
              <w:left w:val="nil" w:sz="6" w:space="0" w:color="auto"/>
              <w:bottom w:val="nil" w:sz="6" w:space="0" w:color="auto"/>
              <w:right w:val="nil" w:sz="6" w:space="0" w:color="auto"/>
            </w:tcBorders>
          </w:tcPr>
          <w:p>
            <w:pPr/>
          </w:p>
        </w:tc>
        <w:tc>
          <w:tcPr>
            <w:tcW w:w="2238" w:type="dxa"/>
            <w:tcBorders>
              <w:top w:val="nil" w:sz="6" w:space="0" w:color="auto"/>
              <w:left w:val="nil" w:sz="6" w:space="0" w:color="auto"/>
              <w:bottom w:val="nil" w:sz="6" w:space="0" w:color="auto"/>
              <w:right w:val="nil" w:sz="6" w:space="0" w:color="auto"/>
            </w:tcBorders>
          </w:tcPr>
          <w:p>
            <w:pPr/>
          </w:p>
        </w:tc>
      </w:tr>
      <w:tr>
        <w:trPr>
          <w:trHeight w:val="742"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(15)</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50" w:right="0"/>
              <w:jc w:val="left"/>
              <w:rPr>
                <w:rFonts w:ascii="黑体" w:hAnsi="黑体" w:cs="黑体" w:eastAsia="黑体" w:hint="default"/>
                <w:sz w:val="24"/>
                <w:szCs w:val="24"/>
              </w:rPr>
            </w:pPr>
            <w:r>
              <w:rPr>
                <w:rFonts w:ascii="黑体" w:hAnsi="黑体" w:cs="黑体" w:eastAsia="黑体" w:hint="default"/>
                <w:sz w:val="24"/>
                <w:szCs w:val="24"/>
              </w:rPr>
              <w:t>固定资产</w:t>
            </w:r>
          </w:p>
        </w:tc>
        <w:tc>
          <w:tcPr>
            <w:tcW w:w="2079" w:type="dxa"/>
            <w:tcBorders>
              <w:top w:val="nil" w:sz="6" w:space="0" w:color="auto"/>
              <w:left w:val="nil" w:sz="6" w:space="0" w:color="auto"/>
              <w:bottom w:val="nil" w:sz="6" w:space="0" w:color="auto"/>
              <w:right w:val="nil" w:sz="6" w:space="0" w:color="auto"/>
            </w:tcBorders>
          </w:tcPr>
          <w:p>
            <w:pPr/>
          </w:p>
        </w:tc>
        <w:tc>
          <w:tcPr>
            <w:tcW w:w="1683" w:type="dxa"/>
            <w:tcBorders>
              <w:top w:val="nil" w:sz="6" w:space="0" w:color="auto"/>
              <w:left w:val="nil" w:sz="6" w:space="0" w:color="auto"/>
              <w:bottom w:val="nil" w:sz="6" w:space="0" w:color="auto"/>
              <w:right w:val="nil" w:sz="6" w:space="0" w:color="auto"/>
            </w:tcBorders>
          </w:tcPr>
          <w:p>
            <w:pPr/>
          </w:p>
        </w:tc>
        <w:tc>
          <w:tcPr>
            <w:tcW w:w="2238" w:type="dxa"/>
            <w:tcBorders>
              <w:top w:val="nil" w:sz="6" w:space="0" w:color="auto"/>
              <w:left w:val="nil" w:sz="6" w:space="0" w:color="auto"/>
              <w:bottom w:val="nil" w:sz="6" w:space="0" w:color="auto"/>
              <w:right w:val="nil" w:sz="6" w:space="0" w:color="auto"/>
            </w:tcBorders>
          </w:tcPr>
          <w:p>
            <w:pPr/>
          </w:p>
        </w:tc>
      </w:tr>
      <w:tr>
        <w:trPr>
          <w:trHeight w:val="750"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44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3"/>
              <w:ind w:left="150" w:right="0"/>
              <w:jc w:val="left"/>
              <w:rPr>
                <w:rFonts w:ascii="宋体" w:hAnsi="宋体" w:cs="宋体" w:eastAsia="宋体" w:hint="default"/>
                <w:sz w:val="24"/>
                <w:szCs w:val="24"/>
              </w:rPr>
            </w:pPr>
            <w:r>
              <w:rPr>
                <w:rFonts w:ascii="宋体" w:hAnsi="宋体" w:cs="宋体" w:eastAsia="宋体" w:hint="default"/>
                <w:sz w:val="24"/>
                <w:szCs w:val="24"/>
              </w:rPr>
              <w:t>固定资产确认及初始计量</w:t>
            </w:r>
          </w:p>
        </w:tc>
        <w:tc>
          <w:tcPr>
            <w:tcW w:w="1683" w:type="dxa"/>
            <w:tcBorders>
              <w:top w:val="nil" w:sz="6" w:space="0" w:color="auto"/>
              <w:left w:val="nil" w:sz="6" w:space="0" w:color="auto"/>
              <w:bottom w:val="nil" w:sz="6" w:space="0" w:color="auto"/>
              <w:right w:val="nil" w:sz="6" w:space="0" w:color="auto"/>
            </w:tcBorders>
          </w:tcPr>
          <w:p>
            <w:pPr/>
          </w:p>
        </w:tc>
        <w:tc>
          <w:tcPr>
            <w:tcW w:w="2238" w:type="dxa"/>
            <w:tcBorders>
              <w:top w:val="nil" w:sz="6" w:space="0" w:color="auto"/>
              <w:left w:val="nil" w:sz="6" w:space="0" w:color="auto"/>
              <w:bottom w:val="nil" w:sz="6" w:space="0" w:color="auto"/>
              <w:right w:val="nil" w:sz="6" w:space="0" w:color="auto"/>
            </w:tcBorders>
          </w:tcPr>
          <w:p>
            <w:pPr/>
          </w:p>
        </w:tc>
      </w:tr>
      <w:tr>
        <w:trPr>
          <w:trHeight w:val="1070" w:hRule="exact"/>
        </w:trPr>
        <w:tc>
          <w:tcPr>
            <w:tcW w:w="911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79"/>
              <w:ind w:left="929" w:right="204"/>
              <w:jc w:val="left"/>
              <w:rPr>
                <w:rFonts w:ascii="宋体" w:hAnsi="宋体" w:cs="宋体" w:eastAsia="宋体" w:hint="default"/>
                <w:sz w:val="24"/>
                <w:szCs w:val="24"/>
              </w:rPr>
            </w:pPr>
            <w:r>
              <w:rPr>
                <w:rFonts w:ascii="宋体" w:hAnsi="宋体" w:cs="宋体" w:eastAsia="宋体" w:hint="default"/>
                <w:sz w:val="24"/>
                <w:szCs w:val="24"/>
              </w:rPr>
              <w:t>固定资产包括房屋及建筑物、机器设备、运输工具、电子设备以及其他设备</w:t>
            </w:r>
            <w:r>
              <w:rPr>
                <w:rFonts w:ascii="宋体" w:hAnsi="宋体" w:cs="宋体" w:eastAsia="宋体" w:hint="default"/>
                <w:spacing w:val="-64"/>
                <w:sz w:val="24"/>
                <w:szCs w:val="24"/>
              </w:rPr>
              <w:t> </w:t>
            </w:r>
            <w:r>
              <w:rPr>
                <w:rFonts w:ascii="宋体" w:hAnsi="宋体" w:cs="宋体" w:eastAsia="宋体" w:hint="default"/>
                <w:spacing w:val="-64"/>
                <w:sz w:val="24"/>
                <w:szCs w:val="24"/>
              </w:rPr>
            </w:r>
            <w:r>
              <w:rPr>
                <w:rFonts w:ascii="宋体" w:hAnsi="宋体" w:cs="宋体" w:eastAsia="宋体" w:hint="default"/>
                <w:sz w:val="24"/>
                <w:szCs w:val="24"/>
              </w:rPr>
              <w:t>等。</w:t>
            </w:r>
          </w:p>
        </w:tc>
      </w:tr>
      <w:tr>
        <w:trPr>
          <w:trHeight w:val="1073" w:hRule="exact"/>
        </w:trPr>
        <w:tc>
          <w:tcPr>
            <w:tcW w:w="911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0" w:lineRule="exact"/>
              <w:ind w:left="929" w:right="199"/>
              <w:jc w:val="left"/>
              <w:rPr>
                <w:rFonts w:ascii="宋体" w:hAnsi="宋体" w:cs="宋体" w:eastAsia="宋体" w:hint="default"/>
                <w:sz w:val="24"/>
                <w:szCs w:val="24"/>
              </w:rPr>
            </w:pPr>
            <w:r>
              <w:rPr>
                <w:rFonts w:ascii="宋体" w:hAnsi="宋体" w:cs="宋体" w:eastAsia="宋体" w:hint="default"/>
                <w:sz w:val="24"/>
                <w:szCs w:val="24"/>
              </w:rPr>
              <w:t>固定资产在与其有关的经济利益很可能流入本集团、且其成本能够可靠计量</w:t>
            </w:r>
            <w:r>
              <w:rPr>
                <w:rFonts w:ascii="宋体" w:hAnsi="宋体" w:cs="宋体" w:eastAsia="宋体" w:hint="default"/>
                <w:spacing w:val="-65"/>
                <w:sz w:val="24"/>
                <w:szCs w:val="24"/>
              </w:rPr>
              <w:t> </w:t>
            </w:r>
            <w:r>
              <w:rPr>
                <w:rFonts w:ascii="宋体" w:hAnsi="宋体" w:cs="宋体" w:eastAsia="宋体" w:hint="default"/>
                <w:spacing w:val="-65"/>
                <w:sz w:val="24"/>
                <w:szCs w:val="24"/>
              </w:rPr>
            </w:r>
            <w:r>
              <w:rPr>
                <w:rFonts w:ascii="宋体" w:hAnsi="宋体" w:cs="宋体" w:eastAsia="宋体" w:hint="default"/>
                <w:sz w:val="24"/>
                <w:szCs w:val="24"/>
              </w:rPr>
              <w:t>时予以确认。购置或新建的固定资产按取得时的成本进行初始计量。</w:t>
            </w:r>
          </w:p>
        </w:tc>
      </w:tr>
      <w:tr>
        <w:trPr>
          <w:trHeight w:val="1371" w:hRule="exact"/>
        </w:trPr>
        <w:tc>
          <w:tcPr>
            <w:tcW w:w="9118" w:type="dxa"/>
            <w:gridSpan w:val="5"/>
            <w:tcBorders>
              <w:top w:val="nil" w:sz="6" w:space="0" w:color="auto"/>
              <w:left w:val="nil" w:sz="6" w:space="0" w:color="auto"/>
              <w:bottom w:val="nil" w:sz="6" w:space="0" w:color="auto"/>
              <w:right w:val="nil" w:sz="6" w:space="0" w:color="auto"/>
            </w:tcBorders>
          </w:tcPr>
          <w:p>
            <w:pPr>
              <w:pStyle w:val="TableParagraph"/>
              <w:spacing w:line="237" w:lineRule="auto" w:before="188"/>
              <w:ind w:left="929" w:right="202"/>
              <w:jc w:val="both"/>
              <w:rPr>
                <w:rFonts w:ascii="宋体" w:hAnsi="宋体" w:cs="宋体" w:eastAsia="宋体" w:hint="default"/>
                <w:sz w:val="24"/>
                <w:szCs w:val="24"/>
              </w:rPr>
            </w:pPr>
            <w:r>
              <w:rPr>
                <w:rFonts w:ascii="宋体" w:hAnsi="宋体" w:cs="宋体" w:eastAsia="宋体" w:hint="default"/>
                <w:sz w:val="24"/>
                <w:szCs w:val="24"/>
              </w:rPr>
              <w:t>与固定资产有关的后续支出，在与其有关的经济利益很可能流入本集团且其</w:t>
            </w:r>
            <w:r>
              <w:rPr>
                <w:rFonts w:ascii="宋体" w:hAnsi="宋体" w:cs="宋体" w:eastAsia="宋体" w:hint="default"/>
                <w:spacing w:val="-64"/>
                <w:sz w:val="24"/>
                <w:szCs w:val="24"/>
              </w:rPr>
              <w:t> </w:t>
            </w:r>
            <w:r>
              <w:rPr>
                <w:rFonts w:ascii="宋体" w:hAnsi="宋体" w:cs="宋体" w:eastAsia="宋体" w:hint="default"/>
                <w:spacing w:val="-64"/>
                <w:sz w:val="24"/>
                <w:szCs w:val="24"/>
              </w:rPr>
            </w:r>
            <w:r>
              <w:rPr>
                <w:rFonts w:ascii="宋体" w:hAnsi="宋体" w:cs="宋体" w:eastAsia="宋体" w:hint="default"/>
                <w:sz w:val="24"/>
                <w:szCs w:val="24"/>
              </w:rPr>
              <w:t>成本能够可靠计量时，计入固定资产成本；对于被替换的部分，终止确认其</w:t>
            </w:r>
            <w:r>
              <w:rPr>
                <w:rFonts w:ascii="宋体" w:hAnsi="宋体" w:cs="宋体" w:eastAsia="宋体" w:hint="default"/>
                <w:spacing w:val="-64"/>
                <w:sz w:val="24"/>
                <w:szCs w:val="24"/>
              </w:rPr>
              <w:t> </w:t>
            </w:r>
            <w:r>
              <w:rPr>
                <w:rFonts w:ascii="宋体" w:hAnsi="宋体" w:cs="宋体" w:eastAsia="宋体" w:hint="default"/>
                <w:spacing w:val="-64"/>
                <w:sz w:val="24"/>
                <w:szCs w:val="24"/>
              </w:rPr>
            </w:r>
            <w:r>
              <w:rPr>
                <w:rFonts w:ascii="宋体" w:hAnsi="宋体" w:cs="宋体" w:eastAsia="宋体" w:hint="default"/>
                <w:sz w:val="24"/>
                <w:szCs w:val="24"/>
              </w:rPr>
              <w:t>账面价值；所有其他后续支出于发生时计入当期损益。</w:t>
            </w:r>
          </w:p>
        </w:tc>
      </w:tr>
      <w:tr>
        <w:trPr>
          <w:trHeight w:val="752"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50" w:right="0"/>
              <w:jc w:val="left"/>
              <w:rPr>
                <w:rFonts w:ascii="宋体" w:hAnsi="宋体" w:cs="宋体" w:eastAsia="宋体" w:hint="default"/>
                <w:sz w:val="24"/>
                <w:szCs w:val="24"/>
              </w:rPr>
            </w:pPr>
            <w:r>
              <w:rPr>
                <w:rFonts w:ascii="宋体" w:hAnsi="宋体" w:cs="宋体" w:eastAsia="宋体" w:hint="default"/>
                <w:sz w:val="24"/>
                <w:szCs w:val="24"/>
              </w:rPr>
              <w:t>固定资产的折旧方法</w:t>
            </w:r>
          </w:p>
        </w:tc>
        <w:tc>
          <w:tcPr>
            <w:tcW w:w="2079" w:type="dxa"/>
            <w:tcBorders>
              <w:top w:val="nil" w:sz="6" w:space="0" w:color="auto"/>
              <w:left w:val="nil" w:sz="6" w:space="0" w:color="auto"/>
              <w:bottom w:val="nil" w:sz="6" w:space="0" w:color="auto"/>
              <w:right w:val="nil" w:sz="6" w:space="0" w:color="auto"/>
            </w:tcBorders>
          </w:tcPr>
          <w:p>
            <w:pPr/>
          </w:p>
        </w:tc>
        <w:tc>
          <w:tcPr>
            <w:tcW w:w="1683" w:type="dxa"/>
            <w:tcBorders>
              <w:top w:val="nil" w:sz="6" w:space="0" w:color="auto"/>
              <w:left w:val="nil" w:sz="6" w:space="0" w:color="auto"/>
              <w:bottom w:val="nil" w:sz="6" w:space="0" w:color="auto"/>
              <w:right w:val="nil" w:sz="6" w:space="0" w:color="auto"/>
            </w:tcBorders>
          </w:tcPr>
          <w:p>
            <w:pPr/>
          </w:p>
        </w:tc>
        <w:tc>
          <w:tcPr>
            <w:tcW w:w="2238" w:type="dxa"/>
            <w:tcBorders>
              <w:top w:val="nil" w:sz="6" w:space="0" w:color="auto"/>
              <w:left w:val="nil" w:sz="6" w:space="0" w:color="auto"/>
              <w:bottom w:val="nil" w:sz="6" w:space="0" w:color="auto"/>
              <w:right w:val="nil" w:sz="6" w:space="0" w:color="auto"/>
            </w:tcBorders>
          </w:tcPr>
          <w:p>
            <w:pPr/>
          </w:p>
        </w:tc>
      </w:tr>
      <w:tr>
        <w:trPr>
          <w:trHeight w:val="1369" w:hRule="exact"/>
        </w:trPr>
        <w:tc>
          <w:tcPr>
            <w:tcW w:w="9118" w:type="dxa"/>
            <w:gridSpan w:val="5"/>
            <w:tcBorders>
              <w:top w:val="nil" w:sz="6" w:space="0" w:color="auto"/>
              <w:left w:val="nil" w:sz="6" w:space="0" w:color="auto"/>
              <w:bottom w:val="nil" w:sz="6" w:space="0" w:color="auto"/>
              <w:right w:val="nil" w:sz="6" w:space="0" w:color="auto"/>
            </w:tcBorders>
          </w:tcPr>
          <w:p>
            <w:pPr>
              <w:pStyle w:val="TableParagraph"/>
              <w:spacing w:line="237" w:lineRule="auto" w:before="182"/>
              <w:ind w:left="929" w:right="198"/>
              <w:jc w:val="both"/>
              <w:rPr>
                <w:rFonts w:ascii="宋体" w:hAnsi="宋体" w:cs="宋体" w:eastAsia="宋体" w:hint="default"/>
                <w:sz w:val="24"/>
                <w:szCs w:val="24"/>
              </w:rPr>
            </w:pPr>
            <w:r>
              <w:rPr>
                <w:rFonts w:ascii="宋体" w:hAnsi="宋体" w:cs="宋体" w:eastAsia="宋体" w:hint="default"/>
                <w:sz w:val="24"/>
                <w:szCs w:val="24"/>
              </w:rPr>
              <w:t>固定资产折旧采用年限平均法并按其入账价值减去预计净残值后依照预计使</w:t>
            </w:r>
            <w:r>
              <w:rPr>
                <w:rFonts w:ascii="宋体" w:hAnsi="宋体" w:cs="宋体" w:eastAsia="宋体" w:hint="default"/>
                <w:spacing w:val="-63"/>
                <w:sz w:val="24"/>
                <w:szCs w:val="24"/>
              </w:rPr>
              <w:t> </w:t>
            </w:r>
            <w:r>
              <w:rPr>
                <w:rFonts w:ascii="宋体" w:hAnsi="宋体" w:cs="宋体" w:eastAsia="宋体" w:hint="default"/>
                <w:spacing w:val="-63"/>
                <w:sz w:val="24"/>
                <w:szCs w:val="24"/>
              </w:rPr>
            </w:r>
            <w:r>
              <w:rPr>
                <w:rFonts w:ascii="宋体" w:hAnsi="宋体" w:cs="宋体" w:eastAsia="宋体" w:hint="default"/>
                <w:sz w:val="24"/>
                <w:szCs w:val="24"/>
              </w:rPr>
              <w:t>用寿命计提。对计提了减值准备的固定资产，则在未来期间按扣除减值准备</w:t>
            </w:r>
            <w:r>
              <w:rPr>
                <w:rFonts w:ascii="宋体" w:hAnsi="宋体" w:cs="宋体" w:eastAsia="宋体" w:hint="default"/>
                <w:spacing w:val="-62"/>
                <w:sz w:val="24"/>
                <w:szCs w:val="24"/>
              </w:rPr>
              <w:t> </w:t>
            </w:r>
            <w:r>
              <w:rPr>
                <w:rFonts w:ascii="宋体" w:hAnsi="宋体" w:cs="宋体" w:eastAsia="宋体" w:hint="default"/>
                <w:spacing w:val="-62"/>
                <w:sz w:val="24"/>
                <w:szCs w:val="24"/>
              </w:rPr>
            </w:r>
            <w:r>
              <w:rPr>
                <w:rFonts w:ascii="宋体" w:hAnsi="宋体" w:cs="宋体" w:eastAsia="宋体" w:hint="default"/>
                <w:sz w:val="24"/>
                <w:szCs w:val="24"/>
              </w:rPr>
              <w:t>后的账面价值及依据尚可使用年限确定折旧额。</w:t>
            </w:r>
          </w:p>
        </w:tc>
      </w:tr>
      <w:tr>
        <w:trPr>
          <w:trHeight w:val="570" w:hRule="exact"/>
        </w:trPr>
        <w:tc>
          <w:tcPr>
            <w:tcW w:w="911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80"/>
              <w:ind w:left="929" w:right="0"/>
              <w:jc w:val="left"/>
              <w:rPr>
                <w:rFonts w:ascii="宋体" w:hAnsi="宋体" w:cs="宋体" w:eastAsia="宋体" w:hint="default"/>
                <w:sz w:val="24"/>
                <w:szCs w:val="24"/>
              </w:rPr>
            </w:pPr>
            <w:r>
              <w:rPr>
                <w:rFonts w:ascii="宋体" w:hAnsi="宋体" w:cs="宋体" w:eastAsia="宋体" w:hint="default"/>
                <w:sz w:val="24"/>
                <w:szCs w:val="24"/>
              </w:rPr>
              <w:t>固定资产的预计使用寿命、净残值率及年折旧率列示如下：</w:t>
            </w:r>
          </w:p>
        </w:tc>
      </w:tr>
      <w:tr>
        <w:trPr>
          <w:trHeight w:val="387" w:hRule="exact"/>
        </w:trPr>
        <w:tc>
          <w:tcPr>
            <w:tcW w:w="779"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5"/>
              <w:jc w:val="right"/>
              <w:rPr>
                <w:rFonts w:ascii="宋体" w:hAnsi="宋体" w:cs="宋体" w:eastAsia="宋体" w:hint="default"/>
                <w:sz w:val="24"/>
                <w:szCs w:val="24"/>
              </w:rPr>
            </w:pPr>
            <w:r>
              <w:rPr>
                <w:rFonts w:ascii="宋体" w:hAnsi="宋体" w:cs="宋体" w:eastAsia="宋体" w:hint="default"/>
                <w:sz w:val="24"/>
                <w:szCs w:val="24"/>
              </w:rPr>
              <w:t>预计使用寿命</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宋体" w:hAnsi="宋体" w:cs="宋体" w:eastAsia="宋体" w:hint="default"/>
                <w:sz w:val="24"/>
                <w:szCs w:val="24"/>
              </w:rPr>
            </w:pPr>
            <w:r>
              <w:rPr>
                <w:rFonts w:ascii="宋体" w:hAnsi="宋体" w:cs="宋体" w:eastAsia="宋体" w:hint="default"/>
                <w:sz w:val="24"/>
                <w:szCs w:val="24"/>
              </w:rPr>
              <w:t>预计净残值率</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00"/>
              <w:jc w:val="right"/>
              <w:rPr>
                <w:rFonts w:ascii="宋体" w:hAnsi="宋体" w:cs="宋体" w:eastAsia="宋体" w:hint="default"/>
                <w:sz w:val="24"/>
                <w:szCs w:val="24"/>
              </w:rPr>
            </w:pPr>
            <w:r>
              <w:rPr>
                <w:rFonts w:ascii="宋体" w:hAnsi="宋体" w:cs="宋体" w:eastAsia="宋体" w:hint="default"/>
                <w:sz w:val="24"/>
                <w:szCs w:val="24"/>
              </w:rPr>
              <w:t>年折旧率</w:t>
            </w:r>
          </w:p>
        </w:tc>
      </w:tr>
      <w:tr>
        <w:trPr>
          <w:trHeight w:val="397" w:hRule="exact"/>
        </w:trPr>
        <w:tc>
          <w:tcPr>
            <w:tcW w:w="779"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50"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宋体" w:hAnsi="宋体" w:cs="宋体" w:eastAsia="宋体" w:hint="default"/>
                <w:sz w:val="24"/>
                <w:szCs w:val="24"/>
              </w:rPr>
            </w:pPr>
            <w:r>
              <w:rPr>
                <w:rFonts w:ascii="Arial" w:hAnsi="Arial" w:cs="Arial" w:eastAsia="Arial" w:hint="default"/>
                <w:sz w:val="24"/>
                <w:szCs w:val="24"/>
              </w:rPr>
              <w:t>20</w:t>
            </w:r>
            <w:r>
              <w:rPr>
                <w:rFonts w:ascii="Arial" w:hAnsi="Arial" w:cs="Arial" w:eastAsia="Arial" w:hint="default"/>
                <w:spacing w:val="-7"/>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40</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6"/>
              <w:jc w:val="right"/>
              <w:rPr>
                <w:rFonts w:ascii="Arial" w:hAnsi="Arial" w:cs="Arial" w:eastAsia="Arial" w:hint="default"/>
                <w:sz w:val="24"/>
                <w:szCs w:val="24"/>
              </w:rPr>
            </w:pPr>
            <w:r>
              <w:rPr>
                <w:rFonts w:ascii="Arial"/>
                <w:w w:val="95"/>
                <w:sz w:val="24"/>
              </w:rPr>
              <w:t>3%</w:t>
            </w:r>
            <w:r>
              <w:rPr>
                <w:rFonts w:ascii="Arial"/>
                <w:sz w:val="24"/>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00"/>
              <w:jc w:val="right"/>
              <w:rPr>
                <w:rFonts w:ascii="Arial" w:hAnsi="Arial" w:cs="Arial" w:eastAsia="Arial" w:hint="default"/>
                <w:sz w:val="24"/>
                <w:szCs w:val="24"/>
              </w:rPr>
            </w:pPr>
            <w:r>
              <w:rPr>
                <w:rFonts w:ascii="Arial" w:hAnsi="Arial" w:cs="Arial" w:eastAsia="Arial" w:hint="default"/>
                <w:sz w:val="24"/>
                <w:szCs w:val="24"/>
              </w:rPr>
              <w:t>2.43%</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4.85%</w:t>
            </w:r>
          </w:p>
        </w:tc>
      </w:tr>
      <w:tr>
        <w:trPr>
          <w:trHeight w:val="391" w:hRule="exact"/>
        </w:trPr>
        <w:tc>
          <w:tcPr>
            <w:tcW w:w="779"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313" w:lineRule="exact"/>
              <w:ind w:left="150"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079" w:type="dxa"/>
            <w:tcBorders>
              <w:top w:val="nil" w:sz="6" w:space="0" w:color="auto"/>
              <w:left w:val="nil" w:sz="6" w:space="0" w:color="auto"/>
              <w:bottom w:val="nil" w:sz="6" w:space="0" w:color="auto"/>
              <w:right w:val="nil" w:sz="6" w:space="0" w:color="auto"/>
            </w:tcBorders>
          </w:tcPr>
          <w:p>
            <w:pPr>
              <w:pStyle w:val="TableParagraph"/>
              <w:spacing w:line="331" w:lineRule="exact"/>
              <w:ind w:right="132"/>
              <w:jc w:val="right"/>
              <w:rPr>
                <w:rFonts w:ascii="宋体" w:hAnsi="宋体" w:cs="宋体" w:eastAsia="宋体" w:hint="default"/>
                <w:sz w:val="24"/>
                <w:szCs w:val="24"/>
              </w:rPr>
            </w:pPr>
            <w:r>
              <w:rPr>
                <w:rFonts w:ascii="Arial" w:hAnsi="Arial" w:cs="Arial" w:eastAsia="Arial" w:hint="default"/>
                <w:sz w:val="24"/>
                <w:szCs w:val="24"/>
              </w:rPr>
              <w:t>10</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Arial" w:hAnsi="Arial" w:cs="Arial" w:eastAsia="Arial" w:hint="default"/>
                <w:sz w:val="24"/>
                <w:szCs w:val="24"/>
              </w:rPr>
            </w:pPr>
            <w:r>
              <w:rPr>
                <w:rFonts w:ascii="Arial"/>
                <w:w w:val="95"/>
                <w:sz w:val="24"/>
              </w:rPr>
              <w:t>3%</w:t>
            </w:r>
            <w:r>
              <w:rPr>
                <w:rFonts w:ascii="Arial"/>
                <w:sz w:val="24"/>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1"/>
              <w:jc w:val="right"/>
              <w:rPr>
                <w:rFonts w:ascii="Arial" w:hAnsi="Arial" w:cs="Arial" w:eastAsia="Arial" w:hint="default"/>
                <w:sz w:val="24"/>
                <w:szCs w:val="24"/>
              </w:rPr>
            </w:pPr>
            <w:r>
              <w:rPr>
                <w:rFonts w:ascii="Arial"/>
                <w:sz w:val="24"/>
              </w:rPr>
              <w:t>9.70%</w:t>
            </w:r>
          </w:p>
        </w:tc>
      </w:tr>
      <w:tr>
        <w:trPr>
          <w:trHeight w:val="392" w:hRule="exact"/>
        </w:trPr>
        <w:tc>
          <w:tcPr>
            <w:tcW w:w="779"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314" w:lineRule="exact"/>
              <w:ind w:left="150"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2079" w:type="dxa"/>
            <w:tcBorders>
              <w:top w:val="nil" w:sz="6" w:space="0" w:color="auto"/>
              <w:left w:val="nil" w:sz="6" w:space="0" w:color="auto"/>
              <w:bottom w:val="nil" w:sz="6" w:space="0" w:color="auto"/>
              <w:right w:val="nil" w:sz="6" w:space="0" w:color="auto"/>
            </w:tcBorders>
          </w:tcPr>
          <w:p>
            <w:pPr>
              <w:pStyle w:val="TableParagraph"/>
              <w:spacing w:line="331" w:lineRule="exact"/>
              <w:ind w:right="134"/>
              <w:jc w:val="righ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Arial" w:hAnsi="Arial" w:cs="Arial" w:eastAsia="Arial" w:hint="default"/>
                <w:sz w:val="24"/>
                <w:szCs w:val="24"/>
              </w:rPr>
            </w:pPr>
            <w:r>
              <w:rPr>
                <w:rFonts w:ascii="Arial"/>
                <w:w w:val="95"/>
                <w:sz w:val="24"/>
              </w:rPr>
              <w:t>3%</w:t>
            </w:r>
            <w:r>
              <w:rPr>
                <w:rFonts w:ascii="Arial"/>
                <w:sz w:val="24"/>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1"/>
              <w:jc w:val="right"/>
              <w:rPr>
                <w:rFonts w:ascii="Arial" w:hAnsi="Arial" w:cs="Arial" w:eastAsia="Arial" w:hint="default"/>
                <w:sz w:val="24"/>
                <w:szCs w:val="24"/>
              </w:rPr>
            </w:pPr>
            <w:r>
              <w:rPr>
                <w:rFonts w:ascii="Arial"/>
                <w:spacing w:val="-1"/>
                <w:sz w:val="24"/>
              </w:rPr>
              <w:t>19.40%</w:t>
            </w:r>
          </w:p>
        </w:tc>
      </w:tr>
      <w:tr>
        <w:trPr>
          <w:trHeight w:val="391" w:hRule="exact"/>
        </w:trPr>
        <w:tc>
          <w:tcPr>
            <w:tcW w:w="779"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313" w:lineRule="exact"/>
              <w:ind w:left="150"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2079" w:type="dxa"/>
            <w:tcBorders>
              <w:top w:val="nil" w:sz="6" w:space="0" w:color="auto"/>
              <w:left w:val="nil" w:sz="6" w:space="0" w:color="auto"/>
              <w:bottom w:val="nil" w:sz="6" w:space="0" w:color="auto"/>
              <w:right w:val="nil" w:sz="6" w:space="0" w:color="auto"/>
            </w:tcBorders>
          </w:tcPr>
          <w:p>
            <w:pPr>
              <w:pStyle w:val="TableParagraph"/>
              <w:spacing w:line="331" w:lineRule="exact"/>
              <w:ind w:right="132"/>
              <w:jc w:val="right"/>
              <w:rPr>
                <w:rFonts w:ascii="宋体" w:hAnsi="宋体" w:cs="宋体" w:eastAsia="宋体" w:hint="default"/>
                <w:sz w:val="24"/>
                <w:szCs w:val="24"/>
              </w:rPr>
            </w:pP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Arial" w:hAnsi="Arial" w:cs="Arial" w:eastAsia="Arial" w:hint="default"/>
                <w:sz w:val="24"/>
                <w:szCs w:val="24"/>
              </w:rPr>
            </w:pPr>
            <w:r>
              <w:rPr>
                <w:rFonts w:ascii="Arial"/>
                <w:w w:val="95"/>
                <w:sz w:val="24"/>
              </w:rPr>
              <w:t>3%</w:t>
            </w:r>
            <w:r>
              <w:rPr>
                <w:rFonts w:ascii="Arial"/>
                <w:sz w:val="24"/>
              </w:rPr>
            </w:r>
          </w:p>
        </w:tc>
        <w:tc>
          <w:tcPr>
            <w:tcW w:w="2238" w:type="dxa"/>
            <w:tcBorders>
              <w:top w:val="nil" w:sz="6" w:space="0" w:color="auto"/>
              <w:left w:val="nil" w:sz="6" w:space="0" w:color="auto"/>
              <w:bottom w:val="nil" w:sz="6" w:space="0" w:color="auto"/>
              <w:right w:val="nil" w:sz="6" w:space="0" w:color="auto"/>
            </w:tcBorders>
          </w:tcPr>
          <w:p>
            <w:pPr>
              <w:pStyle w:val="TableParagraph"/>
              <w:spacing w:line="331" w:lineRule="exact"/>
              <w:ind w:right="198"/>
              <w:jc w:val="right"/>
              <w:rPr>
                <w:rFonts w:ascii="Arial" w:hAnsi="Arial" w:cs="Arial" w:eastAsia="Arial" w:hint="default"/>
                <w:sz w:val="24"/>
                <w:szCs w:val="24"/>
              </w:rPr>
            </w:pPr>
            <w:r>
              <w:rPr>
                <w:rFonts w:ascii="Arial" w:hAnsi="Arial" w:cs="Arial" w:eastAsia="Arial" w:hint="default"/>
                <w:sz w:val="24"/>
                <w:szCs w:val="24"/>
              </w:rPr>
              <w:t>19.40%</w:t>
            </w:r>
            <w:r>
              <w:rPr>
                <w:rFonts w:ascii="宋体" w:hAnsi="宋体" w:cs="宋体" w:eastAsia="宋体" w:hint="default"/>
                <w:sz w:val="24"/>
                <w:szCs w:val="24"/>
              </w:rPr>
              <w:t>至</w:t>
            </w:r>
            <w:r>
              <w:rPr>
                <w:rFonts w:ascii="宋体" w:hAnsi="宋体" w:cs="宋体" w:eastAsia="宋体" w:hint="default"/>
                <w:spacing w:val="-62"/>
                <w:sz w:val="24"/>
                <w:szCs w:val="24"/>
              </w:rPr>
              <w:t> </w:t>
            </w:r>
            <w:r>
              <w:rPr>
                <w:rFonts w:ascii="Arial" w:hAnsi="Arial" w:cs="Arial" w:eastAsia="Arial" w:hint="default"/>
                <w:sz w:val="24"/>
                <w:szCs w:val="24"/>
              </w:rPr>
              <w:t>32.33%</w:t>
            </w:r>
          </w:p>
        </w:tc>
      </w:tr>
      <w:tr>
        <w:trPr>
          <w:trHeight w:val="573" w:hRule="exact"/>
        </w:trPr>
        <w:tc>
          <w:tcPr>
            <w:tcW w:w="779"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313" w:lineRule="exact"/>
              <w:ind w:left="150"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2079" w:type="dxa"/>
            <w:tcBorders>
              <w:top w:val="nil" w:sz="6" w:space="0" w:color="auto"/>
              <w:left w:val="nil" w:sz="6" w:space="0" w:color="auto"/>
              <w:bottom w:val="nil" w:sz="6" w:space="0" w:color="auto"/>
              <w:right w:val="nil" w:sz="6" w:space="0" w:color="auto"/>
            </w:tcBorders>
          </w:tcPr>
          <w:p>
            <w:pPr>
              <w:pStyle w:val="TableParagraph"/>
              <w:spacing w:line="331" w:lineRule="exact"/>
              <w:ind w:right="134"/>
              <w:jc w:val="righ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Arial" w:hAnsi="Arial" w:cs="Arial" w:eastAsia="Arial" w:hint="default"/>
                <w:sz w:val="24"/>
                <w:szCs w:val="24"/>
              </w:rPr>
            </w:pPr>
            <w:r>
              <w:rPr>
                <w:rFonts w:ascii="Arial"/>
                <w:w w:val="95"/>
                <w:sz w:val="24"/>
              </w:rPr>
              <w:t>3%</w:t>
            </w:r>
            <w:r>
              <w:rPr>
                <w:rFonts w:ascii="Arial"/>
                <w:sz w:val="24"/>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8"/>
              <w:jc w:val="right"/>
              <w:rPr>
                <w:rFonts w:ascii="Arial" w:hAnsi="Arial" w:cs="Arial" w:eastAsia="Arial" w:hint="default"/>
                <w:sz w:val="24"/>
                <w:szCs w:val="24"/>
              </w:rPr>
            </w:pPr>
            <w:r>
              <w:rPr>
                <w:rFonts w:ascii="Arial"/>
                <w:spacing w:val="-1"/>
                <w:sz w:val="24"/>
              </w:rPr>
              <w:t>19.40%</w:t>
            </w:r>
          </w:p>
        </w:tc>
      </w:tr>
      <w:tr>
        <w:trPr>
          <w:trHeight w:val="1013" w:hRule="exact"/>
        </w:trPr>
        <w:tc>
          <w:tcPr>
            <w:tcW w:w="9118" w:type="dxa"/>
            <w:gridSpan w:val="5"/>
            <w:tcBorders>
              <w:top w:val="nil" w:sz="6" w:space="0" w:color="auto"/>
              <w:left w:val="nil" w:sz="6" w:space="0" w:color="auto"/>
              <w:bottom w:val="nil" w:sz="6" w:space="0" w:color="auto"/>
              <w:right w:val="nil" w:sz="6" w:space="0" w:color="auto"/>
            </w:tcBorders>
          </w:tcPr>
          <w:p>
            <w:pPr>
              <w:pStyle w:val="TableParagraph"/>
              <w:spacing w:line="310" w:lineRule="exact" w:before="205"/>
              <w:ind w:left="929" w:right="198"/>
              <w:jc w:val="left"/>
              <w:rPr>
                <w:rFonts w:ascii="宋体" w:hAnsi="宋体" w:cs="宋体" w:eastAsia="宋体" w:hint="default"/>
                <w:sz w:val="24"/>
                <w:szCs w:val="24"/>
              </w:rPr>
            </w:pPr>
            <w:r>
              <w:rPr>
                <w:rFonts w:ascii="宋体" w:hAnsi="宋体" w:cs="宋体" w:eastAsia="宋体" w:hint="default"/>
                <w:sz w:val="24"/>
                <w:szCs w:val="24"/>
              </w:rPr>
              <w:t>对固定资产的预计使用寿命、预计净残值和折旧方法于每年年度终了进行复</w:t>
            </w:r>
            <w:r>
              <w:rPr>
                <w:rFonts w:ascii="宋体" w:hAnsi="宋体" w:cs="宋体" w:eastAsia="宋体" w:hint="default"/>
                <w:spacing w:val="-64"/>
                <w:sz w:val="24"/>
                <w:szCs w:val="24"/>
              </w:rPr>
              <w:t> </w:t>
            </w:r>
            <w:r>
              <w:rPr>
                <w:rFonts w:ascii="宋体" w:hAnsi="宋体" w:cs="宋体" w:eastAsia="宋体" w:hint="default"/>
                <w:spacing w:val="-64"/>
                <w:sz w:val="24"/>
                <w:szCs w:val="24"/>
              </w:rPr>
            </w:r>
            <w:r>
              <w:rPr>
                <w:rFonts w:ascii="宋体" w:hAnsi="宋体" w:cs="宋体" w:eastAsia="宋体" w:hint="default"/>
                <w:sz w:val="24"/>
                <w:szCs w:val="24"/>
              </w:rPr>
              <w:t>核并作适当调整。</w:t>
            </w:r>
          </w:p>
        </w:tc>
      </w:tr>
      <w:tr>
        <w:trPr>
          <w:trHeight w:val="787"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85"/>
              <w:ind w:left="200" w:right="0"/>
              <w:jc w:val="left"/>
              <w:rPr>
                <w:rFonts w:ascii="Arial" w:hAnsi="Arial" w:cs="Arial" w:eastAsia="Arial" w:hint="default"/>
                <w:sz w:val="24"/>
                <w:szCs w:val="24"/>
              </w:rPr>
            </w:pPr>
            <w:r>
              <w:rPr>
                <w:rFonts w:ascii="Arial"/>
                <w:sz w:val="24"/>
              </w:rPr>
              <w:t>(c)</w:t>
            </w:r>
          </w:p>
        </w:tc>
        <w:tc>
          <w:tcPr>
            <w:tcW w:w="8339"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180"/>
              <w:ind w:left="150" w:right="200"/>
              <w:jc w:val="left"/>
              <w:rPr>
                <w:rFonts w:ascii="宋体" w:hAnsi="宋体" w:cs="宋体" w:eastAsia="宋体" w:hint="default"/>
                <w:sz w:val="24"/>
                <w:szCs w:val="24"/>
              </w:rPr>
            </w:pPr>
            <w:r>
              <w:rPr>
                <w:rFonts w:ascii="宋体" w:hAnsi="宋体" w:cs="宋体" w:eastAsia="宋体" w:hint="default"/>
                <w:spacing w:val="-1"/>
                <w:sz w:val="24"/>
                <w:szCs w:val="24"/>
              </w:rPr>
              <w:t>当固定资产的可收回金额低于其账面价值时，账面价值减记至可收回金额</w:t>
            </w:r>
            <w:r>
              <w:rPr>
                <w:rFonts w:ascii="Arial" w:hAnsi="Arial" w:cs="Arial" w:eastAsia="Arial" w:hint="default"/>
                <w:spacing w:val="-1"/>
                <w:sz w:val="24"/>
                <w:szCs w:val="24"/>
              </w:rPr>
              <w:t>(</w:t>
            </w:r>
            <w:r>
              <w:rPr>
                <w:rFonts w:ascii="宋体" w:hAnsi="宋体" w:cs="宋体" w:eastAsia="宋体" w:hint="default"/>
                <w:spacing w:val="-1"/>
                <w:sz w:val="24"/>
                <w:szCs w:val="24"/>
              </w:rPr>
              <w:t>附</w:t>
            </w:r>
            <w:r>
              <w:rPr>
                <w:rFonts w:ascii="宋体" w:hAnsi="宋体" w:cs="宋体" w:eastAsia="宋体" w:hint="default"/>
                <w:spacing w:val="-101"/>
                <w:sz w:val="24"/>
                <w:szCs w:val="24"/>
              </w:rPr>
              <w:t> </w:t>
            </w:r>
            <w:r>
              <w:rPr>
                <w:rFonts w:ascii="宋体" w:hAnsi="宋体" w:cs="宋体" w:eastAsia="宋体" w:hint="default"/>
                <w:sz w:val="24"/>
                <w:szCs w:val="24"/>
              </w:rPr>
              <w:t>注二</w:t>
            </w:r>
            <w:r>
              <w:rPr>
                <w:rFonts w:ascii="Arial" w:hAnsi="Arial" w:cs="Arial" w:eastAsia="Arial" w:hint="default"/>
                <w:sz w:val="24"/>
                <w:szCs w:val="24"/>
              </w:rPr>
              <w:t>(20))</w:t>
            </w:r>
            <w:r>
              <w:rPr>
                <w:rFonts w:ascii="宋体" w:hAnsi="宋体" w:cs="宋体" w:eastAsia="宋体" w:hint="default"/>
                <w:sz w:val="24"/>
                <w:szCs w:val="24"/>
              </w:rPr>
              <w:t>。</w:t>
            </w:r>
          </w:p>
        </w:tc>
      </w:tr>
    </w:tbl>
    <w:p>
      <w:pPr>
        <w:spacing w:after="0" w:line="312" w:lineRule="exact"/>
        <w:jc w:val="left"/>
        <w:rPr>
          <w:rFonts w:ascii="宋体" w:hAnsi="宋体" w:cs="宋体" w:eastAsia="宋体" w:hint="default"/>
          <w:sz w:val="24"/>
          <w:szCs w:val="24"/>
        </w:rPr>
        <w:sectPr>
          <w:footerReference w:type="default" r:id="rId60"/>
          <w:pgSz w:w="11910" w:h="16850"/>
          <w:pgMar w:footer="1340" w:header="795" w:top="2020" w:bottom="1540" w:left="142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73"/>
        <w:gridCol w:w="8465"/>
      </w:tblGrid>
      <w:tr>
        <w:trPr>
          <w:trHeight w:val="497"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65" w:type="dxa"/>
            <w:tcBorders>
              <w:top w:val="nil" w:sz="6" w:space="0" w:color="auto"/>
              <w:left w:val="nil" w:sz="6" w:space="0" w:color="auto"/>
              <w:bottom w:val="nil" w:sz="6" w:space="0" w:color="auto"/>
              <w:right w:val="nil" w:sz="6" w:space="0" w:color="auto"/>
            </w:tcBorders>
          </w:tcPr>
          <w:p>
            <w:pPr>
              <w:pStyle w:val="TableParagraph"/>
              <w:spacing w:line="257" w:lineRule="exact"/>
              <w:ind w:left="144"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(15)</w:t>
            </w:r>
          </w:p>
        </w:tc>
        <w:tc>
          <w:tcPr>
            <w:tcW w:w="8465"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44" w:right="0"/>
              <w:jc w:val="left"/>
              <w:rPr>
                <w:rFonts w:ascii="Arial" w:hAnsi="Arial" w:cs="Arial" w:eastAsia="Arial" w:hint="default"/>
                <w:sz w:val="24"/>
                <w:szCs w:val="24"/>
              </w:rPr>
            </w:pPr>
            <w:r>
              <w:rPr>
                <w:rFonts w:ascii="黑体" w:hAnsi="黑体" w:cs="黑体" w:eastAsia="黑体" w:hint="default"/>
                <w:sz w:val="24"/>
                <w:szCs w:val="24"/>
              </w:rPr>
              <w:t>固定资产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4"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(d)</w:t>
            </w:r>
          </w:p>
        </w:tc>
        <w:tc>
          <w:tcPr>
            <w:tcW w:w="846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4" w:right="0"/>
              <w:jc w:val="left"/>
              <w:rPr>
                <w:rFonts w:ascii="宋体" w:hAnsi="宋体" w:cs="宋体" w:eastAsia="宋体" w:hint="default"/>
                <w:sz w:val="24"/>
                <w:szCs w:val="24"/>
              </w:rPr>
            </w:pPr>
            <w:r>
              <w:rPr>
                <w:rFonts w:ascii="宋体" w:hAnsi="宋体" w:cs="宋体" w:eastAsia="宋体" w:hint="default"/>
                <w:sz w:val="24"/>
                <w:szCs w:val="24"/>
              </w:rPr>
              <w:t>固定资产的处置</w:t>
            </w:r>
          </w:p>
        </w:tc>
      </w:tr>
      <w:tr>
        <w:trPr>
          <w:trHeight w:val="1331" w:hRule="exact"/>
        </w:trPr>
        <w:tc>
          <w:tcPr>
            <w:tcW w:w="773" w:type="dxa"/>
            <w:tcBorders>
              <w:top w:val="nil" w:sz="6" w:space="0" w:color="auto"/>
              <w:left w:val="nil" w:sz="6" w:space="0" w:color="auto"/>
              <w:bottom w:val="nil" w:sz="6" w:space="0" w:color="auto"/>
              <w:right w:val="nil" w:sz="6" w:space="0" w:color="auto"/>
            </w:tcBorders>
          </w:tcPr>
          <w:p>
            <w:pPr/>
          </w:p>
        </w:tc>
        <w:tc>
          <w:tcPr>
            <w:tcW w:w="8465"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44" w:right="318"/>
              <w:jc w:val="both"/>
              <w:rPr>
                <w:rFonts w:ascii="宋体" w:hAnsi="宋体" w:cs="宋体" w:eastAsia="宋体" w:hint="default"/>
                <w:sz w:val="24"/>
                <w:szCs w:val="24"/>
              </w:rPr>
            </w:pPr>
            <w:r>
              <w:rPr>
                <w:rFonts w:ascii="宋体" w:hAnsi="宋体" w:cs="宋体" w:eastAsia="宋体" w:hint="default"/>
                <w:sz w:val="24"/>
                <w:szCs w:val="24"/>
              </w:rPr>
              <w:t>当固定资产被处置、或者预期通过使用或处置不能产生经济利益时，终止确</w:t>
            </w:r>
            <w:r>
              <w:rPr>
                <w:rFonts w:ascii="宋体" w:hAnsi="宋体" w:cs="宋体" w:eastAsia="宋体" w:hint="default"/>
                <w:spacing w:val="-55"/>
                <w:sz w:val="24"/>
                <w:szCs w:val="24"/>
              </w:rPr>
              <w:t> </w:t>
            </w:r>
            <w:r>
              <w:rPr>
                <w:rFonts w:ascii="宋体" w:hAnsi="宋体" w:cs="宋体" w:eastAsia="宋体" w:hint="default"/>
                <w:sz w:val="24"/>
                <w:szCs w:val="24"/>
              </w:rPr>
              <w:t>认该固定资产。固定资产出售、转让、报废或毁损的处置收入扣除其账面价</w:t>
            </w:r>
            <w:r>
              <w:rPr>
                <w:rFonts w:ascii="宋体" w:hAnsi="宋体" w:cs="宋体" w:eastAsia="宋体" w:hint="default"/>
                <w:spacing w:val="-55"/>
                <w:sz w:val="24"/>
                <w:szCs w:val="24"/>
              </w:rPr>
              <w:t> </w:t>
            </w:r>
            <w:r>
              <w:rPr>
                <w:rFonts w:ascii="宋体" w:hAnsi="宋体" w:cs="宋体" w:eastAsia="宋体" w:hint="default"/>
                <w:sz w:val="24"/>
                <w:szCs w:val="24"/>
              </w:rPr>
              <w:t>值和相关税费后的金额计入当期损益。</w:t>
            </w:r>
          </w:p>
        </w:tc>
      </w:tr>
      <w:tr>
        <w:trPr>
          <w:trHeight w:val="718"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85"/>
              <w:ind w:left="200" w:right="0"/>
              <w:jc w:val="left"/>
              <w:rPr>
                <w:rFonts w:ascii="Arial" w:hAnsi="Arial" w:cs="Arial" w:eastAsia="Arial" w:hint="default"/>
                <w:sz w:val="24"/>
                <w:szCs w:val="24"/>
              </w:rPr>
            </w:pPr>
            <w:r>
              <w:rPr>
                <w:rFonts w:ascii="Arial"/>
                <w:sz w:val="24"/>
              </w:rPr>
              <w:t>(16)</w:t>
            </w:r>
          </w:p>
        </w:tc>
        <w:tc>
          <w:tcPr>
            <w:tcW w:w="846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44" w:right="0"/>
              <w:jc w:val="left"/>
              <w:rPr>
                <w:rFonts w:ascii="黑体" w:hAnsi="黑体" w:cs="黑体" w:eastAsia="黑体" w:hint="default"/>
                <w:sz w:val="24"/>
                <w:szCs w:val="24"/>
              </w:rPr>
            </w:pPr>
            <w:r>
              <w:rPr>
                <w:rFonts w:ascii="黑体" w:hAnsi="黑体" w:cs="黑体" w:eastAsia="黑体" w:hint="default"/>
                <w:sz w:val="24"/>
                <w:szCs w:val="24"/>
              </w:rPr>
              <w:t>在建工程</w:t>
            </w:r>
          </w:p>
        </w:tc>
      </w:tr>
      <w:tr>
        <w:trPr>
          <w:trHeight w:val="1994" w:hRule="exact"/>
        </w:trPr>
        <w:tc>
          <w:tcPr>
            <w:tcW w:w="773" w:type="dxa"/>
            <w:tcBorders>
              <w:top w:val="nil" w:sz="6" w:space="0" w:color="auto"/>
              <w:left w:val="nil" w:sz="6" w:space="0" w:color="auto"/>
              <w:bottom w:val="nil" w:sz="6" w:space="0" w:color="auto"/>
              <w:right w:val="nil" w:sz="6" w:space="0" w:color="auto"/>
            </w:tcBorders>
          </w:tcPr>
          <w:p>
            <w:pPr/>
          </w:p>
        </w:tc>
        <w:tc>
          <w:tcPr>
            <w:tcW w:w="8465" w:type="dxa"/>
            <w:tcBorders>
              <w:top w:val="nil" w:sz="6" w:space="0" w:color="auto"/>
              <w:left w:val="nil" w:sz="6" w:space="0" w:color="auto"/>
              <w:bottom w:val="nil" w:sz="6" w:space="0" w:color="auto"/>
              <w:right w:val="nil" w:sz="6" w:space="0" w:color="auto"/>
            </w:tcBorders>
          </w:tcPr>
          <w:p>
            <w:pPr>
              <w:pStyle w:val="TableParagraph"/>
              <w:spacing w:line="237" w:lineRule="auto" w:before="183"/>
              <w:ind w:left="144" w:right="318"/>
              <w:jc w:val="both"/>
              <w:rPr>
                <w:rFonts w:ascii="宋体" w:hAnsi="宋体" w:cs="宋体" w:eastAsia="宋体" w:hint="default"/>
                <w:sz w:val="24"/>
                <w:szCs w:val="24"/>
              </w:rPr>
            </w:pPr>
            <w:r>
              <w:rPr>
                <w:rFonts w:ascii="宋体" w:hAnsi="宋体" w:cs="宋体" w:eastAsia="宋体" w:hint="default"/>
                <w:sz w:val="24"/>
                <w:szCs w:val="24"/>
              </w:rPr>
              <w:t>在建工程按实际发生的成本计量。实际成本包括建筑成本、安装成本、符合</w:t>
            </w:r>
            <w:r>
              <w:rPr>
                <w:rFonts w:ascii="宋体" w:hAnsi="宋体" w:cs="宋体" w:eastAsia="宋体" w:hint="default"/>
                <w:spacing w:val="-55"/>
                <w:sz w:val="24"/>
                <w:szCs w:val="24"/>
              </w:rPr>
              <w:t> </w:t>
            </w:r>
            <w:r>
              <w:rPr>
                <w:rFonts w:ascii="宋体" w:hAnsi="宋体" w:cs="宋体" w:eastAsia="宋体" w:hint="default"/>
                <w:sz w:val="24"/>
                <w:szCs w:val="24"/>
              </w:rPr>
              <w:t>资本化条件的借款费用以及其他为使在建工程达到预定可使用状态所发生的</w:t>
            </w:r>
            <w:r>
              <w:rPr>
                <w:rFonts w:ascii="宋体" w:hAnsi="宋体" w:cs="宋体" w:eastAsia="宋体" w:hint="default"/>
                <w:spacing w:val="-55"/>
                <w:sz w:val="24"/>
                <w:szCs w:val="24"/>
              </w:rPr>
              <w:t> </w:t>
            </w:r>
            <w:r>
              <w:rPr>
                <w:rFonts w:ascii="宋体" w:hAnsi="宋体" w:cs="宋体" w:eastAsia="宋体" w:hint="default"/>
                <w:sz w:val="24"/>
                <w:szCs w:val="24"/>
              </w:rPr>
              <w:t>必要支出。在建工程在达到预定可使用状态时，转入固定资产并自次月起开</w:t>
            </w:r>
            <w:r>
              <w:rPr>
                <w:rFonts w:ascii="宋体" w:hAnsi="宋体" w:cs="宋体" w:eastAsia="宋体" w:hint="default"/>
                <w:spacing w:val="-55"/>
                <w:sz w:val="24"/>
                <w:szCs w:val="24"/>
              </w:rPr>
              <w:t> </w:t>
            </w:r>
            <w:r>
              <w:rPr>
                <w:rFonts w:ascii="宋体" w:hAnsi="宋体" w:cs="宋体" w:eastAsia="宋体" w:hint="default"/>
                <w:sz w:val="24"/>
                <w:szCs w:val="24"/>
              </w:rPr>
              <w:t>始计提折旧。当在建工程的可收回金额低于其账面价值时，账面价值减记至</w:t>
            </w:r>
            <w:r>
              <w:rPr>
                <w:rFonts w:ascii="宋体" w:hAnsi="宋体" w:cs="宋体" w:eastAsia="宋体" w:hint="default"/>
                <w:spacing w:val="-55"/>
                <w:sz w:val="24"/>
                <w:szCs w:val="24"/>
              </w:rPr>
              <w:t> </w:t>
            </w:r>
            <w:r>
              <w:rPr>
                <w:rFonts w:ascii="宋体" w:hAnsi="宋体" w:cs="宋体" w:eastAsia="宋体" w:hint="default"/>
                <w:sz w:val="24"/>
                <w:szCs w:val="24"/>
              </w:rPr>
              <w:t>可收回金额</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(20))</w:t>
            </w:r>
            <w:r>
              <w:rPr>
                <w:rFonts w:ascii="宋体" w:hAnsi="宋体" w:cs="宋体" w:eastAsia="宋体" w:hint="default"/>
                <w:sz w:val="24"/>
                <w:szCs w:val="24"/>
              </w:rPr>
              <w:t>。</w:t>
            </w:r>
          </w:p>
        </w:tc>
      </w:tr>
      <w:tr>
        <w:trPr>
          <w:trHeight w:val="746"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(17)</w:t>
            </w:r>
          </w:p>
        </w:tc>
        <w:tc>
          <w:tcPr>
            <w:tcW w:w="8465"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56" w:right="0"/>
              <w:jc w:val="left"/>
              <w:rPr>
                <w:rFonts w:ascii="黑体" w:hAnsi="黑体" w:cs="黑体" w:eastAsia="黑体" w:hint="default"/>
                <w:sz w:val="24"/>
                <w:szCs w:val="24"/>
              </w:rPr>
            </w:pPr>
            <w:r>
              <w:rPr>
                <w:rFonts w:ascii="黑体" w:hAnsi="黑体" w:cs="黑体" w:eastAsia="黑体" w:hint="default"/>
                <w:sz w:val="24"/>
                <w:szCs w:val="24"/>
              </w:rPr>
              <w:t>借款费用</w:t>
            </w:r>
          </w:p>
        </w:tc>
      </w:tr>
      <w:tr>
        <w:trPr>
          <w:trHeight w:val="2309" w:hRule="exact"/>
        </w:trPr>
        <w:tc>
          <w:tcPr>
            <w:tcW w:w="773" w:type="dxa"/>
            <w:tcBorders>
              <w:top w:val="nil" w:sz="6" w:space="0" w:color="auto"/>
              <w:left w:val="nil" w:sz="6" w:space="0" w:color="auto"/>
              <w:bottom w:val="nil" w:sz="6" w:space="0" w:color="auto"/>
              <w:right w:val="nil" w:sz="6" w:space="0" w:color="auto"/>
            </w:tcBorders>
          </w:tcPr>
          <w:p>
            <w:pPr/>
          </w:p>
        </w:tc>
        <w:tc>
          <w:tcPr>
            <w:tcW w:w="8465"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56" w:right="312"/>
              <w:jc w:val="both"/>
              <w:rPr>
                <w:rFonts w:ascii="宋体" w:hAnsi="宋体" w:cs="宋体" w:eastAsia="宋体" w:hint="default"/>
                <w:sz w:val="24"/>
                <w:szCs w:val="24"/>
              </w:rPr>
            </w:pPr>
            <w:r>
              <w:rPr>
                <w:rFonts w:ascii="宋体" w:hAnsi="宋体" w:cs="宋体" w:eastAsia="宋体" w:hint="default"/>
                <w:sz w:val="24"/>
                <w:szCs w:val="24"/>
              </w:rPr>
              <w:t>发生的可直接归属于需要经过相当长时间的购建活动才能达到预定可使用状</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态之固定资产的购建的借款费用，在资产支出及借款费用已经发生、为使资</w:t>
            </w:r>
            <w:r>
              <w:rPr>
                <w:rFonts w:ascii="宋体" w:hAnsi="宋体" w:cs="宋体" w:eastAsia="宋体" w:hint="default"/>
                <w:spacing w:val="-60"/>
                <w:sz w:val="24"/>
                <w:szCs w:val="24"/>
              </w:rPr>
              <w:t> </w:t>
            </w:r>
            <w:r>
              <w:rPr>
                <w:rFonts w:ascii="宋体" w:hAnsi="宋体" w:cs="宋体" w:eastAsia="宋体" w:hint="default"/>
                <w:spacing w:val="-60"/>
                <w:sz w:val="24"/>
                <w:szCs w:val="24"/>
              </w:rPr>
            </w:r>
            <w:r>
              <w:rPr>
                <w:rFonts w:ascii="宋体" w:hAnsi="宋体" w:cs="宋体" w:eastAsia="宋体" w:hint="default"/>
                <w:sz w:val="24"/>
                <w:szCs w:val="24"/>
              </w:rPr>
              <w:t>产达到预定可使用状态所必要的购建活动已经开始时，开始资本化并计入该</w:t>
            </w:r>
            <w:r>
              <w:rPr>
                <w:rFonts w:ascii="宋体" w:hAnsi="宋体" w:cs="宋体" w:eastAsia="宋体" w:hint="default"/>
                <w:spacing w:val="-60"/>
                <w:sz w:val="24"/>
                <w:szCs w:val="24"/>
              </w:rPr>
              <w:t> </w:t>
            </w:r>
            <w:r>
              <w:rPr>
                <w:rFonts w:ascii="宋体" w:hAnsi="宋体" w:cs="宋体" w:eastAsia="宋体" w:hint="default"/>
                <w:spacing w:val="-60"/>
                <w:sz w:val="24"/>
                <w:szCs w:val="24"/>
              </w:rPr>
            </w:r>
            <w:r>
              <w:rPr>
                <w:rFonts w:ascii="宋体" w:hAnsi="宋体" w:cs="宋体" w:eastAsia="宋体" w:hint="default"/>
                <w:sz w:val="24"/>
                <w:szCs w:val="24"/>
              </w:rPr>
              <w:t>资产的成本。当购建的资产达到预定可使用状态时停止资本化，其后发生的</w:t>
            </w:r>
            <w:r>
              <w:rPr>
                <w:rFonts w:ascii="宋体" w:hAnsi="宋体" w:cs="宋体" w:eastAsia="宋体" w:hint="default"/>
                <w:spacing w:val="-63"/>
                <w:sz w:val="24"/>
                <w:szCs w:val="24"/>
              </w:rPr>
              <w:t> </w:t>
            </w:r>
            <w:r>
              <w:rPr>
                <w:rFonts w:ascii="宋体" w:hAnsi="宋体" w:cs="宋体" w:eastAsia="宋体" w:hint="default"/>
                <w:spacing w:val="-63"/>
                <w:sz w:val="24"/>
                <w:szCs w:val="24"/>
              </w:rPr>
            </w:r>
            <w:r>
              <w:rPr>
                <w:rFonts w:ascii="宋体" w:hAnsi="宋体" w:cs="宋体" w:eastAsia="宋体" w:hint="default"/>
                <w:sz w:val="24"/>
                <w:szCs w:val="24"/>
              </w:rPr>
              <w:t>借款费用计入当期损益。如果资产的购建活动发生非正常中断，并且中断时</w:t>
            </w:r>
          </w:p>
          <w:p>
            <w:pPr>
              <w:pStyle w:val="TableParagraph"/>
              <w:spacing w:line="329" w:lineRule="exact"/>
              <w:ind w:left="156" w:right="0"/>
              <w:jc w:val="both"/>
              <w:rPr>
                <w:rFonts w:ascii="宋体" w:hAnsi="宋体" w:cs="宋体" w:eastAsia="宋体" w:hint="default"/>
                <w:sz w:val="24"/>
                <w:szCs w:val="24"/>
              </w:rPr>
            </w:pPr>
            <w:r>
              <w:rPr>
                <w:rFonts w:ascii="宋体" w:hAnsi="宋体" w:cs="宋体" w:eastAsia="宋体" w:hint="default"/>
                <w:sz w:val="24"/>
                <w:szCs w:val="24"/>
              </w:rPr>
              <w:t>间连续超过</w:t>
            </w:r>
            <w:r>
              <w:rPr>
                <w:rFonts w:ascii="宋体" w:hAnsi="宋体" w:cs="宋体" w:eastAsia="宋体" w:hint="default"/>
                <w:spacing w:val="-53"/>
                <w:sz w:val="24"/>
                <w:szCs w:val="24"/>
              </w:rPr>
              <w:t> </w:t>
            </w:r>
            <w:r>
              <w:rPr>
                <w:rFonts w:ascii="Arial" w:hAnsi="Arial" w:cs="Arial" w:eastAsia="Arial" w:hint="default"/>
                <w:sz w:val="24"/>
                <w:szCs w:val="24"/>
              </w:rPr>
              <w:t>3</w:t>
            </w:r>
            <w:r>
              <w:rPr>
                <w:rFonts w:ascii="Arial" w:hAnsi="Arial" w:cs="Arial" w:eastAsia="Arial" w:hint="default"/>
                <w:spacing w:val="2"/>
                <w:sz w:val="24"/>
                <w:szCs w:val="24"/>
              </w:rPr>
              <w:t> </w:t>
            </w:r>
            <w:r>
              <w:rPr>
                <w:rFonts w:ascii="宋体" w:hAnsi="宋体" w:cs="宋体" w:eastAsia="宋体" w:hint="default"/>
                <w:spacing w:val="-3"/>
                <w:sz w:val="24"/>
                <w:szCs w:val="24"/>
              </w:rPr>
              <w:t>个月，暂停借款费用的资本化，直至资产的购建活动重新开始。</w:t>
            </w:r>
          </w:p>
        </w:tc>
      </w:tr>
      <w:tr>
        <w:trPr>
          <w:trHeight w:val="1676" w:hRule="exact"/>
        </w:trPr>
        <w:tc>
          <w:tcPr>
            <w:tcW w:w="773" w:type="dxa"/>
            <w:tcBorders>
              <w:top w:val="nil" w:sz="6" w:space="0" w:color="auto"/>
              <w:left w:val="nil" w:sz="6" w:space="0" w:color="auto"/>
              <w:bottom w:val="nil" w:sz="6" w:space="0" w:color="auto"/>
              <w:right w:val="nil" w:sz="6" w:space="0" w:color="auto"/>
            </w:tcBorders>
          </w:tcPr>
          <w:p>
            <w:pPr/>
          </w:p>
        </w:tc>
        <w:tc>
          <w:tcPr>
            <w:tcW w:w="8465" w:type="dxa"/>
            <w:tcBorders>
              <w:top w:val="nil" w:sz="6" w:space="0" w:color="auto"/>
              <w:left w:val="nil" w:sz="6" w:space="0" w:color="auto"/>
              <w:bottom w:val="nil" w:sz="6" w:space="0" w:color="auto"/>
              <w:right w:val="nil" w:sz="6" w:space="0" w:color="auto"/>
            </w:tcBorders>
          </w:tcPr>
          <w:p>
            <w:pPr>
              <w:pStyle w:val="TableParagraph"/>
              <w:spacing w:line="237" w:lineRule="auto" w:before="177"/>
              <w:ind w:left="156" w:right="312"/>
              <w:jc w:val="both"/>
              <w:rPr>
                <w:rFonts w:ascii="宋体" w:hAnsi="宋体" w:cs="宋体" w:eastAsia="宋体" w:hint="default"/>
                <w:sz w:val="24"/>
                <w:szCs w:val="24"/>
              </w:rPr>
            </w:pPr>
            <w:r>
              <w:rPr>
                <w:rFonts w:ascii="宋体" w:hAnsi="宋体" w:cs="宋体" w:eastAsia="宋体" w:hint="default"/>
                <w:sz w:val="24"/>
                <w:szCs w:val="24"/>
              </w:rPr>
              <w:t>对于为购建符合资本化条件的固定资产而借入的专门借款，以专门借款当期</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实际发生的利息费用减去尚未动用的借款资金存入银行取得的利息收入或进</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pacing w:val="9"/>
                <w:sz w:val="24"/>
                <w:szCs w:val="24"/>
              </w:rPr>
              <w:t>行暂时性投资取得的投资收益后的金额确定专门借款借款费用的资本化金</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额。</w:t>
            </w:r>
          </w:p>
        </w:tc>
      </w:tr>
      <w:tr>
        <w:trPr>
          <w:trHeight w:val="1739" w:hRule="exact"/>
        </w:trPr>
        <w:tc>
          <w:tcPr>
            <w:tcW w:w="773" w:type="dxa"/>
            <w:tcBorders>
              <w:top w:val="nil" w:sz="6" w:space="0" w:color="auto"/>
              <w:left w:val="nil" w:sz="6" w:space="0" w:color="auto"/>
              <w:bottom w:val="nil" w:sz="6" w:space="0" w:color="auto"/>
              <w:right w:val="nil" w:sz="6" w:space="0" w:color="auto"/>
            </w:tcBorders>
          </w:tcPr>
          <w:p>
            <w:pPr/>
          </w:p>
        </w:tc>
        <w:tc>
          <w:tcPr>
            <w:tcW w:w="8465"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56" w:right="313"/>
              <w:jc w:val="both"/>
              <w:rPr>
                <w:rFonts w:ascii="宋体" w:hAnsi="宋体" w:cs="宋体" w:eastAsia="宋体" w:hint="default"/>
                <w:sz w:val="24"/>
                <w:szCs w:val="24"/>
              </w:rPr>
            </w:pPr>
            <w:r>
              <w:rPr>
                <w:rFonts w:ascii="宋体" w:hAnsi="宋体" w:cs="宋体" w:eastAsia="宋体" w:hint="default"/>
                <w:sz w:val="24"/>
                <w:szCs w:val="24"/>
              </w:rPr>
              <w:t>对于为购建符合资本化条件的固定资产而占用的一般借款，按照累计资产支</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出超过专门借款部分的资本支出加权平均数乘以所占用一般借款的加权平均</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实际利率计算确定一般借款借款费用的资本化金额。实际利率为将借款在预</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期存续期间或适用的更短期间内的未来现金流量折现为该借款初始确认金额</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所使用的利率。</w:t>
            </w:r>
          </w:p>
        </w:tc>
      </w:tr>
    </w:tbl>
    <w:p>
      <w:pPr>
        <w:spacing w:after="0" w:line="237" w:lineRule="auto"/>
        <w:jc w:val="both"/>
        <w:rPr>
          <w:rFonts w:ascii="宋体" w:hAnsi="宋体" w:cs="宋体" w:eastAsia="宋体"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79"/>
        <w:gridCol w:w="8343"/>
      </w:tblGrid>
      <w:tr>
        <w:trPr>
          <w:trHeight w:val="495"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43"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4"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(18)</w:t>
            </w:r>
          </w:p>
        </w:tc>
        <w:tc>
          <w:tcPr>
            <w:tcW w:w="834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0" w:right="0"/>
              <w:jc w:val="left"/>
              <w:rPr>
                <w:rFonts w:ascii="黑体" w:hAnsi="黑体" w:cs="黑体" w:eastAsia="黑体" w:hint="default"/>
                <w:sz w:val="24"/>
                <w:szCs w:val="24"/>
              </w:rPr>
            </w:pPr>
            <w:r>
              <w:rPr>
                <w:rFonts w:ascii="黑体" w:hAnsi="黑体" w:cs="黑体" w:eastAsia="黑体" w:hint="default"/>
                <w:sz w:val="24"/>
                <w:szCs w:val="24"/>
              </w:rPr>
              <w:t>无形资产</w:t>
            </w:r>
          </w:p>
        </w:tc>
      </w:tr>
      <w:tr>
        <w:trPr>
          <w:trHeight w:val="744" w:hRule="exact"/>
        </w:trPr>
        <w:tc>
          <w:tcPr>
            <w:tcW w:w="779" w:type="dxa"/>
            <w:tcBorders>
              <w:top w:val="nil" w:sz="6" w:space="0" w:color="auto"/>
              <w:left w:val="nil" w:sz="6" w:space="0" w:color="auto"/>
              <w:bottom w:val="nil" w:sz="6" w:space="0" w:color="auto"/>
              <w:right w:val="nil" w:sz="6" w:space="0" w:color="auto"/>
            </w:tcBorders>
          </w:tcPr>
          <w:p>
            <w:pPr/>
          </w:p>
        </w:tc>
        <w:tc>
          <w:tcPr>
            <w:tcW w:w="8343"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50" w:right="0"/>
              <w:jc w:val="left"/>
              <w:rPr>
                <w:rFonts w:ascii="宋体" w:hAnsi="宋体" w:cs="宋体" w:eastAsia="宋体" w:hint="default"/>
                <w:sz w:val="24"/>
                <w:szCs w:val="24"/>
              </w:rPr>
            </w:pPr>
            <w:r>
              <w:rPr>
                <w:rFonts w:ascii="宋体" w:hAnsi="宋体" w:cs="宋体" w:eastAsia="宋体" w:hint="default"/>
                <w:sz w:val="24"/>
                <w:szCs w:val="24"/>
              </w:rPr>
              <w:t>无形资产包括土地使用权、软件、优惠承租权、商标及客户关系等。</w:t>
            </w:r>
          </w:p>
        </w:tc>
      </w:tr>
      <w:tr>
        <w:trPr>
          <w:trHeight w:val="752"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343"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50" w:right="0"/>
              <w:jc w:val="left"/>
              <w:rPr>
                <w:rFonts w:ascii="宋体" w:hAnsi="宋体" w:cs="宋体" w:eastAsia="宋体" w:hint="default"/>
                <w:sz w:val="24"/>
                <w:szCs w:val="24"/>
              </w:rPr>
            </w:pPr>
            <w:r>
              <w:rPr>
                <w:rFonts w:ascii="宋体" w:hAnsi="宋体" w:cs="宋体" w:eastAsia="宋体" w:hint="default"/>
                <w:sz w:val="24"/>
                <w:szCs w:val="24"/>
              </w:rPr>
              <w:t>土地使用权</w:t>
            </w:r>
          </w:p>
        </w:tc>
      </w:tr>
      <w:tr>
        <w:trPr>
          <w:trHeight w:val="1033" w:hRule="exact"/>
        </w:trPr>
        <w:tc>
          <w:tcPr>
            <w:tcW w:w="779" w:type="dxa"/>
            <w:tcBorders>
              <w:top w:val="nil" w:sz="6" w:space="0" w:color="auto"/>
              <w:left w:val="nil" w:sz="6" w:space="0" w:color="auto"/>
              <w:bottom w:val="nil" w:sz="6" w:space="0" w:color="auto"/>
              <w:right w:val="nil" w:sz="6" w:space="0" w:color="auto"/>
            </w:tcBorders>
          </w:tcPr>
          <w:p>
            <w:pPr/>
          </w:p>
        </w:tc>
        <w:tc>
          <w:tcPr>
            <w:tcW w:w="8343"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150" w:right="202"/>
              <w:jc w:val="left"/>
              <w:rPr>
                <w:rFonts w:ascii="宋体" w:hAnsi="宋体" w:cs="宋体" w:eastAsia="宋体" w:hint="default"/>
                <w:sz w:val="24"/>
                <w:szCs w:val="24"/>
              </w:rPr>
            </w:pPr>
            <w:r>
              <w:rPr>
                <w:rFonts w:ascii="宋体" w:hAnsi="宋体" w:cs="宋体" w:eastAsia="宋体" w:hint="default"/>
                <w:sz w:val="24"/>
                <w:szCs w:val="24"/>
              </w:rPr>
              <w:t>土地使用权按使用年限</w:t>
            </w:r>
            <w:r>
              <w:rPr>
                <w:rFonts w:ascii="宋体" w:hAnsi="宋体" w:cs="宋体" w:eastAsia="宋体" w:hint="default"/>
                <w:spacing w:val="-59"/>
                <w:sz w:val="24"/>
                <w:szCs w:val="24"/>
              </w:rPr>
              <w:t> </w:t>
            </w:r>
            <w:r>
              <w:rPr>
                <w:rFonts w:ascii="Arial" w:hAnsi="Arial" w:cs="Arial" w:eastAsia="Arial" w:hint="default"/>
                <w:sz w:val="24"/>
                <w:szCs w:val="24"/>
              </w:rPr>
              <w:t>40</w:t>
            </w:r>
            <w:r>
              <w:rPr>
                <w:rFonts w:ascii="Arial" w:hAnsi="Arial" w:cs="Arial" w:eastAsia="Arial" w:hint="default"/>
                <w:spacing w:val="56"/>
                <w:sz w:val="24"/>
                <w:szCs w:val="24"/>
              </w:rPr>
              <w:t> </w:t>
            </w:r>
            <w:r>
              <w:rPr>
                <w:rFonts w:ascii="宋体" w:hAnsi="宋体" w:cs="宋体" w:eastAsia="宋体" w:hint="default"/>
                <w:sz w:val="24"/>
                <w:szCs w:val="24"/>
              </w:rPr>
              <w:t>至</w:t>
            </w:r>
            <w:r>
              <w:rPr>
                <w:rFonts w:ascii="宋体" w:hAnsi="宋体" w:cs="宋体" w:eastAsia="宋体" w:hint="default"/>
                <w:spacing w:val="-59"/>
                <w:sz w:val="24"/>
                <w:szCs w:val="24"/>
              </w:rPr>
              <w:t> </w:t>
            </w:r>
            <w:r>
              <w:rPr>
                <w:rFonts w:ascii="Arial" w:hAnsi="Arial" w:cs="Arial" w:eastAsia="Arial" w:hint="default"/>
                <w:sz w:val="24"/>
                <w:szCs w:val="24"/>
              </w:rPr>
              <w:t>50</w:t>
            </w:r>
            <w:r>
              <w:rPr>
                <w:rFonts w:ascii="Arial" w:hAnsi="Arial" w:cs="Arial" w:eastAsia="Arial" w:hint="default"/>
                <w:spacing w:val="-5"/>
                <w:sz w:val="24"/>
                <w:szCs w:val="24"/>
              </w:rPr>
              <w:t> </w:t>
            </w:r>
            <w:r>
              <w:rPr>
                <w:rFonts w:ascii="宋体" w:hAnsi="宋体" w:cs="宋体" w:eastAsia="宋体" w:hint="default"/>
                <w:spacing w:val="-3"/>
                <w:sz w:val="24"/>
                <w:szCs w:val="24"/>
              </w:rPr>
              <w:t>年平均摊销。外购土地及建筑物的价款难以</w:t>
            </w:r>
            <w:r>
              <w:rPr>
                <w:rFonts w:ascii="宋体" w:hAnsi="宋体" w:cs="宋体" w:eastAsia="宋体" w:hint="default"/>
                <w:sz w:val="24"/>
                <w:szCs w:val="24"/>
              </w:rPr>
              <w:t> 在土地使用权与建筑物之间合理分配的，全部作为固定资产。</w:t>
            </w:r>
          </w:p>
        </w:tc>
      </w:tr>
      <w:tr>
        <w:trPr>
          <w:trHeight w:val="732"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99"/>
              <w:ind w:left="200" w:right="0"/>
              <w:jc w:val="left"/>
              <w:rPr>
                <w:rFonts w:ascii="Arial" w:hAnsi="Arial" w:cs="Arial" w:eastAsia="Arial" w:hint="default"/>
                <w:sz w:val="24"/>
                <w:szCs w:val="24"/>
              </w:rPr>
            </w:pPr>
            <w:r>
              <w:rPr>
                <w:rFonts w:ascii="Arial"/>
                <w:sz w:val="24"/>
              </w:rPr>
              <w:t>(b)</w:t>
            </w:r>
          </w:p>
        </w:tc>
        <w:tc>
          <w:tcPr>
            <w:tcW w:w="8343"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50" w:right="0"/>
              <w:jc w:val="left"/>
              <w:rPr>
                <w:rFonts w:ascii="宋体" w:hAnsi="宋体" w:cs="宋体" w:eastAsia="宋体" w:hint="default"/>
                <w:sz w:val="24"/>
                <w:szCs w:val="24"/>
              </w:rPr>
            </w:pPr>
            <w:r>
              <w:rPr>
                <w:rFonts w:ascii="宋体" w:hAnsi="宋体" w:cs="宋体" w:eastAsia="宋体" w:hint="default"/>
                <w:sz w:val="24"/>
                <w:szCs w:val="24"/>
              </w:rPr>
              <w:t>软件</w:t>
            </w:r>
          </w:p>
        </w:tc>
      </w:tr>
      <w:tr>
        <w:trPr>
          <w:trHeight w:val="750" w:hRule="exact"/>
        </w:trPr>
        <w:tc>
          <w:tcPr>
            <w:tcW w:w="779" w:type="dxa"/>
            <w:tcBorders>
              <w:top w:val="nil" w:sz="6" w:space="0" w:color="auto"/>
              <w:left w:val="nil" w:sz="6" w:space="0" w:color="auto"/>
              <w:bottom w:val="nil" w:sz="6" w:space="0" w:color="auto"/>
              <w:right w:val="nil" w:sz="6" w:space="0" w:color="auto"/>
            </w:tcBorders>
          </w:tcPr>
          <w:p>
            <w:pPr/>
          </w:p>
        </w:tc>
        <w:tc>
          <w:tcPr>
            <w:tcW w:w="8343"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50" w:right="0"/>
              <w:jc w:val="left"/>
              <w:rPr>
                <w:rFonts w:ascii="宋体" w:hAnsi="宋体" w:cs="宋体" w:eastAsia="宋体" w:hint="default"/>
                <w:sz w:val="24"/>
                <w:szCs w:val="24"/>
              </w:rPr>
            </w:pPr>
            <w:r>
              <w:rPr>
                <w:rFonts w:ascii="宋体" w:hAnsi="宋体" w:cs="宋体" w:eastAsia="宋体" w:hint="default"/>
                <w:sz w:val="24"/>
                <w:szCs w:val="24"/>
              </w:rPr>
              <w:t>软件以实际成本计量，按预计使用年限</w:t>
            </w:r>
            <w:r>
              <w:rPr>
                <w:rFonts w:ascii="宋体" w:hAnsi="宋体" w:cs="宋体" w:eastAsia="宋体" w:hint="default"/>
                <w:spacing w:val="-60"/>
                <w:sz w:val="24"/>
                <w:szCs w:val="24"/>
              </w:rPr>
              <w:t> </w:t>
            </w:r>
            <w:r>
              <w:rPr>
                <w:rFonts w:ascii="Arial" w:hAnsi="Arial" w:cs="Arial" w:eastAsia="Arial" w:hint="default"/>
                <w:sz w:val="24"/>
                <w:szCs w:val="24"/>
              </w:rPr>
              <w:t>5</w:t>
            </w:r>
            <w:r>
              <w:rPr>
                <w:rFonts w:ascii="Arial" w:hAnsi="Arial" w:cs="Arial" w:eastAsia="Arial" w:hint="default"/>
                <w:spacing w:val="-6"/>
                <w:sz w:val="24"/>
                <w:szCs w:val="24"/>
              </w:rPr>
              <w:t> </w:t>
            </w:r>
            <w:r>
              <w:rPr>
                <w:rFonts w:ascii="宋体" w:hAnsi="宋体" w:cs="宋体" w:eastAsia="宋体" w:hint="default"/>
                <w:sz w:val="24"/>
                <w:szCs w:val="24"/>
              </w:rPr>
              <w:t>年平均摊销。</w:t>
            </w:r>
          </w:p>
        </w:tc>
      </w:tr>
      <w:tr>
        <w:trPr>
          <w:trHeight w:val="744"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(c)</w:t>
            </w:r>
          </w:p>
        </w:tc>
        <w:tc>
          <w:tcPr>
            <w:tcW w:w="834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0" w:right="0"/>
              <w:jc w:val="left"/>
              <w:rPr>
                <w:rFonts w:ascii="宋体" w:hAnsi="宋体" w:cs="宋体" w:eastAsia="宋体" w:hint="default"/>
                <w:sz w:val="24"/>
                <w:szCs w:val="24"/>
              </w:rPr>
            </w:pPr>
            <w:r>
              <w:rPr>
                <w:rFonts w:ascii="宋体" w:hAnsi="宋体" w:cs="宋体" w:eastAsia="宋体" w:hint="default"/>
                <w:sz w:val="24"/>
                <w:szCs w:val="24"/>
              </w:rPr>
              <w:t>优惠承租权</w:t>
            </w:r>
          </w:p>
        </w:tc>
      </w:tr>
      <w:tr>
        <w:trPr>
          <w:trHeight w:val="1366" w:hRule="exact"/>
        </w:trPr>
        <w:tc>
          <w:tcPr>
            <w:tcW w:w="779" w:type="dxa"/>
            <w:tcBorders>
              <w:top w:val="nil" w:sz="6" w:space="0" w:color="auto"/>
              <w:left w:val="nil" w:sz="6" w:space="0" w:color="auto"/>
              <w:bottom w:val="nil" w:sz="6" w:space="0" w:color="auto"/>
              <w:right w:val="nil" w:sz="6" w:space="0" w:color="auto"/>
            </w:tcBorders>
          </w:tcPr>
          <w:p>
            <w:pPr/>
          </w:p>
        </w:tc>
        <w:tc>
          <w:tcPr>
            <w:tcW w:w="8343"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50" w:right="203"/>
              <w:jc w:val="both"/>
              <w:rPr>
                <w:rFonts w:ascii="宋体" w:hAnsi="宋体" w:cs="宋体" w:eastAsia="宋体" w:hint="default"/>
                <w:sz w:val="24"/>
                <w:szCs w:val="24"/>
              </w:rPr>
            </w:pPr>
            <w:r>
              <w:rPr>
                <w:rFonts w:ascii="宋体" w:hAnsi="宋体" w:cs="宋体" w:eastAsia="宋体" w:hint="default"/>
                <w:sz w:val="24"/>
                <w:szCs w:val="24"/>
              </w:rPr>
              <w:t>优惠承租权是在业务合并过程中确认的无形资产，系本集团由于承接低于市</w:t>
            </w:r>
            <w:r>
              <w:rPr>
                <w:rFonts w:ascii="宋体" w:hAnsi="宋体" w:cs="宋体" w:eastAsia="宋体" w:hint="default"/>
                <w:spacing w:val="-62"/>
                <w:sz w:val="24"/>
                <w:szCs w:val="24"/>
              </w:rPr>
              <w:t> </w:t>
            </w:r>
            <w:r>
              <w:rPr>
                <w:rFonts w:ascii="宋体" w:hAnsi="宋体" w:cs="宋体" w:eastAsia="宋体" w:hint="default"/>
                <w:spacing w:val="-62"/>
                <w:sz w:val="24"/>
                <w:szCs w:val="24"/>
              </w:rPr>
            </w:r>
            <w:r>
              <w:rPr>
                <w:rFonts w:ascii="宋体" w:hAnsi="宋体" w:cs="宋体" w:eastAsia="宋体" w:hint="default"/>
                <w:sz w:val="24"/>
                <w:szCs w:val="24"/>
              </w:rPr>
              <w:t>场价格的租约而支付的对价。优惠承租权以公允价值入账，并按其预计受益</w:t>
            </w:r>
            <w:r>
              <w:rPr>
                <w:rFonts w:ascii="宋体" w:hAnsi="宋体" w:cs="宋体" w:eastAsia="宋体" w:hint="default"/>
                <w:spacing w:val="-62"/>
                <w:sz w:val="24"/>
                <w:szCs w:val="24"/>
              </w:rPr>
              <w:t> </w:t>
            </w:r>
            <w:r>
              <w:rPr>
                <w:rFonts w:ascii="宋体" w:hAnsi="宋体" w:cs="宋体" w:eastAsia="宋体" w:hint="default"/>
                <w:spacing w:val="-62"/>
                <w:sz w:val="24"/>
                <w:szCs w:val="24"/>
              </w:rPr>
            </w:r>
            <w:r>
              <w:rPr>
                <w:rFonts w:ascii="宋体" w:hAnsi="宋体" w:cs="宋体" w:eastAsia="宋体" w:hint="default"/>
                <w:sz w:val="24"/>
                <w:szCs w:val="24"/>
              </w:rPr>
              <w:t>期间分期平均摊销。</w:t>
            </w:r>
          </w:p>
        </w:tc>
      </w:tr>
      <w:tr>
        <w:trPr>
          <w:trHeight w:val="751"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(d)</w:t>
            </w:r>
          </w:p>
        </w:tc>
        <w:tc>
          <w:tcPr>
            <w:tcW w:w="8343"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50" w:right="0"/>
              <w:jc w:val="left"/>
              <w:rPr>
                <w:rFonts w:ascii="宋体" w:hAnsi="宋体" w:cs="宋体" w:eastAsia="宋体" w:hint="default"/>
                <w:sz w:val="24"/>
                <w:szCs w:val="24"/>
              </w:rPr>
            </w:pPr>
            <w:r>
              <w:rPr>
                <w:rFonts w:ascii="宋体" w:hAnsi="宋体" w:cs="宋体" w:eastAsia="宋体" w:hint="default"/>
                <w:sz w:val="24"/>
                <w:szCs w:val="24"/>
              </w:rPr>
              <w:t>商标及客户关系</w:t>
            </w:r>
          </w:p>
        </w:tc>
      </w:tr>
      <w:tr>
        <w:trPr>
          <w:trHeight w:val="805" w:hRule="exact"/>
        </w:trPr>
        <w:tc>
          <w:tcPr>
            <w:tcW w:w="779" w:type="dxa"/>
            <w:tcBorders>
              <w:top w:val="nil" w:sz="6" w:space="0" w:color="auto"/>
              <w:left w:val="nil" w:sz="6" w:space="0" w:color="auto"/>
              <w:bottom w:val="nil" w:sz="6" w:space="0" w:color="auto"/>
              <w:right w:val="nil" w:sz="6" w:space="0" w:color="auto"/>
            </w:tcBorders>
          </w:tcPr>
          <w:p>
            <w:pPr/>
          </w:p>
        </w:tc>
        <w:tc>
          <w:tcPr>
            <w:tcW w:w="8343"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150" w:right="198"/>
              <w:jc w:val="left"/>
              <w:rPr>
                <w:rFonts w:ascii="宋体" w:hAnsi="宋体" w:cs="宋体" w:eastAsia="宋体" w:hint="default"/>
                <w:sz w:val="24"/>
                <w:szCs w:val="24"/>
              </w:rPr>
            </w:pPr>
            <w:r>
              <w:rPr>
                <w:rFonts w:ascii="宋体" w:hAnsi="宋体" w:cs="宋体" w:eastAsia="宋体" w:hint="default"/>
                <w:sz w:val="24"/>
                <w:szCs w:val="24"/>
              </w:rPr>
              <w:t>商标及客户关系是在业务合并过程中确认的无形资产。商标及客户关系以公</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允价值入账，并按其预计受益期间分期平均分摊。</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tbl>
      <w:tblPr>
        <w:tblW w:w="0" w:type="auto"/>
        <w:jc w:val="left"/>
        <w:tblInd w:w="108" w:type="dxa"/>
        <w:tblLayout w:type="fixed"/>
        <w:tblCellMar>
          <w:top w:w="0" w:type="dxa"/>
          <w:left w:w="0" w:type="dxa"/>
          <w:bottom w:w="0" w:type="dxa"/>
          <w:right w:w="0" w:type="dxa"/>
        </w:tblCellMar>
        <w:tblLook w:val="01E0"/>
      </w:tblPr>
      <w:tblGrid>
        <w:gridCol w:w="711"/>
        <w:gridCol w:w="8410"/>
      </w:tblGrid>
      <w:tr>
        <w:trPr>
          <w:trHeight w:val="501"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(e)</w:t>
            </w:r>
          </w:p>
        </w:tc>
        <w:tc>
          <w:tcPr>
            <w:tcW w:w="8410" w:type="dxa"/>
            <w:tcBorders>
              <w:top w:val="nil" w:sz="6" w:space="0" w:color="auto"/>
              <w:left w:val="nil" w:sz="6" w:space="0" w:color="auto"/>
              <w:bottom w:val="nil" w:sz="6" w:space="0" w:color="auto"/>
              <w:right w:val="nil" w:sz="6" w:space="0" w:color="auto"/>
            </w:tcBorders>
          </w:tcPr>
          <w:p>
            <w:pPr>
              <w:pStyle w:val="TableParagraph"/>
              <w:spacing w:line="247" w:lineRule="exact"/>
              <w:ind w:left="218" w:right="0"/>
              <w:jc w:val="left"/>
              <w:rPr>
                <w:rFonts w:ascii="宋体" w:hAnsi="宋体" w:cs="宋体" w:eastAsia="宋体" w:hint="default"/>
                <w:sz w:val="24"/>
                <w:szCs w:val="24"/>
              </w:rPr>
            </w:pPr>
            <w:r>
              <w:rPr>
                <w:rFonts w:ascii="宋体" w:hAnsi="宋体" w:cs="宋体" w:eastAsia="宋体" w:hint="default"/>
                <w:sz w:val="24"/>
                <w:szCs w:val="24"/>
              </w:rPr>
              <w:t>定期复核使用寿命和摊销方法</w:t>
            </w:r>
          </w:p>
        </w:tc>
      </w:tr>
      <w:tr>
        <w:trPr>
          <w:trHeight w:val="803" w:hRule="exact"/>
        </w:trPr>
        <w:tc>
          <w:tcPr>
            <w:tcW w:w="711" w:type="dxa"/>
            <w:tcBorders>
              <w:top w:val="nil" w:sz="6" w:space="0" w:color="auto"/>
              <w:left w:val="nil" w:sz="6" w:space="0" w:color="auto"/>
              <w:bottom w:val="nil" w:sz="6" w:space="0" w:color="auto"/>
              <w:right w:val="nil" w:sz="6" w:space="0" w:color="auto"/>
            </w:tcBorders>
          </w:tcPr>
          <w:p>
            <w:pPr/>
          </w:p>
        </w:tc>
        <w:tc>
          <w:tcPr>
            <w:tcW w:w="8410"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218" w:right="198"/>
              <w:jc w:val="left"/>
              <w:rPr>
                <w:rFonts w:ascii="宋体" w:hAnsi="宋体" w:cs="宋体" w:eastAsia="宋体" w:hint="default"/>
                <w:sz w:val="24"/>
                <w:szCs w:val="24"/>
              </w:rPr>
            </w:pPr>
            <w:r>
              <w:rPr>
                <w:rFonts w:ascii="宋体" w:hAnsi="宋体" w:cs="宋体" w:eastAsia="宋体" w:hint="default"/>
                <w:sz w:val="24"/>
                <w:szCs w:val="24"/>
              </w:rPr>
              <w:t>对使用寿命有限的无形资产的预计使用寿命及摊销方法于每年年度终了进行</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复核并作适当调整。</w:t>
            </w:r>
          </w:p>
        </w:tc>
      </w:tr>
    </w:tbl>
    <w:p>
      <w:pPr>
        <w:spacing w:after="0" w:line="310" w:lineRule="exact"/>
        <w:jc w:val="left"/>
        <w:rPr>
          <w:rFonts w:ascii="宋体" w:hAnsi="宋体" w:cs="宋体" w:eastAsia="宋体"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79"/>
        <w:gridCol w:w="8343"/>
      </w:tblGrid>
      <w:tr>
        <w:trPr>
          <w:trHeight w:val="495"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43"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6"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(18)</w:t>
            </w:r>
          </w:p>
        </w:tc>
        <w:tc>
          <w:tcPr>
            <w:tcW w:w="834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0" w:right="0"/>
              <w:jc w:val="left"/>
              <w:rPr>
                <w:rFonts w:ascii="Arial" w:hAnsi="Arial" w:cs="Arial" w:eastAsia="Arial" w:hint="default"/>
                <w:sz w:val="24"/>
                <w:szCs w:val="24"/>
              </w:rPr>
            </w:pPr>
            <w:r>
              <w:rPr>
                <w:rFonts w:ascii="黑体" w:hAnsi="黑体" w:cs="黑体" w:eastAsia="黑体" w:hint="default"/>
                <w:sz w:val="24"/>
                <w:szCs w:val="24"/>
              </w:rPr>
              <w:t>无形资产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5"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(f)</w:t>
            </w:r>
          </w:p>
        </w:tc>
        <w:tc>
          <w:tcPr>
            <w:tcW w:w="834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0" w:right="0"/>
              <w:jc w:val="left"/>
              <w:rPr>
                <w:rFonts w:ascii="宋体" w:hAnsi="宋体" w:cs="宋体" w:eastAsia="宋体" w:hint="default"/>
                <w:sz w:val="24"/>
                <w:szCs w:val="24"/>
              </w:rPr>
            </w:pPr>
            <w:r>
              <w:rPr>
                <w:rFonts w:ascii="宋体" w:hAnsi="宋体" w:cs="宋体" w:eastAsia="宋体" w:hint="default"/>
                <w:sz w:val="24"/>
                <w:szCs w:val="24"/>
              </w:rPr>
              <w:t>研究与开发</w:t>
            </w:r>
          </w:p>
        </w:tc>
      </w:tr>
      <w:tr>
        <w:trPr>
          <w:trHeight w:val="1370" w:hRule="exact"/>
        </w:trPr>
        <w:tc>
          <w:tcPr>
            <w:tcW w:w="779" w:type="dxa"/>
            <w:tcBorders>
              <w:top w:val="nil" w:sz="6" w:space="0" w:color="auto"/>
              <w:left w:val="nil" w:sz="6" w:space="0" w:color="auto"/>
              <w:bottom w:val="nil" w:sz="6" w:space="0" w:color="auto"/>
              <w:right w:val="nil" w:sz="6" w:space="0" w:color="auto"/>
            </w:tcBorders>
          </w:tcPr>
          <w:p>
            <w:pPr/>
          </w:p>
        </w:tc>
        <w:tc>
          <w:tcPr>
            <w:tcW w:w="8343" w:type="dxa"/>
            <w:tcBorders>
              <w:top w:val="nil" w:sz="6" w:space="0" w:color="auto"/>
              <w:left w:val="nil" w:sz="6" w:space="0" w:color="auto"/>
              <w:bottom w:val="nil" w:sz="6" w:space="0" w:color="auto"/>
              <w:right w:val="nil" w:sz="6" w:space="0" w:color="auto"/>
            </w:tcBorders>
          </w:tcPr>
          <w:p>
            <w:pPr>
              <w:pStyle w:val="TableParagraph"/>
              <w:spacing w:line="237" w:lineRule="auto" w:before="183"/>
              <w:ind w:left="150" w:right="199"/>
              <w:jc w:val="both"/>
              <w:rPr>
                <w:rFonts w:ascii="宋体" w:hAnsi="宋体" w:cs="宋体" w:eastAsia="宋体" w:hint="default"/>
                <w:sz w:val="24"/>
                <w:szCs w:val="24"/>
              </w:rPr>
            </w:pPr>
            <w:r>
              <w:rPr>
                <w:rFonts w:ascii="宋体" w:hAnsi="宋体" w:cs="宋体" w:eastAsia="宋体" w:hint="default"/>
                <w:sz w:val="24"/>
                <w:szCs w:val="24"/>
              </w:rPr>
              <w:t>本集团开展系统软件的研究与开发。内部研究开发项目支出根据其性质以及</w:t>
            </w:r>
            <w:r>
              <w:rPr>
                <w:rFonts w:ascii="宋体" w:hAnsi="宋体" w:cs="宋体" w:eastAsia="宋体" w:hint="default"/>
                <w:spacing w:val="-59"/>
                <w:sz w:val="24"/>
                <w:szCs w:val="24"/>
              </w:rPr>
              <w:t> </w:t>
            </w:r>
            <w:r>
              <w:rPr>
                <w:rFonts w:ascii="宋体" w:hAnsi="宋体" w:cs="宋体" w:eastAsia="宋体" w:hint="default"/>
                <w:spacing w:val="-59"/>
                <w:sz w:val="24"/>
                <w:szCs w:val="24"/>
              </w:rPr>
            </w:r>
            <w:r>
              <w:rPr>
                <w:rFonts w:ascii="宋体" w:hAnsi="宋体" w:cs="宋体" w:eastAsia="宋体" w:hint="default"/>
                <w:sz w:val="24"/>
                <w:szCs w:val="24"/>
              </w:rPr>
              <w:t>研发活动最终形成无形资产是否具有较大不确定性，被分为研究阶段支出和</w:t>
            </w:r>
            <w:r>
              <w:rPr>
                <w:rFonts w:ascii="宋体" w:hAnsi="宋体" w:cs="宋体" w:eastAsia="宋体" w:hint="default"/>
                <w:spacing w:val="-62"/>
                <w:sz w:val="24"/>
                <w:szCs w:val="24"/>
              </w:rPr>
              <w:t> </w:t>
            </w:r>
            <w:r>
              <w:rPr>
                <w:rFonts w:ascii="宋体" w:hAnsi="宋体" w:cs="宋体" w:eastAsia="宋体" w:hint="default"/>
                <w:spacing w:val="-62"/>
                <w:sz w:val="24"/>
                <w:szCs w:val="24"/>
              </w:rPr>
            </w:r>
            <w:r>
              <w:rPr>
                <w:rFonts w:ascii="宋体" w:hAnsi="宋体" w:cs="宋体" w:eastAsia="宋体" w:hint="default"/>
                <w:sz w:val="24"/>
                <w:szCs w:val="24"/>
              </w:rPr>
              <w:t>开发阶段支出。</w:t>
            </w:r>
          </w:p>
        </w:tc>
      </w:tr>
      <w:tr>
        <w:trPr>
          <w:trHeight w:val="3267" w:hRule="exact"/>
        </w:trPr>
        <w:tc>
          <w:tcPr>
            <w:tcW w:w="779" w:type="dxa"/>
            <w:tcBorders>
              <w:top w:val="nil" w:sz="6" w:space="0" w:color="auto"/>
              <w:left w:val="nil" w:sz="6" w:space="0" w:color="auto"/>
              <w:bottom w:val="nil" w:sz="6" w:space="0" w:color="auto"/>
              <w:right w:val="nil" w:sz="6" w:space="0" w:color="auto"/>
            </w:tcBorders>
          </w:tcPr>
          <w:p>
            <w:pPr/>
          </w:p>
        </w:tc>
        <w:tc>
          <w:tcPr>
            <w:tcW w:w="8343"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150" w:right="198"/>
              <w:jc w:val="left"/>
              <w:rPr>
                <w:rFonts w:ascii="宋体" w:hAnsi="宋体" w:cs="宋体" w:eastAsia="宋体" w:hint="default"/>
                <w:sz w:val="24"/>
                <w:szCs w:val="24"/>
              </w:rPr>
            </w:pPr>
            <w:r>
              <w:rPr>
                <w:rFonts w:ascii="宋体" w:hAnsi="宋体" w:cs="宋体" w:eastAsia="宋体" w:hint="default"/>
                <w:sz w:val="24"/>
                <w:szCs w:val="24"/>
              </w:rPr>
              <w:t>研究阶段的支出，于发生时计入当期损益；开发阶段的支出，同时满足下列</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条件的，予以资本化：</w:t>
            </w: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321" w:lineRule="exact"/>
              <w:ind w:left="184"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完成该无形资产以使其能够使用或出售在技术上具有可行性；</w:t>
            </w:r>
          </w:p>
          <w:p>
            <w:pPr>
              <w:pStyle w:val="TableParagraph"/>
              <w:spacing w:line="311" w:lineRule="exact"/>
              <w:ind w:left="184"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管理层具有完成该无形资产并使用或出售的意图；</w:t>
            </w:r>
          </w:p>
          <w:p>
            <w:pPr>
              <w:pStyle w:val="TableParagraph"/>
              <w:spacing w:line="312" w:lineRule="exact"/>
              <w:ind w:left="184"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能够证明该无形资产将如何产生经济利益；</w:t>
            </w:r>
          </w:p>
          <w:p>
            <w:pPr>
              <w:pStyle w:val="TableParagraph"/>
              <w:spacing w:line="310" w:lineRule="exact" w:before="21"/>
              <w:ind w:left="467" w:right="205" w:hanging="284"/>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40"/>
                <w:sz w:val="24"/>
                <w:szCs w:val="24"/>
              </w:rPr>
              <w:t></w:t>
            </w:r>
            <w:r>
              <w:rPr>
                <w:rFonts w:ascii="Times New Roman" w:hAnsi="Times New Roman" w:cs="Times New Roman" w:eastAsia="Times New Roman" w:hint="default"/>
                <w:spacing w:val="40"/>
                <w:sz w:val="24"/>
                <w:szCs w:val="24"/>
              </w:rPr>
            </w:r>
            <w:r>
              <w:rPr>
                <w:rFonts w:ascii="宋体" w:hAnsi="宋体" w:cs="宋体" w:eastAsia="宋体" w:hint="default"/>
                <w:sz w:val="24"/>
                <w:szCs w:val="24"/>
              </w:rPr>
              <w:t>有足够的技术、财务资源和其他资源支持，以完成该无形资产的开发，并</w:t>
            </w:r>
            <w:r>
              <w:rPr>
                <w:rFonts w:ascii="宋体" w:hAnsi="宋体" w:cs="宋体" w:eastAsia="宋体" w:hint="default"/>
                <w:w w:val="100"/>
                <w:sz w:val="24"/>
                <w:szCs w:val="24"/>
              </w:rPr>
              <w:t> </w:t>
            </w:r>
            <w:r>
              <w:rPr>
                <w:rFonts w:ascii="宋体" w:hAnsi="宋体" w:cs="宋体" w:eastAsia="宋体" w:hint="default"/>
                <w:sz w:val="24"/>
                <w:szCs w:val="24"/>
              </w:rPr>
              <w:t>有能力使用或出售该无形资产；以及</w:t>
            </w:r>
          </w:p>
          <w:p>
            <w:pPr>
              <w:pStyle w:val="TableParagraph"/>
              <w:spacing w:line="303" w:lineRule="exact"/>
              <w:ind w:left="184"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归属于该无形资产开发阶段的支出能够可靠地计量。</w:t>
            </w:r>
          </w:p>
        </w:tc>
      </w:tr>
      <w:tr>
        <w:trPr>
          <w:trHeight w:val="1654" w:hRule="exact"/>
        </w:trPr>
        <w:tc>
          <w:tcPr>
            <w:tcW w:w="779" w:type="dxa"/>
            <w:tcBorders>
              <w:top w:val="nil" w:sz="6" w:space="0" w:color="auto"/>
              <w:left w:val="nil" w:sz="6" w:space="0" w:color="auto"/>
              <w:bottom w:val="nil" w:sz="6" w:space="0" w:color="auto"/>
              <w:right w:val="nil" w:sz="6" w:space="0" w:color="auto"/>
            </w:tcBorders>
          </w:tcPr>
          <w:p>
            <w:pPr/>
          </w:p>
        </w:tc>
        <w:tc>
          <w:tcPr>
            <w:tcW w:w="8343" w:type="dxa"/>
            <w:tcBorders>
              <w:top w:val="nil" w:sz="6" w:space="0" w:color="auto"/>
              <w:left w:val="nil" w:sz="6" w:space="0" w:color="auto"/>
              <w:bottom w:val="nil" w:sz="6" w:space="0" w:color="auto"/>
              <w:right w:val="nil" w:sz="6" w:space="0" w:color="auto"/>
            </w:tcBorders>
          </w:tcPr>
          <w:p>
            <w:pPr>
              <w:pStyle w:val="TableParagraph"/>
              <w:spacing w:line="237" w:lineRule="auto" w:before="158"/>
              <w:ind w:left="150" w:right="198"/>
              <w:jc w:val="both"/>
              <w:rPr>
                <w:rFonts w:ascii="宋体" w:hAnsi="宋体" w:cs="宋体" w:eastAsia="宋体" w:hint="default"/>
                <w:sz w:val="24"/>
                <w:szCs w:val="24"/>
              </w:rPr>
            </w:pPr>
            <w:r>
              <w:rPr>
                <w:rFonts w:ascii="宋体" w:hAnsi="宋体" w:cs="宋体" w:eastAsia="宋体" w:hint="default"/>
                <w:sz w:val="24"/>
                <w:szCs w:val="24"/>
              </w:rPr>
              <w:t>不满足上述条件的开发阶段的支出，于发生时计入当期损益。以前期间已计</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入损益的开发支出不在以后期间重新确认为资产。已资本化的开发阶段的支</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出在资产负债表上列示为开发支出，自该项目达到预定用途之日起转为无形</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资产。</w:t>
            </w:r>
          </w:p>
        </w:tc>
      </w:tr>
      <w:tr>
        <w:trPr>
          <w:trHeight w:val="752"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(g)</w:t>
            </w:r>
          </w:p>
        </w:tc>
        <w:tc>
          <w:tcPr>
            <w:tcW w:w="8343"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50" w:right="0"/>
              <w:jc w:val="left"/>
              <w:rPr>
                <w:rFonts w:ascii="宋体" w:hAnsi="宋体" w:cs="宋体" w:eastAsia="宋体" w:hint="default"/>
                <w:sz w:val="24"/>
                <w:szCs w:val="24"/>
              </w:rPr>
            </w:pPr>
            <w:r>
              <w:rPr>
                <w:rFonts w:ascii="宋体" w:hAnsi="宋体" w:cs="宋体" w:eastAsia="宋体" w:hint="default"/>
                <w:sz w:val="24"/>
                <w:szCs w:val="24"/>
              </w:rPr>
              <w:t>无形资产减值</w:t>
            </w:r>
          </w:p>
        </w:tc>
      </w:tr>
      <w:tr>
        <w:trPr>
          <w:trHeight w:val="1060" w:hRule="exact"/>
        </w:trPr>
        <w:tc>
          <w:tcPr>
            <w:tcW w:w="779" w:type="dxa"/>
            <w:tcBorders>
              <w:top w:val="nil" w:sz="6" w:space="0" w:color="auto"/>
              <w:left w:val="nil" w:sz="6" w:space="0" w:color="auto"/>
              <w:bottom w:val="nil" w:sz="6" w:space="0" w:color="auto"/>
              <w:right w:val="nil" w:sz="6" w:space="0" w:color="auto"/>
            </w:tcBorders>
          </w:tcPr>
          <w:p>
            <w:pPr/>
          </w:p>
        </w:tc>
        <w:tc>
          <w:tcPr>
            <w:tcW w:w="8343"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150" w:right="203"/>
              <w:jc w:val="left"/>
              <w:rPr>
                <w:rFonts w:ascii="宋体" w:hAnsi="宋体" w:cs="宋体" w:eastAsia="宋体" w:hint="default"/>
                <w:sz w:val="24"/>
                <w:szCs w:val="24"/>
              </w:rPr>
            </w:pPr>
            <w:r>
              <w:rPr>
                <w:rFonts w:ascii="宋体" w:hAnsi="宋体" w:cs="宋体" w:eastAsia="宋体" w:hint="default"/>
                <w:spacing w:val="-1"/>
                <w:sz w:val="24"/>
                <w:szCs w:val="24"/>
              </w:rPr>
              <w:t>当无形资产的可收回金额低于其账面价值时，账面价值减记至可收回金额</w:t>
            </w:r>
            <w:r>
              <w:rPr>
                <w:rFonts w:ascii="Arial" w:hAnsi="Arial" w:cs="Arial" w:eastAsia="Arial" w:hint="default"/>
                <w:spacing w:val="-1"/>
                <w:sz w:val="24"/>
                <w:szCs w:val="24"/>
              </w:rPr>
              <w:t>(</w:t>
            </w:r>
            <w:r>
              <w:rPr>
                <w:rFonts w:ascii="宋体" w:hAnsi="宋体" w:cs="宋体" w:eastAsia="宋体" w:hint="default"/>
                <w:spacing w:val="-1"/>
                <w:sz w:val="24"/>
                <w:szCs w:val="24"/>
              </w:rPr>
              <w:t>附</w:t>
            </w:r>
            <w:r>
              <w:rPr>
                <w:rFonts w:ascii="宋体" w:hAnsi="宋体" w:cs="宋体" w:eastAsia="宋体" w:hint="default"/>
                <w:spacing w:val="-101"/>
                <w:sz w:val="24"/>
                <w:szCs w:val="24"/>
              </w:rPr>
              <w:t> </w:t>
            </w:r>
            <w:r>
              <w:rPr>
                <w:rFonts w:ascii="宋体" w:hAnsi="宋体" w:cs="宋体" w:eastAsia="宋体" w:hint="default"/>
                <w:sz w:val="24"/>
                <w:szCs w:val="24"/>
              </w:rPr>
              <w:t>注二</w:t>
            </w:r>
            <w:r>
              <w:rPr>
                <w:rFonts w:ascii="Arial" w:hAnsi="Arial" w:cs="Arial" w:eastAsia="Arial" w:hint="default"/>
                <w:sz w:val="24"/>
                <w:szCs w:val="24"/>
              </w:rPr>
              <w:t>(20))</w:t>
            </w:r>
            <w:r>
              <w:rPr>
                <w:rFonts w:ascii="宋体" w:hAnsi="宋体" w:cs="宋体" w:eastAsia="宋体" w:hint="default"/>
                <w:sz w:val="24"/>
                <w:szCs w:val="24"/>
              </w:rPr>
              <w:t>。</w:t>
            </w:r>
          </w:p>
        </w:tc>
      </w:tr>
      <w:tr>
        <w:trPr>
          <w:trHeight w:val="745"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(19)</w:t>
            </w:r>
          </w:p>
        </w:tc>
        <w:tc>
          <w:tcPr>
            <w:tcW w:w="8343"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50" w:right="0"/>
              <w:jc w:val="left"/>
              <w:rPr>
                <w:rFonts w:ascii="黑体" w:hAnsi="黑体" w:cs="黑体" w:eastAsia="黑体" w:hint="default"/>
                <w:sz w:val="24"/>
                <w:szCs w:val="24"/>
              </w:rPr>
            </w:pPr>
            <w:r>
              <w:rPr>
                <w:rFonts w:ascii="黑体" w:hAnsi="黑体" w:cs="黑体" w:eastAsia="黑体" w:hint="default"/>
                <w:sz w:val="24"/>
                <w:szCs w:val="24"/>
              </w:rPr>
              <w:t>长期待摊费用</w:t>
            </w:r>
          </w:p>
        </w:tc>
      </w:tr>
      <w:tr>
        <w:trPr>
          <w:trHeight w:val="1115" w:hRule="exact"/>
        </w:trPr>
        <w:tc>
          <w:tcPr>
            <w:tcW w:w="779" w:type="dxa"/>
            <w:tcBorders>
              <w:top w:val="nil" w:sz="6" w:space="0" w:color="auto"/>
              <w:left w:val="nil" w:sz="6" w:space="0" w:color="auto"/>
              <w:bottom w:val="nil" w:sz="6" w:space="0" w:color="auto"/>
              <w:right w:val="nil" w:sz="6" w:space="0" w:color="auto"/>
            </w:tcBorders>
          </w:tcPr>
          <w:p>
            <w:pPr/>
          </w:p>
        </w:tc>
        <w:tc>
          <w:tcPr>
            <w:tcW w:w="8343"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50" w:right="202"/>
              <w:jc w:val="both"/>
              <w:rPr>
                <w:rFonts w:ascii="宋体" w:hAnsi="宋体" w:cs="宋体" w:eastAsia="宋体" w:hint="default"/>
                <w:sz w:val="24"/>
                <w:szCs w:val="24"/>
              </w:rPr>
            </w:pPr>
            <w:r>
              <w:rPr>
                <w:rFonts w:ascii="宋体" w:hAnsi="宋体" w:cs="宋体" w:eastAsia="宋体" w:hint="default"/>
                <w:sz w:val="24"/>
                <w:szCs w:val="24"/>
              </w:rPr>
              <w:t>长期待摊费用包括经营租入固定资产改良及其他已经发生但应由本期和以后</w:t>
            </w:r>
            <w:r>
              <w:rPr>
                <w:rFonts w:ascii="宋体" w:hAnsi="宋体" w:cs="宋体" w:eastAsia="宋体" w:hint="default"/>
                <w:spacing w:val="-62"/>
                <w:sz w:val="24"/>
                <w:szCs w:val="24"/>
              </w:rPr>
              <w:t> </w:t>
            </w:r>
            <w:r>
              <w:rPr>
                <w:rFonts w:ascii="宋体" w:hAnsi="宋体" w:cs="宋体" w:eastAsia="宋体" w:hint="default"/>
                <w:spacing w:val="-62"/>
                <w:sz w:val="24"/>
                <w:szCs w:val="24"/>
              </w:rPr>
            </w:r>
            <w:r>
              <w:rPr>
                <w:rFonts w:ascii="宋体" w:hAnsi="宋体" w:cs="宋体" w:eastAsia="宋体" w:hint="default"/>
                <w:sz w:val="24"/>
                <w:szCs w:val="24"/>
              </w:rPr>
              <w:t>各期负担的、分摊期限在一年以上的各项费用，按预计受益期间分期平均摊</w:t>
            </w:r>
            <w:r>
              <w:rPr>
                <w:rFonts w:ascii="宋体" w:hAnsi="宋体" w:cs="宋体" w:eastAsia="宋体" w:hint="default"/>
                <w:spacing w:val="-62"/>
                <w:sz w:val="24"/>
                <w:szCs w:val="24"/>
              </w:rPr>
              <w:t> </w:t>
            </w:r>
            <w:r>
              <w:rPr>
                <w:rFonts w:ascii="宋体" w:hAnsi="宋体" w:cs="宋体" w:eastAsia="宋体" w:hint="default"/>
                <w:spacing w:val="-62"/>
                <w:sz w:val="24"/>
                <w:szCs w:val="24"/>
              </w:rPr>
            </w:r>
            <w:r>
              <w:rPr>
                <w:rFonts w:ascii="宋体" w:hAnsi="宋体" w:cs="宋体" w:eastAsia="宋体" w:hint="default"/>
                <w:sz w:val="24"/>
                <w:szCs w:val="24"/>
              </w:rPr>
              <w:t>销，并以实际支出减去累计摊销后的净额列示。</w:t>
            </w:r>
          </w:p>
        </w:tc>
      </w:tr>
    </w:tbl>
    <w:p>
      <w:pPr>
        <w:spacing w:after="0" w:line="237" w:lineRule="auto"/>
        <w:jc w:val="both"/>
        <w:rPr>
          <w:rFonts w:ascii="宋体" w:hAnsi="宋体" w:cs="宋体" w:eastAsia="宋体"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79"/>
        <w:gridCol w:w="8345"/>
      </w:tblGrid>
      <w:tr>
        <w:trPr>
          <w:trHeight w:val="495"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45"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4"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(20)</w:t>
            </w:r>
          </w:p>
        </w:tc>
        <w:tc>
          <w:tcPr>
            <w:tcW w:w="834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0" w:right="0"/>
              <w:jc w:val="left"/>
              <w:rPr>
                <w:rFonts w:ascii="黑体" w:hAnsi="黑体" w:cs="黑体" w:eastAsia="黑体" w:hint="default"/>
                <w:sz w:val="24"/>
                <w:szCs w:val="24"/>
              </w:rPr>
            </w:pPr>
            <w:r>
              <w:rPr>
                <w:rFonts w:ascii="黑体" w:hAnsi="黑体" w:cs="黑体" w:eastAsia="黑体" w:hint="default"/>
                <w:sz w:val="24"/>
                <w:szCs w:val="24"/>
              </w:rPr>
              <w:t>长期资产减值</w:t>
            </w:r>
          </w:p>
        </w:tc>
      </w:tr>
      <w:tr>
        <w:trPr>
          <w:trHeight w:val="5499" w:hRule="exact"/>
        </w:trPr>
        <w:tc>
          <w:tcPr>
            <w:tcW w:w="779" w:type="dxa"/>
            <w:tcBorders>
              <w:top w:val="nil" w:sz="6" w:space="0" w:color="auto"/>
              <w:left w:val="nil" w:sz="6" w:space="0" w:color="auto"/>
              <w:bottom w:val="nil" w:sz="6" w:space="0" w:color="auto"/>
              <w:right w:val="nil" w:sz="6" w:space="0" w:color="auto"/>
            </w:tcBorders>
          </w:tcPr>
          <w:p>
            <w:pPr/>
          </w:p>
        </w:tc>
        <w:tc>
          <w:tcPr>
            <w:tcW w:w="8345"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50" w:right="198"/>
              <w:jc w:val="both"/>
              <w:rPr>
                <w:rFonts w:ascii="宋体" w:hAnsi="宋体" w:cs="宋体" w:eastAsia="宋体" w:hint="default"/>
                <w:sz w:val="24"/>
                <w:szCs w:val="24"/>
              </w:rPr>
            </w:pPr>
            <w:r>
              <w:rPr>
                <w:rFonts w:ascii="宋体" w:hAnsi="宋体" w:cs="宋体" w:eastAsia="宋体" w:hint="default"/>
                <w:sz w:val="24"/>
                <w:szCs w:val="24"/>
              </w:rPr>
              <w:t>固定资产、在建工程、使用寿命有限的无形资产、以成本模式计量的投资性</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房地产及对子公司、联营企业的长期股权投资等，于资产负债表日存在减值</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迹象的，进行减值测试。减值测试结果表明资产的可收回金额低于其账面价</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值的，按其差额计提减值准备并计入减值损失。可收回金额为资产的公允价</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pacing w:val="9"/>
                <w:sz w:val="24"/>
                <w:szCs w:val="24"/>
              </w:rPr>
              <w:t>值减去处置费用后的净额与资产预计未来现金流量的现值两者之间的较高</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者。资产减值准备按单项资产为基础计算并确认，如果难以对单项资产的可</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收回金额进行估计的，以该资产所属的资产组确定资产组的可收回金额。资</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产组是能够独立产生现金流入的最小资产组合。</w:t>
            </w:r>
          </w:p>
          <w:p>
            <w:pPr>
              <w:pStyle w:val="TableParagraph"/>
              <w:spacing w:line="240" w:lineRule="auto" w:before="11"/>
              <w:ind w:right="0"/>
              <w:jc w:val="left"/>
              <w:rPr>
                <w:rFonts w:ascii="Times New Roman" w:hAnsi="Times New Roman" w:cs="Times New Roman" w:eastAsia="Times New Roman" w:hint="default"/>
                <w:sz w:val="30"/>
                <w:szCs w:val="30"/>
              </w:rPr>
            </w:pPr>
          </w:p>
          <w:p>
            <w:pPr>
              <w:pStyle w:val="TableParagraph"/>
              <w:spacing w:line="237" w:lineRule="auto"/>
              <w:ind w:left="150" w:right="199"/>
              <w:jc w:val="both"/>
              <w:rPr>
                <w:rFonts w:ascii="宋体" w:hAnsi="宋体" w:cs="宋体" w:eastAsia="宋体" w:hint="default"/>
                <w:sz w:val="24"/>
                <w:szCs w:val="24"/>
              </w:rPr>
            </w:pPr>
            <w:r>
              <w:rPr>
                <w:rFonts w:ascii="宋体" w:hAnsi="宋体" w:cs="宋体" w:eastAsia="宋体" w:hint="default"/>
                <w:sz w:val="24"/>
                <w:szCs w:val="24"/>
              </w:rPr>
              <w:t>在财务报表中单独列示的商誉，无论是否存在减值迹象，至少每年进行减值</w:t>
            </w:r>
            <w:r>
              <w:rPr>
                <w:rFonts w:ascii="宋体" w:hAnsi="宋体" w:cs="宋体" w:eastAsia="宋体" w:hint="default"/>
                <w:spacing w:val="-63"/>
                <w:sz w:val="24"/>
                <w:szCs w:val="24"/>
              </w:rPr>
              <w:t> </w:t>
            </w:r>
            <w:r>
              <w:rPr>
                <w:rFonts w:ascii="宋体" w:hAnsi="宋体" w:cs="宋体" w:eastAsia="宋体" w:hint="default"/>
                <w:spacing w:val="-63"/>
                <w:sz w:val="24"/>
                <w:szCs w:val="24"/>
              </w:rPr>
            </w:r>
            <w:r>
              <w:rPr>
                <w:rFonts w:ascii="宋体" w:hAnsi="宋体" w:cs="宋体" w:eastAsia="宋体" w:hint="default"/>
                <w:sz w:val="24"/>
                <w:szCs w:val="24"/>
              </w:rPr>
              <w:t>测试。减值测试时，商誉的账面价值分摊至预期从企业合并的协同效应中受</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益的资产组或资产组组合。测试结果表明包含分摊的商誉的资产组或资产组</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组合的可收回金额低于其账面价值的，确认相应的减值损失。减值损失金额</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先抵减分摊至该资产组或资产组组合的商誉的账面价值，再根据资产组或资</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产组组合中除商誉以外的其他各项资产的账面价值所占比重，按比例抵减其</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他各项资产的账面价值。</w:t>
            </w:r>
          </w:p>
        </w:tc>
      </w:tr>
      <w:tr>
        <w:trPr>
          <w:trHeight w:val="787" w:hRule="exact"/>
        </w:trPr>
        <w:tc>
          <w:tcPr>
            <w:tcW w:w="779" w:type="dxa"/>
            <w:tcBorders>
              <w:top w:val="nil" w:sz="6" w:space="0" w:color="auto"/>
              <w:left w:val="nil" w:sz="6" w:space="0" w:color="auto"/>
              <w:bottom w:val="nil" w:sz="6" w:space="0" w:color="auto"/>
              <w:right w:val="nil" w:sz="6" w:space="0" w:color="auto"/>
            </w:tcBorders>
          </w:tcPr>
          <w:p>
            <w:pPr/>
          </w:p>
        </w:tc>
        <w:tc>
          <w:tcPr>
            <w:tcW w:w="8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50" w:right="0"/>
              <w:jc w:val="left"/>
              <w:rPr>
                <w:rFonts w:ascii="宋体" w:hAnsi="宋体" w:cs="宋体" w:eastAsia="宋体" w:hint="default"/>
                <w:sz w:val="24"/>
                <w:szCs w:val="24"/>
              </w:rPr>
            </w:pPr>
            <w:r>
              <w:rPr>
                <w:rFonts w:ascii="宋体" w:hAnsi="宋体" w:cs="宋体" w:eastAsia="宋体" w:hint="default"/>
                <w:sz w:val="24"/>
                <w:szCs w:val="24"/>
              </w:rPr>
              <w:t>上述资产减值损失一经确认，以后期间不予转回价值得以恢复的部分。</w:t>
            </w:r>
          </w:p>
        </w:tc>
      </w:tr>
      <w:tr>
        <w:trPr>
          <w:trHeight w:val="762"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(21)</w:t>
            </w:r>
          </w:p>
        </w:tc>
        <w:tc>
          <w:tcPr>
            <w:tcW w:w="8345" w:type="dxa"/>
            <w:tcBorders>
              <w:top w:val="nil" w:sz="6" w:space="0" w:color="auto"/>
              <w:left w:val="nil" w:sz="6" w:space="0" w:color="auto"/>
              <w:bottom w:val="nil" w:sz="6" w:space="0" w:color="auto"/>
              <w:right w:val="nil" w:sz="6" w:space="0" w:color="auto"/>
            </w:tcBorders>
          </w:tcPr>
          <w:p>
            <w:pPr>
              <w:pStyle w:val="TableParagraph"/>
              <w:spacing w:line="240" w:lineRule="auto" w:before="189"/>
              <w:ind w:left="150" w:right="0"/>
              <w:jc w:val="left"/>
              <w:rPr>
                <w:rFonts w:ascii="黑体" w:hAnsi="黑体" w:cs="黑体" w:eastAsia="黑体" w:hint="default"/>
                <w:sz w:val="24"/>
                <w:szCs w:val="24"/>
              </w:rPr>
            </w:pPr>
            <w:r>
              <w:rPr>
                <w:rFonts w:ascii="黑体" w:hAnsi="黑体" w:cs="黑体" w:eastAsia="黑体" w:hint="default"/>
                <w:sz w:val="24"/>
                <w:szCs w:val="24"/>
              </w:rPr>
              <w:t>职工薪酬</w:t>
            </w:r>
          </w:p>
        </w:tc>
      </w:tr>
      <w:tr>
        <w:trPr>
          <w:trHeight w:val="1238" w:hRule="exact"/>
        </w:trPr>
        <w:tc>
          <w:tcPr>
            <w:tcW w:w="779" w:type="dxa"/>
            <w:tcBorders>
              <w:top w:val="nil" w:sz="6" w:space="0" w:color="auto"/>
              <w:left w:val="nil" w:sz="6" w:space="0" w:color="auto"/>
              <w:bottom w:val="nil" w:sz="6" w:space="0" w:color="auto"/>
              <w:right w:val="nil" w:sz="6" w:space="0" w:color="auto"/>
            </w:tcBorders>
          </w:tcPr>
          <w:p>
            <w:pPr/>
          </w:p>
        </w:tc>
        <w:tc>
          <w:tcPr>
            <w:tcW w:w="8345" w:type="dxa"/>
            <w:tcBorders>
              <w:top w:val="nil" w:sz="6" w:space="0" w:color="auto"/>
              <w:left w:val="nil" w:sz="6" w:space="0" w:color="auto"/>
              <w:bottom w:val="nil" w:sz="6" w:space="0" w:color="auto"/>
              <w:right w:val="nil" w:sz="6" w:space="0" w:color="auto"/>
            </w:tcBorders>
          </w:tcPr>
          <w:p>
            <w:pPr>
              <w:pStyle w:val="TableParagraph"/>
              <w:spacing w:line="237" w:lineRule="auto" w:before="188"/>
              <w:ind w:left="150" w:right="199"/>
              <w:jc w:val="both"/>
              <w:rPr>
                <w:rFonts w:ascii="宋体" w:hAnsi="宋体" w:cs="宋体" w:eastAsia="宋体" w:hint="default"/>
                <w:sz w:val="24"/>
                <w:szCs w:val="24"/>
              </w:rPr>
            </w:pPr>
            <w:r>
              <w:rPr>
                <w:rFonts w:ascii="宋体" w:hAnsi="宋体" w:cs="宋体" w:eastAsia="宋体" w:hint="default"/>
                <w:sz w:val="24"/>
                <w:szCs w:val="24"/>
              </w:rPr>
              <w:t>职工薪酬主要包括工资、奖金、津贴和补贴、职工福利费、社会保险费及住</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房公积金、工会经费和职工教育经费等其他与获得职工提供的服务的相关支</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出。</w:t>
            </w:r>
          </w:p>
        </w:tc>
      </w:tr>
      <w:tr>
        <w:trPr>
          <w:trHeight w:val="1716" w:hRule="exact"/>
        </w:trPr>
        <w:tc>
          <w:tcPr>
            <w:tcW w:w="779" w:type="dxa"/>
            <w:tcBorders>
              <w:top w:val="nil" w:sz="6" w:space="0" w:color="auto"/>
              <w:left w:val="nil" w:sz="6" w:space="0" w:color="auto"/>
              <w:bottom w:val="nil" w:sz="6" w:space="0" w:color="auto"/>
              <w:right w:val="nil" w:sz="6" w:space="0" w:color="auto"/>
            </w:tcBorders>
          </w:tcPr>
          <w:p>
            <w:pPr/>
          </w:p>
        </w:tc>
        <w:tc>
          <w:tcPr>
            <w:tcW w:w="8345" w:type="dxa"/>
            <w:tcBorders>
              <w:top w:val="nil" w:sz="6" w:space="0" w:color="auto"/>
              <w:left w:val="nil" w:sz="6" w:space="0" w:color="auto"/>
              <w:bottom w:val="nil" w:sz="6" w:space="0" w:color="auto"/>
              <w:right w:val="nil" w:sz="6" w:space="0" w:color="auto"/>
            </w:tcBorders>
          </w:tcPr>
          <w:p>
            <w:pPr>
              <w:pStyle w:val="TableParagraph"/>
              <w:spacing w:line="237" w:lineRule="auto" w:before="45"/>
              <w:ind w:left="150" w:right="199"/>
              <w:jc w:val="both"/>
              <w:rPr>
                <w:rFonts w:ascii="宋体" w:hAnsi="宋体" w:cs="宋体" w:eastAsia="宋体" w:hint="default"/>
                <w:sz w:val="24"/>
                <w:szCs w:val="24"/>
              </w:rPr>
            </w:pPr>
            <w:r>
              <w:rPr>
                <w:rFonts w:ascii="宋体" w:hAnsi="宋体" w:cs="宋体" w:eastAsia="宋体" w:hint="default"/>
                <w:sz w:val="24"/>
                <w:szCs w:val="24"/>
              </w:rPr>
              <w:t>本集团在职工劳动合同到期之前解除与职工的劳动关系、或者为鼓励职工自</w:t>
            </w:r>
            <w:r>
              <w:rPr>
                <w:rFonts w:ascii="宋体" w:hAnsi="宋体" w:cs="宋体" w:eastAsia="宋体" w:hint="default"/>
                <w:spacing w:val="-62"/>
                <w:sz w:val="24"/>
                <w:szCs w:val="24"/>
              </w:rPr>
              <w:t> </w:t>
            </w:r>
            <w:r>
              <w:rPr>
                <w:rFonts w:ascii="宋体" w:hAnsi="宋体" w:cs="宋体" w:eastAsia="宋体" w:hint="default"/>
                <w:spacing w:val="-62"/>
                <w:sz w:val="24"/>
                <w:szCs w:val="24"/>
              </w:rPr>
            </w:r>
            <w:r>
              <w:rPr>
                <w:rFonts w:ascii="宋体" w:hAnsi="宋体" w:cs="宋体" w:eastAsia="宋体" w:hint="default"/>
                <w:sz w:val="24"/>
                <w:szCs w:val="24"/>
              </w:rPr>
              <w:t>愿接受裁减而提出给予补偿的建议，当本集团已经制定正式的解除劳动关系</w:t>
            </w:r>
            <w:r>
              <w:rPr>
                <w:rFonts w:ascii="宋体" w:hAnsi="宋体" w:cs="宋体" w:eastAsia="宋体" w:hint="default"/>
                <w:spacing w:val="-62"/>
                <w:sz w:val="24"/>
                <w:szCs w:val="24"/>
              </w:rPr>
              <w:t> </w:t>
            </w:r>
            <w:r>
              <w:rPr>
                <w:rFonts w:ascii="宋体" w:hAnsi="宋体" w:cs="宋体" w:eastAsia="宋体" w:hint="default"/>
                <w:spacing w:val="-62"/>
                <w:sz w:val="24"/>
                <w:szCs w:val="24"/>
              </w:rPr>
            </w:r>
            <w:r>
              <w:rPr>
                <w:rFonts w:ascii="宋体" w:hAnsi="宋体" w:cs="宋体" w:eastAsia="宋体" w:hint="default"/>
                <w:sz w:val="24"/>
                <w:szCs w:val="24"/>
              </w:rPr>
              <w:t>计划或提出自愿裁减建议并即将实施、且本集团不能单方面撤回解除劳动关</w:t>
            </w:r>
            <w:r>
              <w:rPr>
                <w:rFonts w:ascii="宋体" w:hAnsi="宋体" w:cs="宋体" w:eastAsia="宋体" w:hint="default"/>
                <w:spacing w:val="-62"/>
                <w:sz w:val="24"/>
                <w:szCs w:val="24"/>
              </w:rPr>
              <w:t> </w:t>
            </w:r>
            <w:r>
              <w:rPr>
                <w:rFonts w:ascii="宋体" w:hAnsi="宋体" w:cs="宋体" w:eastAsia="宋体" w:hint="default"/>
                <w:spacing w:val="-62"/>
                <w:sz w:val="24"/>
                <w:szCs w:val="24"/>
              </w:rPr>
            </w:r>
            <w:r>
              <w:rPr>
                <w:rFonts w:ascii="宋体" w:hAnsi="宋体" w:cs="宋体" w:eastAsia="宋体" w:hint="default"/>
                <w:sz w:val="24"/>
                <w:szCs w:val="24"/>
              </w:rPr>
              <w:t>系计划或裁减建议时，确认因解除与职工的劳动关系给予补偿而产生的预计</w:t>
            </w:r>
            <w:r>
              <w:rPr>
                <w:rFonts w:ascii="宋体" w:hAnsi="宋体" w:cs="宋体" w:eastAsia="宋体" w:hint="default"/>
                <w:spacing w:val="-60"/>
                <w:sz w:val="24"/>
                <w:szCs w:val="24"/>
              </w:rPr>
              <w:t> </w:t>
            </w:r>
            <w:r>
              <w:rPr>
                <w:rFonts w:ascii="宋体" w:hAnsi="宋体" w:cs="宋体" w:eastAsia="宋体" w:hint="default"/>
                <w:spacing w:val="-60"/>
                <w:sz w:val="24"/>
                <w:szCs w:val="24"/>
              </w:rPr>
            </w:r>
            <w:r>
              <w:rPr>
                <w:rFonts w:ascii="宋体" w:hAnsi="宋体" w:cs="宋体" w:eastAsia="宋体" w:hint="default"/>
                <w:sz w:val="24"/>
                <w:szCs w:val="24"/>
              </w:rPr>
              <w:t>负债，同时计入当期费用。</w:t>
            </w:r>
          </w:p>
        </w:tc>
      </w:tr>
      <w:tr>
        <w:trPr>
          <w:trHeight w:val="666" w:hRule="exact"/>
        </w:trPr>
        <w:tc>
          <w:tcPr>
            <w:tcW w:w="779" w:type="dxa"/>
            <w:tcBorders>
              <w:top w:val="nil" w:sz="6" w:space="0" w:color="auto"/>
              <w:left w:val="nil" w:sz="6" w:space="0" w:color="auto"/>
              <w:bottom w:val="nil" w:sz="6" w:space="0" w:color="auto"/>
              <w:right w:val="nil" w:sz="6" w:space="0" w:color="auto"/>
            </w:tcBorders>
          </w:tcPr>
          <w:p>
            <w:pPr/>
          </w:p>
        </w:tc>
        <w:tc>
          <w:tcPr>
            <w:tcW w:w="8345" w:type="dxa"/>
            <w:tcBorders>
              <w:top w:val="nil" w:sz="6" w:space="0" w:color="auto"/>
              <w:left w:val="nil" w:sz="6" w:space="0" w:color="auto"/>
              <w:bottom w:val="nil" w:sz="6" w:space="0" w:color="auto"/>
              <w:right w:val="nil" w:sz="6" w:space="0" w:color="auto"/>
            </w:tcBorders>
          </w:tcPr>
          <w:p>
            <w:pPr>
              <w:pStyle w:val="TableParagraph"/>
              <w:spacing w:line="310" w:lineRule="exact" w:before="74"/>
              <w:ind w:left="150" w:right="199"/>
              <w:jc w:val="left"/>
              <w:rPr>
                <w:rFonts w:ascii="宋体" w:hAnsi="宋体" w:cs="宋体" w:eastAsia="宋体" w:hint="default"/>
                <w:sz w:val="18"/>
                <w:szCs w:val="18"/>
              </w:rPr>
            </w:pPr>
            <w:r>
              <w:rPr>
                <w:rFonts w:ascii="宋体" w:hAnsi="宋体" w:cs="宋体" w:eastAsia="宋体" w:hint="default"/>
                <w:sz w:val="24"/>
                <w:szCs w:val="24"/>
              </w:rPr>
              <w:t>除因解除与职工的劳动关系给予的补偿外，于职工提供服务的期间确认应付</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的职工薪酬，并根据职工提供服务的受益对象计入相关资产成本和费用</w:t>
            </w:r>
            <w:r>
              <w:rPr>
                <w:rFonts w:ascii="宋体" w:hAnsi="宋体" w:cs="宋体" w:eastAsia="宋体" w:hint="default"/>
                <w:sz w:val="18"/>
                <w:szCs w:val="18"/>
              </w:rPr>
              <w:t>。</w:t>
            </w:r>
          </w:p>
        </w:tc>
      </w:tr>
    </w:tbl>
    <w:p>
      <w:pPr>
        <w:spacing w:after="0" w:line="310" w:lineRule="exact"/>
        <w:jc w:val="left"/>
        <w:rPr>
          <w:rFonts w:ascii="宋体" w:hAnsi="宋体" w:cs="宋体" w:eastAsia="宋体" w:hint="default"/>
          <w:sz w:val="18"/>
          <w:szCs w:val="18"/>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1596304" type="#_x0000_t75" stroked="false">
            <v:imagedata r:id="rId10" o:title=""/>
          </v:shape>
        </w:pict>
      </w:r>
    </w:p>
    <w:p>
      <w:pPr>
        <w:spacing w:line="240" w:lineRule="auto" w:before="4"/>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79"/>
        <w:gridCol w:w="8343"/>
      </w:tblGrid>
      <w:tr>
        <w:trPr>
          <w:trHeight w:val="501"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43"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6"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(21)</w:t>
            </w:r>
          </w:p>
        </w:tc>
        <w:tc>
          <w:tcPr>
            <w:tcW w:w="8343"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0" w:right="0"/>
              <w:jc w:val="left"/>
              <w:rPr>
                <w:rFonts w:ascii="Arial" w:hAnsi="Arial" w:cs="Arial" w:eastAsia="Arial" w:hint="default"/>
                <w:sz w:val="24"/>
                <w:szCs w:val="24"/>
              </w:rPr>
            </w:pPr>
            <w:r>
              <w:rPr>
                <w:rFonts w:ascii="黑体" w:hAnsi="黑体" w:cs="黑体" w:eastAsia="黑体" w:hint="default"/>
                <w:sz w:val="24"/>
                <w:szCs w:val="24"/>
              </w:rPr>
              <w:t>职工薪酬</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1808" w:hRule="exact"/>
        </w:trPr>
        <w:tc>
          <w:tcPr>
            <w:tcW w:w="779" w:type="dxa"/>
            <w:tcBorders>
              <w:top w:val="nil" w:sz="6" w:space="0" w:color="auto"/>
              <w:left w:val="nil" w:sz="6" w:space="0" w:color="auto"/>
              <w:bottom w:val="nil" w:sz="6" w:space="0" w:color="auto"/>
              <w:right w:val="nil" w:sz="6" w:space="0" w:color="auto"/>
            </w:tcBorders>
          </w:tcPr>
          <w:p>
            <w:pPr/>
          </w:p>
        </w:tc>
        <w:tc>
          <w:tcPr>
            <w:tcW w:w="8343" w:type="dxa"/>
            <w:tcBorders>
              <w:top w:val="nil" w:sz="6" w:space="0" w:color="auto"/>
              <w:left w:val="nil" w:sz="6" w:space="0" w:color="auto"/>
              <w:bottom w:val="nil" w:sz="6" w:space="0" w:color="auto"/>
              <w:right w:val="nil" w:sz="6" w:space="0" w:color="auto"/>
            </w:tcBorders>
          </w:tcPr>
          <w:p>
            <w:pPr>
              <w:pStyle w:val="TableParagraph"/>
              <w:spacing w:line="237" w:lineRule="auto" w:before="176"/>
              <w:ind w:left="150" w:right="198"/>
              <w:jc w:val="both"/>
              <w:rPr>
                <w:rFonts w:ascii="宋体" w:hAnsi="宋体" w:cs="宋体" w:eastAsia="宋体" w:hint="default"/>
                <w:sz w:val="24"/>
                <w:szCs w:val="24"/>
              </w:rPr>
            </w:pPr>
            <w:r>
              <w:rPr>
                <w:rFonts w:ascii="宋体" w:hAnsi="宋体" w:cs="宋体" w:eastAsia="宋体" w:hint="default"/>
                <w:sz w:val="24"/>
                <w:szCs w:val="24"/>
              </w:rPr>
              <w:t>本集团海外公司经营职工退休金计划。此等计划一般通过向保险公司或受托</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管理基金付款而注资，并经定期精算计算其数额。经营的退休金计划为设定</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受益计划。设定受益计划是一项并非设定提存计划的退休计划。设定受益计</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划一般会厘定职工在退休时可收取的退休福利金额，通常视乎年龄、服务年</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资和薪酬补偿等一个或多个因素而定。</w:t>
            </w:r>
          </w:p>
        </w:tc>
      </w:tr>
      <w:tr>
        <w:trPr>
          <w:trHeight w:val="1636" w:hRule="exact"/>
        </w:trPr>
        <w:tc>
          <w:tcPr>
            <w:tcW w:w="779" w:type="dxa"/>
            <w:tcBorders>
              <w:top w:val="nil" w:sz="6" w:space="0" w:color="auto"/>
              <w:left w:val="nil" w:sz="6" w:space="0" w:color="auto"/>
              <w:bottom w:val="nil" w:sz="6" w:space="0" w:color="auto"/>
              <w:right w:val="nil" w:sz="6" w:space="0" w:color="auto"/>
            </w:tcBorders>
          </w:tcPr>
          <w:p>
            <w:pPr/>
          </w:p>
        </w:tc>
        <w:tc>
          <w:tcPr>
            <w:tcW w:w="8343" w:type="dxa"/>
            <w:tcBorders>
              <w:top w:val="nil" w:sz="6" w:space="0" w:color="auto"/>
              <w:left w:val="nil" w:sz="6" w:space="0" w:color="auto"/>
              <w:bottom w:val="nil" w:sz="6" w:space="0" w:color="auto"/>
              <w:right w:val="nil" w:sz="6" w:space="0" w:color="auto"/>
            </w:tcBorders>
          </w:tcPr>
          <w:p>
            <w:pPr>
              <w:pStyle w:val="TableParagraph"/>
              <w:spacing w:line="237" w:lineRule="auto" w:before="5"/>
              <w:ind w:left="150" w:right="198"/>
              <w:jc w:val="both"/>
              <w:rPr>
                <w:rFonts w:ascii="宋体" w:hAnsi="宋体" w:cs="宋体" w:eastAsia="宋体" w:hint="default"/>
                <w:sz w:val="24"/>
                <w:szCs w:val="24"/>
              </w:rPr>
            </w:pPr>
            <w:r>
              <w:rPr>
                <w:rFonts w:ascii="宋体" w:hAnsi="宋体" w:cs="宋体" w:eastAsia="宋体" w:hint="default"/>
                <w:sz w:val="24"/>
                <w:szCs w:val="24"/>
              </w:rPr>
              <w:t>在资产负债表内就有关设定受益退休计划而确认的负债，为报告期末的设定</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受益债务的现值减计划资产的公允价值，同时就未经确认过往服务成本作出</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调整。设定受益债务每年由独立精算师利用预计单位贷记法计算。设定受益</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债务的现值利用将用以支付福利的货币为单位计值且到期与有关的退休负债</w:t>
            </w:r>
            <w:r>
              <w:rPr>
                <w:rFonts w:ascii="宋体" w:hAnsi="宋体" w:cs="宋体" w:eastAsia="宋体" w:hint="default"/>
                <w:spacing w:val="-63"/>
                <w:sz w:val="24"/>
                <w:szCs w:val="24"/>
              </w:rPr>
              <w:t> </w:t>
            </w:r>
            <w:r>
              <w:rPr>
                <w:rFonts w:ascii="宋体" w:hAnsi="宋体" w:cs="宋体" w:eastAsia="宋体" w:hint="default"/>
                <w:spacing w:val="-63"/>
                <w:sz w:val="24"/>
                <w:szCs w:val="24"/>
              </w:rPr>
            </w:r>
            <w:r>
              <w:rPr>
                <w:rFonts w:ascii="宋体" w:hAnsi="宋体" w:cs="宋体" w:eastAsia="宋体" w:hint="default"/>
                <w:sz w:val="24"/>
                <w:szCs w:val="24"/>
              </w:rPr>
              <w:t>的年期近似的高质素债券的利率，将估计未来现金流出量折现计算。</w:t>
            </w:r>
          </w:p>
        </w:tc>
      </w:tr>
      <w:tr>
        <w:trPr>
          <w:trHeight w:val="743" w:hRule="exact"/>
        </w:trPr>
        <w:tc>
          <w:tcPr>
            <w:tcW w:w="779" w:type="dxa"/>
            <w:tcBorders>
              <w:top w:val="nil" w:sz="6" w:space="0" w:color="auto"/>
              <w:left w:val="nil" w:sz="6" w:space="0" w:color="auto"/>
              <w:bottom w:val="nil" w:sz="6" w:space="0" w:color="auto"/>
              <w:right w:val="nil" w:sz="6" w:space="0" w:color="auto"/>
            </w:tcBorders>
          </w:tcPr>
          <w:p>
            <w:pPr/>
          </w:p>
        </w:tc>
        <w:tc>
          <w:tcPr>
            <w:tcW w:w="8343"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50" w:right="198"/>
              <w:jc w:val="left"/>
              <w:rPr>
                <w:rFonts w:ascii="宋体" w:hAnsi="宋体" w:cs="宋体" w:eastAsia="宋体" w:hint="default"/>
                <w:sz w:val="24"/>
                <w:szCs w:val="24"/>
              </w:rPr>
            </w:pPr>
            <w:r>
              <w:rPr>
                <w:rFonts w:ascii="宋体" w:hAnsi="宋体" w:cs="宋体" w:eastAsia="宋体" w:hint="default"/>
                <w:sz w:val="24"/>
                <w:szCs w:val="24"/>
              </w:rPr>
              <w:t>根据经验而调整的精算利得和损失以及精算假设的变动，在产生期间内于其</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他综合收益的权益中扣除或贷记。</w:t>
            </w:r>
          </w:p>
        </w:tc>
      </w:tr>
      <w:tr>
        <w:trPr>
          <w:trHeight w:val="977" w:hRule="exact"/>
        </w:trPr>
        <w:tc>
          <w:tcPr>
            <w:tcW w:w="779" w:type="dxa"/>
            <w:tcBorders>
              <w:top w:val="nil" w:sz="6" w:space="0" w:color="auto"/>
              <w:left w:val="nil" w:sz="6" w:space="0" w:color="auto"/>
              <w:bottom w:val="nil" w:sz="6" w:space="0" w:color="auto"/>
              <w:right w:val="nil" w:sz="6" w:space="0" w:color="auto"/>
            </w:tcBorders>
          </w:tcPr>
          <w:p>
            <w:pPr/>
          </w:p>
        </w:tc>
        <w:tc>
          <w:tcPr>
            <w:tcW w:w="8343" w:type="dxa"/>
            <w:tcBorders>
              <w:top w:val="nil" w:sz="6" w:space="0" w:color="auto"/>
              <w:left w:val="nil" w:sz="6" w:space="0" w:color="auto"/>
              <w:bottom w:val="nil" w:sz="6" w:space="0" w:color="auto"/>
              <w:right w:val="nil" w:sz="6" w:space="0" w:color="auto"/>
            </w:tcBorders>
          </w:tcPr>
          <w:p>
            <w:pPr>
              <w:pStyle w:val="TableParagraph"/>
              <w:spacing w:line="230" w:lineRule="auto" w:before="52"/>
              <w:ind w:left="150" w:right="198"/>
              <w:jc w:val="both"/>
              <w:rPr>
                <w:rFonts w:ascii="宋体" w:hAnsi="宋体" w:cs="宋体" w:eastAsia="宋体" w:hint="default"/>
                <w:sz w:val="24"/>
                <w:szCs w:val="24"/>
              </w:rPr>
            </w:pPr>
            <w:r>
              <w:rPr>
                <w:rFonts w:ascii="宋体" w:hAnsi="宋体" w:cs="宋体" w:eastAsia="宋体" w:hint="default"/>
                <w:sz w:val="24"/>
                <w:szCs w:val="24"/>
              </w:rPr>
              <w:t>过往服务成本即时确认为成本，除非对退休计划的修改要视乎在某特定期间</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Arial" w:hAnsi="Arial" w:cs="Arial" w:eastAsia="Arial" w:hint="default"/>
                <w:spacing w:val="-3"/>
                <w:sz w:val="24"/>
                <w:szCs w:val="24"/>
              </w:rPr>
              <w:t>(</w:t>
            </w:r>
            <w:r>
              <w:rPr>
                <w:rFonts w:ascii="宋体" w:hAnsi="宋体" w:cs="宋体" w:eastAsia="宋体" w:hint="default"/>
                <w:spacing w:val="-3"/>
                <w:sz w:val="24"/>
                <w:szCs w:val="24"/>
              </w:rPr>
              <w:t>归属期</w:t>
            </w:r>
            <w:r>
              <w:rPr>
                <w:rFonts w:ascii="Arial" w:hAnsi="Arial" w:cs="Arial" w:eastAsia="Arial" w:hint="default"/>
                <w:spacing w:val="-3"/>
                <w:sz w:val="24"/>
                <w:szCs w:val="24"/>
              </w:rPr>
              <w:t>)</w:t>
            </w:r>
            <w:r>
              <w:rPr>
                <w:rFonts w:ascii="宋体" w:hAnsi="宋体" w:cs="宋体" w:eastAsia="宋体" w:hint="default"/>
                <w:spacing w:val="-3"/>
                <w:sz w:val="24"/>
                <w:szCs w:val="24"/>
              </w:rPr>
              <w:t>职工是否仍然维持服务。在此情况下，过往服务成本按归属期以直线</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法摊销。</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779"/>
        <w:gridCol w:w="8343"/>
      </w:tblGrid>
      <w:tr>
        <w:trPr>
          <w:trHeight w:val="507"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5" w:lineRule="exact"/>
              <w:ind w:right="148"/>
              <w:jc w:val="right"/>
              <w:rPr>
                <w:rFonts w:ascii="Arial" w:hAnsi="Arial" w:cs="Arial" w:eastAsia="Arial" w:hint="default"/>
                <w:sz w:val="24"/>
                <w:szCs w:val="24"/>
              </w:rPr>
            </w:pPr>
            <w:r>
              <w:rPr>
                <w:rFonts w:ascii="Arial"/>
                <w:w w:val="95"/>
                <w:sz w:val="24"/>
              </w:rPr>
              <w:t>(22)</w:t>
            </w:r>
            <w:r>
              <w:rPr>
                <w:rFonts w:ascii="Arial"/>
                <w:sz w:val="24"/>
              </w:rPr>
            </w:r>
          </w:p>
        </w:tc>
        <w:tc>
          <w:tcPr>
            <w:tcW w:w="8343" w:type="dxa"/>
            <w:tcBorders>
              <w:top w:val="nil" w:sz="6" w:space="0" w:color="auto"/>
              <w:left w:val="nil" w:sz="6" w:space="0" w:color="auto"/>
              <w:bottom w:val="nil" w:sz="6" w:space="0" w:color="auto"/>
              <w:right w:val="nil" w:sz="6" w:space="0" w:color="auto"/>
            </w:tcBorders>
          </w:tcPr>
          <w:p>
            <w:pPr>
              <w:pStyle w:val="TableParagraph"/>
              <w:spacing w:line="247" w:lineRule="exact"/>
              <w:ind w:left="150" w:right="0"/>
              <w:jc w:val="left"/>
              <w:rPr>
                <w:rFonts w:ascii="黑体" w:hAnsi="黑体" w:cs="黑体" w:eastAsia="黑体" w:hint="default"/>
                <w:sz w:val="24"/>
                <w:szCs w:val="24"/>
              </w:rPr>
            </w:pPr>
            <w:r>
              <w:rPr>
                <w:rFonts w:ascii="黑体" w:hAnsi="黑体" w:cs="黑体" w:eastAsia="黑体" w:hint="default"/>
                <w:sz w:val="24"/>
                <w:szCs w:val="24"/>
              </w:rPr>
              <w:t>股利分配</w:t>
            </w:r>
          </w:p>
        </w:tc>
      </w:tr>
      <w:tr>
        <w:trPr>
          <w:trHeight w:val="794" w:hRule="exact"/>
        </w:trPr>
        <w:tc>
          <w:tcPr>
            <w:tcW w:w="779" w:type="dxa"/>
            <w:tcBorders>
              <w:top w:val="nil" w:sz="6" w:space="0" w:color="auto"/>
              <w:left w:val="nil" w:sz="6" w:space="0" w:color="auto"/>
              <w:bottom w:val="nil" w:sz="6" w:space="0" w:color="auto"/>
              <w:right w:val="nil" w:sz="6" w:space="0" w:color="auto"/>
            </w:tcBorders>
          </w:tcPr>
          <w:p>
            <w:pPr/>
          </w:p>
        </w:tc>
        <w:tc>
          <w:tcPr>
            <w:tcW w:w="8343" w:type="dxa"/>
            <w:tcBorders>
              <w:top w:val="nil" w:sz="6" w:space="0" w:color="auto"/>
              <w:left w:val="nil" w:sz="6" w:space="0" w:color="auto"/>
              <w:bottom w:val="nil" w:sz="6" w:space="0" w:color="auto"/>
              <w:right w:val="nil" w:sz="6" w:space="0" w:color="auto"/>
            </w:tcBorders>
          </w:tcPr>
          <w:p>
            <w:pPr>
              <w:pStyle w:val="TableParagraph"/>
              <w:spacing w:line="240" w:lineRule="auto" w:before="185"/>
              <w:ind w:left="150" w:right="0"/>
              <w:jc w:val="left"/>
              <w:rPr>
                <w:rFonts w:ascii="宋体" w:hAnsi="宋体" w:cs="宋体" w:eastAsia="宋体" w:hint="default"/>
                <w:sz w:val="24"/>
                <w:szCs w:val="24"/>
              </w:rPr>
            </w:pPr>
            <w:r>
              <w:rPr>
                <w:rFonts w:ascii="宋体" w:hAnsi="宋体" w:cs="宋体" w:eastAsia="宋体" w:hint="default"/>
                <w:sz w:val="24"/>
                <w:szCs w:val="24"/>
              </w:rPr>
              <w:t>现金股利于股东大会批准的当期，确认为负债。</w:t>
            </w:r>
          </w:p>
        </w:tc>
      </w:tr>
      <w:tr>
        <w:trPr>
          <w:trHeight w:val="813"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48"/>
              <w:jc w:val="right"/>
              <w:rPr>
                <w:rFonts w:ascii="Arial" w:hAnsi="Arial" w:cs="Arial" w:eastAsia="Arial" w:hint="default"/>
                <w:sz w:val="24"/>
                <w:szCs w:val="24"/>
              </w:rPr>
            </w:pPr>
            <w:r>
              <w:rPr>
                <w:rFonts w:ascii="Arial"/>
                <w:w w:val="95"/>
                <w:sz w:val="24"/>
              </w:rPr>
              <w:t>(23)</w:t>
            </w:r>
            <w:r>
              <w:rPr>
                <w:rFonts w:ascii="Arial"/>
                <w:sz w:val="24"/>
              </w:rPr>
            </w:r>
          </w:p>
        </w:tc>
        <w:tc>
          <w:tcPr>
            <w:tcW w:w="83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50" w:right="0"/>
              <w:jc w:val="left"/>
              <w:rPr>
                <w:rFonts w:ascii="黑体" w:hAnsi="黑体" w:cs="黑体" w:eastAsia="黑体" w:hint="default"/>
                <w:sz w:val="24"/>
                <w:szCs w:val="24"/>
              </w:rPr>
            </w:pPr>
            <w:r>
              <w:rPr>
                <w:rFonts w:ascii="黑体" w:hAnsi="黑体" w:cs="黑体" w:eastAsia="黑体" w:hint="default"/>
                <w:sz w:val="24"/>
                <w:szCs w:val="24"/>
              </w:rPr>
              <w:t>预计负债</w:t>
            </w:r>
          </w:p>
        </w:tc>
      </w:tr>
      <w:tr>
        <w:trPr>
          <w:trHeight w:val="1156" w:hRule="exact"/>
        </w:trPr>
        <w:tc>
          <w:tcPr>
            <w:tcW w:w="779" w:type="dxa"/>
            <w:tcBorders>
              <w:top w:val="nil" w:sz="6" w:space="0" w:color="auto"/>
              <w:left w:val="nil" w:sz="6" w:space="0" w:color="auto"/>
              <w:bottom w:val="nil" w:sz="6" w:space="0" w:color="auto"/>
              <w:right w:val="nil" w:sz="6" w:space="0" w:color="auto"/>
            </w:tcBorders>
          </w:tcPr>
          <w:p>
            <w:pPr/>
          </w:p>
        </w:tc>
        <w:tc>
          <w:tcPr>
            <w:tcW w:w="83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2" w:lineRule="exact"/>
              <w:ind w:left="150" w:right="198"/>
              <w:jc w:val="left"/>
              <w:rPr>
                <w:rFonts w:ascii="宋体" w:hAnsi="宋体" w:cs="宋体" w:eastAsia="宋体" w:hint="default"/>
                <w:sz w:val="24"/>
                <w:szCs w:val="24"/>
              </w:rPr>
            </w:pPr>
            <w:r>
              <w:rPr>
                <w:rFonts w:ascii="宋体" w:hAnsi="宋体" w:cs="宋体" w:eastAsia="宋体" w:hint="default"/>
                <w:sz w:val="24"/>
                <w:szCs w:val="24"/>
              </w:rPr>
              <w:t>因产品质量保证、亏损合同等形成的现时义务，当履行该义务很可能导致经</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济利益的流出，且其金额能够可靠计量时，确认为预计负债。</w:t>
            </w:r>
          </w:p>
        </w:tc>
      </w:tr>
      <w:tr>
        <w:trPr>
          <w:trHeight w:val="2079" w:hRule="exact"/>
        </w:trPr>
        <w:tc>
          <w:tcPr>
            <w:tcW w:w="779" w:type="dxa"/>
            <w:tcBorders>
              <w:top w:val="nil" w:sz="6" w:space="0" w:color="auto"/>
              <w:left w:val="nil" w:sz="6" w:space="0" w:color="auto"/>
              <w:bottom w:val="nil" w:sz="6" w:space="0" w:color="auto"/>
              <w:right w:val="nil" w:sz="6" w:space="0" w:color="auto"/>
            </w:tcBorders>
          </w:tcPr>
          <w:p>
            <w:pPr/>
          </w:p>
        </w:tc>
        <w:tc>
          <w:tcPr>
            <w:tcW w:w="83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37" w:lineRule="auto"/>
              <w:ind w:left="150" w:right="198"/>
              <w:jc w:val="both"/>
              <w:rPr>
                <w:rFonts w:ascii="宋体" w:hAnsi="宋体" w:cs="宋体" w:eastAsia="宋体" w:hint="default"/>
                <w:sz w:val="24"/>
                <w:szCs w:val="24"/>
              </w:rPr>
            </w:pPr>
            <w:r>
              <w:rPr>
                <w:rFonts w:ascii="宋体" w:hAnsi="宋体" w:cs="宋体" w:eastAsia="宋体" w:hint="default"/>
                <w:sz w:val="24"/>
                <w:szCs w:val="24"/>
              </w:rPr>
              <w:t>预计负债按照履行相关现时义务所需支出的最佳估计数进行初始计量，并综</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合考虑与或有事项有关的风险、不确定性和货币时间价值等因素。货币时间</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价值影响重大的，通过对相关未来现金流出进行折现后确定最佳估计数；因</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随着时间推移所进行的折现还原而导致的预计负债账面价值的增加金额，确</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认为利息费用。</w:t>
            </w:r>
          </w:p>
        </w:tc>
      </w:tr>
      <w:tr>
        <w:trPr>
          <w:trHeight w:val="809" w:hRule="exact"/>
        </w:trPr>
        <w:tc>
          <w:tcPr>
            <w:tcW w:w="779" w:type="dxa"/>
            <w:tcBorders>
              <w:top w:val="nil" w:sz="6" w:space="0" w:color="auto"/>
              <w:left w:val="nil" w:sz="6" w:space="0" w:color="auto"/>
              <w:bottom w:val="nil" w:sz="6" w:space="0" w:color="auto"/>
              <w:right w:val="nil" w:sz="6" w:space="0" w:color="auto"/>
            </w:tcBorders>
          </w:tcPr>
          <w:p>
            <w:pPr/>
          </w:p>
        </w:tc>
        <w:tc>
          <w:tcPr>
            <w:tcW w:w="83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0" w:lineRule="exact"/>
              <w:ind w:left="150" w:right="198"/>
              <w:jc w:val="left"/>
              <w:rPr>
                <w:rFonts w:ascii="宋体" w:hAnsi="宋体" w:cs="宋体" w:eastAsia="宋体" w:hint="default"/>
                <w:sz w:val="24"/>
                <w:szCs w:val="24"/>
              </w:rPr>
            </w:pPr>
            <w:r>
              <w:rPr>
                <w:rFonts w:ascii="宋体" w:hAnsi="宋体" w:cs="宋体" w:eastAsia="宋体" w:hint="default"/>
                <w:sz w:val="24"/>
                <w:szCs w:val="24"/>
              </w:rPr>
              <w:t>于资产负债表日，对预计负债的账面价值进行复核并作适当调整，以反映当</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前的最佳估计数。</w:t>
            </w:r>
          </w:p>
        </w:tc>
      </w:tr>
    </w:tbl>
    <w:p>
      <w:pPr>
        <w:spacing w:after="0" w:line="310" w:lineRule="exact"/>
        <w:jc w:val="left"/>
        <w:rPr>
          <w:rFonts w:ascii="宋体" w:hAnsi="宋体" w:cs="宋体" w:eastAsia="宋体" w:hint="default"/>
          <w:sz w:val="24"/>
          <w:szCs w:val="24"/>
        </w:rPr>
        <w:sectPr>
          <w:footerReference w:type="default" r:id="rId61"/>
          <w:pgSz w:w="11910" w:h="16850"/>
          <w:pgMar w:footer="708" w:header="795" w:top="2020" w:bottom="900" w:left="1420" w:right="0"/>
          <w:pgNumType w:start="115"/>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1596280" type="#_x0000_t75" stroked="false">
            <v:imagedata r:id="rId10" o:title=""/>
          </v:shape>
        </w:pict>
      </w:r>
    </w:p>
    <w:p>
      <w:pPr>
        <w:spacing w:line="240" w:lineRule="auto" w:before="9"/>
        <w:rPr>
          <w:rFonts w:ascii="Times New Roman" w:hAnsi="Times New Roman" w:cs="Times New Roman" w:eastAsia="Times New Roman"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770"/>
        <w:gridCol w:w="8467"/>
      </w:tblGrid>
      <w:tr>
        <w:trPr>
          <w:trHeight w:val="501"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67" w:type="dxa"/>
            <w:tcBorders>
              <w:top w:val="nil" w:sz="6" w:space="0" w:color="auto"/>
              <w:left w:val="nil" w:sz="6" w:space="0" w:color="auto"/>
              <w:bottom w:val="nil" w:sz="6" w:space="0" w:color="auto"/>
              <w:right w:val="nil" w:sz="6" w:space="0" w:color="auto"/>
            </w:tcBorders>
          </w:tcPr>
          <w:p>
            <w:pPr>
              <w:pStyle w:val="TableParagraph"/>
              <w:spacing w:line="257" w:lineRule="exact"/>
              <w:ind w:left="159"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96"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(24)</w:t>
            </w:r>
          </w:p>
        </w:tc>
        <w:tc>
          <w:tcPr>
            <w:tcW w:w="8467"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9" w:right="0"/>
              <w:jc w:val="left"/>
              <w:rPr>
                <w:rFonts w:ascii="黑体" w:hAnsi="黑体" w:cs="黑体" w:eastAsia="黑体" w:hint="default"/>
                <w:sz w:val="24"/>
                <w:szCs w:val="24"/>
              </w:rPr>
            </w:pPr>
            <w:r>
              <w:rPr>
                <w:rFonts w:ascii="黑体" w:hAnsi="黑体" w:cs="黑体" w:eastAsia="黑体" w:hint="default"/>
                <w:sz w:val="24"/>
                <w:szCs w:val="24"/>
              </w:rPr>
              <w:t>积分计划</w:t>
            </w:r>
          </w:p>
        </w:tc>
      </w:tr>
      <w:tr>
        <w:trPr>
          <w:trHeight w:val="2707" w:hRule="exact"/>
        </w:trPr>
        <w:tc>
          <w:tcPr>
            <w:tcW w:w="770" w:type="dxa"/>
            <w:tcBorders>
              <w:top w:val="nil" w:sz="6" w:space="0" w:color="auto"/>
              <w:left w:val="nil" w:sz="6" w:space="0" w:color="auto"/>
              <w:bottom w:val="nil" w:sz="6" w:space="0" w:color="auto"/>
              <w:right w:val="nil" w:sz="6" w:space="0" w:color="auto"/>
            </w:tcBorders>
          </w:tcPr>
          <w:p>
            <w:pPr/>
          </w:p>
        </w:tc>
        <w:tc>
          <w:tcPr>
            <w:tcW w:w="84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2" w:lineRule="exact"/>
              <w:ind w:left="159" w:right="198"/>
              <w:jc w:val="left"/>
              <w:rPr>
                <w:rFonts w:ascii="宋体" w:hAnsi="宋体" w:cs="宋体" w:eastAsia="宋体" w:hint="default"/>
                <w:sz w:val="24"/>
                <w:szCs w:val="24"/>
              </w:rPr>
            </w:pPr>
            <w:r>
              <w:rPr>
                <w:rFonts w:ascii="宋体" w:hAnsi="宋体" w:cs="宋体" w:eastAsia="宋体" w:hint="default"/>
                <w:spacing w:val="-2"/>
                <w:sz w:val="24"/>
                <w:szCs w:val="24"/>
              </w:rPr>
              <w:t>本集团实施积分计划，顾客前次消费额产生的积分，可以在下次消费时抵用。</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授予顾客的积分奖励作为销售交易的一部分。销售取得的货款或应收货款在</w:t>
            </w:r>
          </w:p>
          <w:p>
            <w:pPr>
              <w:pStyle w:val="TableParagraph"/>
              <w:spacing w:line="280" w:lineRule="exact"/>
              <w:ind w:left="159" w:right="0"/>
              <w:jc w:val="both"/>
              <w:rPr>
                <w:rFonts w:ascii="宋体" w:hAnsi="宋体" w:cs="宋体" w:eastAsia="宋体" w:hint="default"/>
                <w:sz w:val="24"/>
                <w:szCs w:val="24"/>
              </w:rPr>
            </w:pPr>
            <w:r>
              <w:rPr>
                <w:rFonts w:ascii="宋体" w:hAnsi="宋体" w:cs="宋体" w:eastAsia="宋体" w:hint="default"/>
                <w:sz w:val="24"/>
                <w:szCs w:val="24"/>
              </w:rPr>
              <w:t>商品销售或劳务提供产生的收入与奖励积分的公允价值之间进行分配，取得</w:t>
            </w:r>
          </w:p>
          <w:p>
            <w:pPr>
              <w:pStyle w:val="TableParagraph"/>
              <w:spacing w:line="237" w:lineRule="auto" w:before="2"/>
              <w:ind w:left="159" w:right="313"/>
              <w:jc w:val="both"/>
              <w:rPr>
                <w:rFonts w:ascii="宋体" w:hAnsi="宋体" w:cs="宋体" w:eastAsia="宋体" w:hint="default"/>
                <w:sz w:val="24"/>
                <w:szCs w:val="24"/>
              </w:rPr>
            </w:pPr>
            <w:r>
              <w:rPr>
                <w:rFonts w:ascii="宋体" w:hAnsi="宋体" w:cs="宋体" w:eastAsia="宋体" w:hint="default"/>
                <w:sz w:val="24"/>
                <w:szCs w:val="24"/>
              </w:rPr>
              <w:t>的货款或应收货款扣除奖励积分公允价值的部分后确认为收入，奖励积分的</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公允价值确认为递延收益。奖励积分确认的递延收益以授予顾客的积分为基</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准，并根据本集团已公布的积分使用方法和积分的预期兑付率后，按公允价</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值确认。</w:t>
            </w:r>
          </w:p>
        </w:tc>
      </w:tr>
      <w:tr>
        <w:trPr>
          <w:trHeight w:val="1146" w:hRule="exact"/>
        </w:trPr>
        <w:tc>
          <w:tcPr>
            <w:tcW w:w="770" w:type="dxa"/>
            <w:tcBorders>
              <w:top w:val="nil" w:sz="6" w:space="0" w:color="auto"/>
              <w:left w:val="nil" w:sz="6" w:space="0" w:color="auto"/>
              <w:bottom w:val="nil" w:sz="6" w:space="0" w:color="auto"/>
              <w:right w:val="nil" w:sz="6" w:space="0" w:color="auto"/>
            </w:tcBorders>
          </w:tcPr>
          <w:p>
            <w:pPr/>
          </w:p>
        </w:tc>
        <w:tc>
          <w:tcPr>
            <w:tcW w:w="846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0" w:lineRule="exact"/>
              <w:ind w:left="159" w:right="313"/>
              <w:jc w:val="left"/>
              <w:rPr>
                <w:rFonts w:ascii="宋体" w:hAnsi="宋体" w:cs="宋体" w:eastAsia="宋体" w:hint="default"/>
                <w:sz w:val="24"/>
                <w:szCs w:val="24"/>
              </w:rPr>
            </w:pPr>
            <w:r>
              <w:rPr>
                <w:rFonts w:ascii="宋体" w:hAnsi="宋体" w:cs="宋体" w:eastAsia="宋体" w:hint="default"/>
                <w:sz w:val="24"/>
                <w:szCs w:val="24"/>
              </w:rPr>
              <w:t>在顾客兑换奖励积分时，将原计入递延收益的与所兑换积分相关的部分确认</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为收入。</w:t>
            </w:r>
          </w:p>
        </w:tc>
      </w:tr>
      <w:tr>
        <w:trPr>
          <w:trHeight w:val="843"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00" w:right="0"/>
              <w:jc w:val="left"/>
              <w:rPr>
                <w:rFonts w:ascii="Arial" w:hAnsi="Arial" w:cs="Arial" w:eastAsia="Arial" w:hint="default"/>
                <w:sz w:val="24"/>
                <w:szCs w:val="24"/>
              </w:rPr>
            </w:pPr>
            <w:r>
              <w:rPr>
                <w:rFonts w:ascii="Arial"/>
                <w:sz w:val="24"/>
              </w:rPr>
              <w:t>(25)</w:t>
            </w:r>
          </w:p>
        </w:tc>
        <w:tc>
          <w:tcPr>
            <w:tcW w:w="84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59" w:right="0"/>
              <w:jc w:val="left"/>
              <w:rPr>
                <w:rFonts w:ascii="黑体" w:hAnsi="黑体" w:cs="黑体" w:eastAsia="黑体" w:hint="default"/>
                <w:sz w:val="24"/>
                <w:szCs w:val="24"/>
              </w:rPr>
            </w:pPr>
            <w:r>
              <w:rPr>
                <w:rFonts w:ascii="黑体" w:hAnsi="黑体" w:cs="黑体" w:eastAsia="黑体" w:hint="default"/>
                <w:sz w:val="24"/>
                <w:szCs w:val="24"/>
              </w:rPr>
              <w:t>收入确认</w:t>
            </w:r>
          </w:p>
        </w:tc>
      </w:tr>
      <w:tr>
        <w:trPr>
          <w:trHeight w:val="1236" w:hRule="exact"/>
        </w:trPr>
        <w:tc>
          <w:tcPr>
            <w:tcW w:w="770" w:type="dxa"/>
            <w:tcBorders>
              <w:top w:val="nil" w:sz="6" w:space="0" w:color="auto"/>
              <w:left w:val="nil" w:sz="6" w:space="0" w:color="auto"/>
              <w:bottom w:val="nil" w:sz="6" w:space="0" w:color="auto"/>
              <w:right w:val="nil" w:sz="6" w:space="0" w:color="auto"/>
            </w:tcBorders>
          </w:tcPr>
          <w:p>
            <w:pPr/>
          </w:p>
        </w:tc>
        <w:tc>
          <w:tcPr>
            <w:tcW w:w="84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7" w:lineRule="auto"/>
              <w:ind w:left="159" w:right="313" w:hanging="17"/>
              <w:jc w:val="both"/>
              <w:rPr>
                <w:rFonts w:ascii="宋体" w:hAnsi="宋体" w:cs="宋体" w:eastAsia="宋体" w:hint="default"/>
                <w:sz w:val="24"/>
                <w:szCs w:val="24"/>
              </w:rPr>
            </w:pPr>
            <w:r>
              <w:rPr>
                <w:rFonts w:ascii="宋体" w:hAnsi="宋体" w:cs="宋体" w:eastAsia="宋体" w:hint="default"/>
                <w:spacing w:val="2"/>
                <w:sz w:val="24"/>
                <w:szCs w:val="24"/>
              </w:rPr>
              <w:t>收入的金额按照本集团在日常经营活动中销售商品和提供劳务时，已收或应</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收合同或协议价款的公允价值确定。收入按扣除销售折让及销售退回的净额</w:t>
            </w:r>
            <w:r>
              <w:rPr>
                <w:rFonts w:ascii="宋体" w:hAnsi="宋体" w:cs="宋体" w:eastAsia="宋体" w:hint="default"/>
                <w:spacing w:val="-78"/>
                <w:sz w:val="24"/>
                <w:szCs w:val="24"/>
              </w:rPr>
              <w:t> </w:t>
            </w:r>
            <w:r>
              <w:rPr>
                <w:rFonts w:ascii="宋体" w:hAnsi="宋体" w:cs="宋体" w:eastAsia="宋体" w:hint="default"/>
                <w:spacing w:val="-78"/>
                <w:sz w:val="24"/>
                <w:szCs w:val="24"/>
              </w:rPr>
            </w:r>
            <w:r>
              <w:rPr>
                <w:rFonts w:ascii="宋体" w:hAnsi="宋体" w:cs="宋体" w:eastAsia="宋体" w:hint="default"/>
                <w:sz w:val="24"/>
                <w:szCs w:val="24"/>
              </w:rPr>
              <w:t>列示。</w:t>
            </w:r>
          </w:p>
        </w:tc>
      </w:tr>
      <w:tr>
        <w:trPr>
          <w:trHeight w:val="877" w:hRule="exact"/>
        </w:trPr>
        <w:tc>
          <w:tcPr>
            <w:tcW w:w="770" w:type="dxa"/>
            <w:tcBorders>
              <w:top w:val="nil" w:sz="6" w:space="0" w:color="auto"/>
              <w:left w:val="nil" w:sz="6" w:space="0" w:color="auto"/>
              <w:bottom w:val="nil" w:sz="6" w:space="0" w:color="auto"/>
              <w:right w:val="nil" w:sz="6" w:space="0" w:color="auto"/>
            </w:tcBorders>
          </w:tcPr>
          <w:p>
            <w:pPr/>
          </w:p>
        </w:tc>
        <w:tc>
          <w:tcPr>
            <w:tcW w:w="846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59" w:right="316" w:hanging="17"/>
              <w:jc w:val="left"/>
              <w:rPr>
                <w:rFonts w:ascii="宋体" w:hAnsi="宋体" w:cs="宋体" w:eastAsia="宋体" w:hint="default"/>
                <w:sz w:val="24"/>
                <w:szCs w:val="24"/>
              </w:rPr>
            </w:pPr>
            <w:r>
              <w:rPr>
                <w:rFonts w:ascii="宋体" w:hAnsi="宋体" w:cs="宋体" w:eastAsia="宋体" w:hint="default"/>
                <w:spacing w:val="2"/>
                <w:sz w:val="24"/>
                <w:szCs w:val="24"/>
              </w:rPr>
              <w:t>与交易相关的经济利益能够流入本集团，相关的收入能够可靠计量且满足下</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列各项经营活动的特定收入确认标准时，确认相关的收入：</w:t>
            </w:r>
          </w:p>
        </w:tc>
      </w:tr>
      <w:tr>
        <w:trPr>
          <w:trHeight w:val="573"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467"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42" w:right="0"/>
              <w:jc w:val="left"/>
              <w:rPr>
                <w:rFonts w:ascii="宋体" w:hAnsi="宋体" w:cs="宋体" w:eastAsia="宋体" w:hint="default"/>
                <w:sz w:val="24"/>
                <w:szCs w:val="24"/>
              </w:rPr>
            </w:pPr>
            <w:r>
              <w:rPr>
                <w:rFonts w:ascii="宋体" w:hAnsi="宋体" w:cs="宋体" w:eastAsia="宋体" w:hint="default"/>
                <w:sz w:val="24"/>
                <w:szCs w:val="24"/>
              </w:rPr>
              <w:t>销售商品</w:t>
            </w:r>
          </w:p>
        </w:tc>
      </w:tr>
      <w:tr>
        <w:trPr>
          <w:trHeight w:val="1228" w:hRule="exact"/>
        </w:trPr>
        <w:tc>
          <w:tcPr>
            <w:tcW w:w="770" w:type="dxa"/>
            <w:tcBorders>
              <w:top w:val="nil" w:sz="6" w:space="0" w:color="auto"/>
              <w:left w:val="nil" w:sz="6" w:space="0" w:color="auto"/>
              <w:bottom w:val="nil" w:sz="6" w:space="0" w:color="auto"/>
              <w:right w:val="nil" w:sz="6" w:space="0" w:color="auto"/>
            </w:tcBorders>
          </w:tcPr>
          <w:p>
            <w:pPr/>
          </w:p>
        </w:tc>
        <w:tc>
          <w:tcPr>
            <w:tcW w:w="8467" w:type="dxa"/>
            <w:tcBorders>
              <w:top w:val="nil" w:sz="6" w:space="0" w:color="auto"/>
              <w:left w:val="nil" w:sz="6" w:space="0" w:color="auto"/>
              <w:bottom w:val="nil" w:sz="6" w:space="0" w:color="auto"/>
              <w:right w:val="nil" w:sz="6" w:space="0" w:color="auto"/>
            </w:tcBorders>
          </w:tcPr>
          <w:p>
            <w:pPr>
              <w:pStyle w:val="TableParagraph"/>
              <w:spacing w:line="237" w:lineRule="auto" w:before="4"/>
              <w:ind w:left="159" w:right="313"/>
              <w:jc w:val="both"/>
              <w:rPr>
                <w:rFonts w:ascii="宋体" w:hAnsi="宋体" w:cs="宋体" w:eastAsia="宋体" w:hint="default"/>
                <w:sz w:val="24"/>
                <w:szCs w:val="24"/>
              </w:rPr>
            </w:pPr>
            <w:r>
              <w:rPr>
                <w:rFonts w:ascii="宋体" w:hAnsi="宋体" w:cs="宋体" w:eastAsia="宋体" w:hint="default"/>
                <w:sz w:val="24"/>
                <w:szCs w:val="24"/>
              </w:rPr>
              <w:t>本集团从事商品零售业务，当本集团向消费者转移商品所有权凭证后，商品</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所有权上的主要风险和报酬随之转移，与销售该商品有关的成本能够可靠地</w:t>
            </w:r>
            <w:r>
              <w:rPr>
                <w:rFonts w:ascii="宋体" w:hAnsi="宋体" w:cs="宋体" w:eastAsia="宋体" w:hint="default"/>
                <w:spacing w:val="-62"/>
                <w:sz w:val="24"/>
                <w:szCs w:val="24"/>
              </w:rPr>
              <w:t> </w:t>
            </w:r>
            <w:r>
              <w:rPr>
                <w:rFonts w:ascii="宋体" w:hAnsi="宋体" w:cs="宋体" w:eastAsia="宋体" w:hint="default"/>
                <w:spacing w:val="-62"/>
                <w:sz w:val="24"/>
                <w:szCs w:val="24"/>
              </w:rPr>
            </w:r>
            <w:r>
              <w:rPr>
                <w:rFonts w:ascii="宋体" w:hAnsi="宋体" w:cs="宋体" w:eastAsia="宋体" w:hint="default"/>
                <w:sz w:val="24"/>
                <w:szCs w:val="24"/>
              </w:rPr>
              <w:t>计量，本集团在此时确认商品的销售收入。</w:t>
            </w:r>
          </w:p>
        </w:tc>
      </w:tr>
      <w:tr>
        <w:trPr>
          <w:trHeight w:val="613"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846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42" w:right="0"/>
              <w:jc w:val="left"/>
              <w:rPr>
                <w:rFonts w:ascii="宋体" w:hAnsi="宋体" w:cs="宋体" w:eastAsia="宋体" w:hint="default"/>
                <w:sz w:val="24"/>
                <w:szCs w:val="24"/>
              </w:rPr>
            </w:pPr>
            <w:r>
              <w:rPr>
                <w:rFonts w:ascii="宋体" w:hAnsi="宋体" w:cs="宋体" w:eastAsia="宋体" w:hint="default"/>
                <w:sz w:val="24"/>
                <w:szCs w:val="24"/>
              </w:rPr>
              <w:t>提供劳务</w:t>
            </w:r>
          </w:p>
        </w:tc>
      </w:tr>
      <w:tr>
        <w:trPr>
          <w:trHeight w:val="937" w:hRule="exact"/>
        </w:trPr>
        <w:tc>
          <w:tcPr>
            <w:tcW w:w="770" w:type="dxa"/>
            <w:tcBorders>
              <w:top w:val="nil" w:sz="6" w:space="0" w:color="auto"/>
              <w:left w:val="nil" w:sz="6" w:space="0" w:color="auto"/>
              <w:bottom w:val="nil" w:sz="6" w:space="0" w:color="auto"/>
              <w:right w:val="nil" w:sz="6" w:space="0" w:color="auto"/>
            </w:tcBorders>
          </w:tcPr>
          <w:p>
            <w:pPr/>
          </w:p>
        </w:tc>
        <w:tc>
          <w:tcPr>
            <w:tcW w:w="8467" w:type="dxa"/>
            <w:tcBorders>
              <w:top w:val="nil" w:sz="6" w:space="0" w:color="auto"/>
              <w:left w:val="nil" w:sz="6" w:space="0" w:color="auto"/>
              <w:bottom w:val="nil" w:sz="6" w:space="0" w:color="auto"/>
              <w:right w:val="nil" w:sz="6" w:space="0" w:color="auto"/>
            </w:tcBorders>
          </w:tcPr>
          <w:p>
            <w:pPr>
              <w:pStyle w:val="TableParagraph"/>
              <w:spacing w:line="237" w:lineRule="auto" w:before="4"/>
              <w:ind w:left="159" w:right="312"/>
              <w:jc w:val="both"/>
              <w:rPr>
                <w:rFonts w:ascii="宋体" w:hAnsi="宋体" w:cs="宋体" w:eastAsia="宋体" w:hint="default"/>
                <w:sz w:val="24"/>
                <w:szCs w:val="24"/>
              </w:rPr>
            </w:pPr>
            <w:r>
              <w:rPr>
                <w:rFonts w:ascii="宋体" w:hAnsi="宋体" w:cs="宋体" w:eastAsia="宋体" w:hint="default"/>
                <w:sz w:val="24"/>
                <w:szCs w:val="24"/>
              </w:rPr>
              <w:t>本集团对外提供业务培训劳务、安装维修劳务、代理劳务、连锁店服务劳务</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等，在劳务总收入和总成本能够可靠地计量、与交易相关的经济利益能够流</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入企业、劳务的完成程度能够可靠地确定时，确认劳务收入的实现。</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08" w:type="dxa"/>
        <w:tblLayout w:type="fixed"/>
        <w:tblCellMar>
          <w:top w:w="0" w:type="dxa"/>
          <w:left w:w="0" w:type="dxa"/>
          <w:bottom w:w="0" w:type="dxa"/>
          <w:right w:w="0" w:type="dxa"/>
        </w:tblCellMar>
        <w:tblLook w:val="01E0"/>
      </w:tblPr>
      <w:tblGrid>
        <w:gridCol w:w="709"/>
        <w:gridCol w:w="8350"/>
      </w:tblGrid>
      <w:tr>
        <w:trPr>
          <w:trHeight w:val="323"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(c)</w:t>
            </w:r>
          </w:p>
        </w:tc>
        <w:tc>
          <w:tcPr>
            <w:tcW w:w="8350" w:type="dxa"/>
            <w:tcBorders>
              <w:top w:val="nil" w:sz="6" w:space="0" w:color="auto"/>
              <w:left w:val="nil" w:sz="6" w:space="0" w:color="auto"/>
              <w:bottom w:val="nil" w:sz="6" w:space="0" w:color="auto"/>
              <w:right w:val="nil" w:sz="6" w:space="0" w:color="auto"/>
            </w:tcBorders>
          </w:tcPr>
          <w:p>
            <w:pPr>
              <w:pStyle w:val="TableParagraph"/>
              <w:spacing w:line="247" w:lineRule="exact"/>
              <w:ind w:left="229" w:right="0"/>
              <w:jc w:val="left"/>
              <w:rPr>
                <w:rFonts w:ascii="宋体" w:hAnsi="宋体" w:cs="宋体" w:eastAsia="宋体" w:hint="default"/>
                <w:sz w:val="24"/>
                <w:szCs w:val="24"/>
              </w:rPr>
            </w:pPr>
            <w:r>
              <w:rPr>
                <w:rFonts w:ascii="宋体" w:hAnsi="宋体" w:cs="宋体" w:eastAsia="宋体" w:hint="default"/>
                <w:sz w:val="24"/>
                <w:szCs w:val="24"/>
              </w:rPr>
              <w:t>让渡资产使用权</w:t>
            </w:r>
          </w:p>
        </w:tc>
      </w:tr>
      <w:tr>
        <w:trPr>
          <w:trHeight w:val="570" w:hRule="exact"/>
        </w:trPr>
        <w:tc>
          <w:tcPr>
            <w:tcW w:w="709" w:type="dxa"/>
            <w:tcBorders>
              <w:top w:val="nil" w:sz="6" w:space="0" w:color="auto"/>
              <w:left w:val="nil" w:sz="6" w:space="0" w:color="auto"/>
              <w:bottom w:val="nil" w:sz="6" w:space="0" w:color="auto"/>
              <w:right w:val="nil" w:sz="6" w:space="0" w:color="auto"/>
            </w:tcBorders>
          </w:tcPr>
          <w:p>
            <w:pPr/>
          </w:p>
        </w:tc>
        <w:tc>
          <w:tcPr>
            <w:tcW w:w="8350" w:type="dxa"/>
            <w:tcBorders>
              <w:top w:val="nil" w:sz="6" w:space="0" w:color="auto"/>
              <w:left w:val="nil" w:sz="6" w:space="0" w:color="auto"/>
              <w:bottom w:val="nil" w:sz="6" w:space="0" w:color="auto"/>
              <w:right w:val="nil" w:sz="6" w:space="0" w:color="auto"/>
            </w:tcBorders>
          </w:tcPr>
          <w:p>
            <w:pPr>
              <w:pStyle w:val="TableParagraph"/>
              <w:spacing w:line="240" w:lineRule="auto" w:before="1"/>
              <w:ind w:left="229" w:right="0"/>
              <w:jc w:val="left"/>
              <w:rPr>
                <w:rFonts w:ascii="宋体" w:hAnsi="宋体" w:cs="宋体" w:eastAsia="宋体" w:hint="default"/>
                <w:sz w:val="24"/>
                <w:szCs w:val="24"/>
              </w:rPr>
            </w:pPr>
            <w:r>
              <w:rPr>
                <w:rFonts w:ascii="宋体" w:hAnsi="宋体" w:cs="宋体" w:eastAsia="宋体" w:hint="default"/>
                <w:sz w:val="24"/>
                <w:szCs w:val="24"/>
              </w:rPr>
              <w:t>利息收入按照其他方使用本集团货币资金的时间，采用实际利率计算确定。</w:t>
            </w:r>
          </w:p>
        </w:tc>
      </w:tr>
      <w:tr>
        <w:trPr>
          <w:trHeight w:val="495" w:hRule="exact"/>
        </w:trPr>
        <w:tc>
          <w:tcPr>
            <w:tcW w:w="709" w:type="dxa"/>
            <w:tcBorders>
              <w:top w:val="nil" w:sz="6" w:space="0" w:color="auto"/>
              <w:left w:val="nil" w:sz="6" w:space="0" w:color="auto"/>
              <w:bottom w:val="nil" w:sz="6" w:space="0" w:color="auto"/>
              <w:right w:val="nil" w:sz="6" w:space="0" w:color="auto"/>
            </w:tcBorders>
          </w:tcPr>
          <w:p>
            <w:pPr/>
          </w:p>
        </w:tc>
        <w:tc>
          <w:tcPr>
            <w:tcW w:w="8350"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229" w:right="0"/>
              <w:jc w:val="left"/>
              <w:rPr>
                <w:rFonts w:ascii="宋体" w:hAnsi="宋体" w:cs="宋体" w:eastAsia="宋体" w:hint="default"/>
                <w:sz w:val="24"/>
                <w:szCs w:val="24"/>
              </w:rPr>
            </w:pPr>
            <w:r>
              <w:rPr>
                <w:rFonts w:ascii="宋体" w:hAnsi="宋体" w:cs="宋体" w:eastAsia="宋体" w:hint="default"/>
                <w:sz w:val="24"/>
                <w:szCs w:val="24"/>
              </w:rPr>
              <w:t>广告位使用费收入按照直线法在使用期间内确认。</w:t>
            </w:r>
          </w:p>
        </w:tc>
      </w:tr>
    </w:tbl>
    <w:p>
      <w:pPr>
        <w:spacing w:after="0" w:line="240" w:lineRule="auto"/>
        <w:jc w:val="left"/>
        <w:rPr>
          <w:rFonts w:ascii="宋体" w:hAnsi="宋体" w:cs="宋体" w:eastAsia="宋体"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2920" type="#_x0000_t75" stroked="false">
            <v:imagedata r:id="rId10" o:title=""/>
          </v:shape>
        </w:pict>
      </w: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79"/>
        <w:gridCol w:w="8330"/>
      </w:tblGrid>
      <w:tr>
        <w:trPr>
          <w:trHeight w:val="501"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30"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1"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(26)</w:t>
            </w:r>
          </w:p>
        </w:tc>
        <w:tc>
          <w:tcPr>
            <w:tcW w:w="8330"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60" w:right="0"/>
              <w:jc w:val="left"/>
              <w:rPr>
                <w:rFonts w:ascii="黑体" w:hAnsi="黑体" w:cs="黑体" w:eastAsia="黑体" w:hint="default"/>
                <w:sz w:val="24"/>
                <w:szCs w:val="24"/>
              </w:rPr>
            </w:pPr>
            <w:r>
              <w:rPr>
                <w:rFonts w:ascii="黑体" w:hAnsi="黑体" w:cs="黑体" w:eastAsia="黑体" w:hint="default"/>
                <w:sz w:val="24"/>
                <w:szCs w:val="24"/>
              </w:rPr>
              <w:t>政府补助</w:t>
            </w:r>
          </w:p>
        </w:tc>
      </w:tr>
      <w:tr>
        <w:trPr>
          <w:trHeight w:val="1059" w:hRule="exact"/>
        </w:trPr>
        <w:tc>
          <w:tcPr>
            <w:tcW w:w="779" w:type="dxa"/>
            <w:tcBorders>
              <w:top w:val="nil" w:sz="6" w:space="0" w:color="auto"/>
              <w:left w:val="nil" w:sz="6" w:space="0" w:color="auto"/>
              <w:bottom w:val="nil" w:sz="6" w:space="0" w:color="auto"/>
              <w:right w:val="nil" w:sz="6" w:space="0" w:color="auto"/>
            </w:tcBorders>
          </w:tcPr>
          <w:p>
            <w:pPr/>
          </w:p>
        </w:tc>
        <w:tc>
          <w:tcPr>
            <w:tcW w:w="8330" w:type="dxa"/>
            <w:tcBorders>
              <w:top w:val="nil" w:sz="6" w:space="0" w:color="auto"/>
              <w:left w:val="nil" w:sz="6" w:space="0" w:color="auto"/>
              <w:bottom w:val="nil" w:sz="6" w:space="0" w:color="auto"/>
              <w:right w:val="nil" w:sz="6" w:space="0" w:color="auto"/>
            </w:tcBorders>
          </w:tcPr>
          <w:p>
            <w:pPr>
              <w:pStyle w:val="TableParagraph"/>
              <w:spacing w:line="310" w:lineRule="exact" w:before="212"/>
              <w:ind w:left="160" w:right="198"/>
              <w:jc w:val="left"/>
              <w:rPr>
                <w:rFonts w:ascii="宋体" w:hAnsi="宋体" w:cs="宋体" w:eastAsia="宋体" w:hint="default"/>
                <w:sz w:val="24"/>
                <w:szCs w:val="24"/>
              </w:rPr>
            </w:pPr>
            <w:r>
              <w:rPr>
                <w:rFonts w:ascii="宋体" w:hAnsi="宋体" w:cs="宋体" w:eastAsia="宋体" w:hint="default"/>
                <w:sz w:val="24"/>
                <w:szCs w:val="24"/>
              </w:rPr>
              <w:t>政府补助为本集团从政府无偿取得的货币性资产或非货币性资产，包括税费</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返还、财政补贴等。</w:t>
            </w:r>
          </w:p>
        </w:tc>
      </w:tr>
      <w:tr>
        <w:trPr>
          <w:trHeight w:val="1370" w:hRule="exact"/>
        </w:trPr>
        <w:tc>
          <w:tcPr>
            <w:tcW w:w="779" w:type="dxa"/>
            <w:tcBorders>
              <w:top w:val="nil" w:sz="6" w:space="0" w:color="auto"/>
              <w:left w:val="nil" w:sz="6" w:space="0" w:color="auto"/>
              <w:bottom w:val="nil" w:sz="6" w:space="0" w:color="auto"/>
              <w:right w:val="nil" w:sz="6" w:space="0" w:color="auto"/>
            </w:tcBorders>
          </w:tcPr>
          <w:p>
            <w:pPr/>
          </w:p>
        </w:tc>
        <w:tc>
          <w:tcPr>
            <w:tcW w:w="8330" w:type="dxa"/>
            <w:tcBorders>
              <w:top w:val="nil" w:sz="6" w:space="0" w:color="auto"/>
              <w:left w:val="nil" w:sz="6" w:space="0" w:color="auto"/>
              <w:bottom w:val="nil" w:sz="6" w:space="0" w:color="auto"/>
              <w:right w:val="nil" w:sz="6" w:space="0" w:color="auto"/>
            </w:tcBorders>
          </w:tcPr>
          <w:p>
            <w:pPr>
              <w:pStyle w:val="TableParagraph"/>
              <w:spacing w:line="237" w:lineRule="auto" w:before="183"/>
              <w:ind w:left="160" w:right="198"/>
              <w:jc w:val="both"/>
              <w:rPr>
                <w:rFonts w:ascii="宋体" w:hAnsi="宋体" w:cs="宋体" w:eastAsia="宋体" w:hint="default"/>
                <w:sz w:val="24"/>
                <w:szCs w:val="24"/>
              </w:rPr>
            </w:pPr>
            <w:r>
              <w:rPr>
                <w:rFonts w:ascii="宋体" w:hAnsi="宋体" w:cs="宋体" w:eastAsia="宋体" w:hint="default"/>
                <w:sz w:val="24"/>
                <w:szCs w:val="24"/>
              </w:rPr>
              <w:t>政府补助在本集团能够满足其所附的条件并且能够收到时，予以确认。政府</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补助为货币性资产的，按照收到或应收的金额计量。政府补助为非货币性资</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产的，按照公允价值计量；公允价值不能可靠取得的，按照名义金额计量。</w:t>
            </w:r>
          </w:p>
        </w:tc>
      </w:tr>
      <w:tr>
        <w:trPr>
          <w:trHeight w:val="1058" w:hRule="exact"/>
        </w:trPr>
        <w:tc>
          <w:tcPr>
            <w:tcW w:w="779" w:type="dxa"/>
            <w:tcBorders>
              <w:top w:val="nil" w:sz="6" w:space="0" w:color="auto"/>
              <w:left w:val="nil" w:sz="6" w:space="0" w:color="auto"/>
              <w:bottom w:val="nil" w:sz="6" w:space="0" w:color="auto"/>
              <w:right w:val="nil" w:sz="6" w:space="0" w:color="auto"/>
            </w:tcBorders>
          </w:tcPr>
          <w:p>
            <w:pPr/>
          </w:p>
        </w:tc>
        <w:tc>
          <w:tcPr>
            <w:tcW w:w="8330"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160" w:right="198"/>
              <w:jc w:val="left"/>
              <w:rPr>
                <w:rFonts w:ascii="宋体" w:hAnsi="宋体" w:cs="宋体" w:eastAsia="宋体" w:hint="default"/>
                <w:sz w:val="24"/>
                <w:szCs w:val="24"/>
              </w:rPr>
            </w:pPr>
            <w:r>
              <w:rPr>
                <w:rFonts w:ascii="宋体" w:hAnsi="宋体" w:cs="宋体" w:eastAsia="宋体" w:hint="default"/>
                <w:sz w:val="24"/>
                <w:szCs w:val="24"/>
              </w:rPr>
              <w:t>与资产相关的政府补助，确认为递延收益，并在相关资产使用寿命内平均分</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配，计入当期损益。按照名义金额计量的政府补助，直接计入当期损益。</w:t>
            </w:r>
          </w:p>
        </w:tc>
      </w:tr>
      <w:tr>
        <w:trPr>
          <w:trHeight w:val="1115" w:hRule="exact"/>
        </w:trPr>
        <w:tc>
          <w:tcPr>
            <w:tcW w:w="779" w:type="dxa"/>
            <w:tcBorders>
              <w:top w:val="nil" w:sz="6" w:space="0" w:color="auto"/>
              <w:left w:val="nil" w:sz="6" w:space="0" w:color="auto"/>
              <w:bottom w:val="nil" w:sz="6" w:space="0" w:color="auto"/>
              <w:right w:val="nil" w:sz="6" w:space="0" w:color="auto"/>
            </w:tcBorders>
          </w:tcPr>
          <w:p>
            <w:pPr/>
          </w:p>
        </w:tc>
        <w:tc>
          <w:tcPr>
            <w:tcW w:w="8330"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60" w:right="198"/>
              <w:jc w:val="both"/>
              <w:rPr>
                <w:rFonts w:ascii="宋体" w:hAnsi="宋体" w:cs="宋体" w:eastAsia="宋体" w:hint="default"/>
                <w:sz w:val="24"/>
                <w:szCs w:val="24"/>
              </w:rPr>
            </w:pPr>
            <w:r>
              <w:rPr>
                <w:rFonts w:ascii="宋体" w:hAnsi="宋体" w:cs="宋体" w:eastAsia="宋体" w:hint="default"/>
                <w:sz w:val="24"/>
                <w:szCs w:val="24"/>
              </w:rPr>
              <w:t>与收益相关的政府补助，用于补偿以后期间的相关费用或损失的，确认为递</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延收益，并在确认相关费用的期间，计入当期损益；用于补偿已发生的相关</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费用或损失的，直接计入当期损益。</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tbl>
      <w:tblPr>
        <w:tblW w:w="0" w:type="auto"/>
        <w:jc w:val="left"/>
        <w:tblInd w:w="108" w:type="dxa"/>
        <w:tblLayout w:type="fixed"/>
        <w:tblCellMar>
          <w:top w:w="0" w:type="dxa"/>
          <w:left w:w="0" w:type="dxa"/>
          <w:bottom w:w="0" w:type="dxa"/>
          <w:right w:w="0" w:type="dxa"/>
        </w:tblCellMar>
        <w:tblLook w:val="01E0"/>
      </w:tblPr>
      <w:tblGrid>
        <w:gridCol w:w="773"/>
        <w:gridCol w:w="8463"/>
      </w:tblGrid>
      <w:tr>
        <w:trPr>
          <w:trHeight w:val="502"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(27)</w:t>
            </w:r>
          </w:p>
        </w:tc>
        <w:tc>
          <w:tcPr>
            <w:tcW w:w="8463" w:type="dxa"/>
            <w:tcBorders>
              <w:top w:val="nil" w:sz="6" w:space="0" w:color="auto"/>
              <w:left w:val="nil" w:sz="6" w:space="0" w:color="auto"/>
              <w:bottom w:val="nil" w:sz="6" w:space="0" w:color="auto"/>
              <w:right w:val="nil" w:sz="6" w:space="0" w:color="auto"/>
            </w:tcBorders>
          </w:tcPr>
          <w:p>
            <w:pPr>
              <w:pStyle w:val="TableParagraph"/>
              <w:spacing w:line="247" w:lineRule="exact"/>
              <w:ind w:left="144" w:right="0"/>
              <w:jc w:val="left"/>
              <w:rPr>
                <w:rFonts w:ascii="黑体" w:hAnsi="黑体" w:cs="黑体" w:eastAsia="黑体" w:hint="default"/>
                <w:sz w:val="24"/>
                <w:szCs w:val="24"/>
              </w:rPr>
            </w:pPr>
            <w:r>
              <w:rPr>
                <w:rFonts w:ascii="黑体" w:hAnsi="黑体" w:cs="黑体" w:eastAsia="黑体" w:hint="default"/>
                <w:sz w:val="24"/>
                <w:szCs w:val="24"/>
              </w:rPr>
              <w:t>递延所得税资产和递延所得税负债</w:t>
            </w:r>
          </w:p>
        </w:tc>
      </w:tr>
      <w:tr>
        <w:trPr>
          <w:trHeight w:val="2926" w:hRule="exact"/>
        </w:trPr>
        <w:tc>
          <w:tcPr>
            <w:tcW w:w="773" w:type="dxa"/>
            <w:tcBorders>
              <w:top w:val="nil" w:sz="6" w:space="0" w:color="auto"/>
              <w:left w:val="nil" w:sz="6" w:space="0" w:color="auto"/>
              <w:bottom w:val="nil" w:sz="6" w:space="0" w:color="auto"/>
              <w:right w:val="nil" w:sz="6" w:space="0" w:color="auto"/>
            </w:tcBorders>
          </w:tcPr>
          <w:p>
            <w:pPr/>
          </w:p>
        </w:tc>
        <w:tc>
          <w:tcPr>
            <w:tcW w:w="8463" w:type="dxa"/>
            <w:tcBorders>
              <w:top w:val="nil" w:sz="6" w:space="0" w:color="auto"/>
              <w:left w:val="nil" w:sz="6" w:space="0" w:color="auto"/>
              <w:bottom w:val="nil" w:sz="6" w:space="0" w:color="auto"/>
              <w:right w:val="nil" w:sz="6" w:space="0" w:color="auto"/>
            </w:tcBorders>
          </w:tcPr>
          <w:p>
            <w:pPr>
              <w:pStyle w:val="TableParagraph"/>
              <w:spacing w:line="235" w:lineRule="auto" w:before="186"/>
              <w:ind w:left="144" w:right="314"/>
              <w:jc w:val="both"/>
              <w:rPr>
                <w:rFonts w:ascii="宋体" w:hAnsi="宋体" w:cs="宋体" w:eastAsia="宋体" w:hint="default"/>
                <w:sz w:val="24"/>
                <w:szCs w:val="24"/>
              </w:rPr>
            </w:pPr>
            <w:r>
              <w:rPr>
                <w:rFonts w:ascii="宋体" w:hAnsi="宋体" w:cs="宋体" w:eastAsia="宋体" w:hint="default"/>
                <w:sz w:val="24"/>
                <w:szCs w:val="24"/>
              </w:rPr>
              <w:t>递延所得税资产和递延所得税负债根据资产和负债的计税基础与其账面价值</w:t>
            </w:r>
            <w:r>
              <w:rPr>
                <w:rFonts w:ascii="宋体" w:hAnsi="宋体" w:cs="宋体" w:eastAsia="宋体" w:hint="default"/>
                <w:spacing w:val="-55"/>
                <w:sz w:val="24"/>
                <w:szCs w:val="24"/>
              </w:rPr>
              <w:t> </w:t>
            </w:r>
            <w:r>
              <w:rPr>
                <w:rFonts w:ascii="宋体" w:hAnsi="宋体" w:cs="宋体" w:eastAsia="宋体" w:hint="default"/>
                <w:spacing w:val="-3"/>
                <w:sz w:val="24"/>
                <w:szCs w:val="24"/>
              </w:rPr>
              <w:t>的差额</w:t>
            </w:r>
            <w:r>
              <w:rPr>
                <w:rFonts w:ascii="Arial" w:hAnsi="Arial" w:cs="Arial" w:eastAsia="Arial" w:hint="default"/>
                <w:spacing w:val="-3"/>
                <w:sz w:val="24"/>
                <w:szCs w:val="24"/>
              </w:rPr>
              <w:t>(</w:t>
            </w:r>
            <w:r>
              <w:rPr>
                <w:rFonts w:ascii="宋体" w:hAnsi="宋体" w:cs="宋体" w:eastAsia="宋体" w:hint="default"/>
                <w:spacing w:val="-3"/>
                <w:sz w:val="24"/>
                <w:szCs w:val="24"/>
              </w:rPr>
              <w:t>暂时性差异</w:t>
            </w:r>
            <w:r>
              <w:rPr>
                <w:rFonts w:ascii="Arial" w:hAnsi="Arial" w:cs="Arial" w:eastAsia="Arial" w:hint="default"/>
                <w:spacing w:val="-3"/>
                <w:sz w:val="24"/>
                <w:szCs w:val="24"/>
              </w:rPr>
              <w:t>)</w:t>
            </w:r>
            <w:r>
              <w:rPr>
                <w:rFonts w:ascii="宋体" w:hAnsi="宋体" w:cs="宋体" w:eastAsia="宋体" w:hint="default"/>
                <w:spacing w:val="-3"/>
                <w:sz w:val="24"/>
                <w:szCs w:val="24"/>
              </w:rPr>
              <w:t>计算确认。对于按照税法规定能够于以后年度抵减应纳税</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所得额的可抵扣亏损，确认相应的递延所得税资产。对于商誉的初始确认产</w:t>
            </w:r>
            <w:r>
              <w:rPr>
                <w:rFonts w:ascii="宋体" w:hAnsi="宋体" w:cs="宋体" w:eastAsia="宋体" w:hint="default"/>
                <w:spacing w:val="-55"/>
                <w:sz w:val="24"/>
                <w:szCs w:val="24"/>
              </w:rPr>
              <w:t> </w:t>
            </w:r>
            <w:r>
              <w:rPr>
                <w:rFonts w:ascii="宋体" w:hAnsi="宋体" w:cs="宋体" w:eastAsia="宋体" w:hint="default"/>
                <w:spacing w:val="-55"/>
                <w:sz w:val="24"/>
                <w:szCs w:val="24"/>
              </w:rPr>
            </w:r>
            <w:r>
              <w:rPr>
                <w:rFonts w:ascii="宋体" w:hAnsi="宋体" w:cs="宋体" w:eastAsia="宋体" w:hint="default"/>
                <w:spacing w:val="2"/>
                <w:sz w:val="24"/>
                <w:szCs w:val="24"/>
              </w:rPr>
              <w:t>生的暂时性差异，不确认相应的递延所得税负债。对于既不影响会计利润也</w:t>
            </w:r>
            <w:r>
              <w:rPr>
                <w:rFonts w:ascii="宋体" w:hAnsi="宋体" w:cs="宋体" w:eastAsia="宋体" w:hint="default"/>
                <w:spacing w:val="2"/>
                <w:sz w:val="24"/>
                <w:szCs w:val="24"/>
              </w:rPr>
              <w:t> </w:t>
            </w:r>
            <w:r>
              <w:rPr>
                <w:rFonts w:ascii="宋体" w:hAnsi="宋体" w:cs="宋体" w:eastAsia="宋体" w:hint="default"/>
                <w:spacing w:val="4"/>
                <w:sz w:val="24"/>
                <w:szCs w:val="24"/>
              </w:rPr>
              <w:t>不影响应纳税所得额</w:t>
            </w:r>
            <w:r>
              <w:rPr>
                <w:rFonts w:ascii="Arial" w:hAnsi="Arial" w:cs="Arial" w:eastAsia="Arial" w:hint="default"/>
                <w:spacing w:val="4"/>
                <w:sz w:val="24"/>
                <w:szCs w:val="24"/>
              </w:rPr>
              <w:t>(</w:t>
            </w:r>
            <w:r>
              <w:rPr>
                <w:rFonts w:ascii="宋体" w:hAnsi="宋体" w:cs="宋体" w:eastAsia="宋体" w:hint="default"/>
                <w:spacing w:val="4"/>
                <w:sz w:val="24"/>
                <w:szCs w:val="24"/>
              </w:rPr>
              <w:t>或可抵扣亏损</w:t>
            </w:r>
            <w:r>
              <w:rPr>
                <w:rFonts w:ascii="Arial" w:hAnsi="Arial" w:cs="Arial" w:eastAsia="Arial" w:hint="default"/>
                <w:spacing w:val="4"/>
                <w:sz w:val="24"/>
                <w:szCs w:val="24"/>
              </w:rPr>
              <w:t>)</w:t>
            </w:r>
            <w:r>
              <w:rPr>
                <w:rFonts w:ascii="宋体" w:hAnsi="宋体" w:cs="宋体" w:eastAsia="宋体" w:hint="default"/>
                <w:spacing w:val="4"/>
                <w:sz w:val="24"/>
                <w:szCs w:val="24"/>
              </w:rPr>
              <w:t>的非企业合并的交易中产生的资产或负 </w:t>
            </w:r>
            <w:r>
              <w:rPr>
                <w:rFonts w:ascii="宋体" w:hAnsi="宋体" w:cs="宋体" w:eastAsia="宋体" w:hint="default"/>
                <w:sz w:val="24"/>
                <w:szCs w:val="24"/>
              </w:rPr>
              <w:t>债的初始确认形成的暂时性差异，不确认相应的递延所得税资产和递延所得</w:t>
            </w:r>
            <w:r>
              <w:rPr>
                <w:rFonts w:ascii="宋体" w:hAnsi="宋体" w:cs="宋体" w:eastAsia="宋体" w:hint="default"/>
                <w:spacing w:val="-55"/>
                <w:sz w:val="24"/>
                <w:szCs w:val="24"/>
              </w:rPr>
              <w:t> </w:t>
            </w:r>
            <w:r>
              <w:rPr>
                <w:rFonts w:ascii="宋体" w:hAnsi="宋体" w:cs="宋体" w:eastAsia="宋体" w:hint="default"/>
                <w:spacing w:val="-55"/>
                <w:sz w:val="24"/>
                <w:szCs w:val="24"/>
              </w:rPr>
            </w:r>
            <w:r>
              <w:rPr>
                <w:rFonts w:ascii="宋体" w:hAnsi="宋体" w:cs="宋体" w:eastAsia="宋体" w:hint="default"/>
                <w:sz w:val="24"/>
                <w:szCs w:val="24"/>
              </w:rPr>
              <w:t>税负债。于资产负债表日，递延所得税资产和递延所得税负债，按照预期收</w:t>
            </w:r>
            <w:r>
              <w:rPr>
                <w:rFonts w:ascii="宋体" w:hAnsi="宋体" w:cs="宋体" w:eastAsia="宋体" w:hint="default"/>
                <w:spacing w:val="-55"/>
                <w:sz w:val="24"/>
                <w:szCs w:val="24"/>
              </w:rPr>
              <w:t> </w:t>
            </w:r>
            <w:r>
              <w:rPr>
                <w:rFonts w:ascii="宋体" w:hAnsi="宋体" w:cs="宋体" w:eastAsia="宋体" w:hint="default"/>
                <w:sz w:val="24"/>
                <w:szCs w:val="24"/>
              </w:rPr>
              <w:t>回该资产或清偿该负债期间的适用税率计量。</w:t>
            </w:r>
          </w:p>
        </w:tc>
      </w:tr>
      <w:tr>
        <w:trPr>
          <w:trHeight w:val="1058" w:hRule="exact"/>
        </w:trPr>
        <w:tc>
          <w:tcPr>
            <w:tcW w:w="773" w:type="dxa"/>
            <w:tcBorders>
              <w:top w:val="nil" w:sz="6" w:space="0" w:color="auto"/>
              <w:left w:val="nil" w:sz="6" w:space="0" w:color="auto"/>
              <w:bottom w:val="nil" w:sz="6" w:space="0" w:color="auto"/>
              <w:right w:val="nil" w:sz="6" w:space="0" w:color="auto"/>
            </w:tcBorders>
          </w:tcPr>
          <w:p>
            <w:pPr/>
          </w:p>
        </w:tc>
        <w:tc>
          <w:tcPr>
            <w:tcW w:w="8463" w:type="dxa"/>
            <w:tcBorders>
              <w:top w:val="nil" w:sz="6" w:space="0" w:color="auto"/>
              <w:left w:val="nil" w:sz="6" w:space="0" w:color="auto"/>
              <w:bottom w:val="nil" w:sz="6" w:space="0" w:color="auto"/>
              <w:right w:val="nil" w:sz="6" w:space="0" w:color="auto"/>
            </w:tcBorders>
          </w:tcPr>
          <w:p>
            <w:pPr>
              <w:pStyle w:val="TableParagraph"/>
              <w:spacing w:line="310" w:lineRule="exact" w:before="212"/>
              <w:ind w:left="144" w:right="317"/>
              <w:jc w:val="left"/>
              <w:rPr>
                <w:rFonts w:ascii="宋体" w:hAnsi="宋体" w:cs="宋体" w:eastAsia="宋体" w:hint="default"/>
                <w:sz w:val="24"/>
                <w:szCs w:val="24"/>
              </w:rPr>
            </w:pPr>
            <w:r>
              <w:rPr>
                <w:rFonts w:ascii="宋体" w:hAnsi="宋体" w:cs="宋体" w:eastAsia="宋体" w:hint="default"/>
                <w:sz w:val="24"/>
                <w:szCs w:val="24"/>
              </w:rPr>
              <w:t>递延所得税资产的确认以很可能取得用来抵扣可抵扣暂时性差异、可抵扣亏</w:t>
            </w:r>
            <w:r>
              <w:rPr>
                <w:rFonts w:ascii="宋体" w:hAnsi="宋体" w:cs="宋体" w:eastAsia="宋体" w:hint="default"/>
                <w:spacing w:val="-55"/>
                <w:sz w:val="24"/>
                <w:szCs w:val="24"/>
              </w:rPr>
              <w:t> </w:t>
            </w:r>
            <w:r>
              <w:rPr>
                <w:rFonts w:ascii="宋体" w:hAnsi="宋体" w:cs="宋体" w:eastAsia="宋体" w:hint="default"/>
                <w:sz w:val="24"/>
                <w:szCs w:val="24"/>
              </w:rPr>
              <w:t>损和税款抵减的应纳税所得额为限。</w:t>
            </w:r>
          </w:p>
        </w:tc>
      </w:tr>
      <w:tr>
        <w:trPr>
          <w:trHeight w:val="1738" w:hRule="exact"/>
        </w:trPr>
        <w:tc>
          <w:tcPr>
            <w:tcW w:w="773" w:type="dxa"/>
            <w:tcBorders>
              <w:top w:val="nil" w:sz="6" w:space="0" w:color="auto"/>
              <w:left w:val="nil" w:sz="6" w:space="0" w:color="auto"/>
              <w:bottom w:val="nil" w:sz="6" w:space="0" w:color="auto"/>
              <w:right w:val="nil" w:sz="6" w:space="0" w:color="auto"/>
            </w:tcBorders>
          </w:tcPr>
          <w:p>
            <w:pPr/>
          </w:p>
        </w:tc>
        <w:tc>
          <w:tcPr>
            <w:tcW w:w="8463" w:type="dxa"/>
            <w:tcBorders>
              <w:top w:val="nil" w:sz="6" w:space="0" w:color="auto"/>
              <w:left w:val="nil" w:sz="6" w:space="0" w:color="auto"/>
              <w:bottom w:val="nil" w:sz="6" w:space="0" w:color="auto"/>
              <w:right w:val="nil" w:sz="6" w:space="0" w:color="auto"/>
            </w:tcBorders>
          </w:tcPr>
          <w:p>
            <w:pPr>
              <w:pStyle w:val="TableParagraph"/>
              <w:spacing w:line="310" w:lineRule="exact" w:before="212"/>
              <w:ind w:left="144" w:right="198"/>
              <w:jc w:val="left"/>
              <w:rPr>
                <w:rFonts w:ascii="宋体" w:hAnsi="宋体" w:cs="宋体" w:eastAsia="宋体" w:hint="default"/>
                <w:sz w:val="24"/>
                <w:szCs w:val="24"/>
              </w:rPr>
            </w:pPr>
            <w:r>
              <w:rPr>
                <w:rFonts w:ascii="宋体" w:hAnsi="宋体" w:cs="宋体" w:eastAsia="宋体" w:hint="default"/>
                <w:spacing w:val="-2"/>
                <w:sz w:val="24"/>
                <w:szCs w:val="24"/>
              </w:rPr>
              <w:t>对与子公司及联营企业投资相关的应纳税暂时性差异，确认递延所得税负债，</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除非本集团能够控制该暂时性差异转回的时间且该暂时性差异在可预见的未</w:t>
            </w:r>
          </w:p>
          <w:p>
            <w:pPr>
              <w:pStyle w:val="TableParagraph"/>
              <w:spacing w:line="283" w:lineRule="exact"/>
              <w:ind w:left="144" w:right="0"/>
              <w:jc w:val="left"/>
              <w:rPr>
                <w:rFonts w:ascii="宋体" w:hAnsi="宋体" w:cs="宋体" w:eastAsia="宋体" w:hint="default"/>
                <w:sz w:val="24"/>
                <w:szCs w:val="24"/>
              </w:rPr>
            </w:pPr>
            <w:r>
              <w:rPr>
                <w:rFonts w:ascii="宋体" w:hAnsi="宋体" w:cs="宋体" w:eastAsia="宋体" w:hint="default"/>
                <w:sz w:val="24"/>
                <w:szCs w:val="24"/>
              </w:rPr>
              <w:t>来很可能不会转回。对与子公司及联营企业投资相关的可抵扣暂时性差异，</w:t>
            </w:r>
          </w:p>
          <w:p>
            <w:pPr>
              <w:pStyle w:val="TableParagraph"/>
              <w:spacing w:line="310" w:lineRule="exact" w:before="31"/>
              <w:ind w:left="144" w:right="317"/>
              <w:jc w:val="left"/>
              <w:rPr>
                <w:rFonts w:ascii="宋体" w:hAnsi="宋体" w:cs="宋体" w:eastAsia="宋体" w:hint="default"/>
                <w:sz w:val="24"/>
                <w:szCs w:val="24"/>
              </w:rPr>
            </w:pPr>
            <w:r>
              <w:rPr>
                <w:rFonts w:ascii="宋体" w:hAnsi="宋体" w:cs="宋体" w:eastAsia="宋体" w:hint="default"/>
                <w:sz w:val="24"/>
                <w:szCs w:val="24"/>
              </w:rPr>
              <w:t>当该暂时性差异在可预见的未来很可能转回且未来很可能获得用来抵扣可抵</w:t>
            </w:r>
            <w:r>
              <w:rPr>
                <w:rFonts w:ascii="宋体" w:hAnsi="宋体" w:cs="宋体" w:eastAsia="宋体" w:hint="default"/>
                <w:spacing w:val="-55"/>
                <w:sz w:val="24"/>
                <w:szCs w:val="24"/>
              </w:rPr>
              <w:t> </w:t>
            </w:r>
            <w:r>
              <w:rPr>
                <w:rFonts w:ascii="宋体" w:hAnsi="宋体" w:cs="宋体" w:eastAsia="宋体" w:hint="default"/>
                <w:sz w:val="24"/>
                <w:szCs w:val="24"/>
              </w:rPr>
              <w:t>扣暂时性差异的应纳税所得额时，确认递延所得税资产。</w:t>
            </w:r>
          </w:p>
        </w:tc>
      </w:tr>
    </w:tbl>
    <w:p>
      <w:pPr>
        <w:spacing w:after="0" w:line="310" w:lineRule="exact"/>
        <w:jc w:val="left"/>
        <w:rPr>
          <w:rFonts w:ascii="宋体" w:hAnsi="宋体" w:cs="宋体" w:eastAsia="宋体"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1596232" type="#_x0000_t75" stroked="false">
            <v:imagedata r:id="rId10" o:title=""/>
          </v:shape>
        </w:pict>
      </w: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73"/>
        <w:gridCol w:w="8469"/>
      </w:tblGrid>
      <w:tr>
        <w:trPr>
          <w:trHeight w:val="501"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69" w:type="dxa"/>
            <w:tcBorders>
              <w:top w:val="nil" w:sz="6" w:space="0" w:color="auto"/>
              <w:left w:val="nil" w:sz="6" w:space="0" w:color="auto"/>
              <w:bottom w:val="nil" w:sz="6" w:space="0" w:color="auto"/>
              <w:right w:val="nil" w:sz="6" w:space="0" w:color="auto"/>
            </w:tcBorders>
          </w:tcPr>
          <w:p>
            <w:pPr>
              <w:pStyle w:val="TableParagraph"/>
              <w:spacing w:line="257" w:lineRule="exact"/>
              <w:ind w:left="156"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7"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(27)</w:t>
            </w:r>
          </w:p>
        </w:tc>
        <w:tc>
          <w:tcPr>
            <w:tcW w:w="8469"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44" w:right="0"/>
              <w:jc w:val="left"/>
              <w:rPr>
                <w:rFonts w:ascii="Arial" w:hAnsi="Arial" w:cs="Arial" w:eastAsia="Arial" w:hint="default"/>
                <w:sz w:val="24"/>
                <w:szCs w:val="24"/>
              </w:rPr>
            </w:pPr>
            <w:r>
              <w:rPr>
                <w:rFonts w:ascii="黑体" w:hAnsi="黑体" w:cs="黑体" w:eastAsia="黑体" w:hint="default"/>
                <w:sz w:val="24"/>
                <w:szCs w:val="24"/>
              </w:rPr>
              <w:t>递延所得税资产和递延所得税负债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1032" w:hRule="exact"/>
        </w:trPr>
        <w:tc>
          <w:tcPr>
            <w:tcW w:w="773" w:type="dxa"/>
            <w:tcBorders>
              <w:top w:val="nil" w:sz="6" w:space="0" w:color="auto"/>
              <w:left w:val="nil" w:sz="6" w:space="0" w:color="auto"/>
              <w:bottom w:val="nil" w:sz="6" w:space="0" w:color="auto"/>
              <w:right w:val="nil" w:sz="6" w:space="0" w:color="auto"/>
            </w:tcBorders>
          </w:tcPr>
          <w:p>
            <w:pPr/>
          </w:p>
        </w:tc>
        <w:tc>
          <w:tcPr>
            <w:tcW w:w="8469" w:type="dxa"/>
            <w:tcBorders>
              <w:top w:val="nil" w:sz="6" w:space="0" w:color="auto"/>
              <w:left w:val="nil" w:sz="6" w:space="0" w:color="auto"/>
              <w:bottom w:val="nil" w:sz="6" w:space="0" w:color="auto"/>
              <w:right w:val="nil" w:sz="6" w:space="0" w:color="auto"/>
            </w:tcBorders>
          </w:tcPr>
          <w:p>
            <w:pPr>
              <w:pStyle w:val="TableParagraph"/>
              <w:spacing w:line="310" w:lineRule="exact" w:before="206"/>
              <w:ind w:left="144" w:right="337"/>
              <w:jc w:val="left"/>
              <w:rPr>
                <w:rFonts w:ascii="宋体" w:hAnsi="宋体" w:cs="宋体" w:eastAsia="宋体" w:hint="default"/>
                <w:sz w:val="24"/>
                <w:szCs w:val="24"/>
              </w:rPr>
            </w:pPr>
            <w:r>
              <w:rPr>
                <w:rFonts w:ascii="宋体" w:hAnsi="宋体" w:cs="宋体" w:eastAsia="宋体" w:hint="default"/>
                <w:spacing w:val="9"/>
                <w:sz w:val="24"/>
                <w:szCs w:val="24"/>
              </w:rPr>
              <w:t>同时满足下列条件的递延所得税资产和递延所得税负债以抵销后的净额列</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示：</w:t>
            </w:r>
          </w:p>
        </w:tc>
      </w:tr>
      <w:tr>
        <w:trPr>
          <w:trHeight w:val="1638" w:hRule="exact"/>
        </w:trPr>
        <w:tc>
          <w:tcPr>
            <w:tcW w:w="773" w:type="dxa"/>
            <w:tcBorders>
              <w:top w:val="nil" w:sz="6" w:space="0" w:color="auto"/>
              <w:left w:val="nil" w:sz="6" w:space="0" w:color="auto"/>
              <w:bottom w:val="nil" w:sz="6" w:space="0" w:color="auto"/>
              <w:right w:val="nil" w:sz="6" w:space="0" w:color="auto"/>
            </w:tcBorders>
          </w:tcPr>
          <w:p>
            <w:pPr/>
          </w:p>
        </w:tc>
        <w:tc>
          <w:tcPr>
            <w:tcW w:w="8469" w:type="dxa"/>
            <w:tcBorders>
              <w:top w:val="nil" w:sz="6" w:space="0" w:color="auto"/>
              <w:left w:val="nil" w:sz="6" w:space="0" w:color="auto"/>
              <w:bottom w:val="nil" w:sz="6" w:space="0" w:color="auto"/>
              <w:right w:val="nil" w:sz="6" w:space="0" w:color="auto"/>
            </w:tcBorders>
          </w:tcPr>
          <w:p>
            <w:pPr>
              <w:pStyle w:val="TableParagraph"/>
              <w:spacing w:line="310" w:lineRule="exact" w:before="192"/>
              <w:ind w:left="454" w:right="332" w:hanging="286"/>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5"/>
                <w:sz w:val="24"/>
                <w:szCs w:val="24"/>
              </w:rPr>
              <w:t></w:t>
            </w:r>
            <w:r>
              <w:rPr>
                <w:rFonts w:ascii="Times New Roman" w:hAnsi="Times New Roman" w:cs="Times New Roman" w:eastAsia="Times New Roman" w:hint="default"/>
                <w:spacing w:val="55"/>
                <w:sz w:val="24"/>
                <w:szCs w:val="24"/>
              </w:rPr>
            </w:r>
            <w:r>
              <w:rPr>
                <w:rFonts w:ascii="宋体" w:hAnsi="宋体" w:cs="宋体" w:eastAsia="宋体" w:hint="default"/>
                <w:sz w:val="24"/>
                <w:szCs w:val="24"/>
              </w:rPr>
              <w:t>递延所得税资产和递延所得税负债与同一税收征管部门对本集团内同一纳</w:t>
            </w:r>
            <w:r>
              <w:rPr>
                <w:rFonts w:ascii="宋体" w:hAnsi="宋体" w:cs="宋体" w:eastAsia="宋体" w:hint="default"/>
                <w:w w:val="100"/>
                <w:sz w:val="24"/>
                <w:szCs w:val="24"/>
              </w:rPr>
              <w:t> </w:t>
            </w:r>
            <w:r>
              <w:rPr>
                <w:rFonts w:ascii="宋体" w:hAnsi="宋体" w:cs="宋体" w:eastAsia="宋体" w:hint="default"/>
                <w:sz w:val="24"/>
                <w:szCs w:val="24"/>
              </w:rPr>
              <w:t>税主体征收的所得税相关；</w:t>
            </w:r>
          </w:p>
          <w:p>
            <w:pPr>
              <w:pStyle w:val="TableParagraph"/>
              <w:spacing w:line="312" w:lineRule="exact"/>
              <w:ind w:left="454" w:right="325" w:hanging="286"/>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1"/>
                <w:sz w:val="24"/>
                <w:szCs w:val="24"/>
              </w:rPr>
              <w:t></w:t>
            </w:r>
            <w:r>
              <w:rPr>
                <w:rFonts w:ascii="Times New Roman" w:hAnsi="Times New Roman" w:cs="Times New Roman" w:eastAsia="Times New Roman" w:hint="default"/>
                <w:spacing w:val="1"/>
                <w:sz w:val="24"/>
                <w:szCs w:val="24"/>
              </w:rPr>
            </w:r>
            <w:r>
              <w:rPr>
                <w:rFonts w:ascii="宋体" w:hAnsi="宋体" w:cs="宋体" w:eastAsia="宋体" w:hint="default"/>
                <w:sz w:val="24"/>
                <w:szCs w:val="24"/>
              </w:rPr>
              <w:t>本集团内该纳税主体拥有以净额结算当期所得税资产及当期所得税负债的</w:t>
            </w:r>
            <w:r>
              <w:rPr>
                <w:rFonts w:ascii="宋体" w:hAnsi="宋体" w:cs="宋体" w:eastAsia="宋体" w:hint="default"/>
                <w:w w:val="100"/>
                <w:sz w:val="24"/>
                <w:szCs w:val="24"/>
              </w:rPr>
              <w:t> </w:t>
            </w:r>
            <w:r>
              <w:rPr>
                <w:rFonts w:ascii="宋体" w:hAnsi="宋体" w:cs="宋体" w:eastAsia="宋体" w:hint="default"/>
                <w:sz w:val="24"/>
                <w:szCs w:val="24"/>
              </w:rPr>
              <w:t>法定权利。</w:t>
            </w:r>
          </w:p>
        </w:tc>
      </w:tr>
      <w:tr>
        <w:trPr>
          <w:trHeight w:val="731"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99"/>
              <w:ind w:left="200" w:right="0"/>
              <w:jc w:val="left"/>
              <w:rPr>
                <w:rFonts w:ascii="Arial" w:hAnsi="Arial" w:cs="Arial" w:eastAsia="Arial" w:hint="default"/>
                <w:sz w:val="24"/>
                <w:szCs w:val="24"/>
              </w:rPr>
            </w:pPr>
            <w:r>
              <w:rPr>
                <w:rFonts w:ascii="Arial"/>
                <w:sz w:val="24"/>
              </w:rPr>
              <w:t>(28)</w:t>
            </w:r>
          </w:p>
        </w:tc>
        <w:tc>
          <w:tcPr>
            <w:tcW w:w="8469"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44" w:right="0"/>
              <w:jc w:val="left"/>
              <w:rPr>
                <w:rFonts w:ascii="黑体" w:hAnsi="黑体" w:cs="黑体" w:eastAsia="黑体" w:hint="default"/>
                <w:sz w:val="24"/>
                <w:szCs w:val="24"/>
              </w:rPr>
            </w:pPr>
            <w:r>
              <w:rPr>
                <w:rFonts w:ascii="黑体" w:hAnsi="黑体" w:cs="黑体" w:eastAsia="黑体" w:hint="default"/>
                <w:sz w:val="24"/>
                <w:szCs w:val="24"/>
              </w:rPr>
              <w:t>租赁</w:t>
            </w:r>
          </w:p>
        </w:tc>
      </w:tr>
      <w:tr>
        <w:trPr>
          <w:trHeight w:val="1057" w:hRule="exact"/>
        </w:trPr>
        <w:tc>
          <w:tcPr>
            <w:tcW w:w="773" w:type="dxa"/>
            <w:tcBorders>
              <w:top w:val="nil" w:sz="6" w:space="0" w:color="auto"/>
              <w:left w:val="nil" w:sz="6" w:space="0" w:color="auto"/>
              <w:bottom w:val="nil" w:sz="6" w:space="0" w:color="auto"/>
              <w:right w:val="nil" w:sz="6" w:space="0" w:color="auto"/>
            </w:tcBorders>
          </w:tcPr>
          <w:p>
            <w:pPr/>
          </w:p>
        </w:tc>
        <w:tc>
          <w:tcPr>
            <w:tcW w:w="8469"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144" w:right="198"/>
              <w:jc w:val="left"/>
              <w:rPr>
                <w:rFonts w:ascii="宋体" w:hAnsi="宋体" w:cs="宋体" w:eastAsia="宋体" w:hint="default"/>
                <w:sz w:val="24"/>
                <w:szCs w:val="24"/>
              </w:rPr>
            </w:pPr>
            <w:r>
              <w:rPr>
                <w:rFonts w:ascii="宋体" w:hAnsi="宋体" w:cs="宋体" w:eastAsia="宋体" w:hint="default"/>
                <w:spacing w:val="-2"/>
                <w:sz w:val="24"/>
                <w:szCs w:val="24"/>
              </w:rPr>
              <w:t>实质上转移了与资产所有权有关的全部风险和报酬的租赁为融资租赁。其他的</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租赁为经营租赁。</w:t>
            </w:r>
          </w:p>
        </w:tc>
      </w:tr>
      <w:tr>
        <w:trPr>
          <w:trHeight w:val="495" w:hRule="exact"/>
        </w:trPr>
        <w:tc>
          <w:tcPr>
            <w:tcW w:w="773" w:type="dxa"/>
            <w:tcBorders>
              <w:top w:val="nil" w:sz="6" w:space="0" w:color="auto"/>
              <w:left w:val="nil" w:sz="6" w:space="0" w:color="auto"/>
              <w:bottom w:val="nil" w:sz="6" w:space="0" w:color="auto"/>
              <w:right w:val="nil" w:sz="6" w:space="0" w:color="auto"/>
            </w:tcBorders>
          </w:tcPr>
          <w:p>
            <w:pPr/>
          </w:p>
        </w:tc>
        <w:tc>
          <w:tcPr>
            <w:tcW w:w="8469"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44" w:right="0"/>
              <w:jc w:val="left"/>
              <w:rPr>
                <w:rFonts w:ascii="宋体" w:hAnsi="宋体" w:cs="宋体" w:eastAsia="宋体" w:hint="default"/>
                <w:sz w:val="24"/>
                <w:szCs w:val="24"/>
              </w:rPr>
            </w:pPr>
            <w:r>
              <w:rPr>
                <w:rFonts w:ascii="宋体" w:hAnsi="宋体" w:cs="宋体" w:eastAsia="宋体" w:hint="default"/>
                <w:sz w:val="24"/>
                <w:szCs w:val="24"/>
              </w:rPr>
              <w:t>经营租赁的租金支出依照租赁期按照直线法计入当期损益。</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08" w:type="dxa"/>
        <w:tblLayout w:type="fixed"/>
        <w:tblCellMar>
          <w:top w:w="0" w:type="dxa"/>
          <w:left w:w="0" w:type="dxa"/>
          <w:bottom w:w="0" w:type="dxa"/>
          <w:right w:w="0" w:type="dxa"/>
        </w:tblCellMar>
        <w:tblLook w:val="01E0"/>
      </w:tblPr>
      <w:tblGrid>
        <w:gridCol w:w="776"/>
        <w:gridCol w:w="8460"/>
      </w:tblGrid>
      <w:tr>
        <w:trPr>
          <w:trHeight w:val="501"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(29)</w:t>
            </w:r>
          </w:p>
        </w:tc>
        <w:tc>
          <w:tcPr>
            <w:tcW w:w="8460" w:type="dxa"/>
            <w:tcBorders>
              <w:top w:val="nil" w:sz="6" w:space="0" w:color="auto"/>
              <w:left w:val="nil" w:sz="6" w:space="0" w:color="auto"/>
              <w:bottom w:val="nil" w:sz="6" w:space="0" w:color="auto"/>
              <w:right w:val="nil" w:sz="6" w:space="0" w:color="auto"/>
            </w:tcBorders>
          </w:tcPr>
          <w:p>
            <w:pPr>
              <w:pStyle w:val="TableParagraph"/>
              <w:spacing w:line="247" w:lineRule="exact"/>
              <w:ind w:left="148" w:right="0"/>
              <w:jc w:val="left"/>
              <w:rPr>
                <w:rFonts w:ascii="黑体" w:hAnsi="黑体" w:cs="黑体" w:eastAsia="黑体" w:hint="default"/>
                <w:sz w:val="24"/>
                <w:szCs w:val="24"/>
              </w:rPr>
            </w:pPr>
            <w:r>
              <w:rPr>
                <w:rFonts w:ascii="黑体" w:hAnsi="黑体" w:cs="黑体" w:eastAsia="黑体" w:hint="default"/>
                <w:sz w:val="24"/>
                <w:szCs w:val="24"/>
              </w:rPr>
              <w:t>股份支付</w:t>
            </w:r>
          </w:p>
        </w:tc>
      </w:tr>
      <w:tr>
        <w:trPr>
          <w:trHeight w:val="5875" w:hRule="exact"/>
        </w:trPr>
        <w:tc>
          <w:tcPr>
            <w:tcW w:w="776" w:type="dxa"/>
            <w:tcBorders>
              <w:top w:val="nil" w:sz="6" w:space="0" w:color="auto"/>
              <w:left w:val="nil" w:sz="6" w:space="0" w:color="auto"/>
              <w:bottom w:val="nil" w:sz="6" w:space="0" w:color="auto"/>
              <w:right w:val="nil" w:sz="6" w:space="0" w:color="auto"/>
            </w:tcBorders>
          </w:tcPr>
          <w:p>
            <w:pPr/>
          </w:p>
        </w:tc>
        <w:tc>
          <w:tcPr>
            <w:tcW w:w="8460"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48" w:right="317"/>
              <w:jc w:val="both"/>
              <w:rPr>
                <w:rFonts w:ascii="宋体" w:hAnsi="宋体" w:cs="宋体" w:eastAsia="宋体" w:hint="default"/>
                <w:sz w:val="24"/>
                <w:szCs w:val="24"/>
              </w:rPr>
            </w:pPr>
            <w:r>
              <w:rPr>
                <w:rFonts w:ascii="宋体" w:hAnsi="宋体" w:cs="宋体" w:eastAsia="宋体" w:hint="default"/>
                <w:sz w:val="24"/>
                <w:szCs w:val="24"/>
              </w:rPr>
              <w:t>股份支付是为了获取职工提供服务而授予权益工具或者承担以权益工具为基</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础确定的负债的交易。股份支付分为以权益结算的股份支付和以现金结算的</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股份支付。</w:t>
            </w:r>
          </w:p>
          <w:p>
            <w:pPr>
              <w:pStyle w:val="TableParagraph"/>
              <w:spacing w:line="240" w:lineRule="auto" w:before="5"/>
              <w:ind w:right="0"/>
              <w:jc w:val="left"/>
              <w:rPr>
                <w:rFonts w:ascii="Times New Roman" w:hAnsi="Times New Roman" w:cs="Times New Roman" w:eastAsia="Times New Roman" w:hint="default"/>
                <w:sz w:val="31"/>
                <w:szCs w:val="31"/>
              </w:rPr>
            </w:pPr>
          </w:p>
          <w:p>
            <w:pPr>
              <w:pStyle w:val="TableParagraph"/>
              <w:spacing w:line="232" w:lineRule="auto"/>
              <w:ind w:left="148" w:right="198"/>
              <w:jc w:val="left"/>
              <w:rPr>
                <w:rFonts w:ascii="宋体" w:hAnsi="宋体" w:cs="宋体" w:eastAsia="宋体" w:hint="default"/>
                <w:sz w:val="24"/>
                <w:szCs w:val="24"/>
              </w:rPr>
            </w:pPr>
            <w:r>
              <w:rPr>
                <w:rFonts w:ascii="宋体" w:hAnsi="宋体" w:cs="宋体" w:eastAsia="宋体" w:hint="default"/>
                <w:sz w:val="24"/>
                <w:szCs w:val="24"/>
              </w:rPr>
              <w:t>本集团的股票期权计划是为了换取职工提供服务而授予的以权益结算、以股</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pacing w:val="-2"/>
                <w:sz w:val="24"/>
                <w:szCs w:val="24"/>
              </w:rPr>
              <w:t>份支付为基础的报酬计划，以授予职工的股票期权在授予日的公允价值计量，</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在达到规定业绩条件才可行权。本集团采用布莱特</w:t>
            </w:r>
            <w:r>
              <w:rPr>
                <w:rFonts w:ascii="Times New Roman" w:hAnsi="Times New Roman" w:cs="Times New Roman" w:eastAsia="Times New Roman" w:hint="default"/>
                <w:sz w:val="24"/>
                <w:szCs w:val="24"/>
              </w:rPr>
              <w:t>-</w:t>
            </w:r>
            <w:r>
              <w:rPr>
                <w:rFonts w:ascii="宋体" w:hAnsi="宋体" w:cs="宋体" w:eastAsia="宋体" w:hint="default"/>
                <w:sz w:val="24"/>
                <w:szCs w:val="24"/>
              </w:rPr>
              <w:t>斯科尔斯期权定价模型确 定股票期权的公允价值。</w:t>
            </w:r>
          </w:p>
          <w:p>
            <w:pPr>
              <w:pStyle w:val="TableParagraph"/>
              <w:spacing w:line="240" w:lineRule="auto" w:before="0"/>
              <w:ind w:right="0"/>
              <w:jc w:val="left"/>
              <w:rPr>
                <w:rFonts w:ascii="Times New Roman" w:hAnsi="Times New Roman" w:cs="Times New Roman" w:eastAsia="Times New Roman" w:hint="default"/>
                <w:sz w:val="31"/>
                <w:szCs w:val="31"/>
              </w:rPr>
            </w:pPr>
          </w:p>
          <w:p>
            <w:pPr>
              <w:pStyle w:val="TableParagraph"/>
              <w:spacing w:line="237" w:lineRule="auto"/>
              <w:ind w:left="148" w:right="316"/>
              <w:jc w:val="both"/>
              <w:rPr>
                <w:rFonts w:ascii="宋体" w:hAnsi="宋体" w:cs="宋体" w:eastAsia="宋体" w:hint="default"/>
                <w:sz w:val="24"/>
                <w:szCs w:val="24"/>
              </w:rPr>
            </w:pPr>
            <w:r>
              <w:rPr>
                <w:rFonts w:ascii="宋体" w:hAnsi="宋体" w:cs="宋体" w:eastAsia="宋体" w:hint="default"/>
                <w:sz w:val="24"/>
                <w:szCs w:val="24"/>
              </w:rPr>
              <w:t>在股票期权授予日，即股份支付协议获得批准的日期，不进行会计处理。在</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等待期内，即从授予日至可行权日的时段，在每个资产负债表日，以对可行</w:t>
            </w:r>
            <w:r>
              <w:rPr>
                <w:rFonts w:ascii="宋体" w:hAnsi="宋体" w:cs="宋体" w:eastAsia="宋体" w:hint="default"/>
                <w:spacing w:val="-56"/>
                <w:sz w:val="24"/>
                <w:szCs w:val="24"/>
              </w:rPr>
              <w:t> </w:t>
            </w:r>
            <w:r>
              <w:rPr>
                <w:rFonts w:ascii="宋体" w:hAnsi="宋体" w:cs="宋体" w:eastAsia="宋体" w:hint="default"/>
                <w:spacing w:val="-56"/>
                <w:sz w:val="24"/>
                <w:szCs w:val="24"/>
              </w:rPr>
            </w:r>
            <w:r>
              <w:rPr>
                <w:rFonts w:ascii="宋体" w:hAnsi="宋体" w:cs="宋体" w:eastAsia="宋体" w:hint="default"/>
                <w:sz w:val="24"/>
                <w:szCs w:val="24"/>
              </w:rPr>
              <w:t>权股票期权数量的最佳估计为基础，按照股票期权在授予日的公允价值，将</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取得的职工提供的服务计入当期费用，同时计入资本公积。后续信息表明可</w:t>
            </w:r>
            <w:r>
              <w:rPr>
                <w:rFonts w:ascii="宋体" w:hAnsi="宋体" w:cs="宋体" w:eastAsia="宋体" w:hint="default"/>
                <w:spacing w:val="-59"/>
                <w:sz w:val="24"/>
                <w:szCs w:val="24"/>
              </w:rPr>
              <w:t> </w:t>
            </w:r>
            <w:r>
              <w:rPr>
                <w:rFonts w:ascii="宋体" w:hAnsi="宋体" w:cs="宋体" w:eastAsia="宋体" w:hint="default"/>
                <w:spacing w:val="-59"/>
                <w:sz w:val="24"/>
                <w:szCs w:val="24"/>
              </w:rPr>
            </w:r>
            <w:r>
              <w:rPr>
                <w:rFonts w:ascii="宋体" w:hAnsi="宋体" w:cs="宋体" w:eastAsia="宋体" w:hint="default"/>
                <w:sz w:val="24"/>
                <w:szCs w:val="24"/>
              </w:rPr>
              <w:t>行权股票期权的数量与以前估计不同的，将进行调整，并在可行权日调整至</w:t>
            </w:r>
            <w:r>
              <w:rPr>
                <w:rFonts w:ascii="宋体" w:hAnsi="宋体" w:cs="宋体" w:eastAsia="宋体" w:hint="default"/>
                <w:spacing w:val="-59"/>
                <w:sz w:val="24"/>
                <w:szCs w:val="24"/>
              </w:rPr>
              <w:t> </w:t>
            </w:r>
            <w:r>
              <w:rPr>
                <w:rFonts w:ascii="宋体" w:hAnsi="宋体" w:cs="宋体" w:eastAsia="宋体" w:hint="default"/>
                <w:spacing w:val="-59"/>
                <w:sz w:val="24"/>
                <w:szCs w:val="24"/>
              </w:rPr>
            </w:r>
            <w:r>
              <w:rPr>
                <w:rFonts w:ascii="宋体" w:hAnsi="宋体" w:cs="宋体" w:eastAsia="宋体" w:hint="default"/>
                <w:sz w:val="24"/>
                <w:szCs w:val="24"/>
              </w:rPr>
              <w:t>实际可行权的股票期权数量。可行权日之后不再对已确认的费用和所有者权</w:t>
            </w:r>
            <w:r>
              <w:rPr>
                <w:rFonts w:ascii="宋体" w:hAnsi="宋体" w:cs="宋体" w:eastAsia="宋体" w:hint="default"/>
                <w:spacing w:val="-62"/>
                <w:sz w:val="24"/>
                <w:szCs w:val="24"/>
              </w:rPr>
              <w:t> </w:t>
            </w:r>
            <w:r>
              <w:rPr>
                <w:rFonts w:ascii="宋体" w:hAnsi="宋体" w:cs="宋体" w:eastAsia="宋体" w:hint="default"/>
                <w:spacing w:val="-62"/>
                <w:sz w:val="24"/>
                <w:szCs w:val="24"/>
              </w:rPr>
            </w:r>
            <w:r>
              <w:rPr>
                <w:rFonts w:ascii="宋体" w:hAnsi="宋体" w:cs="宋体" w:eastAsia="宋体" w:hint="default"/>
                <w:sz w:val="24"/>
                <w:szCs w:val="24"/>
              </w:rPr>
              <w:t>益总额进行调整。在行权日，本公司发行新股，收取的所得款扣除任何直接</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归属的交易成本，在期权行使时转入股本和股本溢价，同时结转等待期内确</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认的资本公积。</w:t>
            </w:r>
          </w:p>
        </w:tc>
      </w:tr>
    </w:tbl>
    <w:p>
      <w:pPr>
        <w:spacing w:after="0" w:line="237" w:lineRule="auto"/>
        <w:jc w:val="both"/>
        <w:rPr>
          <w:rFonts w:ascii="宋体" w:hAnsi="宋体" w:cs="宋体" w:eastAsia="宋体"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2968" type="#_x0000_t75" stroked="false">
            <v:imagedata r:id="rId10" o:title=""/>
          </v:shape>
        </w:pict>
      </w: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76"/>
        <w:gridCol w:w="8340"/>
      </w:tblGrid>
      <w:tr>
        <w:trPr>
          <w:trHeight w:val="497"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40" w:type="dxa"/>
            <w:tcBorders>
              <w:top w:val="nil" w:sz="6" w:space="0" w:color="auto"/>
              <w:left w:val="nil" w:sz="6" w:space="0" w:color="auto"/>
              <w:bottom w:val="nil" w:sz="6" w:space="0" w:color="auto"/>
              <w:right w:val="nil" w:sz="6" w:space="0" w:color="auto"/>
            </w:tcBorders>
          </w:tcPr>
          <w:p>
            <w:pPr>
              <w:pStyle w:val="TableParagraph"/>
              <w:spacing w:line="257" w:lineRule="exact"/>
              <w:ind w:left="148"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5"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(30)</w:t>
            </w:r>
          </w:p>
        </w:tc>
        <w:tc>
          <w:tcPr>
            <w:tcW w:w="8340"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48" w:right="0"/>
              <w:jc w:val="left"/>
              <w:rPr>
                <w:rFonts w:ascii="黑体" w:hAnsi="黑体" w:cs="黑体" w:eastAsia="黑体" w:hint="default"/>
                <w:sz w:val="24"/>
                <w:szCs w:val="24"/>
              </w:rPr>
            </w:pPr>
            <w:r>
              <w:rPr>
                <w:rFonts w:ascii="黑体" w:hAnsi="黑体" w:cs="黑体" w:eastAsia="黑体" w:hint="default"/>
                <w:sz w:val="24"/>
                <w:szCs w:val="24"/>
              </w:rPr>
              <w:t>分部信息</w:t>
            </w:r>
          </w:p>
        </w:tc>
      </w:tr>
      <w:tr>
        <w:trPr>
          <w:trHeight w:val="880" w:hRule="exact"/>
        </w:trPr>
        <w:tc>
          <w:tcPr>
            <w:tcW w:w="776" w:type="dxa"/>
            <w:tcBorders>
              <w:top w:val="nil" w:sz="6" w:space="0" w:color="auto"/>
              <w:left w:val="nil" w:sz="6" w:space="0" w:color="auto"/>
              <w:bottom w:val="nil" w:sz="6" w:space="0" w:color="auto"/>
              <w:right w:val="nil" w:sz="6" w:space="0" w:color="auto"/>
            </w:tcBorders>
          </w:tcPr>
          <w:p>
            <w:pPr/>
          </w:p>
        </w:tc>
        <w:tc>
          <w:tcPr>
            <w:tcW w:w="8340"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148" w:right="198"/>
              <w:jc w:val="left"/>
              <w:rPr>
                <w:rFonts w:ascii="宋体" w:hAnsi="宋体" w:cs="宋体" w:eastAsia="宋体" w:hint="default"/>
                <w:sz w:val="24"/>
                <w:szCs w:val="24"/>
              </w:rPr>
            </w:pPr>
            <w:r>
              <w:rPr>
                <w:rFonts w:ascii="宋体" w:hAnsi="宋体" w:cs="宋体" w:eastAsia="宋体" w:hint="default"/>
                <w:sz w:val="24"/>
                <w:szCs w:val="24"/>
              </w:rPr>
              <w:t>本集团以内部组织结构、管理要求、内部报告制度为依据确定经营分部，以</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经营分部为基础确定报告分部并披露分部信息。</w:t>
            </w:r>
          </w:p>
        </w:tc>
      </w:tr>
      <w:tr>
        <w:trPr>
          <w:trHeight w:val="1815" w:hRule="exact"/>
        </w:trPr>
        <w:tc>
          <w:tcPr>
            <w:tcW w:w="776" w:type="dxa"/>
            <w:tcBorders>
              <w:top w:val="nil" w:sz="6" w:space="0" w:color="auto"/>
              <w:left w:val="nil" w:sz="6" w:space="0" w:color="auto"/>
              <w:bottom w:val="nil" w:sz="6" w:space="0" w:color="auto"/>
              <w:right w:val="nil" w:sz="6" w:space="0" w:color="auto"/>
            </w:tcBorders>
          </w:tcPr>
          <w:p>
            <w:pPr/>
          </w:p>
        </w:tc>
        <w:tc>
          <w:tcPr>
            <w:tcW w:w="8340" w:type="dxa"/>
            <w:tcBorders>
              <w:top w:val="nil" w:sz="6" w:space="0" w:color="auto"/>
              <w:left w:val="nil" w:sz="6" w:space="0" w:color="auto"/>
              <w:bottom w:val="nil" w:sz="6" w:space="0" w:color="auto"/>
              <w:right w:val="nil" w:sz="6" w:space="0" w:color="auto"/>
            </w:tcBorders>
          </w:tcPr>
          <w:p>
            <w:pPr>
              <w:pStyle w:val="TableParagraph"/>
              <w:spacing w:line="228" w:lineRule="auto" w:before="16"/>
              <w:ind w:left="148" w:right="198"/>
              <w:jc w:val="both"/>
              <w:rPr>
                <w:rFonts w:ascii="宋体" w:hAnsi="宋体" w:cs="宋体" w:eastAsia="宋体" w:hint="default"/>
                <w:sz w:val="24"/>
                <w:szCs w:val="24"/>
              </w:rPr>
            </w:pPr>
            <w:r>
              <w:rPr>
                <w:rFonts w:ascii="宋体" w:hAnsi="宋体" w:cs="宋体" w:eastAsia="宋体" w:hint="default"/>
                <w:spacing w:val="-4"/>
                <w:w w:val="99"/>
                <w:sz w:val="24"/>
                <w:szCs w:val="24"/>
              </w:rPr>
              <w:t>经营分部是指本集团内同时满足下列条件的组成部分：</w:t>
            </w:r>
            <w:r>
              <w:rPr>
                <w:rFonts w:ascii="Arial" w:hAnsi="Arial" w:cs="Arial" w:eastAsia="Arial" w:hint="default"/>
                <w:spacing w:val="-4"/>
                <w:w w:val="99"/>
                <w:sz w:val="24"/>
                <w:szCs w:val="24"/>
              </w:rPr>
              <w:t>(1)</w:t>
            </w:r>
            <w:r>
              <w:rPr>
                <w:rFonts w:ascii="Arial" w:hAnsi="Arial" w:cs="Arial" w:eastAsia="Arial" w:hint="default"/>
                <w:spacing w:val="57"/>
                <w:w w:val="99"/>
                <w:sz w:val="24"/>
                <w:szCs w:val="24"/>
              </w:rPr>
              <w:t> </w:t>
            </w:r>
            <w:r>
              <w:rPr>
                <w:rFonts w:ascii="宋体" w:hAnsi="宋体" w:cs="宋体" w:eastAsia="宋体" w:hint="default"/>
                <w:sz w:val="24"/>
                <w:szCs w:val="24"/>
              </w:rPr>
              <w:t>该组成部分能够在 日常活动中产生收入、发生费用；</w:t>
            </w:r>
            <w:r>
              <w:rPr>
                <w:rFonts w:ascii="Arial" w:hAnsi="Arial" w:cs="Arial" w:eastAsia="Arial" w:hint="default"/>
                <w:sz w:val="24"/>
                <w:szCs w:val="24"/>
              </w:rPr>
              <w:t>(2)</w:t>
            </w:r>
            <w:r>
              <w:rPr>
                <w:rFonts w:ascii="宋体" w:hAnsi="宋体" w:cs="宋体" w:eastAsia="宋体" w:hint="default"/>
                <w:sz w:val="24"/>
                <w:szCs w:val="24"/>
              </w:rPr>
              <w:t>本集团管理层能够定期评价该组成部分</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的经营成果，以决定向其配置资源、评价其业绩；</w:t>
            </w:r>
            <w:r>
              <w:rPr>
                <w:rFonts w:ascii="Arial" w:hAnsi="Arial" w:cs="Arial" w:eastAsia="Arial" w:hint="default"/>
                <w:sz w:val="24"/>
                <w:szCs w:val="24"/>
              </w:rPr>
              <w:t>(3)</w:t>
            </w:r>
            <w:r>
              <w:rPr>
                <w:rFonts w:ascii="宋体" w:hAnsi="宋体" w:cs="宋体" w:eastAsia="宋体" w:hint="default"/>
                <w:sz w:val="24"/>
                <w:szCs w:val="24"/>
              </w:rPr>
              <w:t>本集团能够取得该组成</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部分的财务状况、经营成果和现金流量等有关会计信息。两个或多个经营分</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部具有相似的经济特征，并且满足一定条件的，则可合并为一个经营分部。</w:t>
            </w:r>
          </w:p>
        </w:tc>
      </w:tr>
      <w:tr>
        <w:trPr>
          <w:trHeight w:val="804" w:hRule="exact"/>
        </w:trPr>
        <w:tc>
          <w:tcPr>
            <w:tcW w:w="776" w:type="dxa"/>
            <w:tcBorders>
              <w:top w:val="nil" w:sz="6" w:space="0" w:color="auto"/>
              <w:left w:val="nil" w:sz="6" w:space="0" w:color="auto"/>
              <w:bottom w:val="nil" w:sz="6" w:space="0" w:color="auto"/>
              <w:right w:val="nil" w:sz="6" w:space="0" w:color="auto"/>
            </w:tcBorders>
          </w:tcPr>
          <w:p>
            <w:pPr/>
          </w:p>
        </w:tc>
        <w:tc>
          <w:tcPr>
            <w:tcW w:w="8340" w:type="dxa"/>
            <w:tcBorders>
              <w:top w:val="nil" w:sz="6" w:space="0" w:color="auto"/>
              <w:left w:val="nil" w:sz="6" w:space="0" w:color="auto"/>
              <w:bottom w:val="nil" w:sz="6" w:space="0" w:color="auto"/>
              <w:right w:val="nil" w:sz="6" w:space="0" w:color="auto"/>
            </w:tcBorders>
          </w:tcPr>
          <w:p>
            <w:pPr>
              <w:pStyle w:val="TableParagraph"/>
              <w:spacing w:line="310" w:lineRule="exact" w:before="212"/>
              <w:ind w:left="148" w:right="199"/>
              <w:jc w:val="left"/>
              <w:rPr>
                <w:rFonts w:ascii="宋体" w:hAnsi="宋体" w:cs="宋体" w:eastAsia="宋体" w:hint="default"/>
                <w:sz w:val="24"/>
                <w:szCs w:val="24"/>
              </w:rPr>
            </w:pPr>
            <w:r>
              <w:rPr>
                <w:rFonts w:ascii="宋体" w:hAnsi="宋体" w:cs="宋体" w:eastAsia="宋体" w:hint="default"/>
                <w:sz w:val="24"/>
                <w:szCs w:val="24"/>
              </w:rPr>
              <w:t>由于本集团收入及业绩超过</w:t>
            </w:r>
            <w:r>
              <w:rPr>
                <w:rFonts w:ascii="宋体" w:hAnsi="宋体" w:cs="宋体" w:eastAsia="宋体" w:hint="default"/>
                <w:spacing w:val="-53"/>
                <w:sz w:val="24"/>
                <w:szCs w:val="24"/>
              </w:rPr>
              <w:t> </w:t>
            </w:r>
            <w:r>
              <w:rPr>
                <w:rFonts w:ascii="Arial" w:hAnsi="Arial" w:cs="Arial" w:eastAsia="Arial" w:hint="default"/>
                <w:sz w:val="24"/>
                <w:szCs w:val="24"/>
              </w:rPr>
              <w:t>90%</w:t>
            </w:r>
            <w:r>
              <w:rPr>
                <w:rFonts w:ascii="宋体" w:hAnsi="宋体" w:cs="宋体" w:eastAsia="宋体" w:hint="default"/>
                <w:sz w:val="24"/>
                <w:szCs w:val="24"/>
              </w:rPr>
              <w:t>源自电器及消费电子产品的销售业务，因此 并未呈列经营分部分析。</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08" w:type="dxa"/>
        <w:tblLayout w:type="fixed"/>
        <w:tblCellMar>
          <w:top w:w="0" w:type="dxa"/>
          <w:left w:w="0" w:type="dxa"/>
          <w:bottom w:w="0" w:type="dxa"/>
          <w:right w:w="0" w:type="dxa"/>
        </w:tblCellMar>
        <w:tblLook w:val="01E0"/>
      </w:tblPr>
      <w:tblGrid>
        <w:gridCol w:w="776"/>
        <w:gridCol w:w="8376"/>
      </w:tblGrid>
      <w:tr>
        <w:trPr>
          <w:trHeight w:val="519"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(31)</w:t>
            </w:r>
          </w:p>
        </w:tc>
        <w:tc>
          <w:tcPr>
            <w:tcW w:w="8376" w:type="dxa"/>
            <w:tcBorders>
              <w:top w:val="nil" w:sz="6" w:space="0" w:color="auto"/>
              <w:left w:val="nil" w:sz="6" w:space="0" w:color="auto"/>
              <w:bottom w:val="nil" w:sz="6" w:space="0" w:color="auto"/>
              <w:right w:val="nil" w:sz="6" w:space="0" w:color="auto"/>
            </w:tcBorders>
          </w:tcPr>
          <w:p>
            <w:pPr>
              <w:pStyle w:val="TableParagraph"/>
              <w:spacing w:line="247" w:lineRule="exact"/>
              <w:ind w:left="148" w:right="0"/>
              <w:jc w:val="left"/>
              <w:rPr>
                <w:rFonts w:ascii="黑体" w:hAnsi="黑体" w:cs="黑体" w:eastAsia="黑体" w:hint="default"/>
                <w:sz w:val="24"/>
                <w:szCs w:val="24"/>
              </w:rPr>
            </w:pPr>
            <w:r>
              <w:rPr>
                <w:rFonts w:ascii="黑体" w:hAnsi="黑体" w:cs="黑体" w:eastAsia="黑体" w:hint="default"/>
                <w:sz w:val="24"/>
                <w:szCs w:val="24"/>
              </w:rPr>
              <w:t>重要会计估计和判断</w:t>
            </w:r>
          </w:p>
        </w:tc>
      </w:tr>
      <w:tr>
        <w:trPr>
          <w:trHeight w:val="1072" w:hRule="exact"/>
        </w:trPr>
        <w:tc>
          <w:tcPr>
            <w:tcW w:w="776" w:type="dxa"/>
            <w:tcBorders>
              <w:top w:val="nil" w:sz="6" w:space="0" w:color="auto"/>
              <w:left w:val="nil" w:sz="6" w:space="0" w:color="auto"/>
              <w:bottom w:val="nil" w:sz="6" w:space="0" w:color="auto"/>
              <w:right w:val="nil" w:sz="6" w:space="0" w:color="auto"/>
            </w:tcBorders>
          </w:tcPr>
          <w:p>
            <w:pPr/>
          </w:p>
        </w:tc>
        <w:tc>
          <w:tcPr>
            <w:tcW w:w="83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0" w:lineRule="exact"/>
              <w:ind w:left="148" w:right="233"/>
              <w:jc w:val="left"/>
              <w:rPr>
                <w:rFonts w:ascii="宋体" w:hAnsi="宋体" w:cs="宋体" w:eastAsia="宋体" w:hint="default"/>
                <w:sz w:val="24"/>
                <w:szCs w:val="24"/>
              </w:rPr>
            </w:pPr>
            <w:r>
              <w:rPr>
                <w:rFonts w:ascii="宋体" w:hAnsi="宋体" w:cs="宋体" w:eastAsia="宋体" w:hint="default"/>
                <w:sz w:val="24"/>
                <w:szCs w:val="24"/>
              </w:rPr>
              <w:t>本集团根据历史经验和其它因素，包括对未来事项的合理预期，对所采用的</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重要会计估计和关键判断进行持续的评价。</w:t>
            </w:r>
          </w:p>
        </w:tc>
      </w:tr>
      <w:tr>
        <w:trPr>
          <w:trHeight w:val="751"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376"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48" w:right="0"/>
              <w:jc w:val="left"/>
              <w:rPr>
                <w:rFonts w:ascii="宋体" w:hAnsi="宋体" w:cs="宋体" w:eastAsia="宋体" w:hint="default"/>
                <w:sz w:val="24"/>
                <w:szCs w:val="24"/>
              </w:rPr>
            </w:pPr>
            <w:r>
              <w:rPr>
                <w:rFonts w:ascii="宋体" w:hAnsi="宋体" w:cs="宋体" w:eastAsia="宋体" w:hint="default"/>
                <w:sz w:val="24"/>
                <w:szCs w:val="24"/>
              </w:rPr>
              <w:t>重要会计估计及其关键假设</w:t>
            </w:r>
          </w:p>
        </w:tc>
      </w:tr>
      <w:tr>
        <w:trPr>
          <w:trHeight w:val="1055" w:hRule="exact"/>
        </w:trPr>
        <w:tc>
          <w:tcPr>
            <w:tcW w:w="776" w:type="dxa"/>
            <w:tcBorders>
              <w:top w:val="nil" w:sz="6" w:space="0" w:color="auto"/>
              <w:left w:val="nil" w:sz="6" w:space="0" w:color="auto"/>
              <w:bottom w:val="nil" w:sz="6" w:space="0" w:color="auto"/>
              <w:right w:val="nil" w:sz="6" w:space="0" w:color="auto"/>
            </w:tcBorders>
          </w:tcPr>
          <w:p>
            <w:pPr/>
          </w:p>
        </w:tc>
        <w:tc>
          <w:tcPr>
            <w:tcW w:w="8376"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148" w:right="233"/>
              <w:jc w:val="left"/>
              <w:rPr>
                <w:rFonts w:ascii="宋体" w:hAnsi="宋体" w:cs="宋体" w:eastAsia="宋体" w:hint="default"/>
                <w:sz w:val="24"/>
                <w:szCs w:val="24"/>
              </w:rPr>
            </w:pPr>
            <w:r>
              <w:rPr>
                <w:rFonts w:ascii="宋体" w:hAnsi="宋体" w:cs="宋体" w:eastAsia="宋体" w:hint="default"/>
                <w:sz w:val="24"/>
                <w:szCs w:val="24"/>
              </w:rPr>
              <w:t>下列重要会计估计及关键假设存在会导致下一会计年度资产和负债的账面价</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值出现重大调整的重要风险：</w:t>
            </w:r>
          </w:p>
        </w:tc>
      </w:tr>
      <w:tr>
        <w:trPr>
          <w:trHeight w:val="770"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(i)</w:t>
            </w:r>
          </w:p>
        </w:tc>
        <w:tc>
          <w:tcPr>
            <w:tcW w:w="8376"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48" w:right="0"/>
              <w:jc w:val="left"/>
              <w:rPr>
                <w:rFonts w:ascii="宋体" w:hAnsi="宋体" w:cs="宋体" w:eastAsia="宋体" w:hint="default"/>
                <w:sz w:val="24"/>
                <w:szCs w:val="24"/>
              </w:rPr>
            </w:pPr>
            <w:r>
              <w:rPr>
                <w:rFonts w:ascii="宋体" w:hAnsi="宋体" w:cs="宋体" w:eastAsia="宋体" w:hint="default"/>
                <w:sz w:val="24"/>
                <w:szCs w:val="24"/>
              </w:rPr>
              <w:t>商誉减值准备的会计估计</w:t>
            </w:r>
          </w:p>
        </w:tc>
      </w:tr>
      <w:tr>
        <w:trPr>
          <w:trHeight w:val="904" w:hRule="exact"/>
        </w:trPr>
        <w:tc>
          <w:tcPr>
            <w:tcW w:w="776" w:type="dxa"/>
            <w:tcBorders>
              <w:top w:val="nil" w:sz="6" w:space="0" w:color="auto"/>
              <w:left w:val="nil" w:sz="6" w:space="0" w:color="auto"/>
              <w:bottom w:val="nil" w:sz="6" w:space="0" w:color="auto"/>
              <w:right w:val="nil" w:sz="6" w:space="0" w:color="auto"/>
            </w:tcBorders>
          </w:tcPr>
          <w:p>
            <w:pPr/>
          </w:p>
        </w:tc>
        <w:tc>
          <w:tcPr>
            <w:tcW w:w="83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10" w:lineRule="exact"/>
              <w:ind w:left="148" w:right="198"/>
              <w:jc w:val="left"/>
              <w:rPr>
                <w:rFonts w:ascii="宋体" w:hAnsi="宋体" w:cs="宋体" w:eastAsia="宋体" w:hint="default"/>
                <w:sz w:val="24"/>
                <w:szCs w:val="24"/>
              </w:rPr>
            </w:pPr>
            <w:r>
              <w:rPr>
                <w:rFonts w:ascii="宋体" w:hAnsi="宋体" w:cs="宋体" w:eastAsia="宋体" w:hint="default"/>
                <w:sz w:val="24"/>
                <w:szCs w:val="24"/>
              </w:rPr>
              <w:t>本集团每年对商誉进行减值测试。包含商誉的资产组和资产组组合的可收回</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金额为其预计未来现金流量的现值，其计算需要采用会计估计</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(15))</w:t>
            </w:r>
            <w:r>
              <w:rPr>
                <w:rFonts w:ascii="宋体" w:hAnsi="宋体" w:cs="宋体" w:eastAsia="宋体" w:hint="default"/>
                <w:sz w:val="24"/>
                <w:szCs w:val="24"/>
              </w:rPr>
              <w:t>。</w:t>
            </w:r>
          </w:p>
        </w:tc>
      </w:tr>
      <w:tr>
        <w:trPr>
          <w:trHeight w:val="1008" w:hRule="exact"/>
        </w:trPr>
        <w:tc>
          <w:tcPr>
            <w:tcW w:w="776" w:type="dxa"/>
            <w:tcBorders>
              <w:top w:val="nil" w:sz="6" w:space="0" w:color="auto"/>
              <w:left w:val="nil" w:sz="6" w:space="0" w:color="auto"/>
              <w:bottom w:val="nil" w:sz="6" w:space="0" w:color="auto"/>
              <w:right w:val="nil" w:sz="6" w:space="0" w:color="auto"/>
            </w:tcBorders>
          </w:tcPr>
          <w:p>
            <w:pPr/>
          </w:p>
        </w:tc>
        <w:tc>
          <w:tcPr>
            <w:tcW w:w="8376" w:type="dxa"/>
            <w:tcBorders>
              <w:top w:val="nil" w:sz="6" w:space="0" w:color="auto"/>
              <w:left w:val="nil" w:sz="6" w:space="0" w:color="auto"/>
              <w:bottom w:val="nil" w:sz="6" w:space="0" w:color="auto"/>
              <w:right w:val="nil" w:sz="6" w:space="0" w:color="auto"/>
            </w:tcBorders>
          </w:tcPr>
          <w:p>
            <w:pPr>
              <w:pStyle w:val="TableParagraph"/>
              <w:spacing w:line="237" w:lineRule="auto"/>
              <w:ind w:left="148" w:right="233"/>
              <w:jc w:val="both"/>
              <w:rPr>
                <w:rFonts w:ascii="宋体" w:hAnsi="宋体" w:cs="宋体" w:eastAsia="宋体" w:hint="default"/>
                <w:sz w:val="24"/>
                <w:szCs w:val="24"/>
              </w:rPr>
            </w:pPr>
            <w:r>
              <w:rPr>
                <w:rFonts w:ascii="宋体" w:hAnsi="宋体" w:cs="宋体" w:eastAsia="宋体" w:hint="default"/>
                <w:sz w:val="24"/>
                <w:szCs w:val="24"/>
              </w:rPr>
              <w:t>如果管理层对资产组和资产组组合未来现金流量计算中采用的毛利率进行修</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订，修订后的毛利率低于目前采用的毛利率，本集团需对商誉增加计提减值</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准备。</w:t>
            </w:r>
          </w:p>
        </w:tc>
      </w:tr>
      <w:tr>
        <w:trPr>
          <w:trHeight w:val="702" w:hRule="exact"/>
        </w:trPr>
        <w:tc>
          <w:tcPr>
            <w:tcW w:w="776" w:type="dxa"/>
            <w:tcBorders>
              <w:top w:val="nil" w:sz="6" w:space="0" w:color="auto"/>
              <w:left w:val="nil" w:sz="6" w:space="0" w:color="auto"/>
              <w:bottom w:val="nil" w:sz="6" w:space="0" w:color="auto"/>
              <w:right w:val="nil" w:sz="6" w:space="0" w:color="auto"/>
            </w:tcBorders>
          </w:tcPr>
          <w:p>
            <w:pPr/>
          </w:p>
        </w:tc>
        <w:tc>
          <w:tcPr>
            <w:tcW w:w="8376" w:type="dxa"/>
            <w:tcBorders>
              <w:top w:val="nil" w:sz="6" w:space="0" w:color="auto"/>
              <w:left w:val="nil" w:sz="6" w:space="0" w:color="auto"/>
              <w:bottom w:val="nil" w:sz="6" w:space="0" w:color="auto"/>
              <w:right w:val="nil" w:sz="6" w:space="0" w:color="auto"/>
            </w:tcBorders>
          </w:tcPr>
          <w:p>
            <w:pPr>
              <w:pStyle w:val="TableParagraph"/>
              <w:spacing w:line="310" w:lineRule="exact" w:before="35"/>
              <w:ind w:left="148" w:right="233"/>
              <w:jc w:val="left"/>
              <w:rPr>
                <w:rFonts w:ascii="宋体" w:hAnsi="宋体" w:cs="宋体" w:eastAsia="宋体" w:hint="default"/>
                <w:sz w:val="24"/>
                <w:szCs w:val="24"/>
              </w:rPr>
            </w:pPr>
            <w:r>
              <w:rPr>
                <w:rFonts w:ascii="宋体" w:hAnsi="宋体" w:cs="宋体" w:eastAsia="宋体" w:hint="default"/>
                <w:sz w:val="24"/>
                <w:szCs w:val="24"/>
              </w:rPr>
              <w:t>如果管理层对应用于现金流量折现的税前折现率进行重新修订，修订后的税</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前折现率高于目前采用的折现率，本集团需对商誉增加计提减值准备。</w:t>
            </w:r>
          </w:p>
        </w:tc>
      </w:tr>
      <w:tr>
        <w:trPr>
          <w:trHeight w:val="628" w:hRule="exact"/>
        </w:trPr>
        <w:tc>
          <w:tcPr>
            <w:tcW w:w="776" w:type="dxa"/>
            <w:tcBorders>
              <w:top w:val="nil" w:sz="6" w:space="0" w:color="auto"/>
              <w:left w:val="nil" w:sz="6" w:space="0" w:color="auto"/>
              <w:bottom w:val="nil" w:sz="6" w:space="0" w:color="auto"/>
              <w:right w:val="nil" w:sz="6" w:space="0" w:color="auto"/>
            </w:tcBorders>
          </w:tcPr>
          <w:p>
            <w:pPr/>
          </w:p>
        </w:tc>
        <w:tc>
          <w:tcPr>
            <w:tcW w:w="8376"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48" w:right="233"/>
              <w:jc w:val="left"/>
              <w:rPr>
                <w:rFonts w:ascii="宋体" w:hAnsi="宋体" w:cs="宋体" w:eastAsia="宋体" w:hint="default"/>
                <w:sz w:val="24"/>
                <w:szCs w:val="24"/>
              </w:rPr>
            </w:pPr>
            <w:r>
              <w:rPr>
                <w:rFonts w:ascii="宋体" w:hAnsi="宋体" w:cs="宋体" w:eastAsia="宋体" w:hint="default"/>
                <w:sz w:val="24"/>
                <w:szCs w:val="24"/>
              </w:rPr>
              <w:t>如果实际毛利率或税前折现率高于或低于管理层的估计，本集团不能转回原</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已计提的商誉减值损失。</w:t>
            </w:r>
          </w:p>
        </w:tc>
      </w:tr>
    </w:tbl>
    <w:p>
      <w:pPr>
        <w:spacing w:after="0" w:line="312" w:lineRule="exact"/>
        <w:jc w:val="left"/>
        <w:rPr>
          <w:rFonts w:ascii="宋体" w:hAnsi="宋体" w:cs="宋体" w:eastAsia="宋体"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776"/>
        <w:gridCol w:w="8458"/>
      </w:tblGrid>
      <w:tr>
        <w:trPr>
          <w:trHeight w:val="495"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58" w:type="dxa"/>
            <w:tcBorders>
              <w:top w:val="nil" w:sz="6" w:space="0" w:color="auto"/>
              <w:left w:val="nil" w:sz="6" w:space="0" w:color="auto"/>
              <w:bottom w:val="nil" w:sz="6" w:space="0" w:color="auto"/>
              <w:right w:val="nil" w:sz="6" w:space="0" w:color="auto"/>
            </w:tcBorders>
          </w:tcPr>
          <w:p>
            <w:pPr>
              <w:pStyle w:val="TableParagraph"/>
              <w:spacing w:line="257" w:lineRule="exact"/>
              <w:ind w:left="148"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64"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(31)</w:t>
            </w:r>
          </w:p>
        </w:tc>
        <w:tc>
          <w:tcPr>
            <w:tcW w:w="845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8" w:right="0"/>
              <w:jc w:val="left"/>
              <w:rPr>
                <w:rFonts w:ascii="Arial" w:hAnsi="Arial" w:cs="Arial" w:eastAsia="Arial" w:hint="default"/>
                <w:sz w:val="24"/>
                <w:szCs w:val="24"/>
              </w:rPr>
            </w:pPr>
            <w:r>
              <w:rPr>
                <w:rFonts w:ascii="黑体" w:hAnsi="黑体" w:cs="黑体" w:eastAsia="黑体" w:hint="default"/>
                <w:sz w:val="24"/>
                <w:szCs w:val="24"/>
              </w:rPr>
              <w:t>重要会计估计和判断</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82"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458" w:type="dxa"/>
            <w:tcBorders>
              <w:top w:val="nil" w:sz="6" w:space="0" w:color="auto"/>
              <w:left w:val="nil" w:sz="6" w:space="0" w:color="auto"/>
              <w:bottom w:val="nil" w:sz="6" w:space="0" w:color="auto"/>
              <w:right w:val="nil" w:sz="6" w:space="0" w:color="auto"/>
            </w:tcBorders>
          </w:tcPr>
          <w:p>
            <w:pPr>
              <w:pStyle w:val="TableParagraph"/>
              <w:spacing w:line="240" w:lineRule="auto" w:before="195"/>
              <w:ind w:left="148" w:right="0"/>
              <w:jc w:val="left"/>
              <w:rPr>
                <w:rFonts w:ascii="Arial" w:hAnsi="Arial" w:cs="Arial" w:eastAsia="Arial" w:hint="default"/>
                <w:sz w:val="24"/>
                <w:szCs w:val="24"/>
              </w:rPr>
            </w:pPr>
            <w:r>
              <w:rPr>
                <w:rFonts w:ascii="宋体" w:hAnsi="宋体" w:cs="宋体" w:eastAsia="宋体" w:hint="default"/>
                <w:sz w:val="24"/>
                <w:szCs w:val="24"/>
              </w:rPr>
              <w:t>重要会计估计及其关键假设</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781"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(ii)</w:t>
            </w:r>
          </w:p>
        </w:tc>
        <w:tc>
          <w:tcPr>
            <w:tcW w:w="8458" w:type="dxa"/>
            <w:tcBorders>
              <w:top w:val="nil" w:sz="6" w:space="0" w:color="auto"/>
              <w:left w:val="nil" w:sz="6" w:space="0" w:color="auto"/>
              <w:bottom w:val="nil" w:sz="6" w:space="0" w:color="auto"/>
              <w:right w:val="nil" w:sz="6" w:space="0" w:color="auto"/>
            </w:tcBorders>
          </w:tcPr>
          <w:p>
            <w:pPr>
              <w:pStyle w:val="TableParagraph"/>
              <w:spacing w:line="240" w:lineRule="auto" w:before="195"/>
              <w:ind w:left="148" w:right="0"/>
              <w:jc w:val="left"/>
              <w:rPr>
                <w:rFonts w:ascii="宋体" w:hAnsi="宋体" w:cs="宋体" w:eastAsia="宋体" w:hint="default"/>
                <w:sz w:val="24"/>
                <w:szCs w:val="24"/>
              </w:rPr>
            </w:pPr>
            <w:r>
              <w:rPr>
                <w:rFonts w:ascii="宋体" w:hAnsi="宋体" w:cs="宋体" w:eastAsia="宋体" w:hint="default"/>
                <w:sz w:val="24"/>
                <w:szCs w:val="24"/>
              </w:rPr>
              <w:t>当期及递延所得税</w:t>
            </w:r>
          </w:p>
        </w:tc>
      </w:tr>
      <w:tr>
        <w:trPr>
          <w:trHeight w:val="1717" w:hRule="exact"/>
        </w:trPr>
        <w:tc>
          <w:tcPr>
            <w:tcW w:w="776" w:type="dxa"/>
            <w:tcBorders>
              <w:top w:val="nil" w:sz="6" w:space="0" w:color="auto"/>
              <w:left w:val="nil" w:sz="6" w:space="0" w:color="auto"/>
              <w:bottom w:val="nil" w:sz="6" w:space="0" w:color="auto"/>
              <w:right w:val="nil" w:sz="6" w:space="0" w:color="auto"/>
            </w:tcBorders>
          </w:tcPr>
          <w:p>
            <w:pPr/>
          </w:p>
        </w:tc>
        <w:tc>
          <w:tcPr>
            <w:tcW w:w="8458" w:type="dxa"/>
            <w:tcBorders>
              <w:top w:val="nil" w:sz="6" w:space="0" w:color="auto"/>
              <w:left w:val="nil" w:sz="6" w:space="0" w:color="auto"/>
              <w:bottom w:val="nil" w:sz="6" w:space="0" w:color="auto"/>
              <w:right w:val="nil" w:sz="6" w:space="0" w:color="auto"/>
            </w:tcBorders>
          </w:tcPr>
          <w:p>
            <w:pPr>
              <w:pStyle w:val="TableParagraph"/>
              <w:spacing w:line="237" w:lineRule="auto" w:before="200"/>
              <w:ind w:left="148" w:right="315"/>
              <w:jc w:val="both"/>
              <w:rPr>
                <w:rFonts w:ascii="宋体" w:hAnsi="宋体" w:cs="宋体" w:eastAsia="宋体" w:hint="default"/>
                <w:sz w:val="24"/>
                <w:szCs w:val="24"/>
              </w:rPr>
            </w:pPr>
            <w:r>
              <w:rPr>
                <w:rFonts w:ascii="宋体" w:hAnsi="宋体" w:cs="宋体" w:eastAsia="宋体" w:hint="default"/>
                <w:sz w:val="24"/>
                <w:szCs w:val="24"/>
              </w:rPr>
              <w:t>本集团在多个地区缴纳企业所得税。在正常的经营活动中，很多交易和事项</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的最终税务处理都存在不确定性。在计提各个地区的所得税费用时，本集团</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需要作出重大判断。如果这些税务事项的最终认定结果与最初入账的金额存</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在差异，该差异将对作出上述最终认定期间的所得税费用的金额产生影响。</w:t>
            </w:r>
          </w:p>
        </w:tc>
      </w:tr>
      <w:tr>
        <w:trPr>
          <w:trHeight w:val="2068" w:hRule="exact"/>
        </w:trPr>
        <w:tc>
          <w:tcPr>
            <w:tcW w:w="776" w:type="dxa"/>
            <w:tcBorders>
              <w:top w:val="nil" w:sz="6" w:space="0" w:color="auto"/>
              <w:left w:val="nil" w:sz="6" w:space="0" w:color="auto"/>
              <w:bottom w:val="nil" w:sz="6" w:space="0" w:color="auto"/>
              <w:right w:val="nil" w:sz="6" w:space="0" w:color="auto"/>
            </w:tcBorders>
          </w:tcPr>
          <w:p>
            <w:pPr/>
          </w:p>
        </w:tc>
        <w:tc>
          <w:tcPr>
            <w:tcW w:w="8458" w:type="dxa"/>
            <w:tcBorders>
              <w:top w:val="nil" w:sz="6" w:space="0" w:color="auto"/>
              <w:left w:val="nil" w:sz="6" w:space="0" w:color="auto"/>
              <w:bottom w:val="nil" w:sz="6" w:space="0" w:color="auto"/>
              <w:right w:val="nil" w:sz="6" w:space="0" w:color="auto"/>
            </w:tcBorders>
          </w:tcPr>
          <w:p>
            <w:pPr>
              <w:pStyle w:val="TableParagraph"/>
              <w:spacing w:line="237" w:lineRule="auto" w:before="201"/>
              <w:ind w:left="148" w:right="314"/>
              <w:jc w:val="both"/>
              <w:rPr>
                <w:rFonts w:ascii="宋体" w:hAnsi="宋体" w:cs="宋体" w:eastAsia="宋体" w:hint="default"/>
                <w:sz w:val="24"/>
                <w:szCs w:val="24"/>
              </w:rPr>
            </w:pPr>
            <w:r>
              <w:rPr>
                <w:rFonts w:ascii="宋体" w:hAnsi="宋体" w:cs="宋体" w:eastAsia="宋体" w:hint="default"/>
                <w:sz w:val="24"/>
                <w:szCs w:val="24"/>
              </w:rPr>
              <w:t>本集团递延所得税资产的确认以很可能取得用来抵扣可抵扣暂时性差异、可</w:t>
            </w:r>
            <w:r>
              <w:rPr>
                <w:rFonts w:ascii="宋体" w:hAnsi="宋体" w:cs="宋体" w:eastAsia="宋体" w:hint="default"/>
                <w:spacing w:val="-63"/>
                <w:sz w:val="24"/>
                <w:szCs w:val="24"/>
              </w:rPr>
              <w:t> </w:t>
            </w:r>
            <w:r>
              <w:rPr>
                <w:rFonts w:ascii="宋体" w:hAnsi="宋体" w:cs="宋体" w:eastAsia="宋体" w:hint="default"/>
                <w:spacing w:val="-63"/>
                <w:sz w:val="24"/>
                <w:szCs w:val="24"/>
              </w:rPr>
            </w:r>
            <w:r>
              <w:rPr>
                <w:rFonts w:ascii="宋体" w:hAnsi="宋体" w:cs="宋体" w:eastAsia="宋体" w:hint="default"/>
                <w:sz w:val="24"/>
                <w:szCs w:val="24"/>
              </w:rPr>
              <w:t>抵扣亏损和税款抵减的应纳税所得额为限。本集团内各公司取得用来抵扣可</w:t>
            </w:r>
            <w:r>
              <w:rPr>
                <w:rFonts w:ascii="宋体" w:hAnsi="宋体" w:cs="宋体" w:eastAsia="宋体" w:hint="default"/>
                <w:spacing w:val="-60"/>
                <w:sz w:val="24"/>
                <w:szCs w:val="24"/>
              </w:rPr>
              <w:t> </w:t>
            </w:r>
            <w:r>
              <w:rPr>
                <w:rFonts w:ascii="宋体" w:hAnsi="宋体" w:cs="宋体" w:eastAsia="宋体" w:hint="default"/>
                <w:spacing w:val="-60"/>
                <w:sz w:val="24"/>
                <w:szCs w:val="24"/>
              </w:rPr>
            </w:r>
            <w:r>
              <w:rPr>
                <w:rFonts w:ascii="宋体" w:hAnsi="宋体" w:cs="宋体" w:eastAsia="宋体" w:hint="default"/>
                <w:sz w:val="24"/>
                <w:szCs w:val="24"/>
              </w:rPr>
              <w:t>抵扣暂时性差异、可抵扣亏损和税款抵减的应纳税所得额存在不确定性，本</w:t>
            </w:r>
          </w:p>
          <w:p>
            <w:pPr>
              <w:pStyle w:val="TableParagraph"/>
              <w:spacing w:line="312" w:lineRule="exact" w:before="27"/>
              <w:ind w:left="148" w:right="198"/>
              <w:jc w:val="left"/>
              <w:rPr>
                <w:rFonts w:ascii="宋体" w:hAnsi="宋体" w:cs="宋体" w:eastAsia="宋体" w:hint="default"/>
                <w:sz w:val="24"/>
                <w:szCs w:val="24"/>
              </w:rPr>
            </w:pPr>
            <w:r>
              <w:rPr>
                <w:rFonts w:ascii="宋体" w:hAnsi="宋体" w:cs="宋体" w:eastAsia="宋体" w:hint="default"/>
                <w:spacing w:val="-2"/>
                <w:sz w:val="24"/>
                <w:szCs w:val="24"/>
              </w:rPr>
              <w:t>集团需要作出重大判断。如果已经计提递延所得税资产的可抵扣暂时性差异、</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可抵扣亏损最终认定结果与最初入账的金额存在差异，该差异将对作出最终</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认定期间的递延所得税金额产生影响。</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710"/>
        <w:gridCol w:w="8409"/>
      </w:tblGrid>
      <w:tr>
        <w:trPr>
          <w:trHeight w:val="515"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5" w:lineRule="exact"/>
              <w:ind w:right="14"/>
              <w:jc w:val="center"/>
              <w:rPr>
                <w:rFonts w:ascii="Arial" w:hAnsi="Arial" w:cs="Arial" w:eastAsia="Arial" w:hint="default"/>
                <w:sz w:val="24"/>
                <w:szCs w:val="24"/>
              </w:rPr>
            </w:pPr>
            <w:r>
              <w:rPr>
                <w:rFonts w:ascii="Arial"/>
                <w:sz w:val="24"/>
              </w:rPr>
              <w:t>(b)</w:t>
            </w:r>
          </w:p>
        </w:tc>
        <w:tc>
          <w:tcPr>
            <w:tcW w:w="8409" w:type="dxa"/>
            <w:tcBorders>
              <w:top w:val="nil" w:sz="6" w:space="0" w:color="auto"/>
              <w:left w:val="nil" w:sz="6" w:space="0" w:color="auto"/>
              <w:bottom w:val="nil" w:sz="6" w:space="0" w:color="auto"/>
              <w:right w:val="nil" w:sz="6" w:space="0" w:color="auto"/>
            </w:tcBorders>
          </w:tcPr>
          <w:p>
            <w:pPr>
              <w:pStyle w:val="TableParagraph"/>
              <w:spacing w:line="247" w:lineRule="exact"/>
              <w:ind w:left="216" w:right="0"/>
              <w:jc w:val="left"/>
              <w:rPr>
                <w:rFonts w:ascii="宋体" w:hAnsi="宋体" w:cs="宋体" w:eastAsia="宋体" w:hint="default"/>
                <w:sz w:val="24"/>
                <w:szCs w:val="24"/>
              </w:rPr>
            </w:pPr>
            <w:r>
              <w:rPr>
                <w:rFonts w:ascii="宋体" w:hAnsi="宋体" w:cs="宋体" w:eastAsia="宋体" w:hint="default"/>
                <w:sz w:val="24"/>
                <w:szCs w:val="24"/>
              </w:rPr>
              <w:t>采用会计政策的关键判断</w:t>
            </w:r>
          </w:p>
        </w:tc>
      </w:tr>
      <w:tr>
        <w:trPr>
          <w:trHeight w:val="786"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6"/>
              <w:jc w:val="center"/>
              <w:rPr>
                <w:rFonts w:ascii="Arial" w:hAnsi="Arial" w:cs="Arial" w:eastAsia="Arial" w:hint="default"/>
                <w:sz w:val="24"/>
                <w:szCs w:val="24"/>
              </w:rPr>
            </w:pPr>
            <w:r>
              <w:rPr>
                <w:rFonts w:ascii="Arial"/>
                <w:sz w:val="24"/>
              </w:rPr>
              <w:t>(i)</w:t>
            </w:r>
          </w:p>
        </w:tc>
        <w:tc>
          <w:tcPr>
            <w:tcW w:w="8409" w:type="dxa"/>
            <w:tcBorders>
              <w:top w:val="nil" w:sz="6" w:space="0" w:color="auto"/>
              <w:left w:val="nil" w:sz="6" w:space="0" w:color="auto"/>
              <w:bottom w:val="nil" w:sz="6" w:space="0" w:color="auto"/>
              <w:right w:val="nil" w:sz="6" w:space="0" w:color="auto"/>
            </w:tcBorders>
          </w:tcPr>
          <w:p>
            <w:pPr>
              <w:pStyle w:val="TableParagraph"/>
              <w:spacing w:line="240" w:lineRule="auto" w:before="201"/>
              <w:ind w:left="216" w:right="0"/>
              <w:jc w:val="left"/>
              <w:rPr>
                <w:rFonts w:ascii="宋体" w:hAnsi="宋体" w:cs="宋体" w:eastAsia="宋体" w:hint="default"/>
                <w:sz w:val="24"/>
                <w:szCs w:val="24"/>
              </w:rPr>
            </w:pPr>
            <w:r>
              <w:rPr>
                <w:rFonts w:ascii="宋体" w:hAnsi="宋体" w:cs="宋体" w:eastAsia="宋体" w:hint="default"/>
                <w:sz w:val="24"/>
                <w:szCs w:val="24"/>
              </w:rPr>
              <w:t>存货跌价准备</w:t>
            </w:r>
          </w:p>
        </w:tc>
      </w:tr>
      <w:tr>
        <w:trPr>
          <w:trHeight w:val="2377" w:hRule="exact"/>
        </w:trPr>
        <w:tc>
          <w:tcPr>
            <w:tcW w:w="710"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235" w:lineRule="auto" w:before="202"/>
              <w:ind w:left="216" w:right="198"/>
              <w:jc w:val="both"/>
              <w:rPr>
                <w:rFonts w:ascii="宋体" w:hAnsi="宋体" w:cs="宋体" w:eastAsia="宋体" w:hint="default"/>
                <w:sz w:val="24"/>
                <w:szCs w:val="24"/>
              </w:rPr>
            </w:pPr>
            <w:r>
              <w:rPr>
                <w:rFonts w:ascii="宋体" w:hAnsi="宋体" w:cs="宋体" w:eastAsia="宋体" w:hint="default"/>
                <w:sz w:val="24"/>
                <w:szCs w:val="24"/>
              </w:rPr>
              <w:t>本集团将大量的流动资金投入存货，对于存货跌价准备的风险，本集团已经</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执行了严格的措施加以监控。对于低于采购价的商品销售，除非有供应商的</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商业折扣确认函，否则 </w:t>
            </w:r>
            <w:r>
              <w:rPr>
                <w:rFonts w:ascii="Arial" w:hAnsi="Arial" w:cs="Arial" w:eastAsia="Arial" w:hint="default"/>
                <w:sz w:val="24"/>
                <w:szCs w:val="24"/>
              </w:rPr>
              <w:t>SAP/ERP</w:t>
            </w:r>
            <w:r>
              <w:rPr>
                <w:rFonts w:ascii="Arial" w:hAnsi="Arial" w:cs="Arial" w:eastAsia="Arial" w:hint="default"/>
                <w:spacing w:val="39"/>
                <w:sz w:val="24"/>
                <w:szCs w:val="24"/>
              </w:rPr>
              <w:t> </w:t>
            </w:r>
            <w:r>
              <w:rPr>
                <w:rFonts w:ascii="宋体" w:hAnsi="宋体" w:cs="宋体" w:eastAsia="宋体" w:hint="default"/>
                <w:sz w:val="24"/>
                <w:szCs w:val="24"/>
              </w:rPr>
              <w:t>系统不能产生提货单实现销售。对于存货 账龄清单上滞销的存货，本集团会了解滞销原因并积极与供应商进行沟通，</w:t>
            </w:r>
            <w:r>
              <w:rPr>
                <w:rFonts w:ascii="宋体" w:hAnsi="宋体" w:cs="宋体" w:eastAsia="宋体" w:hint="default"/>
                <w:spacing w:val="-60"/>
                <w:sz w:val="24"/>
                <w:szCs w:val="24"/>
              </w:rPr>
              <w:t> </w:t>
            </w:r>
            <w:r>
              <w:rPr>
                <w:rFonts w:ascii="宋体" w:hAnsi="宋体" w:cs="宋体" w:eastAsia="宋体" w:hint="default"/>
                <w:spacing w:val="-60"/>
                <w:sz w:val="24"/>
                <w:szCs w:val="24"/>
              </w:rPr>
            </w:r>
            <w:r>
              <w:rPr>
                <w:rFonts w:ascii="宋体" w:hAnsi="宋体" w:cs="宋体" w:eastAsia="宋体" w:hint="default"/>
                <w:sz w:val="24"/>
                <w:szCs w:val="24"/>
              </w:rPr>
              <w:t>尝试对滞销存货执行退货处理；对于无法向供应商退货的存货，或者已经不</w:t>
            </w:r>
            <w:r>
              <w:rPr>
                <w:rFonts w:ascii="宋体" w:hAnsi="宋体" w:cs="宋体" w:eastAsia="宋体" w:hint="default"/>
                <w:spacing w:val="-60"/>
                <w:sz w:val="24"/>
                <w:szCs w:val="24"/>
              </w:rPr>
              <w:t> </w:t>
            </w:r>
            <w:r>
              <w:rPr>
                <w:rFonts w:ascii="宋体" w:hAnsi="宋体" w:cs="宋体" w:eastAsia="宋体" w:hint="default"/>
                <w:spacing w:val="-60"/>
                <w:sz w:val="24"/>
                <w:szCs w:val="24"/>
              </w:rPr>
            </w:r>
            <w:r>
              <w:rPr>
                <w:rFonts w:ascii="宋体" w:hAnsi="宋体" w:cs="宋体" w:eastAsia="宋体" w:hint="default"/>
                <w:sz w:val="24"/>
                <w:szCs w:val="24"/>
              </w:rPr>
              <w:t>再与本集团进行交易的供应商，本集团根据滞销存货的账面价值高于各自的</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可变现净值的差额计提存货跌价准备。</w:t>
            </w:r>
          </w:p>
        </w:tc>
      </w:tr>
    </w:tbl>
    <w:p>
      <w:pPr>
        <w:spacing w:after="0" w:line="235" w:lineRule="auto"/>
        <w:jc w:val="both"/>
        <w:rPr>
          <w:rFonts w:ascii="宋体" w:hAnsi="宋体" w:cs="宋体" w:eastAsia="宋体" w:hint="default"/>
          <w:sz w:val="24"/>
          <w:szCs w:val="24"/>
        </w:rPr>
        <w:sectPr>
          <w:footerReference w:type="default" r:id="rId62"/>
          <w:pgSz w:w="11910" w:h="16850"/>
          <w:pgMar w:footer="1340" w:header="795" w:top="2020" w:bottom="1540" w:left="142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76"/>
        <w:gridCol w:w="3388"/>
      </w:tblGrid>
      <w:tr>
        <w:trPr>
          <w:trHeight w:val="497"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3388" w:type="dxa"/>
            <w:tcBorders>
              <w:top w:val="nil" w:sz="6" w:space="0" w:color="auto"/>
              <w:left w:val="nil" w:sz="6" w:space="0" w:color="auto"/>
              <w:bottom w:val="nil" w:sz="6" w:space="0" w:color="auto"/>
              <w:right w:val="nil" w:sz="6" w:space="0" w:color="auto"/>
            </w:tcBorders>
          </w:tcPr>
          <w:p>
            <w:pPr>
              <w:pStyle w:val="TableParagraph"/>
              <w:spacing w:line="257" w:lineRule="exact"/>
              <w:ind w:left="148"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(31)</w:t>
            </w:r>
          </w:p>
        </w:tc>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48" w:right="0"/>
              <w:jc w:val="left"/>
              <w:rPr>
                <w:rFonts w:ascii="Arial" w:hAnsi="Arial" w:cs="Arial" w:eastAsia="Arial" w:hint="default"/>
                <w:sz w:val="24"/>
                <w:szCs w:val="24"/>
              </w:rPr>
            </w:pPr>
            <w:r>
              <w:rPr>
                <w:rFonts w:ascii="黑体" w:hAnsi="黑体" w:cs="黑体" w:eastAsia="黑体" w:hint="default"/>
                <w:sz w:val="24"/>
                <w:szCs w:val="24"/>
              </w:rPr>
              <w:t>重要会计估计和判断</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3"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(b)</w:t>
            </w:r>
          </w:p>
        </w:tc>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8" w:right="0"/>
              <w:jc w:val="left"/>
              <w:rPr>
                <w:rFonts w:ascii="Arial" w:hAnsi="Arial" w:cs="Arial" w:eastAsia="Arial" w:hint="default"/>
                <w:sz w:val="24"/>
                <w:szCs w:val="24"/>
              </w:rPr>
            </w:pPr>
            <w:r>
              <w:rPr>
                <w:rFonts w:ascii="宋体" w:hAnsi="宋体" w:cs="宋体" w:eastAsia="宋体" w:hint="default"/>
                <w:sz w:val="24"/>
                <w:szCs w:val="24"/>
              </w:rPr>
              <w:t>采用会计政策的关键判断</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27" w:type="dxa"/>
        <w:tblLayout w:type="fixed"/>
        <w:tblCellMar>
          <w:top w:w="0" w:type="dxa"/>
          <w:left w:w="0" w:type="dxa"/>
          <w:bottom w:w="0" w:type="dxa"/>
          <w:right w:w="0" w:type="dxa"/>
        </w:tblCellMar>
        <w:tblLook w:val="01E0"/>
      </w:tblPr>
      <w:tblGrid>
        <w:gridCol w:w="665"/>
        <w:gridCol w:w="8550"/>
      </w:tblGrid>
      <w:tr>
        <w:trPr>
          <w:trHeight w:val="501" w:hRule="exact"/>
        </w:trPr>
        <w:tc>
          <w:tcPr>
            <w:tcW w:w="66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(ii)</w:t>
            </w:r>
          </w:p>
        </w:tc>
        <w:tc>
          <w:tcPr>
            <w:tcW w:w="8550" w:type="dxa"/>
            <w:tcBorders>
              <w:top w:val="nil" w:sz="6" w:space="0" w:color="auto"/>
              <w:left w:val="nil" w:sz="6" w:space="0" w:color="auto"/>
              <w:bottom w:val="nil" w:sz="6" w:space="0" w:color="auto"/>
              <w:right w:val="nil" w:sz="6" w:space="0" w:color="auto"/>
            </w:tcBorders>
          </w:tcPr>
          <w:p>
            <w:pPr>
              <w:pStyle w:val="TableParagraph"/>
              <w:spacing w:line="247" w:lineRule="exact"/>
              <w:ind w:left="199" w:right="0"/>
              <w:jc w:val="left"/>
              <w:rPr>
                <w:rFonts w:ascii="宋体" w:hAnsi="宋体" w:cs="宋体" w:eastAsia="宋体" w:hint="default"/>
                <w:sz w:val="24"/>
                <w:szCs w:val="24"/>
              </w:rPr>
            </w:pPr>
            <w:r>
              <w:rPr>
                <w:rFonts w:ascii="宋体" w:hAnsi="宋体" w:cs="宋体" w:eastAsia="宋体" w:hint="default"/>
                <w:sz w:val="24"/>
                <w:szCs w:val="24"/>
              </w:rPr>
              <w:t>积分计划</w:t>
            </w:r>
          </w:p>
        </w:tc>
      </w:tr>
      <w:tr>
        <w:trPr>
          <w:trHeight w:val="2670" w:hRule="exact"/>
        </w:trPr>
        <w:tc>
          <w:tcPr>
            <w:tcW w:w="665" w:type="dxa"/>
            <w:tcBorders>
              <w:top w:val="nil" w:sz="6" w:space="0" w:color="auto"/>
              <w:left w:val="nil" w:sz="6" w:space="0" w:color="auto"/>
              <w:bottom w:val="nil" w:sz="6" w:space="0" w:color="auto"/>
              <w:right w:val="nil" w:sz="6" w:space="0" w:color="auto"/>
            </w:tcBorders>
          </w:tcPr>
          <w:p>
            <w:pPr/>
          </w:p>
        </w:tc>
        <w:tc>
          <w:tcPr>
            <w:tcW w:w="8550"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99" w:right="198"/>
              <w:jc w:val="left"/>
              <w:rPr>
                <w:rFonts w:ascii="宋体" w:hAnsi="宋体" w:cs="宋体" w:eastAsia="宋体" w:hint="default"/>
                <w:sz w:val="24"/>
                <w:szCs w:val="24"/>
              </w:rPr>
            </w:pPr>
            <w:r>
              <w:rPr>
                <w:rFonts w:ascii="宋体" w:hAnsi="宋体" w:cs="宋体" w:eastAsia="宋体" w:hint="default"/>
                <w:spacing w:val="-1"/>
                <w:sz w:val="24"/>
                <w:szCs w:val="24"/>
              </w:rPr>
              <w:t>本集团实施积分计划，顾客前次消费额产生的积分，可以在下次消费时抵用。</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授予顾客的积分奖励作为销售交易的一部分。销售取得的货款在商品销售产</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2"/>
                <w:sz w:val="24"/>
                <w:szCs w:val="24"/>
              </w:rPr>
              <w:t>生的收入与奖励积分之间进行分配，与奖励积分相关的部分首先作为递延收</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2"/>
                <w:sz w:val="24"/>
                <w:szCs w:val="24"/>
              </w:rPr>
              <w:t>益，待顾客兑换奖励积分或失效时，结转计入当期损益。予以递延确认的收</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2"/>
                <w:sz w:val="24"/>
                <w:szCs w:val="24"/>
              </w:rPr>
              <w:t>益以授予顾客的积分为基准，并根据本集团已公布的积分使用方法和积分的</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2"/>
                <w:sz w:val="24"/>
                <w:szCs w:val="24"/>
              </w:rPr>
              <w:t>预期兑付率，按公允价值确认。预期兑付率的可靠估计有赖于历史数据及数</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pacing w:val="2"/>
                <w:sz w:val="24"/>
                <w:szCs w:val="24"/>
              </w:rPr>
              <w:t>理统计。于每个资产负债表日，本集团将根据积分的实际兑付情况，对预期</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兑付率进行重新估算，并调整递延收益余额。</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44" w:type="dxa"/>
        <w:tblLayout w:type="fixed"/>
        <w:tblCellMar>
          <w:top w:w="0" w:type="dxa"/>
          <w:left w:w="0" w:type="dxa"/>
          <w:bottom w:w="0" w:type="dxa"/>
          <w:right w:w="0" w:type="dxa"/>
        </w:tblCellMar>
        <w:tblLook w:val="01E0"/>
      </w:tblPr>
      <w:tblGrid>
        <w:gridCol w:w="661"/>
        <w:gridCol w:w="2183"/>
        <w:gridCol w:w="1876"/>
        <w:gridCol w:w="1675"/>
        <w:gridCol w:w="2685"/>
      </w:tblGrid>
      <w:tr>
        <w:trPr>
          <w:trHeight w:val="502" w:hRule="exact"/>
        </w:trPr>
        <w:tc>
          <w:tcPr>
            <w:tcW w:w="661"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(c)</w:t>
            </w:r>
          </w:p>
        </w:tc>
        <w:tc>
          <w:tcPr>
            <w:tcW w:w="4059" w:type="dxa"/>
            <w:gridSpan w:val="2"/>
            <w:tcBorders>
              <w:top w:val="nil" w:sz="6" w:space="0" w:color="auto"/>
              <w:left w:val="nil" w:sz="6" w:space="0" w:color="auto"/>
              <w:bottom w:val="nil" w:sz="6" w:space="0" w:color="auto"/>
              <w:right w:val="nil" w:sz="6" w:space="0" w:color="auto"/>
            </w:tcBorders>
          </w:tcPr>
          <w:p>
            <w:pPr>
              <w:pStyle w:val="TableParagraph"/>
              <w:spacing w:line="248" w:lineRule="exact"/>
              <w:ind w:left="181" w:right="0"/>
              <w:jc w:val="left"/>
              <w:rPr>
                <w:rFonts w:ascii="宋体" w:hAnsi="宋体" w:cs="宋体" w:eastAsia="宋体" w:hint="default"/>
                <w:sz w:val="24"/>
                <w:szCs w:val="24"/>
              </w:rPr>
            </w:pPr>
            <w:r>
              <w:rPr>
                <w:rFonts w:ascii="宋体" w:hAnsi="宋体" w:cs="宋体" w:eastAsia="宋体" w:hint="default"/>
                <w:sz w:val="24"/>
                <w:szCs w:val="24"/>
              </w:rPr>
              <w:t>固定资产的折旧方法</w:t>
            </w:r>
          </w:p>
        </w:tc>
        <w:tc>
          <w:tcPr>
            <w:tcW w:w="1675" w:type="dxa"/>
            <w:tcBorders>
              <w:top w:val="nil" w:sz="6" w:space="0" w:color="auto"/>
              <w:left w:val="nil" w:sz="6" w:space="0" w:color="auto"/>
              <w:bottom w:val="nil" w:sz="6" w:space="0" w:color="auto"/>
              <w:right w:val="nil" w:sz="6" w:space="0" w:color="auto"/>
            </w:tcBorders>
          </w:tcPr>
          <w:p>
            <w:pPr/>
          </w:p>
        </w:tc>
        <w:tc>
          <w:tcPr>
            <w:tcW w:w="2685" w:type="dxa"/>
            <w:tcBorders>
              <w:top w:val="nil" w:sz="6" w:space="0" w:color="auto"/>
              <w:left w:val="nil" w:sz="6" w:space="0" w:color="auto"/>
              <w:bottom w:val="nil" w:sz="6" w:space="0" w:color="auto"/>
              <w:right w:val="nil" w:sz="6" w:space="0" w:color="auto"/>
            </w:tcBorders>
          </w:tcPr>
          <w:p>
            <w:pPr/>
          </w:p>
        </w:tc>
      </w:tr>
      <w:tr>
        <w:trPr>
          <w:trHeight w:val="748" w:hRule="exact"/>
        </w:trPr>
        <w:tc>
          <w:tcPr>
            <w:tcW w:w="661" w:type="dxa"/>
            <w:tcBorders>
              <w:top w:val="nil" w:sz="6" w:space="0" w:color="auto"/>
              <w:left w:val="nil" w:sz="6" w:space="0" w:color="auto"/>
              <w:bottom w:val="nil" w:sz="6" w:space="0" w:color="auto"/>
              <w:right w:val="nil" w:sz="6" w:space="0" w:color="auto"/>
            </w:tcBorders>
          </w:tcPr>
          <w:p>
            <w:pPr/>
          </w:p>
        </w:tc>
        <w:tc>
          <w:tcPr>
            <w:tcW w:w="841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80"/>
              <w:ind w:left="181" w:right="0"/>
              <w:jc w:val="left"/>
              <w:rPr>
                <w:rFonts w:ascii="宋体" w:hAnsi="宋体" w:cs="宋体" w:eastAsia="宋体" w:hint="default"/>
                <w:sz w:val="24"/>
                <w:szCs w:val="24"/>
              </w:rPr>
            </w:pPr>
            <w:r>
              <w:rPr>
                <w:rFonts w:ascii="宋体" w:hAnsi="宋体" w:cs="宋体" w:eastAsia="宋体" w:hint="default"/>
                <w:sz w:val="24"/>
                <w:szCs w:val="24"/>
              </w:rPr>
              <w:t>固定资产的预计使用寿命、净残值率及年折旧率列示如下：</w:t>
            </w:r>
          </w:p>
        </w:tc>
      </w:tr>
      <w:tr>
        <w:trPr>
          <w:trHeight w:val="743" w:hRule="exact"/>
        </w:trPr>
        <w:tc>
          <w:tcPr>
            <w:tcW w:w="661"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25"/>
              <w:jc w:val="right"/>
              <w:rPr>
                <w:rFonts w:ascii="宋体" w:hAnsi="宋体" w:cs="宋体" w:eastAsia="宋体" w:hint="default"/>
                <w:sz w:val="24"/>
                <w:szCs w:val="24"/>
              </w:rPr>
            </w:pPr>
            <w:r>
              <w:rPr>
                <w:rFonts w:ascii="宋体" w:hAnsi="宋体" w:cs="宋体" w:eastAsia="宋体" w:hint="default"/>
                <w:sz w:val="24"/>
                <w:szCs w:val="24"/>
              </w:rPr>
              <w:t>预计使用寿命</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12"/>
              <w:jc w:val="right"/>
              <w:rPr>
                <w:rFonts w:ascii="宋体" w:hAnsi="宋体" w:cs="宋体" w:eastAsia="宋体" w:hint="default"/>
                <w:sz w:val="24"/>
                <w:szCs w:val="24"/>
              </w:rPr>
            </w:pPr>
            <w:r>
              <w:rPr>
                <w:rFonts w:ascii="宋体" w:hAnsi="宋体" w:cs="宋体" w:eastAsia="宋体" w:hint="default"/>
                <w:sz w:val="24"/>
                <w:szCs w:val="24"/>
              </w:rPr>
              <w:t>预计净残值率</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06" w:right="0"/>
              <w:jc w:val="left"/>
              <w:rPr>
                <w:rFonts w:ascii="宋体" w:hAnsi="宋体" w:cs="宋体" w:eastAsia="宋体" w:hint="default"/>
                <w:sz w:val="24"/>
                <w:szCs w:val="24"/>
              </w:rPr>
            </w:pPr>
            <w:r>
              <w:rPr>
                <w:rFonts w:ascii="宋体" w:hAnsi="宋体" w:cs="宋体" w:eastAsia="宋体" w:hint="default"/>
                <w:sz w:val="24"/>
                <w:szCs w:val="24"/>
              </w:rPr>
              <w:t>年折旧率</w:t>
            </w:r>
          </w:p>
        </w:tc>
      </w:tr>
      <w:tr>
        <w:trPr>
          <w:trHeight w:val="575" w:hRule="exact"/>
        </w:trPr>
        <w:tc>
          <w:tcPr>
            <w:tcW w:w="661"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81"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83"/>
              <w:ind w:right="118"/>
              <w:jc w:val="right"/>
              <w:rPr>
                <w:rFonts w:ascii="宋体" w:hAnsi="宋体" w:cs="宋体" w:eastAsia="宋体" w:hint="default"/>
                <w:sz w:val="24"/>
                <w:szCs w:val="24"/>
              </w:rPr>
            </w:pPr>
            <w:r>
              <w:rPr>
                <w:rFonts w:ascii="Arial" w:hAnsi="Arial" w:cs="Arial" w:eastAsia="Arial" w:hint="default"/>
                <w:sz w:val="24"/>
                <w:szCs w:val="24"/>
              </w:rPr>
              <w:t>20</w:t>
            </w:r>
            <w:r>
              <w:rPr>
                <w:rFonts w:ascii="Arial" w:hAnsi="Arial" w:cs="Arial" w:eastAsia="Arial" w:hint="default"/>
                <w:spacing w:val="-7"/>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40</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Arial" w:hAnsi="Arial" w:cs="Arial" w:eastAsia="Arial" w:hint="default"/>
                <w:sz w:val="24"/>
                <w:szCs w:val="24"/>
              </w:rPr>
            </w:pPr>
            <w:r>
              <w:rPr>
                <w:rFonts w:ascii="Arial"/>
                <w:w w:val="95"/>
                <w:sz w:val="24"/>
              </w:rPr>
              <w:t>3%</w:t>
            </w:r>
            <w:r>
              <w:rPr>
                <w:rFonts w:ascii="Arial"/>
                <w:sz w:val="24"/>
              </w:rPr>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183"/>
              <w:ind w:right="201"/>
              <w:jc w:val="right"/>
              <w:rPr>
                <w:rFonts w:ascii="Arial" w:hAnsi="Arial" w:cs="Arial" w:eastAsia="Arial" w:hint="default"/>
                <w:sz w:val="24"/>
                <w:szCs w:val="24"/>
              </w:rPr>
            </w:pPr>
            <w:r>
              <w:rPr>
                <w:rFonts w:ascii="Arial" w:hAnsi="Arial" w:cs="Arial" w:eastAsia="Arial" w:hint="default"/>
                <w:sz w:val="24"/>
                <w:szCs w:val="24"/>
              </w:rPr>
              <w:t>2.43%</w:t>
            </w:r>
            <w:r>
              <w:rPr>
                <w:rFonts w:ascii="宋体" w:hAnsi="宋体" w:cs="宋体" w:eastAsia="宋体" w:hint="default"/>
                <w:sz w:val="24"/>
                <w:szCs w:val="24"/>
              </w:rPr>
              <w:t>至</w:t>
            </w:r>
            <w:r>
              <w:rPr>
                <w:rFonts w:ascii="宋体" w:hAnsi="宋体" w:cs="宋体" w:eastAsia="宋体" w:hint="default"/>
                <w:spacing w:val="-63"/>
                <w:sz w:val="24"/>
                <w:szCs w:val="24"/>
              </w:rPr>
              <w:t> </w:t>
            </w:r>
            <w:r>
              <w:rPr>
                <w:rFonts w:ascii="Arial" w:hAnsi="Arial" w:cs="Arial" w:eastAsia="Arial" w:hint="default"/>
                <w:sz w:val="24"/>
                <w:szCs w:val="24"/>
              </w:rPr>
              <w:t>4.85%</w:t>
            </w:r>
          </w:p>
        </w:tc>
      </w:tr>
      <w:tr>
        <w:trPr>
          <w:trHeight w:val="391" w:hRule="exact"/>
        </w:trPr>
        <w:tc>
          <w:tcPr>
            <w:tcW w:w="661"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nil" w:sz="6" w:space="0" w:color="auto"/>
              <w:right w:val="nil" w:sz="6" w:space="0" w:color="auto"/>
            </w:tcBorders>
          </w:tcPr>
          <w:p>
            <w:pPr>
              <w:pStyle w:val="TableParagraph"/>
              <w:spacing w:line="313" w:lineRule="exact"/>
              <w:ind w:left="181"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1876" w:type="dxa"/>
            <w:tcBorders>
              <w:top w:val="nil" w:sz="6" w:space="0" w:color="auto"/>
              <w:left w:val="nil" w:sz="6" w:space="0" w:color="auto"/>
              <w:bottom w:val="nil" w:sz="6" w:space="0" w:color="auto"/>
              <w:right w:val="nil" w:sz="6" w:space="0" w:color="auto"/>
            </w:tcBorders>
          </w:tcPr>
          <w:p>
            <w:pPr>
              <w:pStyle w:val="TableParagraph"/>
              <w:spacing w:line="331" w:lineRule="exact"/>
              <w:ind w:right="118"/>
              <w:jc w:val="right"/>
              <w:rPr>
                <w:rFonts w:ascii="宋体" w:hAnsi="宋体" w:cs="宋体" w:eastAsia="宋体" w:hint="default"/>
                <w:sz w:val="24"/>
                <w:szCs w:val="24"/>
              </w:rPr>
            </w:pPr>
            <w:r>
              <w:rPr>
                <w:rFonts w:ascii="Arial" w:hAnsi="Arial" w:cs="Arial" w:eastAsia="Arial" w:hint="default"/>
                <w:sz w:val="24"/>
                <w:szCs w:val="24"/>
              </w:rPr>
              <w:t>10</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4"/>
              <w:jc w:val="right"/>
              <w:rPr>
                <w:rFonts w:ascii="Arial" w:hAnsi="Arial" w:cs="Arial" w:eastAsia="Arial" w:hint="default"/>
                <w:sz w:val="24"/>
                <w:szCs w:val="24"/>
              </w:rPr>
            </w:pPr>
            <w:r>
              <w:rPr>
                <w:rFonts w:ascii="Arial"/>
                <w:w w:val="95"/>
                <w:sz w:val="24"/>
              </w:rPr>
              <w:t>3%</w:t>
            </w:r>
            <w:r>
              <w:rPr>
                <w:rFonts w:ascii="Arial"/>
                <w:sz w:val="24"/>
              </w:rPr>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1"/>
              <w:jc w:val="right"/>
              <w:rPr>
                <w:rFonts w:ascii="Arial" w:hAnsi="Arial" w:cs="Arial" w:eastAsia="Arial" w:hint="default"/>
                <w:sz w:val="24"/>
                <w:szCs w:val="24"/>
              </w:rPr>
            </w:pPr>
            <w:r>
              <w:rPr>
                <w:rFonts w:ascii="Arial"/>
                <w:sz w:val="24"/>
              </w:rPr>
              <w:t>9.70%</w:t>
            </w:r>
          </w:p>
        </w:tc>
      </w:tr>
      <w:tr>
        <w:trPr>
          <w:trHeight w:val="392" w:hRule="exact"/>
        </w:trPr>
        <w:tc>
          <w:tcPr>
            <w:tcW w:w="661"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nil" w:sz="6" w:space="0" w:color="auto"/>
              <w:right w:val="nil" w:sz="6" w:space="0" w:color="auto"/>
            </w:tcBorders>
          </w:tcPr>
          <w:p>
            <w:pPr>
              <w:pStyle w:val="TableParagraph"/>
              <w:spacing w:line="313" w:lineRule="exact"/>
              <w:ind w:left="181"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1876" w:type="dxa"/>
            <w:tcBorders>
              <w:top w:val="nil" w:sz="6" w:space="0" w:color="auto"/>
              <w:left w:val="nil" w:sz="6" w:space="0" w:color="auto"/>
              <w:bottom w:val="nil" w:sz="6" w:space="0" w:color="auto"/>
              <w:right w:val="nil" w:sz="6" w:space="0" w:color="auto"/>
            </w:tcBorders>
          </w:tcPr>
          <w:p>
            <w:pPr>
              <w:pStyle w:val="TableParagraph"/>
              <w:spacing w:line="331" w:lineRule="exact"/>
              <w:ind w:right="120"/>
              <w:jc w:val="righ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4"/>
              <w:jc w:val="right"/>
              <w:rPr>
                <w:rFonts w:ascii="Arial" w:hAnsi="Arial" w:cs="Arial" w:eastAsia="Arial" w:hint="default"/>
                <w:sz w:val="24"/>
                <w:szCs w:val="24"/>
              </w:rPr>
            </w:pPr>
            <w:r>
              <w:rPr>
                <w:rFonts w:ascii="Arial"/>
                <w:w w:val="95"/>
                <w:sz w:val="24"/>
              </w:rPr>
              <w:t>3%</w:t>
            </w:r>
            <w:r>
              <w:rPr>
                <w:rFonts w:ascii="Arial"/>
                <w:sz w:val="24"/>
              </w:rPr>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1"/>
              <w:jc w:val="right"/>
              <w:rPr>
                <w:rFonts w:ascii="Arial" w:hAnsi="Arial" w:cs="Arial" w:eastAsia="Arial" w:hint="default"/>
                <w:sz w:val="24"/>
                <w:szCs w:val="24"/>
              </w:rPr>
            </w:pPr>
            <w:r>
              <w:rPr>
                <w:rFonts w:ascii="Arial"/>
                <w:spacing w:val="-1"/>
                <w:sz w:val="24"/>
              </w:rPr>
              <w:t>19.40%</w:t>
            </w:r>
          </w:p>
        </w:tc>
      </w:tr>
      <w:tr>
        <w:trPr>
          <w:trHeight w:val="391" w:hRule="exact"/>
        </w:trPr>
        <w:tc>
          <w:tcPr>
            <w:tcW w:w="661"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nil" w:sz="6" w:space="0" w:color="auto"/>
              <w:right w:val="nil" w:sz="6" w:space="0" w:color="auto"/>
            </w:tcBorders>
          </w:tcPr>
          <w:p>
            <w:pPr>
              <w:pStyle w:val="TableParagraph"/>
              <w:spacing w:line="314" w:lineRule="exact"/>
              <w:ind w:left="181"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1876" w:type="dxa"/>
            <w:tcBorders>
              <w:top w:val="nil" w:sz="6" w:space="0" w:color="auto"/>
              <w:left w:val="nil" w:sz="6" w:space="0" w:color="auto"/>
              <w:bottom w:val="nil" w:sz="6" w:space="0" w:color="auto"/>
              <w:right w:val="nil" w:sz="6" w:space="0" w:color="auto"/>
            </w:tcBorders>
          </w:tcPr>
          <w:p>
            <w:pPr>
              <w:pStyle w:val="TableParagraph"/>
              <w:spacing w:line="331" w:lineRule="exact"/>
              <w:ind w:right="118"/>
              <w:jc w:val="right"/>
              <w:rPr>
                <w:rFonts w:ascii="宋体" w:hAnsi="宋体" w:cs="宋体" w:eastAsia="宋体" w:hint="default"/>
                <w:sz w:val="24"/>
                <w:szCs w:val="24"/>
              </w:rPr>
            </w:pP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4"/>
              <w:jc w:val="right"/>
              <w:rPr>
                <w:rFonts w:ascii="Arial" w:hAnsi="Arial" w:cs="Arial" w:eastAsia="Arial" w:hint="default"/>
                <w:sz w:val="24"/>
                <w:szCs w:val="24"/>
              </w:rPr>
            </w:pPr>
            <w:r>
              <w:rPr>
                <w:rFonts w:ascii="Arial"/>
                <w:w w:val="95"/>
                <w:sz w:val="24"/>
              </w:rPr>
              <w:t>3%</w:t>
            </w:r>
            <w:r>
              <w:rPr>
                <w:rFonts w:ascii="Arial"/>
                <w:sz w:val="24"/>
              </w:rPr>
            </w:r>
          </w:p>
        </w:tc>
        <w:tc>
          <w:tcPr>
            <w:tcW w:w="2685" w:type="dxa"/>
            <w:tcBorders>
              <w:top w:val="nil" w:sz="6" w:space="0" w:color="auto"/>
              <w:left w:val="nil" w:sz="6" w:space="0" w:color="auto"/>
              <w:bottom w:val="nil" w:sz="6" w:space="0" w:color="auto"/>
              <w:right w:val="nil" w:sz="6" w:space="0" w:color="auto"/>
            </w:tcBorders>
          </w:tcPr>
          <w:p>
            <w:pPr>
              <w:pStyle w:val="TableParagraph"/>
              <w:spacing w:line="331" w:lineRule="exact"/>
              <w:ind w:right="198"/>
              <w:jc w:val="right"/>
              <w:rPr>
                <w:rFonts w:ascii="Arial" w:hAnsi="Arial" w:cs="Arial" w:eastAsia="Arial" w:hint="default"/>
                <w:sz w:val="24"/>
                <w:szCs w:val="24"/>
              </w:rPr>
            </w:pPr>
            <w:r>
              <w:rPr>
                <w:rFonts w:ascii="Arial" w:hAnsi="Arial" w:cs="Arial" w:eastAsia="Arial" w:hint="default"/>
                <w:sz w:val="24"/>
                <w:szCs w:val="24"/>
              </w:rPr>
              <w:t>19.40%</w:t>
            </w:r>
            <w:r>
              <w:rPr>
                <w:rFonts w:ascii="宋体" w:hAnsi="宋体" w:cs="宋体" w:eastAsia="宋体" w:hint="default"/>
                <w:sz w:val="24"/>
                <w:szCs w:val="24"/>
              </w:rPr>
              <w:t>至</w:t>
            </w:r>
            <w:r>
              <w:rPr>
                <w:rFonts w:ascii="宋体" w:hAnsi="宋体" w:cs="宋体" w:eastAsia="宋体" w:hint="default"/>
                <w:spacing w:val="-64"/>
                <w:sz w:val="24"/>
                <w:szCs w:val="24"/>
              </w:rPr>
              <w:t> </w:t>
            </w:r>
            <w:r>
              <w:rPr>
                <w:rFonts w:ascii="Arial" w:hAnsi="Arial" w:cs="Arial" w:eastAsia="Arial" w:hint="default"/>
                <w:sz w:val="24"/>
                <w:szCs w:val="24"/>
              </w:rPr>
              <w:t>32.33%</w:t>
            </w:r>
          </w:p>
        </w:tc>
      </w:tr>
      <w:tr>
        <w:trPr>
          <w:trHeight w:val="574" w:hRule="exact"/>
        </w:trPr>
        <w:tc>
          <w:tcPr>
            <w:tcW w:w="661"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nil" w:sz="6" w:space="0" w:color="auto"/>
              <w:right w:val="nil" w:sz="6" w:space="0" w:color="auto"/>
            </w:tcBorders>
          </w:tcPr>
          <w:p>
            <w:pPr>
              <w:pStyle w:val="TableParagraph"/>
              <w:spacing w:line="313" w:lineRule="exact"/>
              <w:ind w:left="181"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1876" w:type="dxa"/>
            <w:tcBorders>
              <w:top w:val="nil" w:sz="6" w:space="0" w:color="auto"/>
              <w:left w:val="nil" w:sz="6" w:space="0" w:color="auto"/>
              <w:bottom w:val="nil" w:sz="6" w:space="0" w:color="auto"/>
              <w:right w:val="nil" w:sz="6" w:space="0" w:color="auto"/>
            </w:tcBorders>
          </w:tcPr>
          <w:p>
            <w:pPr>
              <w:pStyle w:val="TableParagraph"/>
              <w:spacing w:line="331" w:lineRule="exact"/>
              <w:ind w:right="120"/>
              <w:jc w:val="righ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4"/>
              <w:jc w:val="right"/>
              <w:rPr>
                <w:rFonts w:ascii="Arial" w:hAnsi="Arial" w:cs="Arial" w:eastAsia="Arial" w:hint="default"/>
                <w:sz w:val="24"/>
                <w:szCs w:val="24"/>
              </w:rPr>
            </w:pPr>
            <w:r>
              <w:rPr>
                <w:rFonts w:ascii="Arial"/>
                <w:w w:val="95"/>
                <w:sz w:val="24"/>
              </w:rPr>
              <w:t>3%</w:t>
            </w:r>
            <w:r>
              <w:rPr>
                <w:rFonts w:ascii="Arial"/>
                <w:sz w:val="24"/>
              </w:rPr>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1"/>
              <w:jc w:val="right"/>
              <w:rPr>
                <w:rFonts w:ascii="Arial" w:hAnsi="Arial" w:cs="Arial" w:eastAsia="Arial" w:hint="default"/>
                <w:sz w:val="24"/>
                <w:szCs w:val="24"/>
              </w:rPr>
            </w:pPr>
            <w:r>
              <w:rPr>
                <w:rFonts w:ascii="Arial"/>
                <w:spacing w:val="-1"/>
                <w:sz w:val="24"/>
              </w:rPr>
              <w:t>19.40%</w:t>
            </w:r>
          </w:p>
        </w:tc>
      </w:tr>
      <w:tr>
        <w:trPr>
          <w:trHeight w:val="798" w:hRule="exact"/>
        </w:trPr>
        <w:tc>
          <w:tcPr>
            <w:tcW w:w="661" w:type="dxa"/>
            <w:tcBorders>
              <w:top w:val="nil" w:sz="6" w:space="0" w:color="auto"/>
              <w:left w:val="nil" w:sz="6" w:space="0" w:color="auto"/>
              <w:bottom w:val="nil" w:sz="6" w:space="0" w:color="auto"/>
              <w:right w:val="nil" w:sz="6" w:space="0" w:color="auto"/>
            </w:tcBorders>
          </w:tcPr>
          <w:p>
            <w:pPr/>
          </w:p>
        </w:tc>
        <w:tc>
          <w:tcPr>
            <w:tcW w:w="8419" w:type="dxa"/>
            <w:gridSpan w:val="4"/>
            <w:tcBorders>
              <w:top w:val="nil" w:sz="6" w:space="0" w:color="auto"/>
              <w:left w:val="nil" w:sz="6" w:space="0" w:color="auto"/>
              <w:bottom w:val="nil" w:sz="6" w:space="0" w:color="auto"/>
              <w:right w:val="nil" w:sz="6" w:space="0" w:color="auto"/>
            </w:tcBorders>
          </w:tcPr>
          <w:p>
            <w:pPr>
              <w:pStyle w:val="TableParagraph"/>
              <w:spacing w:line="310" w:lineRule="exact" w:before="206"/>
              <w:ind w:left="181" w:right="198"/>
              <w:jc w:val="left"/>
              <w:rPr>
                <w:rFonts w:ascii="宋体" w:hAnsi="宋体" w:cs="宋体" w:eastAsia="宋体" w:hint="default"/>
                <w:sz w:val="24"/>
                <w:szCs w:val="24"/>
              </w:rPr>
            </w:pPr>
            <w:r>
              <w:rPr>
                <w:rFonts w:ascii="宋体" w:hAnsi="宋体" w:cs="宋体" w:eastAsia="宋体" w:hint="default"/>
                <w:spacing w:val="3"/>
                <w:sz w:val="24"/>
                <w:szCs w:val="24"/>
              </w:rPr>
              <w:t>对固定资产的预计使用寿命、预计净残值和折旧方法于每年年度终了进行复</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核并作适当调整。</w:t>
            </w:r>
          </w:p>
        </w:tc>
      </w:tr>
    </w:tbl>
    <w:p>
      <w:pPr>
        <w:spacing w:after="0" w:line="310" w:lineRule="exact"/>
        <w:jc w:val="left"/>
        <w:rPr>
          <w:rFonts w:ascii="宋体" w:hAnsi="宋体" w:cs="宋体" w:eastAsia="宋体"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710"/>
        <w:gridCol w:w="1811"/>
        <w:gridCol w:w="2781"/>
        <w:gridCol w:w="3819"/>
      </w:tblGrid>
      <w:tr>
        <w:trPr>
          <w:trHeight w:val="489"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exact"/>
              <w:ind w:left="216" w:right="0"/>
              <w:jc w:val="left"/>
              <w:rPr>
                <w:rFonts w:ascii="黑体" w:hAnsi="黑体" w:cs="黑体" w:eastAsia="黑体" w:hint="default"/>
                <w:sz w:val="24"/>
                <w:szCs w:val="24"/>
              </w:rPr>
            </w:pPr>
            <w:r>
              <w:rPr>
                <w:rFonts w:ascii="黑体" w:hAnsi="黑体" w:cs="黑体" w:eastAsia="黑体" w:hint="default"/>
                <w:sz w:val="24"/>
                <w:szCs w:val="24"/>
              </w:rPr>
              <w:t>税项</w:t>
            </w:r>
          </w:p>
        </w:tc>
        <w:tc>
          <w:tcPr>
            <w:tcW w:w="2781" w:type="dxa"/>
            <w:tcBorders>
              <w:top w:val="nil" w:sz="6" w:space="0" w:color="auto"/>
              <w:left w:val="nil" w:sz="6" w:space="0" w:color="auto"/>
              <w:bottom w:val="nil" w:sz="6" w:space="0" w:color="auto"/>
              <w:right w:val="nil" w:sz="6" w:space="0" w:color="auto"/>
            </w:tcBorders>
          </w:tcPr>
          <w:p>
            <w:pPr/>
          </w:p>
        </w:tc>
        <w:tc>
          <w:tcPr>
            <w:tcW w:w="3819" w:type="dxa"/>
            <w:tcBorders>
              <w:top w:val="nil" w:sz="6" w:space="0" w:color="auto"/>
              <w:left w:val="nil" w:sz="6" w:space="0" w:color="auto"/>
              <w:bottom w:val="nil" w:sz="6" w:space="0" w:color="auto"/>
              <w:right w:val="nil" w:sz="6" w:space="0" w:color="auto"/>
            </w:tcBorders>
          </w:tcPr>
          <w:p>
            <w:pPr/>
          </w:p>
        </w:tc>
      </w:tr>
      <w:tr>
        <w:trPr>
          <w:trHeight w:val="750"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4"/>
              <w:jc w:val="center"/>
              <w:rPr>
                <w:rFonts w:ascii="Arial" w:hAnsi="Arial" w:cs="Arial" w:eastAsia="Arial" w:hint="default"/>
                <w:sz w:val="24"/>
                <w:szCs w:val="24"/>
              </w:rPr>
            </w:pPr>
            <w:r>
              <w:rPr>
                <w:rFonts w:ascii="Arial"/>
                <w:sz w:val="24"/>
              </w:rPr>
              <w:t>(1)</w:t>
            </w:r>
          </w:p>
        </w:tc>
        <w:tc>
          <w:tcPr>
            <w:tcW w:w="841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3"/>
              <w:ind w:left="216" w:right="0"/>
              <w:jc w:val="left"/>
              <w:rPr>
                <w:rFonts w:ascii="黑体" w:hAnsi="黑体" w:cs="黑体" w:eastAsia="黑体" w:hint="default"/>
                <w:sz w:val="24"/>
                <w:szCs w:val="24"/>
              </w:rPr>
            </w:pPr>
            <w:r>
              <w:rPr>
                <w:rFonts w:ascii="黑体" w:hAnsi="黑体" w:cs="黑体" w:eastAsia="黑体" w:hint="default"/>
                <w:sz w:val="24"/>
                <w:szCs w:val="24"/>
              </w:rPr>
              <w:t>本集团适用的主要税种及其税率列示如下：</w:t>
            </w:r>
          </w:p>
        </w:tc>
      </w:tr>
      <w:tr>
        <w:trPr>
          <w:trHeight w:val="748" w:hRule="exact"/>
        </w:trPr>
        <w:tc>
          <w:tcPr>
            <w:tcW w:w="710" w:type="dxa"/>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16" w:right="0"/>
              <w:jc w:val="left"/>
              <w:rPr>
                <w:rFonts w:ascii="宋体" w:hAnsi="宋体" w:cs="宋体" w:eastAsia="宋体" w:hint="default"/>
                <w:sz w:val="24"/>
                <w:szCs w:val="24"/>
              </w:rPr>
            </w:pPr>
            <w:r>
              <w:rPr>
                <w:rFonts w:ascii="宋体" w:hAnsi="宋体" w:cs="宋体" w:eastAsia="宋体" w:hint="default"/>
                <w:sz w:val="24"/>
                <w:szCs w:val="24"/>
              </w:rPr>
              <w:t>税种</w:t>
            </w:r>
          </w:p>
        </w:tc>
        <w:tc>
          <w:tcPr>
            <w:tcW w:w="2781"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393" w:right="0"/>
              <w:jc w:val="left"/>
              <w:rPr>
                <w:rFonts w:ascii="宋体" w:hAnsi="宋体" w:cs="宋体" w:eastAsia="宋体" w:hint="default"/>
                <w:sz w:val="24"/>
                <w:szCs w:val="24"/>
              </w:rPr>
            </w:pPr>
            <w:r>
              <w:rPr>
                <w:rFonts w:ascii="宋体" w:hAnsi="宋体" w:cs="宋体" w:eastAsia="宋体" w:hint="default"/>
                <w:sz w:val="24"/>
                <w:szCs w:val="24"/>
              </w:rPr>
              <w:t>计税依据</w:t>
            </w:r>
          </w:p>
        </w:tc>
        <w:tc>
          <w:tcPr>
            <w:tcW w:w="3819"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29" w:right="0"/>
              <w:jc w:val="left"/>
              <w:rPr>
                <w:rFonts w:ascii="宋体" w:hAnsi="宋体" w:cs="宋体" w:eastAsia="宋体" w:hint="default"/>
                <w:sz w:val="24"/>
                <w:szCs w:val="24"/>
              </w:rPr>
            </w:pPr>
            <w:r>
              <w:rPr>
                <w:rFonts w:ascii="宋体" w:hAnsi="宋体" w:cs="宋体" w:eastAsia="宋体" w:hint="default"/>
                <w:sz w:val="24"/>
                <w:szCs w:val="24"/>
              </w:rPr>
              <w:t>税率</w:t>
            </w:r>
          </w:p>
        </w:tc>
      </w:tr>
      <w:tr>
        <w:trPr>
          <w:trHeight w:val="748" w:hRule="exact"/>
        </w:trPr>
        <w:tc>
          <w:tcPr>
            <w:tcW w:w="710" w:type="dxa"/>
            <w:tcBorders>
              <w:top w:val="nil" w:sz="6" w:space="0" w:color="auto"/>
              <w:left w:val="nil" w:sz="6" w:space="0" w:color="auto"/>
              <w:bottom w:val="nil" w:sz="6" w:space="0" w:color="auto"/>
              <w:right w:val="nil" w:sz="6" w:space="0" w:color="auto"/>
            </w:tcBorders>
          </w:tcPr>
          <w:p>
            <w:pPr/>
          </w:p>
        </w:tc>
        <w:tc>
          <w:tcPr>
            <w:tcW w:w="45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0"/>
              <w:ind w:left="216" w:right="0"/>
              <w:jc w:val="left"/>
              <w:rPr>
                <w:rFonts w:ascii="宋体" w:hAnsi="宋体" w:cs="宋体" w:eastAsia="宋体" w:hint="default"/>
                <w:sz w:val="24"/>
                <w:szCs w:val="24"/>
              </w:rPr>
            </w:pPr>
            <w:r>
              <w:rPr>
                <w:rFonts w:ascii="宋体" w:hAnsi="宋体" w:cs="宋体" w:eastAsia="宋体" w:hint="default"/>
                <w:sz w:val="24"/>
                <w:szCs w:val="24"/>
              </w:rPr>
              <w:t>本公司及境内子公司：</w:t>
            </w:r>
          </w:p>
        </w:tc>
        <w:tc>
          <w:tcPr>
            <w:tcW w:w="3819" w:type="dxa"/>
            <w:tcBorders>
              <w:top w:val="nil" w:sz="6" w:space="0" w:color="auto"/>
              <w:left w:val="nil" w:sz="6" w:space="0" w:color="auto"/>
              <w:bottom w:val="nil" w:sz="6" w:space="0" w:color="auto"/>
              <w:right w:val="nil" w:sz="6" w:space="0" w:color="auto"/>
            </w:tcBorders>
          </w:tcPr>
          <w:p>
            <w:pPr/>
          </w:p>
        </w:tc>
      </w:tr>
      <w:tr>
        <w:trPr>
          <w:trHeight w:val="6332" w:hRule="exact"/>
        </w:trPr>
        <w:tc>
          <w:tcPr>
            <w:tcW w:w="710" w:type="dxa"/>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16"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2781"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393"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3819" w:type="dxa"/>
            <w:tcBorders>
              <w:top w:val="nil" w:sz="6" w:space="0" w:color="auto"/>
              <w:left w:val="nil" w:sz="6" w:space="0" w:color="auto"/>
              <w:bottom w:val="nil" w:sz="6" w:space="0" w:color="auto"/>
              <w:right w:val="nil" w:sz="6" w:space="0" w:color="auto"/>
            </w:tcBorders>
          </w:tcPr>
          <w:p>
            <w:pPr>
              <w:pStyle w:val="TableParagraph"/>
              <w:spacing w:line="320" w:lineRule="exact" w:before="179"/>
              <w:ind w:left="229" w:right="0"/>
              <w:jc w:val="both"/>
              <w:rPr>
                <w:rFonts w:ascii="宋体" w:hAnsi="宋体" w:cs="宋体" w:eastAsia="宋体" w:hint="default"/>
                <w:sz w:val="24"/>
                <w:szCs w:val="24"/>
              </w:rPr>
            </w:pPr>
            <w:r>
              <w:rPr>
                <w:rFonts w:ascii="宋体" w:hAnsi="宋体" w:cs="宋体" w:eastAsia="宋体" w:hint="default"/>
                <w:sz w:val="24"/>
                <w:szCs w:val="24"/>
              </w:rPr>
              <w:t>企业所得税税率一般为</w:t>
            </w:r>
            <w:r>
              <w:rPr>
                <w:rFonts w:ascii="宋体" w:hAnsi="宋体" w:cs="宋体" w:eastAsia="宋体" w:hint="default"/>
                <w:spacing w:val="-59"/>
                <w:sz w:val="24"/>
                <w:szCs w:val="24"/>
              </w:rPr>
              <w:t> </w:t>
            </w:r>
            <w:r>
              <w:rPr>
                <w:rFonts w:ascii="Arial" w:hAnsi="Arial" w:cs="Arial" w:eastAsia="Arial" w:hint="default"/>
                <w:spacing w:val="-14"/>
                <w:sz w:val="24"/>
                <w:szCs w:val="24"/>
              </w:rPr>
              <w:t>25%</w:t>
            </w:r>
            <w:r>
              <w:rPr>
                <w:rFonts w:ascii="宋体" w:hAnsi="宋体" w:cs="宋体" w:eastAsia="宋体" w:hint="default"/>
                <w:spacing w:val="-14"/>
                <w:sz w:val="24"/>
                <w:szCs w:val="24"/>
              </w:rPr>
              <w:t>，部</w:t>
            </w:r>
            <w:r>
              <w:rPr>
                <w:rFonts w:ascii="宋体" w:hAnsi="宋体" w:cs="宋体" w:eastAsia="宋体" w:hint="default"/>
                <w:sz w:val="24"/>
                <w:szCs w:val="24"/>
              </w:rPr>
            </w:r>
          </w:p>
          <w:p>
            <w:pPr>
              <w:pStyle w:val="TableParagraph"/>
              <w:spacing w:line="312" w:lineRule="exact" w:before="20"/>
              <w:ind w:left="229" w:right="198"/>
              <w:jc w:val="both"/>
              <w:rPr>
                <w:rFonts w:ascii="宋体" w:hAnsi="宋体" w:cs="宋体" w:eastAsia="宋体" w:hint="default"/>
                <w:sz w:val="24"/>
                <w:szCs w:val="24"/>
              </w:rPr>
            </w:pPr>
            <w:r>
              <w:rPr>
                <w:rFonts w:ascii="宋体" w:hAnsi="宋体" w:cs="宋体" w:eastAsia="宋体" w:hint="default"/>
                <w:sz w:val="24"/>
                <w:szCs w:val="24"/>
              </w:rPr>
              <w:t>分子公司可以享受企业所得税优</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惠税率：</w:t>
            </w:r>
          </w:p>
          <w:p>
            <w:pPr>
              <w:pStyle w:val="TableParagraph"/>
              <w:spacing w:line="312" w:lineRule="exact" w:before="38"/>
              <w:ind w:left="229" w:right="198"/>
              <w:jc w:val="both"/>
              <w:rPr>
                <w:rFonts w:ascii="宋体" w:hAnsi="宋体" w:cs="宋体" w:eastAsia="宋体" w:hint="default"/>
                <w:sz w:val="24"/>
                <w:szCs w:val="24"/>
              </w:rPr>
            </w:pPr>
            <w:r>
              <w:rPr>
                <w:rFonts w:ascii="宋体" w:hAnsi="宋体" w:cs="宋体" w:eastAsia="宋体" w:hint="default"/>
                <w:sz w:val="24"/>
                <w:szCs w:val="24"/>
              </w:rPr>
              <w:t>对设在西部地区的鼓励类企业减</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按</w:t>
            </w:r>
            <w:r>
              <w:rPr>
                <w:rFonts w:ascii="宋体" w:hAnsi="宋体" w:cs="宋体" w:eastAsia="宋体" w:hint="default"/>
                <w:spacing w:val="-64"/>
                <w:sz w:val="24"/>
                <w:szCs w:val="24"/>
              </w:rPr>
              <w:t> </w:t>
            </w:r>
            <w:r>
              <w:rPr>
                <w:rFonts w:ascii="Arial" w:hAnsi="Arial" w:cs="Arial" w:eastAsia="Arial" w:hint="default"/>
                <w:sz w:val="24"/>
                <w:szCs w:val="24"/>
              </w:rPr>
              <w:t>15%</w:t>
            </w:r>
            <w:r>
              <w:rPr>
                <w:rFonts w:ascii="宋体" w:hAnsi="宋体" w:cs="宋体" w:eastAsia="宋体" w:hint="default"/>
                <w:sz w:val="24"/>
                <w:szCs w:val="24"/>
              </w:rPr>
              <w:t>征收企业所得税；</w:t>
            </w:r>
          </w:p>
          <w:p>
            <w:pPr>
              <w:pStyle w:val="TableParagraph"/>
              <w:spacing w:line="247" w:lineRule="auto" w:before="7"/>
              <w:ind w:left="229" w:right="198"/>
              <w:jc w:val="left"/>
              <w:rPr>
                <w:rFonts w:ascii="宋体" w:hAnsi="宋体" w:cs="宋体" w:eastAsia="宋体" w:hint="default"/>
                <w:sz w:val="24"/>
                <w:szCs w:val="24"/>
              </w:rPr>
            </w:pPr>
            <w:r>
              <w:rPr>
                <w:rFonts w:ascii="宋体" w:hAnsi="宋体" w:cs="宋体" w:eastAsia="宋体" w:hint="default"/>
                <w:sz w:val="24"/>
                <w:szCs w:val="24"/>
              </w:rPr>
              <w:t>部分企业享受民族自治区政策减</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按</w:t>
            </w:r>
            <w:r>
              <w:rPr>
                <w:rFonts w:ascii="宋体" w:hAnsi="宋体" w:cs="宋体" w:eastAsia="宋体" w:hint="default"/>
                <w:spacing w:val="-61"/>
                <w:sz w:val="24"/>
                <w:szCs w:val="24"/>
              </w:rPr>
              <w:t> </w:t>
            </w:r>
            <w:r>
              <w:rPr>
                <w:rFonts w:ascii="Arial" w:hAnsi="Arial" w:cs="Arial" w:eastAsia="Arial" w:hint="default"/>
                <w:sz w:val="24"/>
                <w:szCs w:val="24"/>
              </w:rPr>
              <w:t>12.5%</w:t>
            </w:r>
            <w:r>
              <w:rPr>
                <w:rFonts w:ascii="宋体" w:hAnsi="宋体" w:cs="宋体" w:eastAsia="宋体" w:hint="default"/>
                <w:sz w:val="24"/>
                <w:szCs w:val="24"/>
              </w:rPr>
              <w:t>缴纳企业所得税； 年度应纳税所得额不超过 </w:t>
            </w:r>
            <w:r>
              <w:rPr>
                <w:rFonts w:ascii="Arial" w:hAnsi="Arial" w:cs="Arial" w:eastAsia="Arial" w:hint="default"/>
                <w:sz w:val="24"/>
                <w:szCs w:val="24"/>
              </w:rPr>
              <w:t>30</w:t>
            </w:r>
            <w:r>
              <w:rPr>
                <w:rFonts w:ascii="Arial" w:hAnsi="Arial" w:cs="Arial" w:eastAsia="Arial" w:hint="default"/>
                <w:spacing w:val="53"/>
                <w:sz w:val="24"/>
                <w:szCs w:val="24"/>
              </w:rPr>
              <w:t> </w:t>
            </w:r>
            <w:r>
              <w:rPr>
                <w:rFonts w:ascii="宋体" w:hAnsi="宋体" w:cs="宋体" w:eastAsia="宋体" w:hint="default"/>
                <w:sz w:val="24"/>
                <w:szCs w:val="24"/>
              </w:rPr>
              <w:t>万</w:t>
            </w:r>
          </w:p>
          <w:p>
            <w:pPr>
              <w:pStyle w:val="TableParagraph"/>
              <w:spacing w:line="295" w:lineRule="exact"/>
              <w:ind w:left="229" w:right="0"/>
              <w:jc w:val="both"/>
              <w:rPr>
                <w:rFonts w:ascii="宋体" w:hAnsi="宋体" w:cs="宋体" w:eastAsia="宋体" w:hint="default"/>
                <w:sz w:val="24"/>
                <w:szCs w:val="24"/>
              </w:rPr>
            </w:pPr>
            <w:r>
              <w:rPr>
                <w:rFonts w:ascii="宋体" w:hAnsi="宋体" w:cs="宋体" w:eastAsia="宋体" w:hint="default"/>
                <w:sz w:val="24"/>
                <w:szCs w:val="24"/>
              </w:rPr>
              <w:t>元，从业人数不超过 </w:t>
            </w:r>
            <w:r>
              <w:rPr>
                <w:rFonts w:ascii="Arial" w:hAnsi="Arial" w:cs="Arial" w:eastAsia="Arial" w:hint="default"/>
                <w:sz w:val="24"/>
                <w:szCs w:val="24"/>
              </w:rPr>
              <w:t>80</w:t>
            </w:r>
            <w:r>
              <w:rPr>
                <w:rFonts w:ascii="Arial" w:hAnsi="Arial" w:cs="Arial" w:eastAsia="Arial" w:hint="default"/>
                <w:spacing w:val="51"/>
                <w:sz w:val="24"/>
                <w:szCs w:val="24"/>
              </w:rPr>
              <w:t> </w:t>
            </w:r>
            <w:r>
              <w:rPr>
                <w:rFonts w:ascii="宋体" w:hAnsi="宋体" w:cs="宋体" w:eastAsia="宋体" w:hint="default"/>
                <w:sz w:val="24"/>
                <w:szCs w:val="24"/>
              </w:rPr>
              <w:t>人，资</w:t>
            </w:r>
          </w:p>
          <w:p>
            <w:pPr>
              <w:pStyle w:val="TableParagraph"/>
              <w:spacing w:line="225" w:lineRule="auto" w:before="7"/>
              <w:ind w:left="229" w:right="200"/>
              <w:jc w:val="both"/>
              <w:rPr>
                <w:rFonts w:ascii="宋体" w:hAnsi="宋体" w:cs="宋体" w:eastAsia="宋体" w:hint="default"/>
                <w:sz w:val="24"/>
                <w:szCs w:val="24"/>
              </w:rPr>
            </w:pPr>
            <w:r>
              <w:rPr>
                <w:rFonts w:ascii="宋体" w:hAnsi="宋体" w:cs="宋体" w:eastAsia="宋体" w:hint="default"/>
                <w:sz w:val="24"/>
                <w:szCs w:val="24"/>
              </w:rPr>
              <w:t>产总额不超过</w:t>
            </w:r>
            <w:r>
              <w:rPr>
                <w:rFonts w:ascii="宋体" w:hAnsi="宋体" w:cs="宋体" w:eastAsia="宋体" w:hint="default"/>
                <w:spacing w:val="-49"/>
                <w:sz w:val="24"/>
                <w:szCs w:val="24"/>
              </w:rPr>
              <w:t> </w:t>
            </w:r>
            <w:r>
              <w:rPr>
                <w:rFonts w:ascii="Arial" w:hAnsi="Arial" w:cs="Arial" w:eastAsia="Arial" w:hint="default"/>
                <w:sz w:val="24"/>
                <w:szCs w:val="24"/>
              </w:rPr>
              <w:t>1,000</w:t>
            </w:r>
            <w:r>
              <w:rPr>
                <w:rFonts w:ascii="Arial" w:hAnsi="Arial" w:cs="Arial" w:eastAsia="Arial" w:hint="default"/>
                <w:spacing w:val="5"/>
                <w:sz w:val="24"/>
                <w:szCs w:val="24"/>
              </w:rPr>
              <w:t> </w:t>
            </w:r>
            <w:r>
              <w:rPr>
                <w:rFonts w:ascii="宋体" w:hAnsi="宋体" w:cs="宋体" w:eastAsia="宋体" w:hint="default"/>
                <w:sz w:val="24"/>
                <w:szCs w:val="24"/>
              </w:rPr>
              <w:t>万元的小型 </w:t>
            </w:r>
            <w:r>
              <w:rPr>
                <w:rFonts w:ascii="宋体" w:hAnsi="宋体" w:cs="宋体" w:eastAsia="宋体" w:hint="default"/>
                <w:spacing w:val="-5"/>
                <w:sz w:val="24"/>
                <w:szCs w:val="24"/>
              </w:rPr>
              <w:t>微利企业，按照</w:t>
            </w:r>
            <w:r>
              <w:rPr>
                <w:rFonts w:ascii="宋体" w:hAnsi="宋体" w:cs="宋体" w:eastAsia="宋体" w:hint="default"/>
                <w:spacing w:val="-62"/>
                <w:sz w:val="24"/>
                <w:szCs w:val="24"/>
              </w:rPr>
              <w:t> </w:t>
            </w:r>
            <w:r>
              <w:rPr>
                <w:rFonts w:ascii="Arial" w:hAnsi="Arial" w:cs="Arial" w:eastAsia="Arial" w:hint="default"/>
                <w:sz w:val="24"/>
                <w:szCs w:val="24"/>
              </w:rPr>
              <w:t>20%</w:t>
            </w:r>
            <w:r>
              <w:rPr>
                <w:rFonts w:ascii="宋体" w:hAnsi="宋体" w:cs="宋体" w:eastAsia="宋体" w:hint="default"/>
                <w:sz w:val="24"/>
                <w:szCs w:val="24"/>
              </w:rPr>
              <w:t>征收企业所 得税；</w:t>
            </w:r>
          </w:p>
          <w:p>
            <w:pPr>
              <w:pStyle w:val="TableParagraph"/>
              <w:spacing w:line="312" w:lineRule="exact" w:before="40"/>
              <w:ind w:left="229" w:right="0"/>
              <w:jc w:val="both"/>
              <w:rPr>
                <w:rFonts w:ascii="宋体" w:hAnsi="宋体" w:cs="宋体" w:eastAsia="宋体" w:hint="default"/>
                <w:sz w:val="24"/>
                <w:szCs w:val="24"/>
              </w:rPr>
            </w:pPr>
            <w:r>
              <w:rPr>
                <w:rFonts w:ascii="宋体" w:hAnsi="宋体" w:cs="宋体" w:eastAsia="宋体" w:hint="default"/>
                <w:sz w:val="24"/>
                <w:szCs w:val="24"/>
              </w:rPr>
              <w:t>上一纳税年度应纳税所得额低于</w:t>
            </w:r>
          </w:p>
          <w:p>
            <w:pPr>
              <w:pStyle w:val="TableParagraph"/>
              <w:spacing w:line="319" w:lineRule="exact"/>
              <w:ind w:left="229" w:right="0"/>
              <w:jc w:val="both"/>
              <w:rPr>
                <w:rFonts w:ascii="宋体" w:hAnsi="宋体" w:cs="宋体" w:eastAsia="宋体" w:hint="default"/>
                <w:sz w:val="24"/>
                <w:szCs w:val="24"/>
              </w:rPr>
            </w:pPr>
            <w:r>
              <w:rPr>
                <w:rFonts w:ascii="Arial" w:hAnsi="Arial" w:cs="Arial" w:eastAsia="Arial" w:hint="default"/>
                <w:w w:val="99"/>
                <w:sz w:val="24"/>
                <w:szCs w:val="24"/>
              </w:rPr>
              <w:t>6</w:t>
            </w:r>
            <w:r>
              <w:rPr>
                <w:rFonts w:ascii="Arial" w:hAnsi="Arial" w:cs="Arial" w:eastAsia="Arial" w:hint="default"/>
                <w:spacing w:val="-6"/>
                <w:sz w:val="24"/>
                <w:szCs w:val="24"/>
              </w:rPr>
              <w:t> </w:t>
            </w:r>
            <w:r>
              <w:rPr>
                <w:rFonts w:ascii="宋体" w:hAnsi="宋体" w:cs="宋体" w:eastAsia="宋体" w:hint="default"/>
                <w:sz w:val="24"/>
                <w:szCs w:val="24"/>
              </w:rPr>
              <w:t>万元</w:t>
            </w:r>
            <w:r>
              <w:rPr>
                <w:rFonts w:ascii="Arial" w:hAnsi="Arial" w:cs="Arial" w:eastAsia="Arial" w:hint="default"/>
                <w:spacing w:val="-1"/>
                <w:sz w:val="24"/>
                <w:szCs w:val="24"/>
              </w:rPr>
              <w:t>(</w:t>
            </w:r>
            <w:r>
              <w:rPr>
                <w:rFonts w:ascii="宋体" w:hAnsi="宋体" w:cs="宋体" w:eastAsia="宋体" w:hint="default"/>
                <w:sz w:val="24"/>
                <w:szCs w:val="24"/>
              </w:rPr>
              <w:t>含</w:t>
            </w:r>
            <w:r>
              <w:rPr>
                <w:rFonts w:ascii="宋体" w:hAnsi="宋体" w:cs="宋体" w:eastAsia="宋体" w:hint="default"/>
                <w:spacing w:val="-60"/>
                <w:sz w:val="24"/>
                <w:szCs w:val="24"/>
              </w:rPr>
              <w:t> </w:t>
            </w:r>
            <w:r>
              <w:rPr>
                <w:rFonts w:ascii="Arial" w:hAnsi="Arial" w:cs="Arial" w:eastAsia="Arial" w:hint="default"/>
                <w:w w:val="99"/>
                <w:sz w:val="24"/>
                <w:szCs w:val="24"/>
              </w:rPr>
              <w:t>6</w:t>
            </w:r>
            <w:r>
              <w:rPr>
                <w:rFonts w:ascii="Arial" w:hAnsi="Arial" w:cs="Arial" w:eastAsia="Arial" w:hint="default"/>
                <w:spacing w:val="-6"/>
                <w:sz w:val="24"/>
                <w:szCs w:val="24"/>
              </w:rPr>
              <w:t> </w:t>
            </w:r>
            <w:r>
              <w:rPr>
                <w:rFonts w:ascii="宋体" w:hAnsi="宋体" w:cs="宋体" w:eastAsia="宋体" w:hint="default"/>
                <w:sz w:val="24"/>
                <w:szCs w:val="24"/>
              </w:rPr>
              <w:t>万元</w:t>
            </w:r>
            <w:r>
              <w:rPr>
                <w:rFonts w:ascii="Arial" w:hAnsi="Arial" w:cs="Arial" w:eastAsia="Arial" w:hint="default"/>
                <w:spacing w:val="-1"/>
                <w:sz w:val="24"/>
                <w:szCs w:val="24"/>
              </w:rPr>
              <w:t>)</w:t>
            </w:r>
            <w:r>
              <w:rPr>
                <w:rFonts w:ascii="宋体" w:hAnsi="宋体" w:cs="宋体" w:eastAsia="宋体" w:hint="default"/>
                <w:spacing w:val="-101"/>
                <w:sz w:val="24"/>
                <w:szCs w:val="24"/>
              </w:rPr>
              <w:t>，</w:t>
            </w:r>
            <w:r>
              <w:rPr>
                <w:rFonts w:ascii="宋体" w:hAnsi="宋体" w:cs="宋体" w:eastAsia="宋体" w:hint="default"/>
                <w:sz w:val="24"/>
                <w:szCs w:val="24"/>
              </w:rPr>
              <w:t>同时符合从业</w:t>
            </w:r>
          </w:p>
          <w:p>
            <w:pPr>
              <w:pStyle w:val="TableParagraph"/>
              <w:spacing w:line="312" w:lineRule="exact"/>
              <w:ind w:left="229" w:right="0"/>
              <w:jc w:val="both"/>
              <w:rPr>
                <w:rFonts w:ascii="宋体" w:hAnsi="宋体" w:cs="宋体" w:eastAsia="宋体" w:hint="default"/>
                <w:sz w:val="24"/>
                <w:szCs w:val="24"/>
              </w:rPr>
            </w:pPr>
            <w:r>
              <w:rPr>
                <w:rFonts w:ascii="宋体" w:hAnsi="宋体" w:cs="宋体" w:eastAsia="宋体" w:hint="default"/>
                <w:sz w:val="24"/>
                <w:szCs w:val="24"/>
              </w:rPr>
              <w:t>人数不超过 </w:t>
            </w:r>
            <w:r>
              <w:rPr>
                <w:rFonts w:ascii="Arial" w:hAnsi="Arial" w:cs="Arial" w:eastAsia="Arial" w:hint="default"/>
                <w:sz w:val="24"/>
                <w:szCs w:val="24"/>
              </w:rPr>
              <w:t>80</w:t>
            </w:r>
            <w:r>
              <w:rPr>
                <w:rFonts w:ascii="Arial" w:hAnsi="Arial" w:cs="Arial" w:eastAsia="Arial" w:hint="default"/>
                <w:spacing w:val="50"/>
                <w:sz w:val="24"/>
                <w:szCs w:val="24"/>
              </w:rPr>
              <w:t> </w:t>
            </w:r>
            <w:r>
              <w:rPr>
                <w:rFonts w:ascii="宋体" w:hAnsi="宋体" w:cs="宋体" w:eastAsia="宋体" w:hint="default"/>
                <w:sz w:val="24"/>
                <w:szCs w:val="24"/>
              </w:rPr>
              <w:t>人，资产总额不</w:t>
            </w:r>
          </w:p>
          <w:p>
            <w:pPr>
              <w:pStyle w:val="TableParagraph"/>
              <w:spacing w:line="230" w:lineRule="auto" w:before="1"/>
              <w:ind w:left="229" w:right="198"/>
              <w:jc w:val="both"/>
              <w:rPr>
                <w:rFonts w:ascii="宋体" w:hAnsi="宋体" w:cs="宋体" w:eastAsia="宋体" w:hint="default"/>
                <w:sz w:val="24"/>
                <w:szCs w:val="24"/>
              </w:rPr>
            </w:pPr>
            <w:r>
              <w:rPr>
                <w:rFonts w:ascii="宋体" w:hAnsi="宋体" w:cs="宋体" w:eastAsia="宋体" w:hint="default"/>
                <w:sz w:val="24"/>
                <w:szCs w:val="24"/>
              </w:rPr>
              <w:t>超过</w:t>
            </w:r>
            <w:r>
              <w:rPr>
                <w:rFonts w:ascii="宋体" w:hAnsi="宋体" w:cs="宋体" w:eastAsia="宋体" w:hint="default"/>
                <w:spacing w:val="-49"/>
                <w:sz w:val="24"/>
                <w:szCs w:val="24"/>
              </w:rPr>
              <w:t> </w:t>
            </w:r>
            <w:r>
              <w:rPr>
                <w:rFonts w:ascii="Arial" w:hAnsi="Arial" w:cs="Arial" w:eastAsia="Arial" w:hint="default"/>
                <w:sz w:val="24"/>
                <w:szCs w:val="24"/>
              </w:rPr>
              <w:t>1,000</w:t>
            </w:r>
            <w:r>
              <w:rPr>
                <w:rFonts w:ascii="Arial" w:hAnsi="Arial" w:cs="Arial" w:eastAsia="Arial" w:hint="default"/>
                <w:spacing w:val="6"/>
                <w:sz w:val="24"/>
                <w:szCs w:val="24"/>
              </w:rPr>
              <w:t> </w:t>
            </w:r>
            <w:r>
              <w:rPr>
                <w:rFonts w:ascii="宋体" w:hAnsi="宋体" w:cs="宋体" w:eastAsia="宋体" w:hint="default"/>
                <w:sz w:val="24"/>
                <w:szCs w:val="24"/>
              </w:rPr>
              <w:t>万元并且实行按实际 利润额预缴企业所得税的小型微</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6"/>
                <w:sz w:val="24"/>
                <w:szCs w:val="24"/>
              </w:rPr>
              <w:t>利企业，按照</w:t>
            </w:r>
            <w:r>
              <w:rPr>
                <w:rFonts w:ascii="宋体" w:hAnsi="宋体" w:cs="宋体" w:eastAsia="宋体" w:hint="default"/>
                <w:spacing w:val="-61"/>
                <w:sz w:val="24"/>
                <w:szCs w:val="24"/>
              </w:rPr>
              <w:t> </w:t>
            </w:r>
            <w:r>
              <w:rPr>
                <w:rFonts w:ascii="Arial" w:hAnsi="Arial" w:cs="Arial" w:eastAsia="Arial" w:hint="default"/>
                <w:sz w:val="24"/>
                <w:szCs w:val="24"/>
              </w:rPr>
              <w:t>10%</w:t>
            </w:r>
            <w:r>
              <w:rPr>
                <w:rFonts w:ascii="宋体" w:hAnsi="宋体" w:cs="宋体" w:eastAsia="宋体" w:hint="default"/>
                <w:sz w:val="24"/>
                <w:szCs w:val="24"/>
              </w:rPr>
              <w:t>征收企业所得 税。</w:t>
            </w:r>
          </w:p>
        </w:tc>
      </w:tr>
      <w:tr>
        <w:trPr>
          <w:trHeight w:val="2898" w:hRule="exact"/>
        </w:trPr>
        <w:tc>
          <w:tcPr>
            <w:tcW w:w="710" w:type="dxa"/>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
              <w:ind w:left="216"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2781" w:type="dxa"/>
            <w:tcBorders>
              <w:top w:val="nil" w:sz="6" w:space="0" w:color="auto"/>
              <w:left w:val="nil" w:sz="6" w:space="0" w:color="auto"/>
              <w:bottom w:val="nil" w:sz="6" w:space="0" w:color="auto"/>
              <w:right w:val="nil" w:sz="6" w:space="0" w:color="auto"/>
            </w:tcBorders>
          </w:tcPr>
          <w:p>
            <w:pPr>
              <w:pStyle w:val="TableParagraph"/>
              <w:spacing w:line="235" w:lineRule="auto" w:before="7"/>
              <w:ind w:left="401" w:right="227" w:hanging="8"/>
              <w:jc w:val="both"/>
              <w:rPr>
                <w:rFonts w:ascii="Arial" w:hAnsi="Arial" w:cs="Arial" w:eastAsia="Arial" w:hint="default"/>
                <w:sz w:val="24"/>
                <w:szCs w:val="24"/>
              </w:rPr>
            </w:pPr>
            <w:r>
              <w:rPr>
                <w:rFonts w:ascii="宋体" w:hAnsi="宋体" w:cs="宋体" w:eastAsia="宋体" w:hint="default"/>
                <w:spacing w:val="16"/>
                <w:sz w:val="24"/>
                <w:szCs w:val="24"/>
              </w:rPr>
              <w:t>应纳税增值额</w:t>
            </w:r>
            <w:r>
              <w:rPr>
                <w:rFonts w:ascii="Arial" w:hAnsi="Arial" w:cs="Arial" w:eastAsia="Arial" w:hint="default"/>
                <w:spacing w:val="16"/>
                <w:sz w:val="24"/>
                <w:szCs w:val="24"/>
              </w:rPr>
              <w:t>(</w:t>
            </w:r>
            <w:r>
              <w:rPr>
                <w:rFonts w:ascii="宋体" w:hAnsi="宋体" w:cs="宋体" w:eastAsia="宋体" w:hint="default"/>
                <w:spacing w:val="16"/>
                <w:sz w:val="24"/>
                <w:szCs w:val="24"/>
              </w:rPr>
              <w:t>应纳 </w:t>
            </w:r>
            <w:r>
              <w:rPr>
                <w:rFonts w:ascii="宋体" w:hAnsi="宋体" w:cs="宋体" w:eastAsia="宋体" w:hint="default"/>
                <w:spacing w:val="24"/>
                <w:sz w:val="24"/>
                <w:szCs w:val="24"/>
              </w:rPr>
              <w:t>税额按应纳税销售</w:t>
            </w:r>
            <w:r>
              <w:rPr>
                <w:rFonts w:ascii="宋体" w:hAnsi="宋体" w:cs="宋体" w:eastAsia="宋体" w:hint="default"/>
                <w:spacing w:val="-92"/>
                <w:sz w:val="24"/>
                <w:szCs w:val="24"/>
              </w:rPr>
              <w:t> </w:t>
            </w:r>
            <w:r>
              <w:rPr>
                <w:rFonts w:ascii="宋体" w:hAnsi="宋体" w:cs="宋体" w:eastAsia="宋体" w:hint="default"/>
                <w:spacing w:val="24"/>
                <w:sz w:val="24"/>
                <w:szCs w:val="24"/>
              </w:rPr>
              <w:t>额乘以适用税率扣</w:t>
            </w:r>
            <w:r>
              <w:rPr>
                <w:rFonts w:ascii="宋体" w:hAnsi="宋体" w:cs="宋体" w:eastAsia="宋体" w:hint="default"/>
                <w:spacing w:val="-92"/>
                <w:sz w:val="24"/>
                <w:szCs w:val="24"/>
              </w:rPr>
              <w:t> </w:t>
            </w:r>
            <w:r>
              <w:rPr>
                <w:rFonts w:ascii="宋体" w:hAnsi="宋体" w:cs="宋体" w:eastAsia="宋体" w:hint="default"/>
                <w:spacing w:val="24"/>
                <w:sz w:val="24"/>
                <w:szCs w:val="24"/>
              </w:rPr>
              <w:t>除当期允许抵扣的</w:t>
            </w:r>
            <w:r>
              <w:rPr>
                <w:rFonts w:ascii="宋体" w:hAnsi="宋体" w:cs="宋体" w:eastAsia="宋体" w:hint="default"/>
                <w:spacing w:val="-92"/>
                <w:sz w:val="24"/>
                <w:szCs w:val="24"/>
              </w:rPr>
              <w:t> </w:t>
            </w:r>
            <w:r>
              <w:rPr>
                <w:rFonts w:ascii="宋体" w:hAnsi="宋体" w:cs="宋体" w:eastAsia="宋体" w:hint="default"/>
                <w:spacing w:val="24"/>
                <w:sz w:val="24"/>
                <w:szCs w:val="24"/>
              </w:rPr>
              <w:t>进项税后的余额计</w:t>
            </w:r>
            <w:r>
              <w:rPr>
                <w:rFonts w:ascii="宋体" w:hAnsi="宋体" w:cs="宋体" w:eastAsia="宋体" w:hint="default"/>
                <w:spacing w:val="-92"/>
                <w:sz w:val="24"/>
                <w:szCs w:val="24"/>
              </w:rPr>
              <w:t> </w:t>
            </w:r>
            <w:r>
              <w:rPr>
                <w:rFonts w:ascii="宋体" w:hAnsi="宋体" w:cs="宋体" w:eastAsia="宋体" w:hint="default"/>
                <w:sz w:val="24"/>
                <w:szCs w:val="24"/>
              </w:rPr>
              <w:t>算</w:t>
            </w:r>
            <w:r>
              <w:rPr>
                <w:rFonts w:ascii="Arial" w:hAnsi="Arial" w:cs="Arial" w:eastAsia="Arial" w:hint="default"/>
                <w:sz w:val="24"/>
                <w:szCs w:val="24"/>
              </w:rPr>
              <w:t>)</w:t>
            </w:r>
          </w:p>
        </w:tc>
        <w:tc>
          <w:tcPr>
            <w:tcW w:w="3819" w:type="dxa"/>
            <w:tcBorders>
              <w:top w:val="nil" w:sz="6" w:space="0" w:color="auto"/>
              <w:left w:val="nil" w:sz="6" w:space="0" w:color="auto"/>
              <w:bottom w:val="nil" w:sz="6" w:space="0" w:color="auto"/>
              <w:right w:val="nil" w:sz="6" w:space="0" w:color="auto"/>
            </w:tcBorders>
          </w:tcPr>
          <w:p>
            <w:pPr>
              <w:pStyle w:val="TableParagraph"/>
              <w:spacing w:line="230" w:lineRule="auto" w:before="12"/>
              <w:ind w:left="229" w:right="198"/>
              <w:jc w:val="both"/>
              <w:rPr>
                <w:rFonts w:ascii="宋体" w:hAnsi="宋体" w:cs="宋体" w:eastAsia="宋体" w:hint="default"/>
                <w:sz w:val="24"/>
                <w:szCs w:val="24"/>
              </w:rPr>
            </w:pPr>
            <w:r>
              <w:rPr>
                <w:rFonts w:ascii="宋体" w:hAnsi="宋体" w:cs="宋体" w:eastAsia="宋体" w:hint="default"/>
                <w:sz w:val="24"/>
                <w:szCs w:val="24"/>
              </w:rPr>
              <w:t>家用电器销售：小规模纳税人增</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值税征收率</w:t>
            </w:r>
            <w:r>
              <w:rPr>
                <w:rFonts w:ascii="宋体" w:hAnsi="宋体" w:cs="宋体" w:eastAsia="宋体" w:hint="default"/>
                <w:spacing w:val="11"/>
                <w:sz w:val="24"/>
                <w:szCs w:val="24"/>
              </w:rPr>
              <w:t> </w:t>
            </w:r>
            <w:r>
              <w:rPr>
                <w:rFonts w:ascii="Arial" w:hAnsi="Arial" w:cs="Arial" w:eastAsia="Arial" w:hint="default"/>
                <w:spacing w:val="2"/>
                <w:sz w:val="24"/>
                <w:szCs w:val="24"/>
              </w:rPr>
              <w:t>3%</w:t>
            </w:r>
            <w:r>
              <w:rPr>
                <w:rFonts w:ascii="宋体" w:hAnsi="宋体" w:cs="宋体" w:eastAsia="宋体" w:hint="default"/>
                <w:spacing w:val="2"/>
                <w:sz w:val="24"/>
                <w:szCs w:val="24"/>
              </w:rPr>
              <w:t>，一般纳税人增</w:t>
            </w:r>
            <w:r>
              <w:rPr>
                <w:rFonts w:ascii="宋体" w:hAnsi="宋体" w:cs="宋体" w:eastAsia="宋体" w:hint="default"/>
                <w:sz w:val="24"/>
                <w:szCs w:val="24"/>
              </w:rPr>
              <w:t> 值税税率为</w:t>
            </w:r>
            <w:r>
              <w:rPr>
                <w:rFonts w:ascii="宋体" w:hAnsi="宋体" w:cs="宋体" w:eastAsia="宋体" w:hint="default"/>
                <w:spacing w:val="-61"/>
                <w:sz w:val="24"/>
                <w:szCs w:val="24"/>
              </w:rPr>
              <w:t> </w:t>
            </w:r>
            <w:r>
              <w:rPr>
                <w:rFonts w:ascii="Arial" w:hAnsi="Arial" w:cs="Arial" w:eastAsia="Arial" w:hint="default"/>
                <w:sz w:val="24"/>
                <w:szCs w:val="24"/>
              </w:rPr>
              <w:t>17%</w:t>
            </w:r>
            <w:r>
              <w:rPr>
                <w:rFonts w:ascii="宋体" w:hAnsi="宋体" w:cs="宋体" w:eastAsia="宋体" w:hint="default"/>
                <w:sz w:val="24"/>
                <w:szCs w:val="24"/>
              </w:rPr>
              <w:t>；</w:t>
            </w:r>
          </w:p>
          <w:p>
            <w:pPr>
              <w:pStyle w:val="TableParagraph"/>
              <w:spacing w:line="235" w:lineRule="auto" w:before="27"/>
              <w:ind w:left="229" w:right="198"/>
              <w:jc w:val="left"/>
              <w:rPr>
                <w:rFonts w:ascii="宋体" w:hAnsi="宋体" w:cs="宋体" w:eastAsia="宋体" w:hint="default"/>
                <w:sz w:val="24"/>
                <w:szCs w:val="24"/>
              </w:rPr>
            </w:pPr>
            <w:r>
              <w:rPr>
                <w:rFonts w:ascii="宋体" w:hAnsi="宋体" w:cs="宋体" w:eastAsia="宋体" w:hint="default"/>
                <w:sz w:val="24"/>
                <w:szCs w:val="24"/>
              </w:rPr>
              <w:t>家用电器维修：小规模纳税人增</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值税征收率</w:t>
            </w:r>
            <w:r>
              <w:rPr>
                <w:rFonts w:ascii="宋体" w:hAnsi="宋体" w:cs="宋体" w:eastAsia="宋体" w:hint="default"/>
                <w:spacing w:val="11"/>
                <w:sz w:val="24"/>
                <w:szCs w:val="24"/>
              </w:rPr>
              <w:t> </w:t>
            </w:r>
            <w:r>
              <w:rPr>
                <w:rFonts w:ascii="Arial" w:hAnsi="Arial" w:cs="Arial" w:eastAsia="Arial" w:hint="default"/>
                <w:spacing w:val="2"/>
                <w:sz w:val="24"/>
                <w:szCs w:val="24"/>
              </w:rPr>
              <w:t>3%</w:t>
            </w:r>
            <w:r>
              <w:rPr>
                <w:rFonts w:ascii="宋体" w:hAnsi="宋体" w:cs="宋体" w:eastAsia="宋体" w:hint="default"/>
                <w:spacing w:val="2"/>
                <w:sz w:val="24"/>
                <w:szCs w:val="24"/>
              </w:rPr>
              <w:t>，一般纳税人增</w:t>
            </w:r>
            <w:r>
              <w:rPr>
                <w:rFonts w:ascii="宋体" w:hAnsi="宋体" w:cs="宋体" w:eastAsia="宋体" w:hint="default"/>
                <w:sz w:val="24"/>
                <w:szCs w:val="24"/>
              </w:rPr>
              <w:t> 值税税率为</w:t>
            </w:r>
            <w:r>
              <w:rPr>
                <w:rFonts w:ascii="宋体" w:hAnsi="宋体" w:cs="宋体" w:eastAsia="宋体" w:hint="default"/>
                <w:spacing w:val="-60"/>
                <w:sz w:val="24"/>
                <w:szCs w:val="24"/>
              </w:rPr>
              <w:t> </w:t>
            </w:r>
            <w:r>
              <w:rPr>
                <w:rFonts w:ascii="Arial" w:hAnsi="Arial" w:cs="Arial" w:eastAsia="Arial" w:hint="default"/>
                <w:sz w:val="24"/>
                <w:szCs w:val="24"/>
              </w:rPr>
              <w:t>17%</w:t>
            </w:r>
            <w:r>
              <w:rPr>
                <w:rFonts w:ascii="宋体" w:hAnsi="宋体" w:cs="宋体" w:eastAsia="宋体" w:hint="default"/>
                <w:sz w:val="24"/>
                <w:szCs w:val="24"/>
              </w:rPr>
              <w:t>； </w:t>
            </w:r>
            <w:r>
              <w:rPr>
                <w:rFonts w:ascii="宋体" w:hAnsi="宋体" w:cs="宋体" w:eastAsia="宋体" w:hint="default"/>
                <w:spacing w:val="-2"/>
                <w:sz w:val="24"/>
                <w:szCs w:val="24"/>
              </w:rPr>
              <w:t>部分现代服务业</w:t>
            </w:r>
            <w:r>
              <w:rPr>
                <w:rFonts w:ascii="Arial" w:hAnsi="Arial" w:cs="Arial" w:eastAsia="Arial" w:hint="default"/>
                <w:spacing w:val="-2"/>
                <w:sz w:val="24"/>
                <w:szCs w:val="24"/>
              </w:rPr>
              <w:t>(a)</w:t>
            </w:r>
            <w:r>
              <w:rPr>
                <w:rFonts w:ascii="宋体" w:hAnsi="宋体" w:cs="宋体" w:eastAsia="宋体" w:hint="default"/>
                <w:spacing w:val="-2"/>
                <w:sz w:val="24"/>
                <w:szCs w:val="24"/>
              </w:rPr>
              <w:t>：小规模纳税</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2"/>
                <w:sz w:val="24"/>
                <w:szCs w:val="24"/>
              </w:rPr>
              <w:t>人增值税征收率</w:t>
            </w:r>
            <w:r>
              <w:rPr>
                <w:rFonts w:ascii="宋体" w:hAnsi="宋体" w:cs="宋体" w:eastAsia="宋体" w:hint="default"/>
                <w:spacing w:val="16"/>
                <w:sz w:val="24"/>
                <w:szCs w:val="24"/>
              </w:rPr>
              <w:t> </w:t>
            </w:r>
            <w:r>
              <w:rPr>
                <w:rFonts w:ascii="Arial" w:hAnsi="Arial" w:cs="Arial" w:eastAsia="Arial" w:hint="default"/>
                <w:sz w:val="24"/>
                <w:szCs w:val="24"/>
              </w:rPr>
              <w:t>3%</w:t>
            </w:r>
            <w:r>
              <w:rPr>
                <w:rFonts w:ascii="宋体" w:hAnsi="宋体" w:cs="宋体" w:eastAsia="宋体" w:hint="default"/>
                <w:sz w:val="24"/>
                <w:szCs w:val="24"/>
              </w:rPr>
              <w:t>，一般纳税 人增值税税率为</w:t>
            </w:r>
            <w:r>
              <w:rPr>
                <w:rFonts w:ascii="宋体" w:hAnsi="宋体" w:cs="宋体" w:eastAsia="宋体" w:hint="default"/>
                <w:spacing w:val="-61"/>
                <w:sz w:val="24"/>
                <w:szCs w:val="24"/>
              </w:rPr>
              <w:t> </w:t>
            </w:r>
            <w:r>
              <w:rPr>
                <w:rFonts w:ascii="Arial" w:hAnsi="Arial" w:cs="Arial" w:eastAsia="Arial" w:hint="default"/>
                <w:sz w:val="24"/>
                <w:szCs w:val="24"/>
              </w:rPr>
              <w:t>6%</w:t>
            </w:r>
            <w:r>
              <w:rPr>
                <w:rFonts w:ascii="宋体" w:hAnsi="宋体" w:cs="宋体" w:eastAsia="宋体" w:hint="default"/>
                <w:sz w:val="24"/>
                <w:szCs w:val="24"/>
              </w:rPr>
              <w:t>。</w:t>
            </w:r>
          </w:p>
        </w:tc>
      </w:tr>
    </w:tbl>
    <w:p>
      <w:pPr>
        <w:spacing w:after="0" w:line="235" w:lineRule="auto"/>
        <w:jc w:val="left"/>
        <w:rPr>
          <w:rFonts w:ascii="宋体" w:hAnsi="宋体" w:cs="宋体" w:eastAsia="宋体"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1596184" type="#_x0000_t75" stroked="false">
            <v:imagedata r:id="rId10" o:title=""/>
          </v:shape>
        </w:pict>
      </w:r>
    </w:p>
    <w:p>
      <w:pPr>
        <w:spacing w:line="240" w:lineRule="auto" w:before="4"/>
        <w:rPr>
          <w:rFonts w:ascii="Times New Roman" w:hAnsi="Times New Roman" w:cs="Times New Roman" w:eastAsia="Times New Roman"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710"/>
        <w:gridCol w:w="2051"/>
        <w:gridCol w:w="2767"/>
        <w:gridCol w:w="3936"/>
      </w:tblGrid>
      <w:tr>
        <w:trPr>
          <w:trHeight w:val="495"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2051" w:type="dxa"/>
            <w:tcBorders>
              <w:top w:val="nil" w:sz="6" w:space="0" w:color="auto"/>
              <w:left w:val="nil" w:sz="6" w:space="0" w:color="auto"/>
              <w:bottom w:val="nil" w:sz="6" w:space="0" w:color="auto"/>
              <w:right w:val="nil" w:sz="6" w:space="0" w:color="auto"/>
            </w:tcBorders>
          </w:tcPr>
          <w:p>
            <w:pPr>
              <w:pStyle w:val="TableParagraph"/>
              <w:spacing w:line="257" w:lineRule="exact"/>
              <w:ind w:left="216"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67" w:type="dxa"/>
            <w:tcBorders>
              <w:top w:val="nil" w:sz="6" w:space="0" w:color="auto"/>
              <w:left w:val="nil" w:sz="6" w:space="0" w:color="auto"/>
              <w:bottom w:val="nil" w:sz="6" w:space="0" w:color="auto"/>
              <w:right w:val="nil" w:sz="6" w:space="0" w:color="auto"/>
            </w:tcBorders>
          </w:tcPr>
          <w:p>
            <w:pPr/>
          </w:p>
        </w:tc>
        <w:tc>
          <w:tcPr>
            <w:tcW w:w="3936" w:type="dxa"/>
            <w:tcBorders>
              <w:top w:val="nil" w:sz="6" w:space="0" w:color="auto"/>
              <w:left w:val="nil" w:sz="6" w:space="0" w:color="auto"/>
              <w:bottom w:val="nil" w:sz="6" w:space="0" w:color="auto"/>
              <w:right w:val="nil" w:sz="6" w:space="0" w:color="auto"/>
            </w:tcBorders>
          </w:tcPr>
          <w:p>
            <w:pPr/>
          </w:p>
        </w:tc>
      </w:tr>
      <w:tr>
        <w:trPr>
          <w:trHeight w:val="750"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4"/>
              <w:jc w:val="center"/>
              <w:rPr>
                <w:rFonts w:ascii="Arial" w:hAnsi="Arial" w:cs="Arial" w:eastAsia="Arial" w:hint="default"/>
                <w:sz w:val="24"/>
                <w:szCs w:val="24"/>
              </w:rPr>
            </w:pPr>
            <w:r>
              <w:rPr>
                <w:rFonts w:ascii="Arial"/>
                <w:sz w:val="24"/>
              </w:rPr>
              <w:t>(1)</w:t>
            </w:r>
          </w:p>
        </w:tc>
        <w:tc>
          <w:tcPr>
            <w:tcW w:w="875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7"/>
              <w:ind w:left="216" w:right="0"/>
              <w:jc w:val="left"/>
              <w:rPr>
                <w:rFonts w:ascii="黑体" w:hAnsi="黑体" w:cs="黑体" w:eastAsia="黑体" w:hint="default"/>
                <w:sz w:val="24"/>
                <w:szCs w:val="24"/>
              </w:rPr>
            </w:pPr>
            <w:r>
              <w:rPr>
                <w:rFonts w:ascii="黑体" w:hAnsi="黑体" w:cs="黑体" w:eastAsia="黑体" w:hint="default"/>
                <w:sz w:val="24"/>
                <w:szCs w:val="24"/>
              </w:rPr>
              <w:t>本集团适用的主要税种及其税率列示如下</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r>
              <w:rPr>
                <w:rFonts w:ascii="黑体" w:hAnsi="黑体" w:cs="黑体" w:eastAsia="黑体" w:hint="default"/>
                <w:sz w:val="24"/>
                <w:szCs w:val="24"/>
              </w:rPr>
              <w:t>：</w:t>
            </w:r>
          </w:p>
        </w:tc>
      </w:tr>
      <w:tr>
        <w:trPr>
          <w:trHeight w:val="742" w:hRule="exact"/>
        </w:trPr>
        <w:tc>
          <w:tcPr>
            <w:tcW w:w="710"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16" w:right="0"/>
              <w:jc w:val="left"/>
              <w:rPr>
                <w:rFonts w:ascii="宋体" w:hAnsi="宋体" w:cs="宋体" w:eastAsia="宋体" w:hint="default"/>
                <w:sz w:val="24"/>
                <w:szCs w:val="24"/>
              </w:rPr>
            </w:pPr>
            <w:r>
              <w:rPr>
                <w:rFonts w:ascii="宋体" w:hAnsi="宋体" w:cs="宋体" w:eastAsia="宋体" w:hint="default"/>
                <w:sz w:val="24"/>
                <w:szCs w:val="24"/>
              </w:rPr>
              <w:t>税种</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53" w:right="0"/>
              <w:jc w:val="left"/>
              <w:rPr>
                <w:rFonts w:ascii="宋体" w:hAnsi="宋体" w:cs="宋体" w:eastAsia="宋体" w:hint="default"/>
                <w:sz w:val="24"/>
                <w:szCs w:val="24"/>
              </w:rPr>
            </w:pPr>
            <w:r>
              <w:rPr>
                <w:rFonts w:ascii="宋体" w:hAnsi="宋体" w:cs="宋体" w:eastAsia="宋体" w:hint="default"/>
                <w:sz w:val="24"/>
                <w:szCs w:val="24"/>
              </w:rPr>
              <w:t>计税依据</w:t>
            </w:r>
          </w:p>
        </w:tc>
        <w:tc>
          <w:tcPr>
            <w:tcW w:w="3936"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55" w:right="0"/>
              <w:jc w:val="left"/>
              <w:rPr>
                <w:rFonts w:ascii="宋体" w:hAnsi="宋体" w:cs="宋体" w:eastAsia="宋体" w:hint="default"/>
                <w:sz w:val="24"/>
                <w:szCs w:val="24"/>
              </w:rPr>
            </w:pPr>
            <w:r>
              <w:rPr>
                <w:rFonts w:ascii="宋体" w:hAnsi="宋体" w:cs="宋体" w:eastAsia="宋体" w:hint="default"/>
                <w:sz w:val="24"/>
                <w:szCs w:val="24"/>
              </w:rPr>
              <w:t>税率</w:t>
            </w:r>
          </w:p>
        </w:tc>
      </w:tr>
      <w:tr>
        <w:trPr>
          <w:trHeight w:val="754" w:hRule="exact"/>
        </w:trPr>
        <w:tc>
          <w:tcPr>
            <w:tcW w:w="710" w:type="dxa"/>
            <w:tcBorders>
              <w:top w:val="nil" w:sz="6" w:space="0" w:color="auto"/>
              <w:left w:val="nil" w:sz="6" w:space="0" w:color="auto"/>
              <w:bottom w:val="nil" w:sz="6" w:space="0" w:color="auto"/>
              <w:right w:val="nil" w:sz="6" w:space="0" w:color="auto"/>
            </w:tcBorders>
          </w:tcPr>
          <w:p>
            <w:pPr/>
          </w:p>
        </w:tc>
        <w:tc>
          <w:tcPr>
            <w:tcW w:w="48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0"/>
              <w:ind w:left="216" w:right="0"/>
              <w:jc w:val="left"/>
              <w:rPr>
                <w:rFonts w:ascii="宋体" w:hAnsi="宋体" w:cs="宋体" w:eastAsia="宋体" w:hint="default"/>
                <w:sz w:val="24"/>
                <w:szCs w:val="24"/>
              </w:rPr>
            </w:pPr>
            <w:r>
              <w:rPr>
                <w:rFonts w:ascii="宋体" w:hAnsi="宋体" w:cs="宋体" w:eastAsia="宋体" w:hint="default"/>
                <w:sz w:val="24"/>
                <w:szCs w:val="24"/>
              </w:rPr>
              <w:t>本公司及境内子公司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c>
          <w:tcPr>
            <w:tcW w:w="3936" w:type="dxa"/>
            <w:tcBorders>
              <w:top w:val="nil" w:sz="6" w:space="0" w:color="auto"/>
              <w:left w:val="nil" w:sz="6" w:space="0" w:color="auto"/>
              <w:bottom w:val="nil" w:sz="6" w:space="0" w:color="auto"/>
              <w:right w:val="nil" w:sz="6" w:space="0" w:color="auto"/>
            </w:tcBorders>
          </w:tcPr>
          <w:p>
            <w:pPr/>
          </w:p>
        </w:tc>
      </w:tr>
      <w:tr>
        <w:trPr>
          <w:trHeight w:val="2691" w:hRule="exact"/>
        </w:trPr>
        <w:tc>
          <w:tcPr>
            <w:tcW w:w="710"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16"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53" w:right="0"/>
              <w:jc w:val="left"/>
              <w:rPr>
                <w:rFonts w:ascii="宋体" w:hAnsi="宋体" w:cs="宋体" w:eastAsia="宋体" w:hint="default"/>
                <w:sz w:val="24"/>
                <w:szCs w:val="24"/>
              </w:rPr>
            </w:pPr>
            <w:r>
              <w:rPr>
                <w:rFonts w:ascii="宋体" w:hAnsi="宋体" w:cs="宋体" w:eastAsia="宋体" w:hint="default"/>
                <w:sz w:val="24"/>
                <w:szCs w:val="24"/>
              </w:rPr>
              <w:t>应纳税营业额</w:t>
            </w:r>
          </w:p>
        </w:tc>
        <w:tc>
          <w:tcPr>
            <w:tcW w:w="3936" w:type="dxa"/>
            <w:tcBorders>
              <w:top w:val="nil" w:sz="6" w:space="0" w:color="auto"/>
              <w:left w:val="nil" w:sz="6" w:space="0" w:color="auto"/>
              <w:bottom w:val="nil" w:sz="6" w:space="0" w:color="auto"/>
              <w:right w:val="nil" w:sz="6" w:space="0" w:color="auto"/>
            </w:tcBorders>
          </w:tcPr>
          <w:p>
            <w:pPr>
              <w:pStyle w:val="TableParagraph"/>
              <w:spacing w:line="310" w:lineRule="exact" w:before="206"/>
              <w:ind w:left="229" w:right="316"/>
              <w:jc w:val="both"/>
              <w:rPr>
                <w:rFonts w:ascii="宋体" w:hAnsi="宋体" w:cs="宋体" w:eastAsia="宋体" w:hint="default"/>
                <w:sz w:val="24"/>
                <w:szCs w:val="24"/>
              </w:rPr>
            </w:pPr>
            <w:r>
              <w:rPr>
                <w:rFonts w:ascii="宋体" w:hAnsi="宋体" w:cs="宋体" w:eastAsia="宋体" w:hint="default"/>
                <w:sz w:val="24"/>
                <w:szCs w:val="24"/>
              </w:rPr>
              <w:t>培训业务收入、安装业务收入营</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业税税率为</w:t>
            </w:r>
            <w:r>
              <w:rPr>
                <w:rFonts w:ascii="宋体" w:hAnsi="宋体" w:cs="宋体" w:eastAsia="宋体" w:hint="default"/>
                <w:spacing w:val="-61"/>
                <w:sz w:val="24"/>
                <w:szCs w:val="24"/>
              </w:rPr>
              <w:t> </w:t>
            </w:r>
            <w:r>
              <w:rPr>
                <w:rFonts w:ascii="Arial" w:hAnsi="Arial" w:cs="Arial" w:eastAsia="Arial" w:hint="default"/>
                <w:sz w:val="24"/>
                <w:szCs w:val="24"/>
              </w:rPr>
              <w:t>3%</w:t>
            </w:r>
            <w:r>
              <w:rPr>
                <w:rFonts w:ascii="宋体" w:hAnsi="宋体" w:cs="宋体" w:eastAsia="宋体" w:hint="default"/>
                <w:sz w:val="24"/>
                <w:szCs w:val="24"/>
              </w:rPr>
              <w:t>；</w:t>
            </w:r>
          </w:p>
          <w:p>
            <w:pPr>
              <w:pStyle w:val="TableParagraph"/>
              <w:spacing w:line="237" w:lineRule="auto" w:before="13"/>
              <w:ind w:left="229" w:right="316"/>
              <w:jc w:val="both"/>
              <w:rPr>
                <w:rFonts w:ascii="宋体" w:hAnsi="宋体" w:cs="宋体" w:eastAsia="宋体" w:hint="default"/>
                <w:sz w:val="24"/>
                <w:szCs w:val="24"/>
              </w:rPr>
            </w:pPr>
            <w:r>
              <w:rPr>
                <w:rFonts w:ascii="宋体" w:hAnsi="宋体" w:cs="宋体" w:eastAsia="宋体" w:hint="default"/>
                <w:sz w:val="24"/>
                <w:szCs w:val="24"/>
              </w:rPr>
              <w:t>代理收入、租赁收入、连锁店服</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务收入及广告位使用费收入等营</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业税税率为</w:t>
            </w:r>
            <w:r>
              <w:rPr>
                <w:rFonts w:ascii="宋体" w:hAnsi="宋体" w:cs="宋体" w:eastAsia="宋体" w:hint="default"/>
                <w:spacing w:val="-61"/>
                <w:sz w:val="24"/>
                <w:szCs w:val="24"/>
              </w:rPr>
              <w:t> </w:t>
            </w:r>
            <w:r>
              <w:rPr>
                <w:rFonts w:ascii="Arial" w:hAnsi="Arial" w:cs="Arial" w:eastAsia="Arial" w:hint="default"/>
                <w:sz w:val="24"/>
                <w:szCs w:val="24"/>
              </w:rPr>
              <w:t>5%</w:t>
            </w:r>
            <w:r>
              <w:rPr>
                <w:rFonts w:ascii="宋体" w:hAnsi="宋体" w:cs="宋体" w:eastAsia="宋体" w:hint="default"/>
                <w:sz w:val="24"/>
                <w:szCs w:val="24"/>
              </w:rPr>
              <w:t>；</w:t>
            </w:r>
          </w:p>
          <w:p>
            <w:pPr>
              <w:pStyle w:val="TableParagraph"/>
              <w:spacing w:line="313" w:lineRule="exact" w:before="19"/>
              <w:ind w:left="229" w:right="0"/>
              <w:jc w:val="both"/>
              <w:rPr>
                <w:rFonts w:ascii="宋体" w:hAnsi="宋体" w:cs="宋体" w:eastAsia="宋体" w:hint="default"/>
                <w:sz w:val="24"/>
                <w:szCs w:val="24"/>
              </w:rPr>
            </w:pPr>
            <w:r>
              <w:rPr>
                <w:rFonts w:ascii="宋体" w:hAnsi="宋体" w:cs="宋体" w:eastAsia="宋体" w:hint="default"/>
                <w:spacing w:val="19"/>
                <w:sz w:val="24"/>
                <w:szCs w:val="24"/>
              </w:rPr>
              <w:t>其他服务收入的营业税税率为</w:t>
            </w:r>
          </w:p>
          <w:p>
            <w:pPr>
              <w:pStyle w:val="TableParagraph"/>
              <w:spacing w:line="330" w:lineRule="exact"/>
              <w:ind w:left="229" w:right="0"/>
              <w:jc w:val="both"/>
              <w:rPr>
                <w:rFonts w:ascii="宋体" w:hAnsi="宋体" w:cs="宋体" w:eastAsia="宋体" w:hint="default"/>
                <w:sz w:val="24"/>
                <w:szCs w:val="24"/>
              </w:rPr>
            </w:pPr>
            <w:r>
              <w:rPr>
                <w:rFonts w:ascii="Arial" w:hAnsi="Arial" w:cs="Arial" w:eastAsia="Arial" w:hint="default"/>
                <w:sz w:val="24"/>
                <w:szCs w:val="24"/>
              </w:rPr>
              <w:t>5%</w:t>
            </w:r>
            <w:r>
              <w:rPr>
                <w:rFonts w:ascii="宋体" w:hAnsi="宋体" w:cs="宋体" w:eastAsia="宋体" w:hint="default"/>
                <w:sz w:val="24"/>
                <w:szCs w:val="24"/>
              </w:rPr>
              <w:t>。</w:t>
            </w:r>
          </w:p>
        </w:tc>
      </w:tr>
      <w:tr>
        <w:trPr>
          <w:trHeight w:val="746" w:hRule="exact"/>
        </w:trPr>
        <w:tc>
          <w:tcPr>
            <w:tcW w:w="710"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16" w:right="0"/>
              <w:jc w:val="left"/>
              <w:rPr>
                <w:rFonts w:ascii="宋体" w:hAnsi="宋体" w:cs="宋体" w:eastAsia="宋体" w:hint="default"/>
                <w:sz w:val="24"/>
                <w:szCs w:val="24"/>
              </w:rPr>
            </w:pPr>
            <w:r>
              <w:rPr>
                <w:rFonts w:ascii="宋体" w:hAnsi="宋体" w:cs="宋体" w:eastAsia="宋体" w:hint="default"/>
                <w:sz w:val="24"/>
                <w:szCs w:val="24"/>
              </w:rPr>
              <w:t>消费税</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53" w:right="0"/>
              <w:jc w:val="left"/>
              <w:rPr>
                <w:rFonts w:ascii="宋体" w:hAnsi="宋体" w:cs="宋体" w:eastAsia="宋体" w:hint="default"/>
                <w:sz w:val="24"/>
                <w:szCs w:val="24"/>
              </w:rPr>
            </w:pPr>
            <w:r>
              <w:rPr>
                <w:rFonts w:ascii="宋体" w:hAnsi="宋体" w:cs="宋体" w:eastAsia="宋体" w:hint="default"/>
                <w:sz w:val="24"/>
                <w:szCs w:val="24"/>
              </w:rPr>
              <w:t>应纳税销售额</w:t>
            </w:r>
          </w:p>
        </w:tc>
        <w:tc>
          <w:tcPr>
            <w:tcW w:w="3936"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29" w:right="0"/>
              <w:jc w:val="left"/>
              <w:rPr>
                <w:rFonts w:ascii="Arial" w:hAnsi="Arial" w:cs="Arial" w:eastAsia="Arial" w:hint="default"/>
                <w:sz w:val="24"/>
                <w:szCs w:val="24"/>
              </w:rPr>
            </w:pPr>
            <w:r>
              <w:rPr>
                <w:rFonts w:ascii="Arial"/>
                <w:sz w:val="24"/>
              </w:rPr>
              <w:t>5%</w:t>
            </w:r>
          </w:p>
        </w:tc>
      </w:tr>
      <w:tr>
        <w:trPr>
          <w:trHeight w:val="1763" w:hRule="exact"/>
        </w:trPr>
        <w:tc>
          <w:tcPr>
            <w:tcW w:w="710"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16"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767"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153" w:right="227"/>
              <w:jc w:val="left"/>
              <w:rPr>
                <w:rFonts w:ascii="宋体" w:hAnsi="宋体" w:cs="宋体" w:eastAsia="宋体" w:hint="default"/>
                <w:sz w:val="24"/>
                <w:szCs w:val="24"/>
              </w:rPr>
            </w:pPr>
            <w:r>
              <w:rPr>
                <w:rFonts w:ascii="宋体" w:hAnsi="宋体" w:cs="宋体" w:eastAsia="宋体" w:hint="default"/>
                <w:spacing w:val="-2"/>
                <w:sz w:val="24"/>
                <w:szCs w:val="24"/>
              </w:rPr>
              <w:t>应缴纳的增值税、营业</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税及消费税税额</w:t>
            </w:r>
          </w:p>
        </w:tc>
        <w:tc>
          <w:tcPr>
            <w:tcW w:w="3936" w:type="dxa"/>
            <w:tcBorders>
              <w:top w:val="nil" w:sz="6" w:space="0" w:color="auto"/>
              <w:left w:val="nil" w:sz="6" w:space="0" w:color="auto"/>
              <w:bottom w:val="nil" w:sz="6" w:space="0" w:color="auto"/>
              <w:right w:val="nil" w:sz="6" w:space="0" w:color="auto"/>
            </w:tcBorders>
          </w:tcPr>
          <w:p>
            <w:pPr>
              <w:pStyle w:val="TableParagraph"/>
              <w:spacing w:line="249" w:lineRule="auto" w:before="179"/>
              <w:ind w:left="229" w:right="198"/>
              <w:jc w:val="left"/>
              <w:rPr>
                <w:rFonts w:ascii="宋体" w:hAnsi="宋体" w:cs="宋体" w:eastAsia="宋体" w:hint="default"/>
                <w:sz w:val="24"/>
                <w:szCs w:val="24"/>
              </w:rPr>
            </w:pPr>
            <w:r>
              <w:rPr>
                <w:rFonts w:ascii="宋体" w:hAnsi="宋体" w:cs="宋体" w:eastAsia="宋体" w:hint="default"/>
                <w:sz w:val="24"/>
                <w:szCs w:val="24"/>
              </w:rPr>
              <w:t>所在地为市区的，税率为</w:t>
            </w:r>
            <w:r>
              <w:rPr>
                <w:rFonts w:ascii="宋体" w:hAnsi="宋体" w:cs="宋体" w:eastAsia="宋体" w:hint="default"/>
                <w:spacing w:val="-60"/>
                <w:sz w:val="24"/>
                <w:szCs w:val="24"/>
              </w:rPr>
              <w:t> </w:t>
            </w:r>
            <w:r>
              <w:rPr>
                <w:rFonts w:ascii="Arial" w:hAnsi="Arial" w:cs="Arial" w:eastAsia="Arial" w:hint="default"/>
                <w:sz w:val="24"/>
                <w:szCs w:val="24"/>
              </w:rPr>
              <w:t>7%</w:t>
            </w:r>
            <w:r>
              <w:rPr>
                <w:rFonts w:ascii="宋体" w:hAnsi="宋体" w:cs="宋体" w:eastAsia="宋体" w:hint="default"/>
                <w:sz w:val="24"/>
                <w:szCs w:val="24"/>
              </w:rPr>
              <w:t>； </w:t>
            </w:r>
            <w:r>
              <w:rPr>
                <w:rFonts w:ascii="宋体" w:hAnsi="宋体" w:cs="宋体" w:eastAsia="宋体" w:hint="default"/>
                <w:spacing w:val="-19"/>
                <w:sz w:val="24"/>
                <w:szCs w:val="24"/>
              </w:rPr>
              <w:t>所在地为县城、镇的，税率为</w:t>
            </w:r>
            <w:r>
              <w:rPr>
                <w:rFonts w:ascii="宋体" w:hAnsi="宋体" w:cs="宋体" w:eastAsia="宋体" w:hint="default"/>
                <w:spacing w:val="-75"/>
                <w:sz w:val="24"/>
                <w:szCs w:val="24"/>
              </w:rPr>
              <w:t> </w:t>
            </w:r>
            <w:r>
              <w:rPr>
                <w:rFonts w:ascii="Arial" w:hAnsi="Arial" w:cs="Arial" w:eastAsia="Arial" w:hint="default"/>
                <w:w w:val="99"/>
                <w:sz w:val="24"/>
                <w:szCs w:val="24"/>
              </w:rPr>
              <w:t>5%</w:t>
            </w:r>
            <w:r>
              <w:rPr>
                <w:rFonts w:ascii="宋体" w:hAnsi="宋体" w:cs="宋体" w:eastAsia="宋体" w:hint="default"/>
                <w:w w:val="99"/>
                <w:sz w:val="24"/>
                <w:szCs w:val="24"/>
              </w:rPr>
              <w:t>；</w:t>
            </w:r>
            <w:r>
              <w:rPr>
                <w:rFonts w:ascii="宋体" w:hAnsi="宋体" w:cs="宋体" w:eastAsia="宋体" w:hint="default"/>
                <w:sz w:val="24"/>
                <w:szCs w:val="24"/>
              </w:rPr>
              <w:t> </w:t>
            </w:r>
            <w:r>
              <w:rPr>
                <w:rFonts w:ascii="宋体" w:hAnsi="宋体" w:cs="宋体" w:eastAsia="宋体" w:hint="default"/>
                <w:spacing w:val="-7"/>
                <w:sz w:val="24"/>
                <w:szCs w:val="24"/>
              </w:rPr>
              <w:t>所在地不在市区、县城或者镇的，</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税率为</w:t>
            </w:r>
            <w:r>
              <w:rPr>
                <w:rFonts w:ascii="宋体" w:hAnsi="宋体" w:cs="宋体" w:eastAsia="宋体" w:hint="default"/>
                <w:spacing w:val="-61"/>
                <w:sz w:val="24"/>
                <w:szCs w:val="24"/>
              </w:rPr>
              <w:t> </w:t>
            </w:r>
            <w:r>
              <w:rPr>
                <w:rFonts w:ascii="Arial" w:hAnsi="Arial" w:cs="Arial" w:eastAsia="Arial" w:hint="default"/>
                <w:sz w:val="24"/>
                <w:szCs w:val="24"/>
              </w:rPr>
              <w:t>1%</w:t>
            </w:r>
            <w:r>
              <w:rPr>
                <w:rFonts w:ascii="宋体" w:hAnsi="宋体" w:cs="宋体" w:eastAsia="宋体" w:hint="default"/>
                <w:sz w:val="24"/>
                <w:szCs w:val="24"/>
              </w:rPr>
              <w:t>。</w:t>
            </w:r>
          </w:p>
        </w:tc>
      </w:tr>
      <w:tr>
        <w:trPr>
          <w:trHeight w:val="1053" w:hRule="exact"/>
        </w:trPr>
        <w:tc>
          <w:tcPr>
            <w:tcW w:w="710"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16"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767" w:type="dxa"/>
            <w:tcBorders>
              <w:top w:val="nil" w:sz="6" w:space="0" w:color="auto"/>
              <w:left w:val="nil" w:sz="6" w:space="0" w:color="auto"/>
              <w:bottom w:val="nil" w:sz="6" w:space="0" w:color="auto"/>
              <w:right w:val="nil" w:sz="6" w:space="0" w:color="auto"/>
            </w:tcBorders>
          </w:tcPr>
          <w:p>
            <w:pPr>
              <w:pStyle w:val="TableParagraph"/>
              <w:spacing w:line="310" w:lineRule="exact" w:before="210"/>
              <w:ind w:left="153" w:right="416"/>
              <w:jc w:val="left"/>
              <w:rPr>
                <w:rFonts w:ascii="宋体" w:hAnsi="宋体" w:cs="宋体" w:eastAsia="宋体" w:hint="default"/>
                <w:sz w:val="24"/>
                <w:szCs w:val="24"/>
              </w:rPr>
            </w:pPr>
            <w:r>
              <w:rPr>
                <w:rFonts w:ascii="宋体" w:hAnsi="宋体" w:cs="宋体" w:eastAsia="宋体" w:hint="default"/>
                <w:spacing w:val="3"/>
                <w:sz w:val="24"/>
                <w:szCs w:val="24"/>
              </w:rPr>
              <w:t>应缴纳的增值税、营</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业税及消费税税额</w:t>
            </w:r>
          </w:p>
        </w:tc>
        <w:tc>
          <w:tcPr>
            <w:tcW w:w="3936"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29" w:right="0"/>
              <w:jc w:val="left"/>
              <w:rPr>
                <w:rFonts w:ascii="Arial" w:hAnsi="Arial" w:cs="Arial" w:eastAsia="Arial" w:hint="default"/>
                <w:sz w:val="24"/>
                <w:szCs w:val="24"/>
              </w:rPr>
            </w:pPr>
            <w:r>
              <w:rPr>
                <w:rFonts w:ascii="Arial"/>
                <w:sz w:val="24"/>
              </w:rPr>
              <w:t>3%</w:t>
            </w:r>
          </w:p>
        </w:tc>
      </w:tr>
      <w:tr>
        <w:trPr>
          <w:trHeight w:val="1062" w:hRule="exact"/>
        </w:trPr>
        <w:tc>
          <w:tcPr>
            <w:tcW w:w="710"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216" w:right="0"/>
              <w:jc w:val="left"/>
              <w:rPr>
                <w:rFonts w:ascii="宋体" w:hAnsi="宋体" w:cs="宋体" w:eastAsia="宋体" w:hint="default"/>
                <w:sz w:val="24"/>
                <w:szCs w:val="24"/>
              </w:rPr>
            </w:pPr>
            <w:r>
              <w:rPr>
                <w:rFonts w:ascii="宋体" w:hAnsi="宋体" w:cs="宋体" w:eastAsia="宋体" w:hint="default"/>
                <w:sz w:val="24"/>
                <w:szCs w:val="24"/>
              </w:rPr>
              <w:t>地方教育费附加</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0" w:lineRule="exact"/>
              <w:ind w:left="153" w:right="416"/>
              <w:jc w:val="left"/>
              <w:rPr>
                <w:rFonts w:ascii="宋体" w:hAnsi="宋体" w:cs="宋体" w:eastAsia="宋体" w:hint="default"/>
                <w:sz w:val="24"/>
                <w:szCs w:val="24"/>
              </w:rPr>
            </w:pPr>
            <w:r>
              <w:rPr>
                <w:rFonts w:ascii="宋体" w:hAnsi="宋体" w:cs="宋体" w:eastAsia="宋体" w:hint="default"/>
                <w:spacing w:val="3"/>
                <w:sz w:val="24"/>
                <w:szCs w:val="24"/>
              </w:rPr>
              <w:t>应缴纳的增值税、营</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业税及消费税税额</w:t>
            </w:r>
          </w:p>
        </w:tc>
        <w:tc>
          <w:tcPr>
            <w:tcW w:w="39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9" w:right="0"/>
              <w:jc w:val="left"/>
              <w:rPr>
                <w:rFonts w:ascii="Arial" w:hAnsi="Arial" w:cs="Arial" w:eastAsia="Arial" w:hint="default"/>
                <w:sz w:val="24"/>
                <w:szCs w:val="24"/>
              </w:rPr>
            </w:pPr>
            <w:r>
              <w:rPr>
                <w:rFonts w:ascii="Arial"/>
                <w:sz w:val="24"/>
              </w:rPr>
              <w:t>2%</w:t>
            </w:r>
          </w:p>
        </w:tc>
      </w:tr>
      <w:tr>
        <w:trPr>
          <w:trHeight w:val="744" w:hRule="exact"/>
        </w:trPr>
        <w:tc>
          <w:tcPr>
            <w:tcW w:w="710"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216" w:right="0"/>
              <w:jc w:val="left"/>
              <w:rPr>
                <w:rFonts w:ascii="宋体" w:hAnsi="宋体" w:cs="宋体" w:eastAsia="宋体" w:hint="default"/>
                <w:sz w:val="24"/>
                <w:szCs w:val="24"/>
              </w:rPr>
            </w:pPr>
            <w:r>
              <w:rPr>
                <w:rFonts w:ascii="宋体" w:hAnsi="宋体" w:cs="宋体" w:eastAsia="宋体" w:hint="default"/>
                <w:sz w:val="24"/>
                <w:szCs w:val="24"/>
              </w:rPr>
              <w:t>境外子公司：</w:t>
            </w:r>
          </w:p>
        </w:tc>
        <w:tc>
          <w:tcPr>
            <w:tcW w:w="2767" w:type="dxa"/>
            <w:tcBorders>
              <w:top w:val="nil" w:sz="6" w:space="0" w:color="auto"/>
              <w:left w:val="nil" w:sz="6" w:space="0" w:color="auto"/>
              <w:bottom w:val="nil" w:sz="6" w:space="0" w:color="auto"/>
              <w:right w:val="nil" w:sz="6" w:space="0" w:color="auto"/>
            </w:tcBorders>
          </w:tcPr>
          <w:p>
            <w:pPr/>
          </w:p>
        </w:tc>
        <w:tc>
          <w:tcPr>
            <w:tcW w:w="3936" w:type="dxa"/>
            <w:tcBorders>
              <w:top w:val="nil" w:sz="6" w:space="0" w:color="auto"/>
              <w:left w:val="nil" w:sz="6" w:space="0" w:color="auto"/>
              <w:bottom w:val="nil" w:sz="6" w:space="0" w:color="auto"/>
              <w:right w:val="nil" w:sz="6" w:space="0" w:color="auto"/>
            </w:tcBorders>
          </w:tcPr>
          <w:p>
            <w:pPr/>
          </w:p>
        </w:tc>
      </w:tr>
      <w:tr>
        <w:trPr>
          <w:trHeight w:val="885" w:hRule="exact"/>
        </w:trPr>
        <w:tc>
          <w:tcPr>
            <w:tcW w:w="710"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16" w:right="0"/>
              <w:jc w:val="left"/>
              <w:rPr>
                <w:rFonts w:ascii="宋体" w:hAnsi="宋体" w:cs="宋体" w:eastAsia="宋体" w:hint="default"/>
                <w:sz w:val="24"/>
                <w:szCs w:val="24"/>
              </w:rPr>
            </w:pPr>
            <w:r>
              <w:rPr>
                <w:rFonts w:ascii="宋体" w:hAnsi="宋体" w:cs="宋体" w:eastAsia="宋体" w:hint="default"/>
                <w:sz w:val="24"/>
                <w:szCs w:val="24"/>
              </w:rPr>
              <w:t>香港利得税</w:t>
            </w:r>
          </w:p>
        </w:tc>
        <w:tc>
          <w:tcPr>
            <w:tcW w:w="2767" w:type="dxa"/>
            <w:tcBorders>
              <w:top w:val="nil" w:sz="6" w:space="0" w:color="auto"/>
              <w:left w:val="nil" w:sz="6" w:space="0" w:color="auto"/>
              <w:bottom w:val="nil" w:sz="6" w:space="0" w:color="auto"/>
              <w:right w:val="nil" w:sz="6" w:space="0" w:color="auto"/>
            </w:tcBorders>
          </w:tcPr>
          <w:p>
            <w:pPr>
              <w:pStyle w:val="TableParagraph"/>
              <w:spacing w:line="312" w:lineRule="exact" w:before="213"/>
              <w:ind w:left="153" w:right="227"/>
              <w:jc w:val="left"/>
              <w:rPr>
                <w:rFonts w:ascii="宋体" w:hAnsi="宋体" w:cs="宋体" w:eastAsia="宋体" w:hint="default"/>
                <w:sz w:val="24"/>
                <w:szCs w:val="24"/>
              </w:rPr>
            </w:pPr>
            <w:r>
              <w:rPr>
                <w:rFonts w:ascii="宋体" w:hAnsi="宋体" w:cs="宋体" w:eastAsia="宋体" w:hint="default"/>
                <w:spacing w:val="24"/>
                <w:sz w:val="24"/>
                <w:szCs w:val="24"/>
              </w:rPr>
              <w:t>在香港地区产生的利</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得</w:t>
            </w:r>
          </w:p>
        </w:tc>
        <w:tc>
          <w:tcPr>
            <w:tcW w:w="393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9" w:right="0"/>
              <w:jc w:val="left"/>
              <w:rPr>
                <w:rFonts w:ascii="Arial" w:hAnsi="Arial" w:cs="Arial" w:eastAsia="Arial" w:hint="default"/>
                <w:sz w:val="24"/>
                <w:szCs w:val="24"/>
              </w:rPr>
            </w:pPr>
            <w:r>
              <w:rPr>
                <w:rFonts w:ascii="Arial"/>
                <w:sz w:val="24"/>
              </w:rPr>
              <w:t>16.5%</w:t>
            </w:r>
          </w:p>
        </w:tc>
      </w:tr>
      <w:tr>
        <w:trPr>
          <w:trHeight w:val="876" w:hRule="exact"/>
        </w:trPr>
        <w:tc>
          <w:tcPr>
            <w:tcW w:w="710"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1"/>
              <w:ind w:left="216" w:right="0"/>
              <w:jc w:val="left"/>
              <w:rPr>
                <w:rFonts w:ascii="宋体" w:hAnsi="宋体" w:cs="宋体" w:eastAsia="宋体" w:hint="default"/>
                <w:sz w:val="24"/>
                <w:szCs w:val="24"/>
              </w:rPr>
            </w:pPr>
            <w:r>
              <w:rPr>
                <w:rFonts w:ascii="宋体" w:hAnsi="宋体" w:cs="宋体" w:eastAsia="宋体" w:hint="default"/>
                <w:sz w:val="24"/>
                <w:szCs w:val="24"/>
              </w:rPr>
              <w:t>开曼</w:t>
            </w:r>
          </w:p>
        </w:tc>
        <w:tc>
          <w:tcPr>
            <w:tcW w:w="2767" w:type="dxa"/>
            <w:tcBorders>
              <w:top w:val="nil" w:sz="6" w:space="0" w:color="auto"/>
              <w:left w:val="nil" w:sz="6" w:space="0" w:color="auto"/>
              <w:bottom w:val="nil" w:sz="6" w:space="0" w:color="auto"/>
              <w:right w:val="nil" w:sz="6" w:space="0" w:color="auto"/>
            </w:tcBorders>
          </w:tcPr>
          <w:p>
            <w:pPr/>
          </w:p>
        </w:tc>
        <w:tc>
          <w:tcPr>
            <w:tcW w:w="3936"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29" w:right="316"/>
              <w:jc w:val="left"/>
              <w:rPr>
                <w:rFonts w:ascii="宋体" w:hAnsi="宋体" w:cs="宋体" w:eastAsia="宋体" w:hint="default"/>
                <w:sz w:val="24"/>
                <w:szCs w:val="24"/>
              </w:rPr>
            </w:pPr>
            <w:r>
              <w:rPr>
                <w:rFonts w:ascii="宋体" w:hAnsi="宋体" w:cs="宋体" w:eastAsia="宋体" w:hint="default"/>
                <w:sz w:val="24"/>
                <w:szCs w:val="24"/>
              </w:rPr>
              <w:t>目前未对开曼公司的企业利润、</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资本利得、工资等征税。</w:t>
            </w:r>
          </w:p>
        </w:tc>
      </w:tr>
      <w:tr>
        <w:trPr>
          <w:trHeight w:val="808" w:hRule="exact"/>
        </w:trPr>
        <w:tc>
          <w:tcPr>
            <w:tcW w:w="710"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216" w:right="0"/>
              <w:jc w:val="left"/>
              <w:rPr>
                <w:rFonts w:ascii="宋体" w:hAnsi="宋体" w:cs="宋体" w:eastAsia="宋体" w:hint="default"/>
                <w:sz w:val="24"/>
                <w:szCs w:val="24"/>
              </w:rPr>
            </w:pPr>
            <w:r>
              <w:rPr>
                <w:rFonts w:ascii="宋体" w:hAnsi="宋体" w:cs="宋体" w:eastAsia="宋体" w:hint="default"/>
                <w:sz w:val="24"/>
                <w:szCs w:val="24"/>
              </w:rPr>
              <w:t>日本企业所得税</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0" w:lineRule="exact"/>
              <w:ind w:left="153" w:right="227"/>
              <w:jc w:val="left"/>
              <w:rPr>
                <w:rFonts w:ascii="宋体" w:hAnsi="宋体" w:cs="宋体" w:eastAsia="宋体" w:hint="default"/>
                <w:sz w:val="24"/>
                <w:szCs w:val="24"/>
              </w:rPr>
            </w:pPr>
            <w:r>
              <w:rPr>
                <w:rFonts w:ascii="宋体" w:hAnsi="宋体" w:cs="宋体" w:eastAsia="宋体" w:hint="default"/>
                <w:spacing w:val="24"/>
                <w:sz w:val="24"/>
                <w:szCs w:val="24"/>
              </w:rPr>
              <w:t>在日本地区产生的利</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得</w:t>
            </w:r>
          </w:p>
        </w:tc>
        <w:tc>
          <w:tcPr>
            <w:tcW w:w="39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9" w:right="0"/>
              <w:jc w:val="left"/>
              <w:rPr>
                <w:rFonts w:ascii="Arial" w:hAnsi="Arial" w:cs="Arial" w:eastAsia="Arial" w:hint="default"/>
                <w:sz w:val="24"/>
                <w:szCs w:val="24"/>
              </w:rPr>
            </w:pPr>
            <w:r>
              <w:rPr>
                <w:rFonts w:ascii="Arial"/>
                <w:sz w:val="24"/>
              </w:rPr>
              <w:t>35.64%</w:t>
            </w:r>
          </w:p>
        </w:tc>
      </w:tr>
    </w:tbl>
    <w:p>
      <w:pPr>
        <w:spacing w:after="0" w:line="240" w:lineRule="auto"/>
        <w:jc w:val="left"/>
        <w:rPr>
          <w:rFonts w:ascii="Arial" w:hAnsi="Arial" w:cs="Arial" w:eastAsia="Arial" w:hint="default"/>
          <w:sz w:val="24"/>
          <w:szCs w:val="24"/>
        </w:rPr>
        <w:sectPr>
          <w:footerReference w:type="default" r:id="rId63"/>
          <w:pgSz w:w="11910" w:h="16850"/>
          <w:pgMar w:footer="708" w:header="795" w:top="2020" w:bottom="900" w:left="1420" w:right="0"/>
          <w:pgNumType w:start="123"/>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3016" type="#_x0000_t75" stroked="false">
            <v:imagedata r:id="rId10" o:title=""/>
          </v:shape>
        </w:pict>
      </w:r>
    </w:p>
    <w:p>
      <w:pPr>
        <w:spacing w:line="240" w:lineRule="auto" w:before="4"/>
        <w:rPr>
          <w:rFonts w:ascii="Times New Roman" w:hAnsi="Times New Roman" w:cs="Times New Roman" w:eastAsia="Times New Roman"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710"/>
        <w:gridCol w:w="8527"/>
      </w:tblGrid>
      <w:tr>
        <w:trPr>
          <w:trHeight w:val="495"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8527" w:type="dxa"/>
            <w:tcBorders>
              <w:top w:val="nil" w:sz="6" w:space="0" w:color="auto"/>
              <w:left w:val="nil" w:sz="6" w:space="0" w:color="auto"/>
              <w:bottom w:val="nil" w:sz="6" w:space="0" w:color="auto"/>
              <w:right w:val="nil" w:sz="6" w:space="0" w:color="auto"/>
            </w:tcBorders>
          </w:tcPr>
          <w:p>
            <w:pPr>
              <w:pStyle w:val="TableParagraph"/>
              <w:spacing w:line="257" w:lineRule="exact"/>
              <w:ind w:left="216"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6"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4"/>
              <w:jc w:val="center"/>
              <w:rPr>
                <w:rFonts w:ascii="Arial" w:hAnsi="Arial" w:cs="Arial" w:eastAsia="Arial" w:hint="default"/>
                <w:sz w:val="24"/>
                <w:szCs w:val="24"/>
              </w:rPr>
            </w:pPr>
            <w:r>
              <w:rPr>
                <w:rFonts w:ascii="Arial"/>
                <w:sz w:val="24"/>
              </w:rPr>
              <w:t>(1)</w:t>
            </w: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6" w:right="0"/>
              <w:jc w:val="left"/>
              <w:rPr>
                <w:rFonts w:ascii="黑体" w:hAnsi="黑体" w:cs="黑体" w:eastAsia="黑体" w:hint="default"/>
                <w:sz w:val="24"/>
                <w:szCs w:val="24"/>
              </w:rPr>
            </w:pPr>
            <w:r>
              <w:rPr>
                <w:rFonts w:ascii="黑体" w:hAnsi="黑体" w:cs="黑体" w:eastAsia="黑体" w:hint="default"/>
                <w:sz w:val="24"/>
                <w:szCs w:val="24"/>
              </w:rPr>
              <w:t>本集团适用的主要税种及其税率列示如下</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r>
              <w:rPr>
                <w:rFonts w:ascii="黑体" w:hAnsi="黑体" w:cs="黑体" w:eastAsia="黑体" w:hint="default"/>
                <w:sz w:val="24"/>
                <w:szCs w:val="24"/>
              </w:rPr>
              <w:t>：</w:t>
            </w:r>
          </w:p>
        </w:tc>
      </w:tr>
      <w:tr>
        <w:trPr>
          <w:trHeight w:val="2683"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4"/>
              <w:jc w:val="center"/>
              <w:rPr>
                <w:rFonts w:ascii="Arial" w:hAnsi="Arial" w:cs="Arial" w:eastAsia="Arial" w:hint="default"/>
                <w:sz w:val="24"/>
                <w:szCs w:val="24"/>
              </w:rPr>
            </w:pPr>
            <w:r>
              <w:rPr>
                <w:rFonts w:ascii="Arial"/>
                <w:sz w:val="24"/>
              </w:rPr>
              <w:t>(a)</w:t>
            </w:r>
          </w:p>
        </w:tc>
        <w:tc>
          <w:tcPr>
            <w:tcW w:w="8527" w:type="dxa"/>
            <w:tcBorders>
              <w:top w:val="nil" w:sz="6" w:space="0" w:color="auto"/>
              <w:left w:val="nil" w:sz="6" w:space="0" w:color="auto"/>
              <w:bottom w:val="nil" w:sz="6" w:space="0" w:color="auto"/>
              <w:right w:val="nil" w:sz="6" w:space="0" w:color="auto"/>
            </w:tcBorders>
          </w:tcPr>
          <w:p>
            <w:pPr>
              <w:pStyle w:val="TableParagraph"/>
              <w:spacing w:line="228" w:lineRule="auto" w:before="191"/>
              <w:ind w:left="216" w:right="198"/>
              <w:jc w:val="left"/>
              <w:rPr>
                <w:rFonts w:ascii="宋体" w:hAnsi="宋体" w:cs="宋体" w:eastAsia="宋体" w:hint="default"/>
                <w:sz w:val="24"/>
                <w:szCs w:val="24"/>
              </w:rPr>
            </w:pPr>
            <w:r>
              <w:rPr>
                <w:rFonts w:ascii="宋体" w:hAnsi="宋体" w:cs="宋体" w:eastAsia="宋体" w:hint="default"/>
                <w:spacing w:val="-2"/>
                <w:sz w:val="24"/>
                <w:szCs w:val="24"/>
              </w:rPr>
              <w:t>根据财政部、国家税务总局关于印发《营业税改征增值税试点方案》的通知》</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Arial" w:hAnsi="Arial" w:cs="Arial" w:eastAsia="Arial" w:hint="default"/>
                <w:spacing w:val="-7"/>
                <w:sz w:val="24"/>
                <w:szCs w:val="24"/>
              </w:rPr>
              <w:t>(</w:t>
            </w:r>
            <w:r>
              <w:rPr>
                <w:rFonts w:ascii="宋体" w:hAnsi="宋体" w:cs="宋体" w:eastAsia="宋体" w:hint="default"/>
                <w:spacing w:val="-7"/>
                <w:sz w:val="24"/>
                <w:szCs w:val="24"/>
              </w:rPr>
              <w:t>财税【</w:t>
            </w:r>
            <w:r>
              <w:rPr>
                <w:rFonts w:ascii="Arial" w:hAnsi="Arial" w:cs="Arial" w:eastAsia="Arial" w:hint="default"/>
                <w:spacing w:val="-7"/>
                <w:sz w:val="24"/>
                <w:szCs w:val="24"/>
              </w:rPr>
              <w:t>2011</w:t>
            </w:r>
            <w:r>
              <w:rPr>
                <w:rFonts w:ascii="宋体" w:hAnsi="宋体" w:cs="宋体" w:eastAsia="宋体" w:hint="default"/>
                <w:spacing w:val="-7"/>
                <w:sz w:val="24"/>
                <w:szCs w:val="24"/>
              </w:rPr>
              <w:t>】</w:t>
            </w:r>
            <w:r>
              <w:rPr>
                <w:rFonts w:ascii="Arial" w:hAnsi="Arial" w:cs="Arial" w:eastAsia="Arial" w:hint="default"/>
                <w:spacing w:val="-7"/>
                <w:sz w:val="24"/>
                <w:szCs w:val="24"/>
              </w:rPr>
              <w:t>110 </w:t>
            </w:r>
            <w:r>
              <w:rPr>
                <w:rFonts w:ascii="宋体" w:hAnsi="宋体" w:cs="宋体" w:eastAsia="宋体" w:hint="default"/>
                <w:spacing w:val="-3"/>
                <w:sz w:val="24"/>
                <w:szCs w:val="24"/>
              </w:rPr>
              <w:t>号</w:t>
            </w:r>
            <w:r>
              <w:rPr>
                <w:rFonts w:ascii="Arial" w:hAnsi="Arial" w:cs="Arial" w:eastAsia="Arial" w:hint="default"/>
                <w:spacing w:val="-3"/>
                <w:sz w:val="24"/>
                <w:szCs w:val="24"/>
              </w:rPr>
              <w:t>)</w:t>
            </w:r>
            <w:r>
              <w:rPr>
                <w:rFonts w:ascii="宋体" w:hAnsi="宋体" w:cs="宋体" w:eastAsia="宋体" w:hint="default"/>
                <w:spacing w:val="-3"/>
                <w:sz w:val="24"/>
                <w:szCs w:val="24"/>
              </w:rPr>
              <w:t>，财政部、国家税务总局《关于在上海市开展交通运输</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业和部分现代服务业营业税改征增值税试点的通知》</w:t>
            </w:r>
            <w:r>
              <w:rPr>
                <w:rFonts w:ascii="Arial" w:hAnsi="Arial" w:cs="Arial" w:eastAsia="Arial" w:hint="default"/>
                <w:sz w:val="24"/>
                <w:szCs w:val="24"/>
              </w:rPr>
              <w:t>(</w:t>
            </w:r>
            <w:r>
              <w:rPr>
                <w:rFonts w:ascii="宋体" w:hAnsi="宋体" w:cs="宋体" w:eastAsia="宋体" w:hint="default"/>
                <w:sz w:val="24"/>
                <w:szCs w:val="24"/>
              </w:rPr>
              <w:t>财税【</w:t>
            </w:r>
            <w:r>
              <w:rPr>
                <w:rFonts w:ascii="Arial" w:hAnsi="Arial" w:cs="Arial" w:eastAsia="Arial" w:hint="default"/>
                <w:sz w:val="24"/>
                <w:szCs w:val="24"/>
              </w:rPr>
              <w:t>2011</w:t>
            </w:r>
            <w:r>
              <w:rPr>
                <w:rFonts w:ascii="宋体" w:hAnsi="宋体" w:cs="宋体" w:eastAsia="宋体" w:hint="default"/>
                <w:sz w:val="24"/>
                <w:szCs w:val="24"/>
              </w:rPr>
              <w:t>】</w:t>
            </w:r>
            <w:r>
              <w:rPr>
                <w:rFonts w:ascii="Arial" w:hAnsi="Arial" w:cs="Arial" w:eastAsia="Arial" w:hint="default"/>
                <w:sz w:val="24"/>
                <w:szCs w:val="24"/>
              </w:rPr>
              <w:t>111 </w:t>
            </w:r>
            <w:r>
              <w:rPr>
                <w:rFonts w:ascii="宋体" w:hAnsi="宋体" w:cs="宋体" w:eastAsia="宋体" w:hint="default"/>
                <w:sz w:val="24"/>
                <w:szCs w:val="24"/>
              </w:rPr>
              <w:t>号</w:t>
            </w:r>
            <w:r>
              <w:rPr>
                <w:rFonts w:ascii="Arial" w:hAnsi="Arial" w:cs="Arial" w:eastAsia="Arial" w:hint="default"/>
                <w:sz w:val="24"/>
                <w:szCs w:val="24"/>
              </w:rPr>
              <w:t>)</w:t>
            </w:r>
            <w:r>
              <w:rPr>
                <w:rFonts w:ascii="Arial" w:hAnsi="Arial" w:cs="Arial" w:eastAsia="Arial" w:hint="default"/>
                <w:spacing w:val="-34"/>
                <w:sz w:val="24"/>
                <w:szCs w:val="24"/>
              </w:rPr>
              <w:t> </w:t>
            </w:r>
            <w:r>
              <w:rPr>
                <w:rFonts w:ascii="宋体" w:hAnsi="宋体" w:cs="宋体" w:eastAsia="宋体" w:hint="default"/>
                <w:sz w:val="24"/>
                <w:szCs w:val="24"/>
              </w:rPr>
              <w:t>以及财政部、国家税务总局关于在北京市等 </w:t>
            </w:r>
            <w:r>
              <w:rPr>
                <w:rFonts w:ascii="Arial" w:hAnsi="Arial" w:cs="Arial" w:eastAsia="Arial" w:hint="default"/>
                <w:sz w:val="24"/>
                <w:szCs w:val="24"/>
              </w:rPr>
              <w:t>8</w:t>
            </w:r>
            <w:r>
              <w:rPr>
                <w:rFonts w:ascii="Arial" w:hAnsi="Arial" w:cs="Arial" w:eastAsia="Arial" w:hint="default"/>
                <w:spacing w:val="-10"/>
                <w:sz w:val="24"/>
                <w:szCs w:val="24"/>
              </w:rPr>
              <w:t> </w:t>
            </w:r>
            <w:r>
              <w:rPr>
                <w:rFonts w:ascii="宋体" w:hAnsi="宋体" w:cs="宋体" w:eastAsia="宋体" w:hint="default"/>
                <w:sz w:val="24"/>
                <w:szCs w:val="24"/>
              </w:rPr>
              <w:t>省市开展交通运输业和部分现 代服务业营业税改征增值税试点的通知</w:t>
            </w:r>
            <w:r>
              <w:rPr>
                <w:rFonts w:ascii="Arial" w:hAnsi="Arial" w:cs="Arial" w:eastAsia="Arial" w:hint="default"/>
                <w:sz w:val="24"/>
                <w:szCs w:val="24"/>
              </w:rPr>
              <w:t>(</w:t>
            </w:r>
            <w:r>
              <w:rPr>
                <w:rFonts w:ascii="宋体" w:hAnsi="宋体" w:cs="宋体" w:eastAsia="宋体" w:hint="default"/>
                <w:sz w:val="24"/>
                <w:szCs w:val="24"/>
              </w:rPr>
              <w:t>财税【</w:t>
            </w:r>
            <w:r>
              <w:rPr>
                <w:rFonts w:ascii="Arial" w:hAnsi="Arial" w:cs="Arial" w:eastAsia="Arial" w:hint="default"/>
                <w:sz w:val="24"/>
                <w:szCs w:val="24"/>
              </w:rPr>
              <w:t>2012</w:t>
            </w:r>
            <w:r>
              <w:rPr>
                <w:rFonts w:ascii="宋体" w:hAnsi="宋体" w:cs="宋体" w:eastAsia="宋体" w:hint="default"/>
                <w:sz w:val="24"/>
                <w:szCs w:val="24"/>
              </w:rPr>
              <w:t>】</w:t>
            </w:r>
            <w:r>
              <w:rPr>
                <w:rFonts w:ascii="Arial" w:hAnsi="Arial" w:cs="Arial" w:eastAsia="Arial" w:hint="default"/>
                <w:sz w:val="24"/>
                <w:szCs w:val="24"/>
              </w:rPr>
              <w:t>71</w:t>
            </w:r>
            <w:r>
              <w:rPr>
                <w:rFonts w:ascii="Arial" w:hAnsi="Arial" w:cs="Arial" w:eastAsia="Arial" w:hint="default"/>
                <w:spacing w:val="-3"/>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自营改增试点实</w:t>
            </w:r>
          </w:p>
          <w:p>
            <w:pPr>
              <w:pStyle w:val="TableParagraph"/>
              <w:spacing w:line="312" w:lineRule="exact" w:before="11"/>
              <w:ind w:left="216" w:right="317"/>
              <w:jc w:val="both"/>
              <w:rPr>
                <w:rFonts w:ascii="宋体" w:hAnsi="宋体" w:cs="宋体" w:eastAsia="宋体" w:hint="default"/>
                <w:sz w:val="24"/>
                <w:szCs w:val="24"/>
              </w:rPr>
            </w:pPr>
            <w:r>
              <w:rPr>
                <w:rFonts w:ascii="宋体" w:hAnsi="宋体" w:cs="宋体" w:eastAsia="宋体" w:hint="default"/>
                <w:sz w:val="24"/>
                <w:szCs w:val="24"/>
              </w:rPr>
              <w:t>施日期起，本集团下属注册地为上海，北京，江苏省，福建省以及湖北省等</w:t>
            </w:r>
            <w:r>
              <w:rPr>
                <w:rFonts w:ascii="宋体" w:hAnsi="宋体" w:cs="宋体" w:eastAsia="宋体" w:hint="default"/>
                <w:spacing w:val="-59"/>
                <w:sz w:val="24"/>
                <w:szCs w:val="24"/>
              </w:rPr>
              <w:t> </w:t>
            </w:r>
            <w:r>
              <w:rPr>
                <w:rFonts w:ascii="宋体" w:hAnsi="宋体" w:cs="宋体" w:eastAsia="宋体" w:hint="default"/>
                <w:spacing w:val="-59"/>
                <w:sz w:val="24"/>
                <w:szCs w:val="24"/>
              </w:rPr>
            </w:r>
            <w:r>
              <w:rPr>
                <w:rFonts w:ascii="宋体" w:hAnsi="宋体" w:cs="宋体" w:eastAsia="宋体" w:hint="default"/>
                <w:sz w:val="24"/>
                <w:szCs w:val="24"/>
              </w:rPr>
              <w:t>地的部分子公司的仓储服务以及力资服务业务收入适用增值税，增值税一般</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纳税人税率为</w:t>
            </w:r>
            <w:r>
              <w:rPr>
                <w:rFonts w:ascii="宋体" w:hAnsi="宋体" w:cs="宋体" w:eastAsia="宋体" w:hint="default"/>
                <w:spacing w:val="-61"/>
                <w:sz w:val="24"/>
                <w:szCs w:val="24"/>
              </w:rPr>
              <w:t> </w:t>
            </w:r>
            <w:r>
              <w:rPr>
                <w:rFonts w:ascii="Arial" w:hAnsi="Arial" w:cs="Arial" w:eastAsia="Arial" w:hint="default"/>
                <w:sz w:val="24"/>
                <w:szCs w:val="24"/>
              </w:rPr>
              <w:t>6%</w:t>
            </w:r>
            <w:r>
              <w:rPr>
                <w:rFonts w:ascii="宋体" w:hAnsi="宋体" w:cs="宋体" w:eastAsia="宋体"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710"/>
        <w:gridCol w:w="8409"/>
      </w:tblGrid>
      <w:tr>
        <w:trPr>
          <w:trHeight w:val="497"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5" w:lineRule="exact"/>
              <w:ind w:right="14"/>
              <w:jc w:val="center"/>
              <w:rPr>
                <w:rFonts w:ascii="Arial" w:hAnsi="Arial" w:cs="Arial" w:eastAsia="Arial" w:hint="default"/>
                <w:sz w:val="24"/>
                <w:szCs w:val="24"/>
              </w:rPr>
            </w:pPr>
            <w:r>
              <w:rPr>
                <w:rFonts w:ascii="Arial"/>
                <w:sz w:val="24"/>
              </w:rPr>
              <w:t>(2)</w:t>
            </w:r>
          </w:p>
        </w:tc>
        <w:tc>
          <w:tcPr>
            <w:tcW w:w="8409" w:type="dxa"/>
            <w:tcBorders>
              <w:top w:val="nil" w:sz="6" w:space="0" w:color="auto"/>
              <w:left w:val="nil" w:sz="6" w:space="0" w:color="auto"/>
              <w:bottom w:val="nil" w:sz="6" w:space="0" w:color="auto"/>
              <w:right w:val="nil" w:sz="6" w:space="0" w:color="auto"/>
            </w:tcBorders>
          </w:tcPr>
          <w:p>
            <w:pPr>
              <w:pStyle w:val="TableParagraph"/>
              <w:spacing w:line="247" w:lineRule="exact"/>
              <w:ind w:left="216" w:right="0"/>
              <w:jc w:val="left"/>
              <w:rPr>
                <w:rFonts w:ascii="黑体" w:hAnsi="黑体" w:cs="黑体" w:eastAsia="黑体" w:hint="default"/>
                <w:sz w:val="24"/>
                <w:szCs w:val="24"/>
              </w:rPr>
            </w:pPr>
            <w:r>
              <w:rPr>
                <w:rFonts w:ascii="黑体" w:hAnsi="黑体" w:cs="黑体" w:eastAsia="黑体" w:hint="default"/>
                <w:sz w:val="24"/>
                <w:szCs w:val="24"/>
              </w:rPr>
              <w:t>税收优惠及批文</w:t>
            </w:r>
          </w:p>
        </w:tc>
      </w:tr>
      <w:tr>
        <w:trPr>
          <w:trHeight w:val="750"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4"/>
              <w:jc w:val="center"/>
              <w:rPr>
                <w:rFonts w:ascii="Arial" w:hAnsi="Arial" w:cs="Arial" w:eastAsia="Arial" w:hint="default"/>
                <w:sz w:val="24"/>
                <w:szCs w:val="24"/>
              </w:rPr>
            </w:pPr>
            <w:r>
              <w:rPr>
                <w:rFonts w:ascii="Arial"/>
                <w:sz w:val="24"/>
              </w:rPr>
              <w:t>(a)</w:t>
            </w:r>
          </w:p>
        </w:tc>
        <w:tc>
          <w:tcPr>
            <w:tcW w:w="8409"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16" w:right="0"/>
              <w:jc w:val="left"/>
              <w:rPr>
                <w:rFonts w:ascii="宋体" w:hAnsi="宋体" w:cs="宋体" w:eastAsia="宋体" w:hint="default"/>
                <w:sz w:val="24"/>
                <w:szCs w:val="24"/>
              </w:rPr>
            </w:pPr>
            <w:r>
              <w:rPr>
                <w:rFonts w:ascii="宋体" w:hAnsi="宋体" w:cs="宋体" w:eastAsia="宋体" w:hint="default"/>
                <w:sz w:val="24"/>
                <w:szCs w:val="24"/>
              </w:rPr>
              <w:t>西部大开发税收优惠政策</w:t>
            </w:r>
          </w:p>
        </w:tc>
      </w:tr>
      <w:tr>
        <w:trPr>
          <w:trHeight w:val="4586" w:hRule="exact"/>
        </w:trPr>
        <w:tc>
          <w:tcPr>
            <w:tcW w:w="710"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232" w:lineRule="auto" w:before="187"/>
              <w:ind w:left="216" w:right="198"/>
              <w:jc w:val="both"/>
              <w:rPr>
                <w:rFonts w:ascii="宋体" w:hAnsi="宋体" w:cs="宋体" w:eastAsia="宋体" w:hint="default"/>
                <w:sz w:val="24"/>
                <w:szCs w:val="24"/>
              </w:rPr>
            </w:pPr>
            <w:r>
              <w:rPr>
                <w:rFonts w:ascii="宋体" w:hAnsi="宋体" w:cs="宋体" w:eastAsia="宋体" w:hint="default"/>
                <w:sz w:val="24"/>
                <w:szCs w:val="24"/>
              </w:rPr>
              <w:t>根据《财政部、海关总署、国家税务总局关于深入实施西部大开发战略有关</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pacing w:val="-14"/>
                <w:w w:val="99"/>
                <w:sz w:val="24"/>
                <w:szCs w:val="24"/>
              </w:rPr>
              <w:t>税收政策问题的通知》</w:t>
            </w:r>
            <w:r>
              <w:rPr>
                <w:rFonts w:ascii="Arial" w:hAnsi="Arial" w:cs="Arial" w:eastAsia="Arial" w:hint="default"/>
                <w:spacing w:val="-14"/>
                <w:w w:val="99"/>
                <w:sz w:val="24"/>
                <w:szCs w:val="24"/>
              </w:rPr>
              <w:t>(</w:t>
            </w:r>
            <w:r>
              <w:rPr>
                <w:rFonts w:ascii="宋体" w:hAnsi="宋体" w:cs="宋体" w:eastAsia="宋体" w:hint="default"/>
                <w:spacing w:val="-14"/>
                <w:w w:val="99"/>
                <w:sz w:val="24"/>
                <w:szCs w:val="24"/>
              </w:rPr>
              <w:t>财税</w:t>
            </w:r>
            <w:r>
              <w:rPr>
                <w:rFonts w:ascii="Arial" w:hAnsi="Arial" w:cs="Arial" w:eastAsia="Arial" w:hint="default"/>
                <w:spacing w:val="-14"/>
                <w:w w:val="99"/>
                <w:sz w:val="24"/>
                <w:szCs w:val="24"/>
              </w:rPr>
              <w:t>[2011]58</w:t>
            </w:r>
            <w:r>
              <w:rPr>
                <w:rFonts w:ascii="宋体" w:hAnsi="宋体" w:cs="宋体" w:eastAsia="宋体" w:hint="default"/>
                <w:spacing w:val="-14"/>
                <w:w w:val="99"/>
                <w:sz w:val="24"/>
                <w:szCs w:val="24"/>
              </w:rPr>
              <w:t>号</w:t>
            </w:r>
            <w:r>
              <w:rPr>
                <w:rFonts w:ascii="Arial" w:hAnsi="Arial" w:cs="Arial" w:eastAsia="Arial" w:hint="default"/>
                <w:spacing w:val="-14"/>
                <w:w w:val="99"/>
                <w:sz w:val="24"/>
                <w:szCs w:val="24"/>
              </w:rPr>
              <w:t>)</w:t>
            </w:r>
            <w:r>
              <w:rPr>
                <w:rFonts w:ascii="宋体" w:hAnsi="宋体" w:cs="宋体" w:eastAsia="宋体" w:hint="default"/>
                <w:spacing w:val="-14"/>
                <w:w w:val="99"/>
                <w:sz w:val="24"/>
                <w:szCs w:val="24"/>
              </w:rPr>
              <w:t>“</w:t>
            </w:r>
            <w:r>
              <w:rPr>
                <w:rFonts w:ascii="Arial" w:hAnsi="Arial" w:cs="Arial" w:eastAsia="Arial" w:hint="default"/>
                <w:spacing w:val="-14"/>
                <w:w w:val="99"/>
                <w:sz w:val="24"/>
                <w:szCs w:val="24"/>
              </w:rPr>
              <w:t>(</w:t>
            </w:r>
            <w:r>
              <w:rPr>
                <w:rFonts w:ascii="Arial" w:hAnsi="Arial" w:cs="Arial" w:eastAsia="Arial" w:hint="default"/>
                <w:spacing w:val="36"/>
                <w:w w:val="99"/>
                <w:sz w:val="24"/>
                <w:szCs w:val="24"/>
              </w:rPr>
              <w:t> </w:t>
            </w:r>
            <w:r>
              <w:rPr>
                <w:rFonts w:ascii="Arial" w:hAnsi="Arial" w:cs="Arial" w:eastAsia="Arial" w:hint="default"/>
                <w:spacing w:val="-10"/>
                <w:w w:val="99"/>
                <w:sz w:val="24"/>
                <w:szCs w:val="24"/>
              </w:rPr>
              <w:t>58</w:t>
            </w:r>
            <w:r>
              <w:rPr>
                <w:rFonts w:ascii="宋体" w:hAnsi="宋体" w:cs="宋体" w:eastAsia="宋体" w:hint="default"/>
                <w:spacing w:val="-10"/>
                <w:w w:val="99"/>
                <w:sz w:val="24"/>
                <w:szCs w:val="24"/>
              </w:rPr>
              <w:t>号文”</w:t>
            </w:r>
            <w:r>
              <w:rPr>
                <w:rFonts w:ascii="Arial" w:hAnsi="Arial" w:cs="Arial" w:eastAsia="Arial" w:hint="default"/>
                <w:spacing w:val="-10"/>
                <w:w w:val="99"/>
                <w:sz w:val="24"/>
                <w:szCs w:val="24"/>
              </w:rPr>
              <w:t>)</w:t>
            </w:r>
            <w:r>
              <w:rPr>
                <w:rFonts w:ascii="宋体" w:hAnsi="宋体" w:cs="宋体" w:eastAsia="宋体" w:hint="default"/>
                <w:spacing w:val="-10"/>
                <w:w w:val="99"/>
                <w:sz w:val="24"/>
                <w:szCs w:val="24"/>
              </w:rPr>
              <w:t>，自</w:t>
            </w:r>
            <w:r>
              <w:rPr>
                <w:rFonts w:ascii="Arial" w:hAnsi="Arial" w:cs="Arial" w:eastAsia="Arial" w:hint="default"/>
                <w:spacing w:val="-10"/>
                <w:w w:val="99"/>
                <w:sz w:val="24"/>
                <w:szCs w:val="24"/>
              </w:rPr>
              <w:t>2011</w:t>
            </w:r>
            <w:r>
              <w:rPr>
                <w:rFonts w:ascii="宋体" w:hAnsi="宋体" w:cs="宋体" w:eastAsia="宋体" w:hint="default"/>
                <w:spacing w:val="-10"/>
                <w:w w:val="99"/>
                <w:sz w:val="24"/>
                <w:szCs w:val="24"/>
              </w:rPr>
              <w:t>年</w:t>
            </w:r>
            <w:r>
              <w:rPr>
                <w:rFonts w:ascii="Arial" w:hAnsi="Arial" w:cs="Arial" w:eastAsia="Arial" w:hint="default"/>
                <w:spacing w:val="-10"/>
                <w:w w:val="99"/>
                <w:sz w:val="24"/>
                <w:szCs w:val="24"/>
              </w:rPr>
              <w:t>1</w:t>
            </w:r>
            <w:r>
              <w:rPr>
                <w:rFonts w:ascii="宋体" w:hAnsi="宋体" w:cs="宋体" w:eastAsia="宋体" w:hint="default"/>
                <w:spacing w:val="-10"/>
                <w:w w:val="99"/>
                <w:sz w:val="24"/>
                <w:szCs w:val="24"/>
              </w:rPr>
              <w:t>月</w:t>
            </w:r>
            <w:r>
              <w:rPr>
                <w:rFonts w:ascii="Arial" w:hAnsi="Arial" w:cs="Arial" w:eastAsia="Arial" w:hint="default"/>
                <w:spacing w:val="-10"/>
                <w:w w:val="99"/>
                <w:sz w:val="24"/>
                <w:szCs w:val="24"/>
              </w:rPr>
              <w:t>1</w:t>
            </w:r>
            <w:r>
              <w:rPr>
                <w:rFonts w:ascii="宋体" w:hAnsi="宋体" w:cs="宋体" w:eastAsia="宋体" w:hint="default"/>
                <w:spacing w:val="-10"/>
                <w:w w:val="99"/>
                <w:sz w:val="24"/>
                <w:szCs w:val="24"/>
              </w:rPr>
              <w:t>日至</w:t>
            </w:r>
            <w:r>
              <w:rPr>
                <w:rFonts w:ascii="Arial" w:hAnsi="Arial" w:cs="Arial" w:eastAsia="Arial" w:hint="default"/>
                <w:spacing w:val="-10"/>
                <w:w w:val="99"/>
                <w:sz w:val="24"/>
                <w:szCs w:val="24"/>
              </w:rPr>
              <w:t>2020</w:t>
            </w:r>
            <w:r>
              <w:rPr>
                <w:rFonts w:ascii="Arial" w:hAnsi="Arial" w:cs="Arial" w:eastAsia="Arial" w:hint="default"/>
                <w:spacing w:val="-65"/>
                <w:w w:val="99"/>
                <w:sz w:val="24"/>
                <w:szCs w:val="24"/>
              </w:rPr>
              <w:t> </w:t>
            </w:r>
            <w:r>
              <w:rPr>
                <w:rFonts w:ascii="Arial" w:hAnsi="Arial" w:cs="Arial" w:eastAsia="Arial" w:hint="default"/>
                <w:spacing w:val="-65"/>
                <w:w w:val="99"/>
                <w:sz w:val="24"/>
                <w:szCs w:val="24"/>
              </w:rPr>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日，对设在西部地区的鼓励类产业企业减按</w:t>
            </w:r>
            <w:r>
              <w:rPr>
                <w:rFonts w:ascii="Arial" w:hAnsi="Arial" w:cs="Arial" w:eastAsia="Arial" w:hint="default"/>
                <w:sz w:val="24"/>
                <w:szCs w:val="24"/>
              </w:rPr>
              <w:t>15%</w:t>
            </w:r>
            <w:r>
              <w:rPr>
                <w:rFonts w:ascii="宋体" w:hAnsi="宋体" w:cs="宋体" w:eastAsia="宋体" w:hint="default"/>
                <w:sz w:val="24"/>
                <w:szCs w:val="24"/>
              </w:rPr>
              <w:t>的税率征收企业所</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得税。上述鼓励类产业企业是指以《西部地区鼓励类产业目录》中规定的产</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业项目为主营业务，且其主营业务收入占企业收入总额</w:t>
            </w:r>
            <w:r>
              <w:rPr>
                <w:rFonts w:ascii="Arial" w:hAnsi="Arial" w:cs="Arial" w:eastAsia="Arial" w:hint="default"/>
                <w:sz w:val="24"/>
                <w:szCs w:val="24"/>
              </w:rPr>
              <w:t>70%</w:t>
            </w:r>
            <w:r>
              <w:rPr>
                <w:rFonts w:ascii="宋体" w:hAnsi="宋体" w:cs="宋体" w:eastAsia="宋体" w:hint="default"/>
                <w:sz w:val="24"/>
                <w:szCs w:val="24"/>
              </w:rPr>
              <w:t>以上的企业。</w:t>
            </w:r>
          </w:p>
          <w:p>
            <w:pPr>
              <w:pStyle w:val="TableParagraph"/>
              <w:spacing w:line="240" w:lineRule="auto" w:before="7"/>
              <w:ind w:right="0"/>
              <w:jc w:val="left"/>
              <w:rPr>
                <w:rFonts w:ascii="Times New Roman" w:hAnsi="Times New Roman" w:cs="Times New Roman" w:eastAsia="Times New Roman" w:hint="default"/>
                <w:sz w:val="30"/>
                <w:szCs w:val="30"/>
              </w:rPr>
            </w:pPr>
          </w:p>
          <w:p>
            <w:pPr>
              <w:pStyle w:val="TableParagraph"/>
              <w:spacing w:line="228" w:lineRule="auto"/>
              <w:ind w:left="216" w:right="198"/>
              <w:jc w:val="both"/>
              <w:rPr>
                <w:rFonts w:ascii="宋体" w:hAnsi="宋体" w:cs="宋体" w:eastAsia="宋体" w:hint="default"/>
                <w:sz w:val="24"/>
                <w:szCs w:val="24"/>
              </w:rPr>
            </w:pPr>
            <w:r>
              <w:rPr>
                <w:rFonts w:ascii="宋体" w:hAnsi="宋体" w:cs="宋体" w:eastAsia="宋体" w:hint="default"/>
                <w:sz w:val="24"/>
                <w:szCs w:val="24"/>
              </w:rPr>
              <w:t>又根据《国家税务总局关于深入实施西部大开发战略有关企业所得税问题的</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pacing w:val="-2"/>
                <w:sz w:val="24"/>
                <w:szCs w:val="24"/>
              </w:rPr>
              <w:t>公告》</w:t>
            </w:r>
            <w:r>
              <w:rPr>
                <w:rFonts w:ascii="Arial" w:hAnsi="Arial" w:cs="Arial" w:eastAsia="Arial" w:hint="default"/>
                <w:spacing w:val="-2"/>
                <w:sz w:val="24"/>
                <w:szCs w:val="24"/>
              </w:rPr>
              <w:t>(</w:t>
            </w:r>
            <w:r>
              <w:rPr>
                <w:rFonts w:ascii="宋体" w:hAnsi="宋体" w:cs="宋体" w:eastAsia="宋体" w:hint="default"/>
                <w:spacing w:val="-2"/>
                <w:sz w:val="24"/>
                <w:szCs w:val="24"/>
              </w:rPr>
              <w:t>国家税务总局公告</w:t>
            </w:r>
            <w:r>
              <w:rPr>
                <w:rFonts w:ascii="Arial" w:hAnsi="Arial" w:cs="Arial" w:eastAsia="Arial" w:hint="default"/>
                <w:spacing w:val="-2"/>
                <w:sz w:val="24"/>
                <w:szCs w:val="24"/>
              </w:rPr>
              <w:t>[2012]12</w:t>
            </w:r>
            <w:r>
              <w:rPr>
                <w:rFonts w:ascii="宋体" w:hAnsi="宋体" w:cs="宋体" w:eastAsia="宋体" w:hint="default"/>
                <w:spacing w:val="-2"/>
                <w:sz w:val="24"/>
                <w:szCs w:val="24"/>
              </w:rPr>
              <w:t>号</w:t>
            </w:r>
            <w:r>
              <w:rPr>
                <w:rFonts w:ascii="Arial" w:hAnsi="Arial" w:cs="Arial" w:eastAsia="Arial" w:hint="default"/>
                <w:spacing w:val="-2"/>
                <w:sz w:val="24"/>
                <w:szCs w:val="24"/>
              </w:rPr>
              <w:t>)</w:t>
            </w:r>
            <w:r>
              <w:rPr>
                <w:rFonts w:ascii="宋体" w:hAnsi="宋体" w:cs="宋体" w:eastAsia="宋体" w:hint="default"/>
                <w:spacing w:val="-2"/>
                <w:sz w:val="24"/>
                <w:szCs w:val="24"/>
              </w:rPr>
              <w:t>，在《西部地区鼓励类产业目录》公布</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5"/>
                <w:w w:val="99"/>
                <w:sz w:val="24"/>
                <w:szCs w:val="24"/>
              </w:rPr>
              <w:t>前，企业符合《产业结构调整指导目录</w:t>
            </w:r>
            <w:r>
              <w:rPr>
                <w:rFonts w:ascii="Times New Roman" w:hAnsi="Times New Roman" w:cs="Times New Roman" w:eastAsia="Times New Roman" w:hint="default"/>
                <w:spacing w:val="-5"/>
                <w:w w:val="99"/>
                <w:sz w:val="24"/>
                <w:szCs w:val="24"/>
              </w:rPr>
              <w:t>(</w:t>
            </w:r>
            <w:r>
              <w:rPr>
                <w:rFonts w:ascii="Arial" w:hAnsi="Arial" w:cs="Arial" w:eastAsia="Arial" w:hint="default"/>
                <w:spacing w:val="-5"/>
                <w:w w:val="99"/>
                <w:sz w:val="24"/>
                <w:szCs w:val="24"/>
              </w:rPr>
              <w:t>2005</w:t>
            </w:r>
            <w:r>
              <w:rPr>
                <w:rFonts w:ascii="宋体" w:hAnsi="宋体" w:cs="宋体" w:eastAsia="宋体" w:hint="default"/>
                <w:spacing w:val="-5"/>
                <w:w w:val="99"/>
                <w:sz w:val="24"/>
                <w:szCs w:val="24"/>
              </w:rPr>
              <w:t>年版</w:t>
            </w:r>
            <w:r>
              <w:rPr>
                <w:rFonts w:ascii="Arial" w:hAnsi="Arial" w:cs="Arial" w:eastAsia="Arial" w:hint="default"/>
                <w:spacing w:val="-5"/>
                <w:w w:val="99"/>
                <w:sz w:val="24"/>
                <w:szCs w:val="24"/>
              </w:rPr>
              <w:t>)</w:t>
            </w:r>
            <w:r>
              <w:rPr>
                <w:rFonts w:ascii="宋体" w:hAnsi="宋体" w:cs="宋体" w:eastAsia="宋体" w:hint="default"/>
                <w:spacing w:val="-5"/>
                <w:w w:val="99"/>
                <w:sz w:val="24"/>
                <w:szCs w:val="24"/>
              </w:rPr>
              <w:t>》、《产业结构调整指导目</w:t>
            </w:r>
            <w:r>
              <w:rPr>
                <w:rFonts w:ascii="宋体" w:hAnsi="宋体" w:cs="宋体" w:eastAsia="宋体" w:hint="default"/>
                <w:spacing w:val="-94"/>
                <w:w w:val="99"/>
                <w:sz w:val="24"/>
                <w:szCs w:val="24"/>
              </w:rPr>
              <w:t> </w:t>
            </w:r>
            <w:r>
              <w:rPr>
                <w:rFonts w:ascii="宋体" w:hAnsi="宋体" w:cs="宋体" w:eastAsia="宋体" w:hint="default"/>
                <w:spacing w:val="-94"/>
                <w:w w:val="99"/>
                <w:sz w:val="24"/>
                <w:szCs w:val="24"/>
              </w:rPr>
            </w:r>
            <w:r>
              <w:rPr>
                <w:rFonts w:ascii="宋体" w:hAnsi="宋体" w:cs="宋体" w:eastAsia="宋体" w:hint="default"/>
                <w:spacing w:val="-9"/>
                <w:w w:val="99"/>
                <w:sz w:val="24"/>
                <w:szCs w:val="24"/>
              </w:rPr>
              <w:t>录</w:t>
            </w:r>
            <w:r>
              <w:rPr>
                <w:rFonts w:ascii="Times New Roman" w:hAnsi="Times New Roman" w:cs="Times New Roman" w:eastAsia="Times New Roman" w:hint="default"/>
                <w:spacing w:val="-9"/>
                <w:w w:val="99"/>
                <w:sz w:val="24"/>
                <w:szCs w:val="24"/>
              </w:rPr>
              <w:t>(</w:t>
            </w:r>
            <w:r>
              <w:rPr>
                <w:rFonts w:ascii="Arial" w:hAnsi="Arial" w:cs="Arial" w:eastAsia="Arial" w:hint="default"/>
                <w:spacing w:val="-9"/>
                <w:w w:val="99"/>
                <w:sz w:val="24"/>
                <w:szCs w:val="24"/>
              </w:rPr>
              <w:t>2011</w:t>
            </w:r>
            <w:r>
              <w:rPr>
                <w:rFonts w:ascii="宋体" w:hAnsi="宋体" w:cs="宋体" w:eastAsia="宋体" w:hint="default"/>
                <w:spacing w:val="-9"/>
                <w:w w:val="99"/>
                <w:sz w:val="24"/>
                <w:szCs w:val="24"/>
              </w:rPr>
              <w:t>年版</w:t>
            </w:r>
            <w:r>
              <w:rPr>
                <w:rFonts w:ascii="Arial" w:hAnsi="Arial" w:cs="Arial" w:eastAsia="Arial" w:hint="default"/>
                <w:spacing w:val="-9"/>
                <w:w w:val="99"/>
                <w:sz w:val="24"/>
                <w:szCs w:val="24"/>
              </w:rPr>
              <w:t>)</w:t>
            </w:r>
            <w:r>
              <w:rPr>
                <w:rFonts w:ascii="宋体" w:hAnsi="宋体" w:cs="宋体" w:eastAsia="宋体" w:hint="default"/>
                <w:spacing w:val="-9"/>
                <w:w w:val="99"/>
                <w:sz w:val="24"/>
                <w:szCs w:val="24"/>
              </w:rPr>
              <w:t>》、《外商投资产业指导目录</w:t>
            </w:r>
            <w:r>
              <w:rPr>
                <w:rFonts w:ascii="Times New Roman" w:hAnsi="Times New Roman" w:cs="Times New Roman" w:eastAsia="Times New Roman" w:hint="default"/>
                <w:spacing w:val="-9"/>
                <w:w w:val="99"/>
                <w:sz w:val="24"/>
                <w:szCs w:val="24"/>
              </w:rPr>
              <w:t>(</w:t>
            </w:r>
            <w:r>
              <w:rPr>
                <w:rFonts w:ascii="Arial" w:hAnsi="Arial" w:cs="Arial" w:eastAsia="Arial" w:hint="default"/>
                <w:spacing w:val="-9"/>
                <w:w w:val="99"/>
                <w:sz w:val="24"/>
                <w:szCs w:val="24"/>
              </w:rPr>
              <w:t>2007</w:t>
            </w:r>
            <w:r>
              <w:rPr>
                <w:rFonts w:ascii="宋体" w:hAnsi="宋体" w:cs="宋体" w:eastAsia="宋体" w:hint="default"/>
                <w:spacing w:val="-9"/>
                <w:w w:val="99"/>
                <w:sz w:val="24"/>
                <w:szCs w:val="24"/>
              </w:rPr>
              <w:t>年修订</w:t>
            </w:r>
            <w:r>
              <w:rPr>
                <w:rFonts w:ascii="Arial" w:hAnsi="Arial" w:cs="Arial" w:eastAsia="Arial" w:hint="default"/>
                <w:spacing w:val="-9"/>
                <w:w w:val="99"/>
                <w:sz w:val="24"/>
                <w:szCs w:val="24"/>
              </w:rPr>
              <w:t>)</w:t>
            </w:r>
            <w:r>
              <w:rPr>
                <w:rFonts w:ascii="宋体" w:hAnsi="宋体" w:cs="宋体" w:eastAsia="宋体" w:hint="default"/>
                <w:spacing w:val="-9"/>
                <w:w w:val="99"/>
                <w:sz w:val="24"/>
                <w:szCs w:val="24"/>
              </w:rPr>
              <w:t>》和《中西部地区优势</w:t>
            </w:r>
            <w:r>
              <w:rPr>
                <w:rFonts w:ascii="宋体" w:hAnsi="宋体" w:cs="宋体" w:eastAsia="宋体" w:hint="default"/>
                <w:spacing w:val="-116"/>
                <w:w w:val="99"/>
                <w:sz w:val="24"/>
                <w:szCs w:val="24"/>
              </w:rPr>
              <w:t> </w:t>
            </w:r>
            <w:r>
              <w:rPr>
                <w:rFonts w:ascii="宋体" w:hAnsi="宋体" w:cs="宋体" w:eastAsia="宋体" w:hint="default"/>
                <w:spacing w:val="-116"/>
                <w:w w:val="99"/>
                <w:sz w:val="24"/>
                <w:szCs w:val="24"/>
              </w:rPr>
            </w:r>
            <w:r>
              <w:rPr>
                <w:rFonts w:ascii="宋体" w:hAnsi="宋体" w:cs="宋体" w:eastAsia="宋体" w:hint="default"/>
                <w:spacing w:val="2"/>
                <w:sz w:val="24"/>
                <w:szCs w:val="24"/>
              </w:rPr>
              <w:t>产业目录</w:t>
            </w:r>
            <w:r>
              <w:rPr>
                <w:rFonts w:ascii="Times New Roman" w:hAnsi="Times New Roman" w:cs="Times New Roman" w:eastAsia="Times New Roman" w:hint="default"/>
                <w:spacing w:val="2"/>
                <w:sz w:val="24"/>
                <w:szCs w:val="24"/>
              </w:rPr>
              <w:t>(</w:t>
            </w:r>
            <w:r>
              <w:rPr>
                <w:rFonts w:ascii="Arial" w:hAnsi="Arial" w:cs="Arial" w:eastAsia="Arial" w:hint="default"/>
                <w:spacing w:val="2"/>
                <w:sz w:val="24"/>
                <w:szCs w:val="24"/>
              </w:rPr>
              <w:t>2008</w:t>
            </w:r>
            <w:r>
              <w:rPr>
                <w:rFonts w:ascii="宋体" w:hAnsi="宋体" w:cs="宋体" w:eastAsia="宋体" w:hint="default"/>
                <w:spacing w:val="2"/>
                <w:sz w:val="24"/>
                <w:szCs w:val="24"/>
              </w:rPr>
              <w:t>年修订</w:t>
            </w:r>
            <w:r>
              <w:rPr>
                <w:rFonts w:ascii="Arial" w:hAnsi="Arial" w:cs="Arial" w:eastAsia="Arial" w:hint="default"/>
                <w:spacing w:val="2"/>
                <w:sz w:val="24"/>
                <w:szCs w:val="24"/>
              </w:rPr>
              <w:t>)</w:t>
            </w:r>
            <w:r>
              <w:rPr>
                <w:rFonts w:ascii="宋体" w:hAnsi="宋体" w:cs="宋体" w:eastAsia="宋体" w:hint="default"/>
                <w:spacing w:val="2"/>
                <w:sz w:val="24"/>
                <w:szCs w:val="24"/>
              </w:rPr>
              <w:t>》范围的，经税务机关确认后，其企业所得税可按照</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Arial" w:hAnsi="Arial" w:cs="Arial" w:eastAsia="Arial" w:hint="default"/>
                <w:spacing w:val="-5"/>
                <w:w w:val="99"/>
                <w:sz w:val="24"/>
                <w:szCs w:val="24"/>
              </w:rPr>
              <w:t>15</w:t>
            </w:r>
            <w:r>
              <w:rPr>
                <w:rFonts w:ascii="Times New Roman" w:hAnsi="Times New Roman" w:cs="Times New Roman" w:eastAsia="Times New Roman" w:hint="default"/>
                <w:spacing w:val="-5"/>
                <w:w w:val="99"/>
                <w:sz w:val="24"/>
                <w:szCs w:val="24"/>
              </w:rPr>
              <w:t>%</w:t>
            </w:r>
            <w:r>
              <w:rPr>
                <w:rFonts w:ascii="宋体" w:hAnsi="宋体" w:cs="宋体" w:eastAsia="宋体" w:hint="default"/>
                <w:spacing w:val="-5"/>
                <w:w w:val="99"/>
                <w:sz w:val="24"/>
                <w:szCs w:val="24"/>
              </w:rPr>
              <w:t>税率缴纳。《西部地区鼓励类产业目录》公布后，已按</w:t>
            </w:r>
            <w:r>
              <w:rPr>
                <w:rFonts w:ascii="Arial" w:hAnsi="Arial" w:cs="Arial" w:eastAsia="Arial" w:hint="default"/>
                <w:spacing w:val="-5"/>
                <w:w w:val="99"/>
                <w:sz w:val="24"/>
                <w:szCs w:val="24"/>
              </w:rPr>
              <w:t>15</w:t>
            </w:r>
            <w:r>
              <w:rPr>
                <w:rFonts w:ascii="Times New Roman" w:hAnsi="Times New Roman" w:cs="Times New Roman" w:eastAsia="Times New Roman" w:hint="default"/>
                <w:spacing w:val="-5"/>
                <w:w w:val="99"/>
                <w:sz w:val="24"/>
                <w:szCs w:val="24"/>
              </w:rPr>
              <w:t>%</w:t>
            </w:r>
            <w:r>
              <w:rPr>
                <w:rFonts w:ascii="宋体" w:hAnsi="宋体" w:cs="宋体" w:eastAsia="宋体" w:hint="default"/>
                <w:spacing w:val="-5"/>
                <w:w w:val="99"/>
                <w:sz w:val="24"/>
                <w:szCs w:val="24"/>
              </w:rPr>
              <w:t>税率进行企业</w:t>
            </w:r>
            <w:r>
              <w:rPr>
                <w:rFonts w:ascii="宋体" w:hAnsi="宋体" w:cs="宋体" w:eastAsia="宋体" w:hint="default"/>
                <w:spacing w:val="-91"/>
                <w:w w:val="99"/>
                <w:sz w:val="24"/>
                <w:szCs w:val="24"/>
              </w:rPr>
              <w:t> </w:t>
            </w:r>
            <w:r>
              <w:rPr>
                <w:rFonts w:ascii="宋体" w:hAnsi="宋体" w:cs="宋体" w:eastAsia="宋体" w:hint="default"/>
                <w:spacing w:val="-91"/>
                <w:w w:val="99"/>
                <w:sz w:val="24"/>
                <w:szCs w:val="24"/>
              </w:rPr>
            </w:r>
            <w:r>
              <w:rPr>
                <w:rFonts w:ascii="宋体" w:hAnsi="宋体" w:cs="宋体" w:eastAsia="宋体" w:hint="default"/>
                <w:sz w:val="24"/>
                <w:szCs w:val="24"/>
              </w:rPr>
              <w:t>所得税汇算清缴的企业，若不符合本公告第一条规定的条件，可在履行相关</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程序后，按税法规定的适用税率重新计算申报。</w:t>
            </w:r>
          </w:p>
        </w:tc>
      </w:tr>
    </w:tbl>
    <w:p>
      <w:pPr>
        <w:spacing w:after="0" w:line="228" w:lineRule="auto"/>
        <w:jc w:val="both"/>
        <w:rPr>
          <w:rFonts w:ascii="宋体" w:hAnsi="宋体" w:cs="宋体" w:eastAsia="宋体"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710"/>
        <w:gridCol w:w="8413"/>
      </w:tblGrid>
      <w:tr>
        <w:trPr>
          <w:trHeight w:val="497"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8413" w:type="dxa"/>
            <w:tcBorders>
              <w:top w:val="nil" w:sz="6" w:space="0" w:color="auto"/>
              <w:left w:val="nil" w:sz="6" w:space="0" w:color="auto"/>
              <w:bottom w:val="nil" w:sz="6" w:space="0" w:color="auto"/>
              <w:right w:val="nil" w:sz="6" w:space="0" w:color="auto"/>
            </w:tcBorders>
          </w:tcPr>
          <w:p>
            <w:pPr>
              <w:pStyle w:val="TableParagraph"/>
              <w:spacing w:line="257" w:lineRule="exact"/>
              <w:ind w:left="216"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4"/>
              <w:jc w:val="center"/>
              <w:rPr>
                <w:rFonts w:ascii="Arial" w:hAnsi="Arial" w:cs="Arial" w:eastAsia="Arial" w:hint="default"/>
                <w:sz w:val="24"/>
                <w:szCs w:val="24"/>
              </w:rPr>
            </w:pPr>
            <w:r>
              <w:rPr>
                <w:rFonts w:ascii="Arial"/>
                <w:sz w:val="24"/>
              </w:rPr>
              <w:t>(2)</w:t>
            </w:r>
          </w:p>
        </w:tc>
        <w:tc>
          <w:tcPr>
            <w:tcW w:w="8413"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16" w:right="0"/>
              <w:jc w:val="left"/>
              <w:rPr>
                <w:rFonts w:ascii="Arial" w:hAnsi="Arial" w:cs="Arial" w:eastAsia="Arial" w:hint="default"/>
                <w:sz w:val="24"/>
                <w:szCs w:val="24"/>
              </w:rPr>
            </w:pPr>
            <w:r>
              <w:rPr>
                <w:rFonts w:ascii="黑体" w:hAnsi="黑体" w:cs="黑体" w:eastAsia="黑体" w:hint="default"/>
                <w:sz w:val="24"/>
                <w:szCs w:val="24"/>
              </w:rPr>
              <w:t>税收优惠及批文</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2"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4"/>
              <w:jc w:val="center"/>
              <w:rPr>
                <w:rFonts w:ascii="Arial" w:hAnsi="Arial" w:cs="Arial" w:eastAsia="Arial" w:hint="default"/>
                <w:sz w:val="24"/>
                <w:szCs w:val="24"/>
              </w:rPr>
            </w:pPr>
            <w:r>
              <w:rPr>
                <w:rFonts w:ascii="Arial"/>
                <w:sz w:val="24"/>
              </w:rPr>
              <w:t>(a)</w:t>
            </w:r>
          </w:p>
        </w:tc>
        <w:tc>
          <w:tcPr>
            <w:tcW w:w="841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6" w:right="0"/>
              <w:jc w:val="left"/>
              <w:rPr>
                <w:rFonts w:ascii="Arial" w:hAnsi="Arial" w:cs="Arial" w:eastAsia="Arial" w:hint="default"/>
                <w:sz w:val="24"/>
                <w:szCs w:val="24"/>
              </w:rPr>
            </w:pPr>
            <w:r>
              <w:rPr>
                <w:rFonts w:ascii="宋体" w:hAnsi="宋体" w:cs="宋体" w:eastAsia="宋体" w:hint="default"/>
                <w:sz w:val="24"/>
                <w:szCs w:val="24"/>
              </w:rPr>
              <w:t>西部大开发税收优惠政策</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722" w:hRule="exact"/>
        </w:trPr>
        <w:tc>
          <w:tcPr>
            <w:tcW w:w="710" w:type="dxa"/>
            <w:tcBorders>
              <w:top w:val="nil" w:sz="6" w:space="0" w:color="auto"/>
              <w:left w:val="nil" w:sz="6" w:space="0" w:color="auto"/>
              <w:bottom w:val="nil" w:sz="6" w:space="0" w:color="auto"/>
              <w:right w:val="nil" w:sz="6" w:space="0" w:color="auto"/>
            </w:tcBorders>
          </w:tcPr>
          <w:p>
            <w:pPr/>
          </w:p>
        </w:tc>
        <w:tc>
          <w:tcPr>
            <w:tcW w:w="8413"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16" w:right="0"/>
              <w:jc w:val="left"/>
              <w:rPr>
                <w:rFonts w:ascii="宋体" w:hAnsi="宋体" w:cs="宋体" w:eastAsia="宋体" w:hint="default"/>
                <w:sz w:val="24"/>
                <w:szCs w:val="24"/>
              </w:rPr>
            </w:pPr>
            <w:r>
              <w:rPr>
                <w:rFonts w:ascii="宋体" w:hAnsi="宋体" w:cs="宋体" w:eastAsia="宋体" w:hint="default"/>
                <w:sz w:val="24"/>
                <w:szCs w:val="24"/>
              </w:rPr>
              <w:t>本集团已获得主管税务机关确认的子公司如下：</w:t>
            </w:r>
          </w:p>
        </w:tc>
      </w:tr>
      <w:tr>
        <w:trPr>
          <w:trHeight w:val="5643" w:hRule="exact"/>
        </w:trPr>
        <w:tc>
          <w:tcPr>
            <w:tcW w:w="710" w:type="dxa"/>
            <w:tcBorders>
              <w:top w:val="nil" w:sz="6" w:space="0" w:color="auto"/>
              <w:left w:val="nil" w:sz="6" w:space="0" w:color="auto"/>
              <w:bottom w:val="nil" w:sz="6" w:space="0" w:color="auto"/>
              <w:right w:val="nil" w:sz="6" w:space="0" w:color="auto"/>
            </w:tcBorders>
          </w:tcPr>
          <w:p>
            <w:pPr/>
          </w:p>
        </w:tc>
        <w:tc>
          <w:tcPr>
            <w:tcW w:w="8413" w:type="dxa"/>
            <w:tcBorders>
              <w:top w:val="nil" w:sz="6" w:space="0" w:color="auto"/>
              <w:left w:val="nil" w:sz="6" w:space="0" w:color="auto"/>
              <w:bottom w:val="nil" w:sz="6" w:space="0" w:color="auto"/>
              <w:right w:val="nil" w:sz="6" w:space="0" w:color="auto"/>
            </w:tcBorders>
          </w:tcPr>
          <w:p>
            <w:pPr>
              <w:pStyle w:val="TableParagraph"/>
              <w:spacing w:line="312" w:lineRule="exact" w:before="189"/>
              <w:ind w:left="216" w:right="203"/>
              <w:jc w:val="both"/>
              <w:rPr>
                <w:rFonts w:ascii="宋体" w:hAnsi="宋体" w:cs="宋体" w:eastAsia="宋体" w:hint="default"/>
                <w:sz w:val="24"/>
                <w:szCs w:val="24"/>
              </w:rPr>
            </w:pPr>
            <w:r>
              <w:rPr>
                <w:rFonts w:ascii="Arial" w:hAnsi="Arial" w:cs="Arial" w:eastAsia="Arial" w:hint="default"/>
                <w:spacing w:val="-4"/>
                <w:w w:val="99"/>
                <w:sz w:val="24"/>
                <w:szCs w:val="24"/>
              </w:rPr>
              <w:t>2009</w:t>
            </w:r>
            <w:r>
              <w:rPr>
                <w:rFonts w:ascii="宋体" w:hAnsi="宋体" w:cs="宋体" w:eastAsia="宋体" w:hint="default"/>
                <w:spacing w:val="-4"/>
                <w:w w:val="99"/>
                <w:sz w:val="24"/>
                <w:szCs w:val="24"/>
              </w:rPr>
              <w:t>年</w:t>
            </w:r>
            <w:r>
              <w:rPr>
                <w:rFonts w:ascii="Arial" w:hAnsi="Arial" w:cs="Arial" w:eastAsia="Arial" w:hint="default"/>
                <w:spacing w:val="-4"/>
                <w:w w:val="99"/>
                <w:sz w:val="24"/>
                <w:szCs w:val="24"/>
              </w:rPr>
              <w:t>5</w:t>
            </w:r>
            <w:r>
              <w:rPr>
                <w:rFonts w:ascii="宋体" w:hAnsi="宋体" w:cs="宋体" w:eastAsia="宋体" w:hint="default"/>
                <w:spacing w:val="-4"/>
                <w:w w:val="99"/>
                <w:sz w:val="24"/>
                <w:szCs w:val="24"/>
              </w:rPr>
              <w:t>月</w:t>
            </w:r>
            <w:r>
              <w:rPr>
                <w:rFonts w:ascii="Arial" w:hAnsi="Arial" w:cs="Arial" w:eastAsia="Arial" w:hint="default"/>
                <w:spacing w:val="-4"/>
                <w:w w:val="99"/>
                <w:sz w:val="24"/>
                <w:szCs w:val="24"/>
              </w:rPr>
              <w:t>8</w:t>
            </w:r>
            <w:r>
              <w:rPr>
                <w:rFonts w:ascii="宋体" w:hAnsi="宋体" w:cs="宋体" w:eastAsia="宋体" w:hint="default"/>
                <w:spacing w:val="-4"/>
                <w:w w:val="99"/>
                <w:sz w:val="24"/>
                <w:szCs w:val="24"/>
              </w:rPr>
              <w:t>日，经西宁市国家税务局宁国税函</w:t>
            </w:r>
            <w:r>
              <w:rPr>
                <w:rFonts w:ascii="Arial" w:hAnsi="Arial" w:cs="Arial" w:eastAsia="Arial" w:hint="default"/>
                <w:spacing w:val="-4"/>
                <w:w w:val="99"/>
                <w:sz w:val="24"/>
                <w:szCs w:val="24"/>
              </w:rPr>
              <w:t>[2009]338</w:t>
            </w:r>
            <w:r>
              <w:rPr>
                <w:rFonts w:ascii="宋体" w:hAnsi="宋体" w:cs="宋体" w:eastAsia="宋体" w:hint="default"/>
                <w:spacing w:val="-4"/>
                <w:w w:val="99"/>
                <w:sz w:val="24"/>
                <w:szCs w:val="24"/>
              </w:rPr>
              <w:t>号确认西宁苏宁电器</w:t>
            </w:r>
            <w:r>
              <w:rPr>
                <w:rFonts w:ascii="宋体" w:hAnsi="宋体" w:cs="宋体" w:eastAsia="宋体" w:hint="default"/>
                <w:spacing w:val="-84"/>
                <w:w w:val="99"/>
                <w:sz w:val="24"/>
                <w:szCs w:val="24"/>
              </w:rPr>
              <w:t> </w:t>
            </w:r>
            <w:r>
              <w:rPr>
                <w:rFonts w:ascii="宋体" w:hAnsi="宋体" w:cs="宋体" w:eastAsia="宋体" w:hint="default"/>
                <w:spacing w:val="-84"/>
                <w:w w:val="99"/>
                <w:sz w:val="24"/>
                <w:szCs w:val="24"/>
              </w:rPr>
            </w:r>
            <w:r>
              <w:rPr>
                <w:rFonts w:ascii="宋体" w:hAnsi="宋体" w:cs="宋体" w:eastAsia="宋体" w:hint="default"/>
                <w:sz w:val="24"/>
                <w:szCs w:val="24"/>
              </w:rPr>
              <w:t>有限公司</w:t>
            </w:r>
            <w:r>
              <w:rPr>
                <w:rFonts w:ascii="Arial" w:hAnsi="Arial" w:cs="Arial" w:eastAsia="Arial" w:hint="default"/>
                <w:sz w:val="24"/>
                <w:szCs w:val="24"/>
              </w:rPr>
              <w:t>2011</w:t>
            </w:r>
            <w:r>
              <w:rPr>
                <w:rFonts w:ascii="宋体" w:hAnsi="宋体" w:cs="宋体" w:eastAsia="宋体" w:hint="default"/>
                <w:sz w:val="24"/>
                <w:szCs w:val="24"/>
              </w:rPr>
              <w:t>年至</w:t>
            </w:r>
            <w:r>
              <w:rPr>
                <w:rFonts w:ascii="Arial" w:hAnsi="Arial" w:cs="Arial" w:eastAsia="Arial" w:hint="default"/>
                <w:sz w:val="24"/>
                <w:szCs w:val="24"/>
              </w:rPr>
              <w:t>2012</w:t>
            </w:r>
            <w:r>
              <w:rPr>
                <w:rFonts w:ascii="宋体" w:hAnsi="宋体" w:cs="宋体" w:eastAsia="宋体" w:hint="default"/>
                <w:sz w:val="24"/>
                <w:szCs w:val="24"/>
              </w:rPr>
              <w:t>年度减按</w:t>
            </w:r>
            <w:r>
              <w:rPr>
                <w:rFonts w:ascii="Arial" w:hAnsi="Arial" w:cs="Arial" w:eastAsia="Arial" w:hint="default"/>
                <w:sz w:val="24"/>
                <w:szCs w:val="24"/>
              </w:rPr>
              <w:t>15%</w:t>
            </w:r>
            <w:r>
              <w:rPr>
                <w:rFonts w:ascii="宋体" w:hAnsi="宋体" w:cs="宋体" w:eastAsia="宋体" w:hint="default"/>
                <w:sz w:val="24"/>
                <w:szCs w:val="24"/>
              </w:rPr>
              <w:t>缴纳企业所得税。</w:t>
            </w: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320" w:lineRule="exact"/>
              <w:ind w:left="216" w:right="0"/>
              <w:jc w:val="both"/>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45"/>
                <w:sz w:val="24"/>
                <w:szCs w:val="24"/>
              </w:rPr>
              <w:t> </w:t>
            </w:r>
            <w:r>
              <w:rPr>
                <w:rFonts w:ascii="Arial" w:hAnsi="Arial" w:cs="Arial" w:eastAsia="Arial" w:hint="default"/>
                <w:sz w:val="24"/>
                <w:szCs w:val="24"/>
              </w:rPr>
              <w:t>5</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44"/>
                <w:sz w:val="24"/>
                <w:szCs w:val="24"/>
              </w:rPr>
              <w:t> </w:t>
            </w:r>
            <w:r>
              <w:rPr>
                <w:rFonts w:ascii="Arial" w:hAnsi="Arial" w:cs="Arial" w:eastAsia="Arial" w:hint="default"/>
                <w:sz w:val="24"/>
                <w:szCs w:val="24"/>
              </w:rPr>
              <w:t>22</w:t>
            </w:r>
            <w:r>
              <w:rPr>
                <w:rFonts w:ascii="Arial" w:hAnsi="Arial" w:cs="Arial" w:eastAsia="Arial" w:hint="default"/>
                <w:spacing w:val="12"/>
                <w:sz w:val="24"/>
                <w:szCs w:val="24"/>
              </w:rPr>
              <w:t> </w:t>
            </w:r>
            <w:r>
              <w:rPr>
                <w:rFonts w:ascii="宋体" w:hAnsi="宋体" w:cs="宋体" w:eastAsia="宋体" w:hint="default"/>
                <w:sz w:val="24"/>
                <w:szCs w:val="24"/>
              </w:rPr>
              <w:t>日，经重庆市沙坪坝区国家税务局沙国税所西</w:t>
            </w:r>
            <w:r>
              <w:rPr>
                <w:rFonts w:ascii="Arial" w:hAnsi="Arial" w:cs="Arial" w:eastAsia="Arial" w:hint="default"/>
                <w:sz w:val="24"/>
                <w:szCs w:val="24"/>
              </w:rPr>
              <w:t>[2012]008</w:t>
            </w:r>
            <w:r>
              <w:rPr>
                <w:rFonts w:ascii="Arial" w:hAnsi="Arial" w:cs="Arial" w:eastAsia="Arial" w:hint="default"/>
                <w:spacing w:val="13"/>
                <w:sz w:val="24"/>
                <w:szCs w:val="24"/>
              </w:rPr>
              <w:t> </w:t>
            </w:r>
            <w:r>
              <w:rPr>
                <w:rFonts w:ascii="宋体" w:hAnsi="宋体" w:cs="宋体" w:eastAsia="宋体" w:hint="default"/>
                <w:sz w:val="24"/>
                <w:szCs w:val="24"/>
              </w:rPr>
              <w:t>号</w:t>
            </w:r>
          </w:p>
          <w:p>
            <w:pPr>
              <w:pStyle w:val="TableParagraph"/>
              <w:spacing w:line="311" w:lineRule="exact"/>
              <w:ind w:left="216" w:right="0"/>
              <w:jc w:val="both"/>
              <w:rPr>
                <w:rFonts w:ascii="Arial" w:hAnsi="Arial" w:cs="Arial" w:eastAsia="Arial" w:hint="default"/>
                <w:sz w:val="24"/>
                <w:szCs w:val="24"/>
              </w:rPr>
            </w:pPr>
            <w:r>
              <w:rPr>
                <w:rFonts w:ascii="宋体" w:hAnsi="宋体" w:cs="宋体" w:eastAsia="宋体" w:hint="default"/>
                <w:sz w:val="24"/>
                <w:szCs w:val="24"/>
              </w:rPr>
              <w:t>文确认，重庆苏宁易购电子商务有限公司关于享受西部大开发优惠税率</w:t>
            </w:r>
            <w:r>
              <w:rPr>
                <w:rFonts w:ascii="宋体" w:hAnsi="宋体" w:cs="宋体" w:eastAsia="宋体" w:hint="default"/>
                <w:spacing w:val="-50"/>
                <w:sz w:val="24"/>
                <w:szCs w:val="24"/>
              </w:rPr>
              <w:t> </w:t>
            </w:r>
            <w:r>
              <w:rPr>
                <w:rFonts w:ascii="Arial" w:hAnsi="Arial" w:cs="Arial" w:eastAsia="Arial" w:hint="default"/>
                <w:sz w:val="24"/>
                <w:szCs w:val="24"/>
              </w:rPr>
              <w:t>15%</w:t>
            </w:r>
          </w:p>
          <w:p>
            <w:pPr>
              <w:pStyle w:val="TableParagraph"/>
              <w:spacing w:line="304" w:lineRule="exact"/>
              <w:ind w:left="216" w:right="0"/>
              <w:jc w:val="both"/>
              <w:rPr>
                <w:rFonts w:ascii="宋体" w:hAnsi="宋体" w:cs="宋体" w:eastAsia="宋体" w:hint="default"/>
                <w:sz w:val="24"/>
                <w:szCs w:val="24"/>
              </w:rPr>
            </w:pPr>
            <w:r>
              <w:rPr>
                <w:rFonts w:ascii="宋体" w:hAnsi="宋体" w:cs="宋体" w:eastAsia="宋体" w:hint="default"/>
                <w:sz w:val="24"/>
                <w:szCs w:val="24"/>
              </w:rPr>
              <w:t>的申请自确认之日起可按相关规定进行涉税事项处理。</w:t>
            </w:r>
          </w:p>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25" w:lineRule="auto"/>
              <w:ind w:left="216" w:right="202"/>
              <w:jc w:val="both"/>
              <w:rPr>
                <w:rFonts w:ascii="宋体" w:hAnsi="宋体" w:cs="宋体" w:eastAsia="宋体" w:hint="default"/>
                <w:sz w:val="24"/>
                <w:szCs w:val="24"/>
              </w:rPr>
            </w:pPr>
            <w:r>
              <w:rPr>
                <w:rFonts w:ascii="Arial" w:hAnsi="Arial" w:cs="Arial" w:eastAsia="Arial" w:hint="default"/>
                <w:spacing w:val="2"/>
                <w:sz w:val="24"/>
                <w:szCs w:val="24"/>
              </w:rPr>
              <w:t>2012</w:t>
            </w:r>
            <w:r>
              <w:rPr>
                <w:rFonts w:ascii="宋体" w:hAnsi="宋体" w:cs="宋体" w:eastAsia="宋体" w:hint="default"/>
                <w:spacing w:val="2"/>
                <w:sz w:val="24"/>
                <w:szCs w:val="24"/>
              </w:rPr>
              <w:t>年</w:t>
            </w:r>
            <w:r>
              <w:rPr>
                <w:rFonts w:ascii="Arial" w:hAnsi="Arial" w:cs="Arial" w:eastAsia="Arial" w:hint="default"/>
                <w:spacing w:val="2"/>
                <w:sz w:val="24"/>
                <w:szCs w:val="24"/>
              </w:rPr>
              <w:t>5</w:t>
            </w:r>
            <w:r>
              <w:rPr>
                <w:rFonts w:ascii="宋体" w:hAnsi="宋体" w:cs="宋体" w:eastAsia="宋体" w:hint="default"/>
                <w:spacing w:val="2"/>
                <w:sz w:val="24"/>
                <w:szCs w:val="24"/>
              </w:rPr>
              <w:t>月</w:t>
            </w:r>
            <w:r>
              <w:rPr>
                <w:rFonts w:ascii="Arial" w:hAnsi="Arial" w:cs="Arial" w:eastAsia="Arial" w:hint="default"/>
                <w:spacing w:val="2"/>
                <w:sz w:val="24"/>
                <w:szCs w:val="24"/>
              </w:rPr>
              <w:t>31</w:t>
            </w:r>
            <w:r>
              <w:rPr>
                <w:rFonts w:ascii="宋体" w:hAnsi="宋体" w:cs="宋体" w:eastAsia="宋体" w:hint="default"/>
                <w:spacing w:val="2"/>
                <w:sz w:val="24"/>
                <w:szCs w:val="24"/>
              </w:rPr>
              <w:t>日，自贡苏宁电器有限公司取得经四川自贡高新技术产业园区</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4"/>
                <w:sz w:val="24"/>
                <w:szCs w:val="24"/>
              </w:rPr>
              <w:t>国家税务局确认的关于</w:t>
            </w:r>
            <w:r>
              <w:rPr>
                <w:rFonts w:ascii="Arial" w:hAnsi="Arial" w:cs="Arial" w:eastAsia="Arial" w:hint="default"/>
                <w:spacing w:val="4"/>
                <w:sz w:val="24"/>
                <w:szCs w:val="24"/>
              </w:rPr>
              <w:t>2011</w:t>
            </w:r>
            <w:r>
              <w:rPr>
                <w:rFonts w:ascii="宋体" w:hAnsi="宋体" w:cs="宋体" w:eastAsia="宋体" w:hint="default"/>
                <w:spacing w:val="4"/>
                <w:sz w:val="24"/>
                <w:szCs w:val="24"/>
              </w:rPr>
              <w:t>年和</w:t>
            </w:r>
            <w:r>
              <w:rPr>
                <w:rFonts w:ascii="Arial" w:hAnsi="Arial" w:cs="Arial" w:eastAsia="Arial" w:hint="default"/>
                <w:spacing w:val="4"/>
                <w:sz w:val="24"/>
                <w:szCs w:val="24"/>
              </w:rPr>
              <w:t>2012</w:t>
            </w:r>
            <w:r>
              <w:rPr>
                <w:rFonts w:ascii="宋体" w:hAnsi="宋体" w:cs="宋体" w:eastAsia="宋体" w:hint="default"/>
                <w:spacing w:val="4"/>
                <w:sz w:val="24"/>
                <w:szCs w:val="24"/>
              </w:rPr>
              <w:t>年减按</w:t>
            </w:r>
            <w:r>
              <w:rPr>
                <w:rFonts w:ascii="Arial" w:hAnsi="Arial" w:cs="Arial" w:eastAsia="Arial" w:hint="default"/>
                <w:spacing w:val="4"/>
                <w:sz w:val="24"/>
                <w:szCs w:val="24"/>
              </w:rPr>
              <w:t>15%</w:t>
            </w:r>
            <w:r>
              <w:rPr>
                <w:rFonts w:ascii="宋体" w:hAnsi="宋体" w:cs="宋体" w:eastAsia="宋体" w:hint="default"/>
                <w:spacing w:val="4"/>
                <w:sz w:val="24"/>
                <w:szCs w:val="24"/>
              </w:rPr>
              <w:t>税率征收企业所得税申请</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审批表和备案登记表。</w:t>
            </w:r>
          </w:p>
          <w:p>
            <w:pPr>
              <w:pStyle w:val="TableParagraph"/>
              <w:spacing w:line="240" w:lineRule="auto" w:before="10"/>
              <w:ind w:right="0"/>
              <w:jc w:val="left"/>
              <w:rPr>
                <w:rFonts w:ascii="Times New Roman" w:hAnsi="Times New Roman" w:cs="Times New Roman" w:eastAsia="Times New Roman" w:hint="default"/>
                <w:sz w:val="30"/>
                <w:szCs w:val="30"/>
              </w:rPr>
            </w:pPr>
          </w:p>
          <w:p>
            <w:pPr>
              <w:pStyle w:val="TableParagraph"/>
              <w:spacing w:line="322" w:lineRule="exact"/>
              <w:ind w:left="216" w:right="0"/>
              <w:jc w:val="both"/>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6</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日，经重庆市渝中区国家税务局渝中国税减</w:t>
            </w:r>
            <w:r>
              <w:rPr>
                <w:rFonts w:ascii="Arial" w:hAnsi="Arial" w:cs="Arial" w:eastAsia="Arial" w:hint="default"/>
                <w:sz w:val="24"/>
                <w:szCs w:val="24"/>
              </w:rPr>
              <w:t>[2012]147</w:t>
            </w:r>
            <w:r>
              <w:rPr>
                <w:rFonts w:ascii="Arial" w:hAnsi="Arial" w:cs="Arial" w:eastAsia="Arial" w:hint="default"/>
                <w:spacing w:val="-7"/>
                <w:sz w:val="24"/>
                <w:szCs w:val="24"/>
              </w:rPr>
              <w:t> </w:t>
            </w:r>
            <w:r>
              <w:rPr>
                <w:rFonts w:ascii="宋体" w:hAnsi="宋体" w:cs="宋体" w:eastAsia="宋体" w:hint="default"/>
                <w:sz w:val="24"/>
                <w:szCs w:val="24"/>
              </w:rPr>
              <w:t>号文确</w:t>
            </w:r>
          </w:p>
          <w:p>
            <w:pPr>
              <w:pStyle w:val="TableParagraph"/>
              <w:spacing w:line="312" w:lineRule="exact" w:before="21"/>
              <w:ind w:left="216" w:right="203"/>
              <w:jc w:val="both"/>
              <w:rPr>
                <w:rFonts w:ascii="宋体" w:hAnsi="宋体" w:cs="宋体" w:eastAsia="宋体" w:hint="default"/>
                <w:sz w:val="24"/>
                <w:szCs w:val="24"/>
              </w:rPr>
            </w:pPr>
            <w:r>
              <w:rPr>
                <w:rFonts w:ascii="宋体" w:hAnsi="宋体" w:cs="宋体" w:eastAsia="宋体" w:hint="default"/>
                <w:spacing w:val="-6"/>
                <w:sz w:val="24"/>
                <w:szCs w:val="24"/>
              </w:rPr>
              <w:t>认，重庆渝宁苏宁电器有限公司</w:t>
            </w:r>
            <w:r>
              <w:rPr>
                <w:rFonts w:ascii="宋体" w:hAnsi="宋体" w:cs="宋体" w:eastAsia="宋体" w:hint="default"/>
                <w:spacing w:val="-61"/>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年至</w:t>
            </w:r>
            <w:r>
              <w:rPr>
                <w:rFonts w:ascii="宋体" w:hAnsi="宋体" w:cs="宋体" w:eastAsia="宋体" w:hint="default"/>
                <w:spacing w:val="-61"/>
                <w:sz w:val="24"/>
                <w:szCs w:val="24"/>
              </w:rPr>
              <w:t> </w:t>
            </w:r>
            <w:r>
              <w:rPr>
                <w:rFonts w:ascii="Arial" w:hAnsi="Arial" w:cs="Arial" w:eastAsia="Arial" w:hint="default"/>
                <w:sz w:val="24"/>
                <w:szCs w:val="24"/>
              </w:rPr>
              <w:t>2020</w:t>
            </w:r>
            <w:r>
              <w:rPr>
                <w:rFonts w:ascii="Arial" w:hAnsi="Arial" w:cs="Arial" w:eastAsia="Arial" w:hint="default"/>
                <w:spacing w:val="-7"/>
                <w:sz w:val="24"/>
                <w:szCs w:val="24"/>
              </w:rPr>
              <w:t> </w:t>
            </w:r>
            <w:r>
              <w:rPr>
                <w:rFonts w:ascii="宋体" w:hAnsi="宋体" w:cs="宋体" w:eastAsia="宋体" w:hint="default"/>
                <w:sz w:val="24"/>
                <w:szCs w:val="24"/>
              </w:rPr>
              <w:t>年减按</w:t>
            </w:r>
            <w:r>
              <w:rPr>
                <w:rFonts w:ascii="宋体" w:hAnsi="宋体" w:cs="宋体" w:eastAsia="宋体" w:hint="default"/>
                <w:spacing w:val="-61"/>
                <w:sz w:val="24"/>
                <w:szCs w:val="24"/>
              </w:rPr>
              <w:t> </w:t>
            </w:r>
            <w:r>
              <w:rPr>
                <w:rFonts w:ascii="Arial" w:hAnsi="Arial" w:cs="Arial" w:eastAsia="Arial" w:hint="default"/>
                <w:sz w:val="24"/>
                <w:szCs w:val="24"/>
              </w:rPr>
              <w:t>15%</w:t>
            </w:r>
            <w:r>
              <w:rPr>
                <w:rFonts w:ascii="宋体" w:hAnsi="宋体" w:cs="宋体" w:eastAsia="宋体" w:hint="default"/>
                <w:sz w:val="24"/>
                <w:szCs w:val="24"/>
              </w:rPr>
              <w:t>税率征收企业所 得税。</w:t>
            </w: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320" w:lineRule="exact"/>
              <w:ind w:left="216" w:right="0"/>
              <w:jc w:val="both"/>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6</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21</w:t>
            </w:r>
            <w:r>
              <w:rPr>
                <w:rFonts w:ascii="Arial" w:hAnsi="Arial" w:cs="Arial" w:eastAsia="Arial" w:hint="default"/>
                <w:spacing w:val="-1"/>
                <w:sz w:val="24"/>
                <w:szCs w:val="24"/>
              </w:rPr>
              <w:t> </w:t>
            </w:r>
            <w:r>
              <w:rPr>
                <w:rFonts w:ascii="宋体" w:hAnsi="宋体" w:cs="宋体" w:eastAsia="宋体" w:hint="default"/>
                <w:sz w:val="24"/>
                <w:szCs w:val="24"/>
              </w:rPr>
              <w:t>日，经四川省广元市利州区国家税务局确认，广元苏宁电器</w:t>
            </w:r>
          </w:p>
          <w:p>
            <w:pPr>
              <w:pStyle w:val="TableParagraph"/>
              <w:spacing w:line="320" w:lineRule="exact"/>
              <w:ind w:left="216" w:right="0"/>
              <w:jc w:val="both"/>
              <w:rPr>
                <w:rFonts w:ascii="宋体" w:hAnsi="宋体" w:cs="宋体" w:eastAsia="宋体" w:hint="default"/>
                <w:sz w:val="24"/>
                <w:szCs w:val="24"/>
              </w:rPr>
            </w:pPr>
            <w:r>
              <w:rPr>
                <w:rFonts w:ascii="宋体" w:hAnsi="宋体" w:cs="宋体" w:eastAsia="宋体" w:hint="default"/>
                <w:sz w:val="24"/>
                <w:szCs w:val="24"/>
              </w:rPr>
              <w:t>有限公司取得关于</w:t>
            </w:r>
            <w:r>
              <w:rPr>
                <w:rFonts w:ascii="宋体" w:hAnsi="宋体" w:cs="宋体" w:eastAsia="宋体" w:hint="default"/>
                <w:spacing w:val="-62"/>
                <w:sz w:val="24"/>
                <w:szCs w:val="24"/>
              </w:rPr>
              <w:t> </w:t>
            </w:r>
            <w:r>
              <w:rPr>
                <w:rFonts w:ascii="Arial" w:hAnsi="Arial" w:cs="Arial" w:eastAsia="Arial" w:hint="default"/>
                <w:spacing w:val="-5"/>
                <w:sz w:val="24"/>
                <w:szCs w:val="24"/>
              </w:rPr>
              <w:t>2011</w:t>
            </w:r>
            <w:r>
              <w:rPr>
                <w:rFonts w:ascii="Arial" w:hAnsi="Arial" w:cs="Arial" w:eastAsia="Arial" w:hint="default"/>
                <w:spacing w:val="-8"/>
                <w:sz w:val="24"/>
                <w:szCs w:val="24"/>
              </w:rPr>
              <w:t> </w:t>
            </w:r>
            <w:r>
              <w:rPr>
                <w:rFonts w:ascii="宋体" w:hAnsi="宋体" w:cs="宋体" w:eastAsia="宋体" w:hint="default"/>
                <w:sz w:val="24"/>
                <w:szCs w:val="24"/>
              </w:rPr>
              <w:t>年至</w:t>
            </w:r>
            <w:r>
              <w:rPr>
                <w:rFonts w:ascii="宋体" w:hAnsi="宋体" w:cs="宋体" w:eastAsia="宋体" w:hint="default"/>
                <w:spacing w:val="-62"/>
                <w:sz w:val="24"/>
                <w:szCs w:val="24"/>
              </w:rPr>
              <w:t> </w:t>
            </w:r>
            <w:r>
              <w:rPr>
                <w:rFonts w:ascii="Arial" w:hAnsi="Arial" w:cs="Arial" w:eastAsia="Arial" w:hint="default"/>
                <w:sz w:val="24"/>
                <w:szCs w:val="24"/>
              </w:rPr>
              <w:t>2020</w:t>
            </w:r>
            <w:r>
              <w:rPr>
                <w:rFonts w:ascii="Arial" w:hAnsi="Arial" w:cs="Arial" w:eastAsia="Arial" w:hint="default"/>
                <w:spacing w:val="-8"/>
                <w:sz w:val="24"/>
                <w:szCs w:val="24"/>
              </w:rPr>
              <w:t> </w:t>
            </w:r>
            <w:r>
              <w:rPr>
                <w:rFonts w:ascii="宋体" w:hAnsi="宋体" w:cs="宋体" w:eastAsia="宋体" w:hint="default"/>
                <w:sz w:val="24"/>
                <w:szCs w:val="24"/>
              </w:rPr>
              <w:t>年享受西部大开发优惠税率的年审表。</w:t>
            </w:r>
          </w:p>
        </w:tc>
      </w:tr>
    </w:tbl>
    <w:p>
      <w:pPr>
        <w:spacing w:after="0" w:line="320" w:lineRule="exact"/>
        <w:jc w:val="both"/>
        <w:rPr>
          <w:rFonts w:ascii="宋体" w:hAnsi="宋体" w:cs="宋体" w:eastAsia="宋体" w:hint="default"/>
          <w:sz w:val="24"/>
          <w:szCs w:val="24"/>
        </w:rPr>
        <w:sectPr>
          <w:footerReference w:type="default" r:id="rId64"/>
          <w:pgSz w:w="11910" w:h="16850"/>
          <w:pgMar w:footer="1340" w:header="795" w:top="2020" w:bottom="154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1596136" type="#_x0000_t75" stroked="false">
            <v:imagedata r:id="rId10" o:title=""/>
          </v:shape>
        </w:pict>
      </w:r>
    </w:p>
    <w:p>
      <w:pPr>
        <w:spacing w:line="240" w:lineRule="auto" w:before="8"/>
        <w:rPr>
          <w:rFonts w:ascii="Times New Roman" w:hAnsi="Times New Roman" w:cs="Times New Roman" w:eastAsia="Times New Roman"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710"/>
        <w:gridCol w:w="8413"/>
      </w:tblGrid>
      <w:tr>
        <w:trPr>
          <w:trHeight w:val="497"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8413" w:type="dxa"/>
            <w:tcBorders>
              <w:top w:val="nil" w:sz="6" w:space="0" w:color="auto"/>
              <w:left w:val="nil" w:sz="6" w:space="0" w:color="auto"/>
              <w:bottom w:val="nil" w:sz="6" w:space="0" w:color="auto"/>
              <w:right w:val="nil" w:sz="6" w:space="0" w:color="auto"/>
            </w:tcBorders>
          </w:tcPr>
          <w:p>
            <w:pPr>
              <w:pStyle w:val="TableParagraph"/>
              <w:spacing w:line="257" w:lineRule="exact"/>
              <w:ind w:left="216"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4"/>
              <w:jc w:val="center"/>
              <w:rPr>
                <w:rFonts w:ascii="Arial" w:hAnsi="Arial" w:cs="Arial" w:eastAsia="Arial" w:hint="default"/>
                <w:sz w:val="24"/>
                <w:szCs w:val="24"/>
              </w:rPr>
            </w:pPr>
            <w:r>
              <w:rPr>
                <w:rFonts w:ascii="Arial"/>
                <w:sz w:val="24"/>
              </w:rPr>
              <w:t>(2)</w:t>
            </w:r>
          </w:p>
        </w:tc>
        <w:tc>
          <w:tcPr>
            <w:tcW w:w="8413"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16" w:right="0"/>
              <w:jc w:val="left"/>
              <w:rPr>
                <w:rFonts w:ascii="Arial" w:hAnsi="Arial" w:cs="Arial" w:eastAsia="Arial" w:hint="default"/>
                <w:sz w:val="24"/>
                <w:szCs w:val="24"/>
              </w:rPr>
            </w:pPr>
            <w:r>
              <w:rPr>
                <w:rFonts w:ascii="黑体" w:hAnsi="黑体" w:cs="黑体" w:eastAsia="黑体" w:hint="default"/>
                <w:sz w:val="24"/>
                <w:szCs w:val="24"/>
              </w:rPr>
              <w:t>税收优惠及批文</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0"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4"/>
              <w:jc w:val="center"/>
              <w:rPr>
                <w:rFonts w:ascii="Arial" w:hAnsi="Arial" w:cs="Arial" w:eastAsia="Arial" w:hint="default"/>
                <w:sz w:val="24"/>
                <w:szCs w:val="24"/>
              </w:rPr>
            </w:pPr>
            <w:r>
              <w:rPr>
                <w:rFonts w:ascii="Arial"/>
                <w:sz w:val="24"/>
              </w:rPr>
              <w:t>(a)</w:t>
            </w:r>
          </w:p>
        </w:tc>
        <w:tc>
          <w:tcPr>
            <w:tcW w:w="841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6" w:right="0"/>
              <w:jc w:val="left"/>
              <w:rPr>
                <w:rFonts w:ascii="Arial" w:hAnsi="Arial" w:cs="Arial" w:eastAsia="Arial" w:hint="default"/>
                <w:sz w:val="24"/>
                <w:szCs w:val="24"/>
              </w:rPr>
            </w:pPr>
            <w:r>
              <w:rPr>
                <w:rFonts w:ascii="宋体" w:hAnsi="宋体" w:cs="宋体" w:eastAsia="宋体" w:hint="default"/>
                <w:sz w:val="24"/>
                <w:szCs w:val="24"/>
              </w:rPr>
              <w:t>西部大开发税收优惠政策</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11119" w:hRule="exact"/>
        </w:trPr>
        <w:tc>
          <w:tcPr>
            <w:tcW w:w="710" w:type="dxa"/>
            <w:tcBorders>
              <w:top w:val="nil" w:sz="6" w:space="0" w:color="auto"/>
              <w:left w:val="nil" w:sz="6" w:space="0" w:color="auto"/>
              <w:bottom w:val="nil" w:sz="6" w:space="0" w:color="auto"/>
              <w:right w:val="nil" w:sz="6" w:space="0" w:color="auto"/>
            </w:tcBorders>
          </w:tcPr>
          <w:p>
            <w:pPr/>
          </w:p>
        </w:tc>
        <w:tc>
          <w:tcPr>
            <w:tcW w:w="8413"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16" w:right="0"/>
              <w:jc w:val="both"/>
              <w:rPr>
                <w:rFonts w:ascii="宋体" w:hAnsi="宋体" w:cs="宋体" w:eastAsia="宋体" w:hint="default"/>
                <w:sz w:val="24"/>
                <w:szCs w:val="24"/>
              </w:rPr>
            </w:pPr>
            <w:r>
              <w:rPr>
                <w:rFonts w:ascii="宋体" w:hAnsi="宋体" w:cs="宋体" w:eastAsia="宋体" w:hint="default"/>
                <w:sz w:val="24"/>
                <w:szCs w:val="24"/>
              </w:rPr>
              <w:t>本集团已获得其他主管部门发布产业确认函的子公司如下：</w:t>
            </w:r>
          </w:p>
          <w:p>
            <w:pPr>
              <w:pStyle w:val="TableParagraph"/>
              <w:spacing w:line="240" w:lineRule="auto" w:before="8"/>
              <w:ind w:right="0"/>
              <w:jc w:val="left"/>
              <w:rPr>
                <w:rFonts w:ascii="Times New Roman" w:hAnsi="Times New Roman" w:cs="Times New Roman" w:eastAsia="Times New Roman" w:hint="default"/>
                <w:sz w:val="31"/>
                <w:szCs w:val="31"/>
              </w:rPr>
            </w:pPr>
          </w:p>
          <w:p>
            <w:pPr>
              <w:pStyle w:val="TableParagraph"/>
              <w:spacing w:line="230" w:lineRule="auto"/>
              <w:ind w:left="216" w:right="199"/>
              <w:jc w:val="both"/>
              <w:rPr>
                <w:rFonts w:ascii="宋体" w:hAnsi="宋体" w:cs="宋体" w:eastAsia="宋体" w:hint="default"/>
                <w:sz w:val="24"/>
                <w:szCs w:val="24"/>
              </w:rPr>
            </w:pPr>
            <w:r>
              <w:rPr>
                <w:rFonts w:ascii="Arial" w:hAnsi="Arial" w:cs="Arial" w:eastAsia="Arial" w:hint="default"/>
                <w:sz w:val="24"/>
                <w:szCs w:val="24"/>
              </w:rPr>
              <w:t>2011</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29</w:t>
            </w:r>
            <w:r>
              <w:rPr>
                <w:rFonts w:ascii="宋体" w:hAnsi="宋体" w:cs="宋体" w:eastAsia="宋体" w:hint="default"/>
                <w:sz w:val="24"/>
                <w:szCs w:val="24"/>
              </w:rPr>
              <w:t>日，经陕西省发展和改革委员会陕发改产业确认函</w:t>
            </w:r>
            <w:r>
              <w:rPr>
                <w:rFonts w:ascii="Arial" w:hAnsi="Arial" w:cs="Arial" w:eastAsia="Arial" w:hint="default"/>
                <w:sz w:val="24"/>
                <w:szCs w:val="24"/>
              </w:rPr>
              <w:t>[2011]081</w:t>
            </w:r>
            <w:r>
              <w:rPr>
                <w:rFonts w:ascii="Arial" w:hAnsi="Arial" w:cs="Arial" w:eastAsia="Arial" w:hint="default"/>
                <w:spacing w:val="10"/>
                <w:sz w:val="24"/>
                <w:szCs w:val="24"/>
              </w:rPr>
              <w:t> </w:t>
            </w:r>
            <w:r>
              <w:rPr>
                <w:rFonts w:ascii="Arial" w:hAnsi="Arial" w:cs="Arial" w:eastAsia="Arial" w:hint="default"/>
                <w:spacing w:val="10"/>
                <w:sz w:val="24"/>
                <w:szCs w:val="24"/>
              </w:rPr>
            </w:r>
            <w:r>
              <w:rPr>
                <w:rFonts w:ascii="宋体" w:hAnsi="宋体" w:cs="宋体" w:eastAsia="宋体" w:hint="default"/>
                <w:sz w:val="24"/>
                <w:szCs w:val="24"/>
              </w:rPr>
              <w:t>号文确认陕西苏宁电器有限责任公司属于陕西省符合国家鼓励类目录企业确</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pacing w:val="-14"/>
                <w:sz w:val="24"/>
                <w:szCs w:val="24"/>
              </w:rPr>
              <w:t>认名单（第一批）。</w:t>
            </w:r>
          </w:p>
          <w:p>
            <w:pPr>
              <w:pStyle w:val="TableParagraph"/>
              <w:spacing w:line="240" w:lineRule="auto" w:before="6"/>
              <w:ind w:right="0"/>
              <w:jc w:val="left"/>
              <w:rPr>
                <w:rFonts w:ascii="Times New Roman" w:hAnsi="Times New Roman" w:cs="Times New Roman" w:eastAsia="Times New Roman" w:hint="default"/>
                <w:sz w:val="33"/>
                <w:szCs w:val="33"/>
              </w:rPr>
            </w:pPr>
          </w:p>
          <w:p>
            <w:pPr>
              <w:pStyle w:val="TableParagraph"/>
              <w:spacing w:line="312" w:lineRule="exact"/>
              <w:ind w:left="216" w:right="200"/>
              <w:jc w:val="both"/>
              <w:rPr>
                <w:rFonts w:ascii="宋体" w:hAnsi="宋体" w:cs="宋体" w:eastAsia="宋体" w:hint="default"/>
                <w:sz w:val="24"/>
                <w:szCs w:val="24"/>
              </w:rPr>
            </w:pPr>
            <w:r>
              <w:rPr>
                <w:rFonts w:ascii="Arial" w:hAnsi="Arial" w:cs="Arial" w:eastAsia="Arial" w:hint="default"/>
                <w:spacing w:val="-4"/>
                <w:w w:val="99"/>
                <w:sz w:val="24"/>
                <w:szCs w:val="24"/>
              </w:rPr>
              <w:t>2012</w:t>
            </w:r>
            <w:r>
              <w:rPr>
                <w:rFonts w:ascii="宋体" w:hAnsi="宋体" w:cs="宋体" w:eastAsia="宋体" w:hint="default"/>
                <w:spacing w:val="-4"/>
                <w:w w:val="99"/>
                <w:sz w:val="24"/>
                <w:szCs w:val="24"/>
              </w:rPr>
              <w:t>年</w:t>
            </w:r>
            <w:r>
              <w:rPr>
                <w:rFonts w:ascii="Arial" w:hAnsi="Arial" w:cs="Arial" w:eastAsia="Arial" w:hint="default"/>
                <w:spacing w:val="-4"/>
                <w:w w:val="99"/>
                <w:sz w:val="24"/>
                <w:szCs w:val="24"/>
              </w:rPr>
              <w:t>3</w:t>
            </w:r>
            <w:r>
              <w:rPr>
                <w:rFonts w:ascii="宋体" w:hAnsi="宋体" w:cs="宋体" w:eastAsia="宋体" w:hint="default"/>
                <w:spacing w:val="-4"/>
                <w:w w:val="99"/>
                <w:sz w:val="24"/>
                <w:szCs w:val="24"/>
              </w:rPr>
              <w:t>月</w:t>
            </w:r>
            <w:r>
              <w:rPr>
                <w:rFonts w:ascii="Arial" w:hAnsi="Arial" w:cs="Arial" w:eastAsia="Arial" w:hint="default"/>
                <w:spacing w:val="-4"/>
                <w:w w:val="99"/>
                <w:sz w:val="24"/>
                <w:szCs w:val="24"/>
              </w:rPr>
              <w:t>9</w:t>
            </w:r>
            <w:r>
              <w:rPr>
                <w:rFonts w:ascii="宋体" w:hAnsi="宋体" w:cs="宋体" w:eastAsia="宋体" w:hint="default"/>
                <w:spacing w:val="-4"/>
                <w:w w:val="99"/>
                <w:sz w:val="24"/>
                <w:szCs w:val="24"/>
              </w:rPr>
              <w:t>日，经陕西省发展和改革委员会陕发改产业确认函</w:t>
            </w:r>
            <w:r>
              <w:rPr>
                <w:rFonts w:ascii="Arial" w:hAnsi="Arial" w:cs="Arial" w:eastAsia="Arial" w:hint="default"/>
                <w:spacing w:val="-4"/>
                <w:w w:val="99"/>
                <w:sz w:val="24"/>
                <w:szCs w:val="24"/>
              </w:rPr>
              <w:t>[2012]002</w:t>
            </w:r>
            <w:r>
              <w:rPr>
                <w:rFonts w:ascii="宋体" w:hAnsi="宋体" w:cs="宋体" w:eastAsia="宋体" w:hint="default"/>
                <w:spacing w:val="-4"/>
                <w:w w:val="99"/>
                <w:sz w:val="24"/>
                <w:szCs w:val="24"/>
              </w:rPr>
              <w:t>号文</w:t>
            </w:r>
            <w:r>
              <w:rPr>
                <w:rFonts w:ascii="宋体" w:hAnsi="宋体" w:cs="宋体" w:eastAsia="宋体" w:hint="default"/>
                <w:spacing w:val="-81"/>
                <w:w w:val="99"/>
                <w:sz w:val="24"/>
                <w:szCs w:val="24"/>
              </w:rPr>
              <w:t> </w:t>
            </w:r>
            <w:r>
              <w:rPr>
                <w:rFonts w:ascii="宋体" w:hAnsi="宋体" w:cs="宋体" w:eastAsia="宋体" w:hint="default"/>
                <w:sz w:val="24"/>
                <w:szCs w:val="24"/>
              </w:rPr>
              <w:t>确认宝鸡苏宁电器有限公司、商洛苏宁电器有限公司、咸阳苏宁电器有限公</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pacing w:val="-5"/>
                <w:sz w:val="24"/>
                <w:szCs w:val="24"/>
              </w:rPr>
              <w:t>司属于陕西省符合国家鼓励类目录企业确认名单（第三批）。</w:t>
            </w: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25" w:lineRule="auto"/>
              <w:ind w:left="216" w:right="200"/>
              <w:jc w:val="both"/>
              <w:rPr>
                <w:rFonts w:ascii="宋体" w:hAnsi="宋体" w:cs="宋体" w:eastAsia="宋体" w:hint="default"/>
                <w:sz w:val="24"/>
                <w:szCs w:val="24"/>
              </w:rPr>
            </w:pPr>
            <w:r>
              <w:rPr>
                <w:rFonts w:ascii="Arial" w:hAnsi="Arial" w:cs="Arial" w:eastAsia="Arial" w:hint="default"/>
                <w:spacing w:val="-4"/>
                <w:sz w:val="24"/>
                <w:szCs w:val="24"/>
              </w:rPr>
              <w:t>2012</w:t>
            </w:r>
            <w:r>
              <w:rPr>
                <w:rFonts w:ascii="宋体" w:hAnsi="宋体" w:cs="宋体" w:eastAsia="宋体" w:hint="default"/>
                <w:spacing w:val="-4"/>
                <w:sz w:val="24"/>
                <w:szCs w:val="24"/>
              </w:rPr>
              <w:t>年</w:t>
            </w:r>
            <w:r>
              <w:rPr>
                <w:rFonts w:ascii="Arial" w:hAnsi="Arial" w:cs="Arial" w:eastAsia="Arial" w:hint="default"/>
                <w:spacing w:val="-4"/>
                <w:sz w:val="24"/>
                <w:szCs w:val="24"/>
              </w:rPr>
              <w:t>4</w:t>
            </w:r>
            <w:r>
              <w:rPr>
                <w:rFonts w:ascii="宋体" w:hAnsi="宋体" w:cs="宋体" w:eastAsia="宋体" w:hint="default"/>
                <w:spacing w:val="-4"/>
                <w:sz w:val="24"/>
                <w:szCs w:val="24"/>
              </w:rPr>
              <w:t>月</w:t>
            </w:r>
            <w:r>
              <w:rPr>
                <w:rFonts w:ascii="Arial" w:hAnsi="Arial" w:cs="Arial" w:eastAsia="Arial" w:hint="default"/>
                <w:spacing w:val="-4"/>
                <w:sz w:val="24"/>
                <w:szCs w:val="24"/>
              </w:rPr>
              <w:t>19</w:t>
            </w:r>
            <w:r>
              <w:rPr>
                <w:rFonts w:ascii="宋体" w:hAnsi="宋体" w:cs="宋体" w:eastAsia="宋体" w:hint="default"/>
                <w:spacing w:val="-4"/>
                <w:sz w:val="24"/>
                <w:szCs w:val="24"/>
              </w:rPr>
              <w:t>日，经广西壮族自治区商务厅桂商商贸函</w:t>
            </w:r>
            <w:r>
              <w:rPr>
                <w:rFonts w:ascii="Arial" w:hAnsi="Arial" w:cs="Arial" w:eastAsia="Arial" w:hint="default"/>
                <w:spacing w:val="-4"/>
                <w:sz w:val="24"/>
                <w:szCs w:val="24"/>
              </w:rPr>
              <w:t>[2012]56</w:t>
            </w:r>
            <w:r>
              <w:rPr>
                <w:rFonts w:ascii="宋体" w:hAnsi="宋体" w:cs="宋体" w:eastAsia="宋体" w:hint="default"/>
                <w:spacing w:val="-4"/>
                <w:sz w:val="24"/>
                <w:szCs w:val="24"/>
              </w:rPr>
              <w:t>号文确认，玉</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2"/>
                <w:sz w:val="24"/>
                <w:szCs w:val="24"/>
              </w:rPr>
              <w:t>林苏宁电器有限公司经营项目属于第一类鼓励类第三十三条</w:t>
            </w:r>
            <w:r>
              <w:rPr>
                <w:rFonts w:ascii="Arial" w:hAnsi="Arial" w:cs="Arial" w:eastAsia="Arial" w:hint="default"/>
                <w:spacing w:val="-2"/>
                <w:sz w:val="24"/>
                <w:szCs w:val="24"/>
              </w:rPr>
              <w:t>5</w:t>
            </w:r>
            <w:r>
              <w:rPr>
                <w:rFonts w:ascii="宋体" w:hAnsi="宋体" w:cs="宋体" w:eastAsia="宋体" w:hint="default"/>
                <w:spacing w:val="-2"/>
                <w:sz w:val="24"/>
                <w:szCs w:val="24"/>
              </w:rPr>
              <w:t>项“商贸企业的</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统一配送和分销网络建设”类项目。</w:t>
            </w:r>
          </w:p>
          <w:p>
            <w:pPr>
              <w:pStyle w:val="TableParagraph"/>
              <w:spacing w:line="240" w:lineRule="auto" w:before="10"/>
              <w:ind w:right="0"/>
              <w:jc w:val="left"/>
              <w:rPr>
                <w:rFonts w:ascii="Times New Roman" w:hAnsi="Times New Roman" w:cs="Times New Roman" w:eastAsia="Times New Roman" w:hint="default"/>
                <w:sz w:val="31"/>
                <w:szCs w:val="31"/>
              </w:rPr>
            </w:pPr>
          </w:p>
          <w:p>
            <w:pPr>
              <w:pStyle w:val="TableParagraph"/>
              <w:spacing w:line="230" w:lineRule="auto"/>
              <w:ind w:left="216" w:right="200"/>
              <w:jc w:val="both"/>
              <w:rPr>
                <w:rFonts w:ascii="宋体" w:hAnsi="宋体" w:cs="宋体" w:eastAsia="宋体" w:hint="default"/>
                <w:sz w:val="24"/>
                <w:szCs w:val="24"/>
              </w:rPr>
            </w:pPr>
            <w:r>
              <w:rPr>
                <w:rFonts w:ascii="Arial" w:hAnsi="Arial" w:cs="Arial" w:eastAsia="Arial" w:hint="default"/>
                <w:spacing w:val="-1"/>
                <w:sz w:val="24"/>
                <w:szCs w:val="24"/>
              </w:rPr>
              <w:t>2012</w:t>
            </w:r>
            <w:r>
              <w:rPr>
                <w:rFonts w:ascii="宋体" w:hAnsi="宋体" w:cs="宋体" w:eastAsia="宋体" w:hint="default"/>
                <w:spacing w:val="-1"/>
                <w:sz w:val="24"/>
                <w:szCs w:val="24"/>
              </w:rPr>
              <w:t>年</w:t>
            </w:r>
            <w:r>
              <w:rPr>
                <w:rFonts w:ascii="Arial" w:hAnsi="Arial" w:cs="Arial" w:eastAsia="Arial" w:hint="default"/>
                <w:spacing w:val="-1"/>
                <w:sz w:val="24"/>
                <w:szCs w:val="24"/>
              </w:rPr>
              <w:t>5</w:t>
            </w:r>
            <w:r>
              <w:rPr>
                <w:rFonts w:ascii="宋体" w:hAnsi="宋体" w:cs="宋体" w:eastAsia="宋体" w:hint="default"/>
                <w:spacing w:val="-1"/>
                <w:sz w:val="24"/>
                <w:szCs w:val="24"/>
              </w:rPr>
              <w:t>月</w:t>
            </w:r>
            <w:r>
              <w:rPr>
                <w:rFonts w:ascii="Arial" w:hAnsi="Arial" w:cs="Arial" w:eastAsia="Arial" w:hint="default"/>
                <w:spacing w:val="-1"/>
                <w:sz w:val="24"/>
                <w:szCs w:val="24"/>
              </w:rPr>
              <w:t>18</w:t>
            </w:r>
            <w:r>
              <w:rPr>
                <w:rFonts w:ascii="宋体" w:hAnsi="宋体" w:cs="宋体" w:eastAsia="宋体" w:hint="default"/>
                <w:spacing w:val="-1"/>
                <w:sz w:val="24"/>
                <w:szCs w:val="24"/>
              </w:rPr>
              <w:t>日，经陕西省发展和改革委员会陕发改产业确认函</w:t>
            </w:r>
            <w:r>
              <w:rPr>
                <w:rFonts w:ascii="Arial" w:hAnsi="Arial" w:cs="Arial" w:eastAsia="Arial" w:hint="default"/>
                <w:spacing w:val="-1"/>
                <w:sz w:val="24"/>
                <w:szCs w:val="24"/>
              </w:rPr>
              <w:t>[2012]006</w:t>
            </w:r>
            <w:r>
              <w:rPr>
                <w:rFonts w:ascii="宋体" w:hAnsi="宋体" w:cs="宋体" w:eastAsia="宋体" w:hint="default"/>
                <w:spacing w:val="-1"/>
                <w:sz w:val="24"/>
                <w:szCs w:val="24"/>
              </w:rPr>
              <w:t>号</w:t>
            </w:r>
            <w:r>
              <w:rPr>
                <w:rFonts w:ascii="宋体" w:hAnsi="宋体" w:cs="宋体" w:eastAsia="宋体" w:hint="default"/>
                <w:spacing w:val="-97"/>
                <w:sz w:val="24"/>
                <w:szCs w:val="24"/>
              </w:rPr>
              <w:t> </w:t>
            </w:r>
            <w:r>
              <w:rPr>
                <w:rFonts w:ascii="宋体" w:hAnsi="宋体" w:cs="宋体" w:eastAsia="宋体" w:hint="default"/>
                <w:sz w:val="24"/>
                <w:szCs w:val="24"/>
              </w:rPr>
              <w:t>文确认陕西苏宁电器有限责任公司铜川分公司、铜川苏宁电器有限公司、西</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安苏宁易购电子商务有限公司属于陕西省符合国家鼓励类目录企业确认名单</w:t>
            </w:r>
          </w:p>
          <w:p>
            <w:pPr>
              <w:pStyle w:val="TableParagraph"/>
              <w:spacing w:line="313" w:lineRule="exact"/>
              <w:ind w:left="216" w:right="0"/>
              <w:jc w:val="both"/>
              <w:rPr>
                <w:rFonts w:ascii="宋体" w:hAnsi="宋体" w:cs="宋体" w:eastAsia="宋体" w:hint="default"/>
                <w:sz w:val="24"/>
                <w:szCs w:val="24"/>
              </w:rPr>
            </w:pPr>
            <w:r>
              <w:rPr>
                <w:rFonts w:ascii="宋体" w:hAnsi="宋体" w:cs="宋体" w:eastAsia="宋体" w:hint="default"/>
                <w:sz w:val="24"/>
                <w:szCs w:val="24"/>
              </w:rPr>
              <w:t>（第七批</w:t>
            </w:r>
            <w:r>
              <w:rPr>
                <w:rFonts w:ascii="宋体" w:hAnsi="宋体" w:cs="宋体" w:eastAsia="宋体" w:hint="default"/>
                <w:spacing w:val="-120"/>
                <w:sz w:val="24"/>
                <w:szCs w:val="24"/>
              </w:rPr>
              <w:t>）</w:t>
            </w:r>
            <w:r>
              <w:rPr>
                <w:rFonts w:ascii="宋体" w:hAnsi="宋体" w:cs="宋体" w:eastAsia="宋体" w:hint="default"/>
                <w:sz w:val="24"/>
                <w:szCs w:val="24"/>
              </w:rPr>
              <w:t>。</w:t>
            </w:r>
          </w:p>
          <w:p>
            <w:pPr>
              <w:pStyle w:val="TableParagraph"/>
              <w:spacing w:line="240" w:lineRule="auto" w:before="4"/>
              <w:ind w:right="0"/>
              <w:jc w:val="left"/>
              <w:rPr>
                <w:rFonts w:ascii="Times New Roman" w:hAnsi="Times New Roman" w:cs="Times New Roman" w:eastAsia="Times New Roman" w:hint="default"/>
                <w:sz w:val="33"/>
                <w:szCs w:val="33"/>
              </w:rPr>
            </w:pPr>
          </w:p>
          <w:p>
            <w:pPr>
              <w:pStyle w:val="TableParagraph"/>
              <w:spacing w:line="312" w:lineRule="exact"/>
              <w:ind w:left="216" w:right="198"/>
              <w:jc w:val="both"/>
              <w:rPr>
                <w:rFonts w:ascii="宋体" w:hAnsi="宋体" w:cs="宋体" w:eastAsia="宋体" w:hint="default"/>
                <w:sz w:val="24"/>
                <w:szCs w:val="24"/>
              </w:rPr>
            </w:pPr>
            <w:r>
              <w:rPr>
                <w:rFonts w:ascii="Arial" w:hAnsi="Arial" w:cs="Arial" w:eastAsia="Arial" w:hint="default"/>
                <w:spacing w:val="-4"/>
                <w:w w:val="99"/>
                <w:sz w:val="24"/>
                <w:szCs w:val="24"/>
              </w:rPr>
              <w:t>2012</w:t>
            </w:r>
            <w:r>
              <w:rPr>
                <w:rFonts w:ascii="宋体" w:hAnsi="宋体" w:cs="宋体" w:eastAsia="宋体" w:hint="default"/>
                <w:spacing w:val="-4"/>
                <w:w w:val="99"/>
                <w:sz w:val="24"/>
                <w:szCs w:val="24"/>
              </w:rPr>
              <w:t>年</w:t>
            </w:r>
            <w:r>
              <w:rPr>
                <w:rFonts w:ascii="Arial" w:hAnsi="Arial" w:cs="Arial" w:eastAsia="Arial" w:hint="default"/>
                <w:spacing w:val="-4"/>
                <w:w w:val="99"/>
                <w:sz w:val="24"/>
                <w:szCs w:val="24"/>
              </w:rPr>
              <w:t>7</w:t>
            </w:r>
            <w:r>
              <w:rPr>
                <w:rFonts w:ascii="宋体" w:hAnsi="宋体" w:cs="宋体" w:eastAsia="宋体" w:hint="default"/>
                <w:spacing w:val="-4"/>
                <w:w w:val="99"/>
                <w:sz w:val="24"/>
                <w:szCs w:val="24"/>
              </w:rPr>
              <w:t>月</w:t>
            </w:r>
            <w:r>
              <w:rPr>
                <w:rFonts w:ascii="Arial" w:hAnsi="Arial" w:cs="Arial" w:eastAsia="Arial" w:hint="default"/>
                <w:spacing w:val="-4"/>
                <w:w w:val="99"/>
                <w:sz w:val="24"/>
                <w:szCs w:val="24"/>
              </w:rPr>
              <w:t>5</w:t>
            </w:r>
            <w:r>
              <w:rPr>
                <w:rFonts w:ascii="宋体" w:hAnsi="宋体" w:cs="宋体" w:eastAsia="宋体" w:hint="default"/>
                <w:spacing w:val="-4"/>
                <w:w w:val="99"/>
                <w:sz w:val="24"/>
                <w:szCs w:val="24"/>
              </w:rPr>
              <w:t>日，经四川省经济和信息化委员会川经信产业函</w:t>
            </w:r>
            <w:r>
              <w:rPr>
                <w:rFonts w:ascii="Arial" w:hAnsi="Arial" w:cs="Arial" w:eastAsia="Arial" w:hint="default"/>
                <w:spacing w:val="-4"/>
                <w:w w:val="99"/>
                <w:sz w:val="24"/>
                <w:szCs w:val="24"/>
              </w:rPr>
              <w:t>[2012]843</w:t>
            </w:r>
            <w:r>
              <w:rPr>
                <w:rFonts w:ascii="宋体" w:hAnsi="宋体" w:cs="宋体" w:eastAsia="宋体" w:hint="default"/>
                <w:spacing w:val="-4"/>
                <w:w w:val="99"/>
                <w:sz w:val="24"/>
                <w:szCs w:val="24"/>
              </w:rPr>
              <w:t>号文确</w:t>
            </w:r>
            <w:r>
              <w:rPr>
                <w:rFonts w:ascii="宋体" w:hAnsi="宋体" w:cs="宋体" w:eastAsia="宋体" w:hint="default"/>
                <w:spacing w:val="-82"/>
                <w:w w:val="99"/>
                <w:sz w:val="24"/>
                <w:szCs w:val="24"/>
              </w:rPr>
              <w:t> </w:t>
            </w:r>
            <w:r>
              <w:rPr>
                <w:rFonts w:ascii="宋体" w:hAnsi="宋体" w:cs="宋体" w:eastAsia="宋体" w:hint="default"/>
                <w:sz w:val="24"/>
                <w:szCs w:val="24"/>
              </w:rPr>
              <w:t>认内江苏宁电器有限公司、泸州泸宁苏宁电器有限公司、绵阳绵宁苏宁电器</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有限公司属于国家鼓励类产业项目。</w:t>
            </w:r>
          </w:p>
          <w:p>
            <w:pPr>
              <w:pStyle w:val="TableParagraph"/>
              <w:spacing w:line="240" w:lineRule="auto" w:before="1"/>
              <w:ind w:right="0"/>
              <w:jc w:val="left"/>
              <w:rPr>
                <w:rFonts w:ascii="Times New Roman" w:hAnsi="Times New Roman" w:cs="Times New Roman" w:eastAsia="Times New Roman" w:hint="default"/>
                <w:sz w:val="31"/>
                <w:szCs w:val="31"/>
              </w:rPr>
            </w:pPr>
          </w:p>
          <w:p>
            <w:pPr>
              <w:pStyle w:val="TableParagraph"/>
              <w:spacing w:line="310" w:lineRule="exact"/>
              <w:ind w:left="216" w:right="198"/>
              <w:jc w:val="both"/>
              <w:rPr>
                <w:rFonts w:ascii="宋体" w:hAnsi="宋体" w:cs="宋体" w:eastAsia="宋体" w:hint="default"/>
                <w:sz w:val="24"/>
                <w:szCs w:val="24"/>
              </w:rPr>
            </w:pPr>
            <w:r>
              <w:rPr>
                <w:rFonts w:ascii="Arial" w:hAnsi="Arial" w:cs="Arial" w:eastAsia="Arial" w:hint="default"/>
                <w:spacing w:val="-1"/>
                <w:sz w:val="24"/>
                <w:szCs w:val="24"/>
              </w:rPr>
              <w:t>2012</w:t>
            </w:r>
            <w:r>
              <w:rPr>
                <w:rFonts w:ascii="宋体" w:hAnsi="宋体" w:cs="宋体" w:eastAsia="宋体" w:hint="default"/>
                <w:spacing w:val="-1"/>
                <w:sz w:val="24"/>
                <w:szCs w:val="24"/>
              </w:rPr>
              <w:t>年</w:t>
            </w:r>
            <w:r>
              <w:rPr>
                <w:rFonts w:ascii="Arial" w:hAnsi="Arial" w:cs="Arial" w:eastAsia="Arial" w:hint="default"/>
                <w:spacing w:val="-1"/>
                <w:sz w:val="24"/>
                <w:szCs w:val="24"/>
              </w:rPr>
              <w:t>7</w:t>
            </w:r>
            <w:r>
              <w:rPr>
                <w:rFonts w:ascii="宋体" w:hAnsi="宋体" w:cs="宋体" w:eastAsia="宋体" w:hint="default"/>
                <w:spacing w:val="-1"/>
                <w:sz w:val="24"/>
                <w:szCs w:val="24"/>
              </w:rPr>
              <w:t>月</w:t>
            </w:r>
            <w:r>
              <w:rPr>
                <w:rFonts w:ascii="Arial" w:hAnsi="Arial" w:cs="Arial" w:eastAsia="Arial" w:hint="default"/>
                <w:spacing w:val="-1"/>
                <w:sz w:val="24"/>
                <w:szCs w:val="24"/>
              </w:rPr>
              <w:t>11</w:t>
            </w:r>
            <w:r>
              <w:rPr>
                <w:rFonts w:ascii="宋体" w:hAnsi="宋体" w:cs="宋体" w:eastAsia="宋体" w:hint="default"/>
                <w:spacing w:val="-1"/>
                <w:sz w:val="24"/>
                <w:szCs w:val="24"/>
              </w:rPr>
              <w:t>日，经四川省经济和信息化委员会川经信产业函</w:t>
            </w:r>
            <w:r>
              <w:rPr>
                <w:rFonts w:ascii="Arial" w:hAnsi="Arial" w:cs="Arial" w:eastAsia="Arial" w:hint="default"/>
                <w:spacing w:val="-1"/>
                <w:sz w:val="24"/>
                <w:szCs w:val="24"/>
              </w:rPr>
              <w:t>[2012]881</w:t>
            </w:r>
            <w:r>
              <w:rPr>
                <w:rFonts w:ascii="宋体" w:hAnsi="宋体" w:cs="宋体" w:eastAsia="宋体" w:hint="default"/>
                <w:spacing w:val="-1"/>
                <w:sz w:val="24"/>
                <w:szCs w:val="24"/>
              </w:rPr>
              <w:t>号文</w:t>
            </w:r>
            <w:r>
              <w:rPr>
                <w:rFonts w:ascii="宋体" w:hAnsi="宋体" w:cs="宋体" w:eastAsia="宋体" w:hint="default"/>
                <w:spacing w:val="-97"/>
                <w:sz w:val="24"/>
                <w:szCs w:val="24"/>
              </w:rPr>
              <w:t> </w:t>
            </w:r>
            <w:r>
              <w:rPr>
                <w:rFonts w:ascii="宋体" w:hAnsi="宋体" w:cs="宋体" w:eastAsia="宋体" w:hint="default"/>
                <w:sz w:val="24"/>
                <w:szCs w:val="24"/>
              </w:rPr>
              <w:t>确认四川苏宁电器有限公司属于国家鼓励类产业项目。</w:t>
            </w: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25" w:lineRule="auto"/>
              <w:ind w:left="216" w:right="200"/>
              <w:jc w:val="both"/>
              <w:rPr>
                <w:rFonts w:ascii="宋体" w:hAnsi="宋体" w:cs="宋体" w:eastAsia="宋体" w:hint="default"/>
                <w:sz w:val="24"/>
                <w:szCs w:val="24"/>
              </w:rPr>
            </w:pPr>
            <w:r>
              <w:rPr>
                <w:rFonts w:ascii="Arial" w:hAnsi="Arial" w:cs="Arial" w:eastAsia="Arial" w:hint="default"/>
                <w:spacing w:val="5"/>
                <w:sz w:val="24"/>
                <w:szCs w:val="24"/>
              </w:rPr>
              <w:t>2012</w:t>
            </w:r>
            <w:r>
              <w:rPr>
                <w:rFonts w:ascii="宋体" w:hAnsi="宋体" w:cs="宋体" w:eastAsia="宋体" w:hint="default"/>
                <w:spacing w:val="5"/>
                <w:sz w:val="24"/>
                <w:szCs w:val="24"/>
              </w:rPr>
              <w:t>年</w:t>
            </w:r>
            <w:r>
              <w:rPr>
                <w:rFonts w:ascii="Arial" w:hAnsi="Arial" w:cs="Arial" w:eastAsia="Arial" w:hint="default"/>
                <w:spacing w:val="5"/>
                <w:sz w:val="24"/>
                <w:szCs w:val="24"/>
              </w:rPr>
              <w:t>7</w:t>
            </w:r>
            <w:r>
              <w:rPr>
                <w:rFonts w:ascii="宋体" w:hAnsi="宋体" w:cs="宋体" w:eastAsia="宋体" w:hint="default"/>
                <w:spacing w:val="5"/>
                <w:sz w:val="24"/>
                <w:szCs w:val="24"/>
              </w:rPr>
              <w:t>月</w:t>
            </w:r>
            <w:r>
              <w:rPr>
                <w:rFonts w:ascii="Arial" w:hAnsi="Arial" w:cs="Arial" w:eastAsia="Arial" w:hint="default"/>
                <w:spacing w:val="5"/>
                <w:sz w:val="24"/>
                <w:szCs w:val="24"/>
              </w:rPr>
              <w:t>16</w:t>
            </w:r>
            <w:r>
              <w:rPr>
                <w:rFonts w:ascii="宋体" w:hAnsi="宋体" w:cs="宋体" w:eastAsia="宋体" w:hint="default"/>
                <w:spacing w:val="5"/>
                <w:sz w:val="24"/>
                <w:szCs w:val="24"/>
              </w:rPr>
              <w:t>日，经宜宾市经济和信息化委员会宜市经信</w:t>
            </w:r>
            <w:r>
              <w:rPr>
                <w:rFonts w:ascii="Arial" w:hAnsi="Arial" w:cs="Arial" w:eastAsia="Arial" w:hint="default"/>
                <w:spacing w:val="5"/>
                <w:sz w:val="24"/>
                <w:szCs w:val="24"/>
              </w:rPr>
              <w:t>[2012]306</w:t>
            </w:r>
            <w:r>
              <w:rPr>
                <w:rFonts w:ascii="宋体" w:hAnsi="宋体" w:cs="宋体" w:eastAsia="宋体" w:hint="default"/>
                <w:spacing w:val="5"/>
                <w:sz w:val="24"/>
                <w:szCs w:val="24"/>
              </w:rPr>
              <w:t>号文确</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2"/>
                <w:sz w:val="24"/>
                <w:szCs w:val="24"/>
              </w:rPr>
              <w:t>认，宜宾苏宁电器有限公司经营项目属于第一类鼓励类第三十三条</w:t>
            </w:r>
            <w:r>
              <w:rPr>
                <w:rFonts w:ascii="Arial" w:hAnsi="Arial" w:cs="Arial" w:eastAsia="Arial" w:hint="default"/>
                <w:spacing w:val="-2"/>
                <w:sz w:val="24"/>
                <w:szCs w:val="24"/>
              </w:rPr>
              <w:t>5</w:t>
            </w:r>
            <w:r>
              <w:rPr>
                <w:rFonts w:ascii="宋体" w:hAnsi="宋体" w:cs="宋体" w:eastAsia="宋体" w:hint="default"/>
                <w:spacing w:val="-2"/>
                <w:sz w:val="24"/>
                <w:szCs w:val="24"/>
              </w:rPr>
              <w:t>项“商贸</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4"/>
                <w:sz w:val="24"/>
                <w:szCs w:val="24"/>
              </w:rPr>
              <w:t>企业的统一配送和分销网络建设”类项目，同意</w:t>
            </w:r>
            <w:r>
              <w:rPr>
                <w:rFonts w:ascii="Arial" w:hAnsi="Arial" w:cs="Arial" w:eastAsia="Arial" w:hint="default"/>
                <w:spacing w:val="-4"/>
                <w:sz w:val="24"/>
                <w:szCs w:val="24"/>
              </w:rPr>
              <w:t>2008-2010</w:t>
            </w:r>
            <w:r>
              <w:rPr>
                <w:rFonts w:ascii="宋体" w:hAnsi="宋体" w:cs="宋体" w:eastAsia="宋体" w:hint="default"/>
                <w:spacing w:val="-4"/>
                <w:sz w:val="24"/>
                <w:szCs w:val="24"/>
              </w:rPr>
              <w:t>年减按</w:t>
            </w:r>
            <w:r>
              <w:rPr>
                <w:rFonts w:ascii="Arial" w:hAnsi="Arial" w:cs="Arial" w:eastAsia="Arial" w:hint="default"/>
                <w:spacing w:val="-4"/>
                <w:sz w:val="24"/>
                <w:szCs w:val="24"/>
              </w:rPr>
              <w:t>15%</w:t>
            </w:r>
            <w:r>
              <w:rPr>
                <w:rFonts w:ascii="宋体" w:hAnsi="宋体" w:cs="宋体" w:eastAsia="宋体" w:hint="default"/>
                <w:spacing w:val="-4"/>
                <w:sz w:val="24"/>
                <w:szCs w:val="24"/>
              </w:rPr>
              <w:t>的税收</w:t>
            </w:r>
            <w:r>
              <w:rPr>
                <w:rFonts w:ascii="宋体" w:hAnsi="宋体" w:cs="宋体" w:eastAsia="宋体" w:hint="default"/>
                <w:spacing w:val="-88"/>
                <w:sz w:val="24"/>
                <w:szCs w:val="24"/>
              </w:rPr>
              <w:t> </w:t>
            </w:r>
            <w:r>
              <w:rPr>
                <w:rFonts w:ascii="宋体" w:hAnsi="宋体" w:cs="宋体" w:eastAsia="宋体" w:hint="default"/>
                <w:sz w:val="24"/>
                <w:szCs w:val="24"/>
              </w:rPr>
              <w:t>征收企业所得税，</w:t>
            </w:r>
            <w:r>
              <w:rPr>
                <w:rFonts w:ascii="Arial" w:hAnsi="Arial" w:cs="Arial" w:eastAsia="Arial" w:hint="default"/>
                <w:sz w:val="24"/>
                <w:szCs w:val="24"/>
              </w:rPr>
              <w:t>2011</w:t>
            </w:r>
            <w:r>
              <w:rPr>
                <w:rFonts w:ascii="宋体" w:hAnsi="宋体" w:cs="宋体" w:eastAsia="宋体" w:hint="default"/>
                <w:sz w:val="24"/>
                <w:szCs w:val="24"/>
              </w:rPr>
              <w:t>年</w:t>
            </w:r>
            <w:r>
              <w:rPr>
                <w:rFonts w:ascii="Arial" w:hAnsi="Arial" w:cs="Arial" w:eastAsia="Arial" w:hint="default"/>
                <w:sz w:val="24"/>
                <w:szCs w:val="24"/>
              </w:rPr>
              <w:t>-2020</w:t>
            </w:r>
            <w:r>
              <w:rPr>
                <w:rFonts w:ascii="宋体" w:hAnsi="宋体" w:cs="宋体" w:eastAsia="宋体" w:hint="default"/>
                <w:sz w:val="24"/>
                <w:szCs w:val="24"/>
              </w:rPr>
              <w:t>年继续减按</w:t>
            </w:r>
            <w:r>
              <w:rPr>
                <w:rFonts w:ascii="Arial" w:hAnsi="Arial" w:cs="Arial" w:eastAsia="Arial" w:hint="default"/>
                <w:sz w:val="24"/>
                <w:szCs w:val="24"/>
              </w:rPr>
              <w:t>15%</w:t>
            </w:r>
            <w:r>
              <w:rPr>
                <w:rFonts w:ascii="宋体" w:hAnsi="宋体" w:cs="宋体" w:eastAsia="宋体" w:hint="default"/>
                <w:sz w:val="24"/>
                <w:szCs w:val="24"/>
              </w:rPr>
              <w:t>的税率缴纳企业所得税。</w:t>
            </w:r>
          </w:p>
          <w:p>
            <w:pPr>
              <w:pStyle w:val="TableParagraph"/>
              <w:spacing w:line="240" w:lineRule="auto" w:before="11"/>
              <w:ind w:right="0"/>
              <w:jc w:val="left"/>
              <w:rPr>
                <w:rFonts w:ascii="Times New Roman" w:hAnsi="Times New Roman" w:cs="Times New Roman" w:eastAsia="Times New Roman" w:hint="default"/>
                <w:sz w:val="30"/>
                <w:szCs w:val="30"/>
              </w:rPr>
            </w:pPr>
          </w:p>
          <w:p>
            <w:pPr>
              <w:pStyle w:val="TableParagraph"/>
              <w:spacing w:line="225" w:lineRule="auto"/>
              <w:ind w:left="216" w:right="202"/>
              <w:jc w:val="both"/>
              <w:rPr>
                <w:rFonts w:ascii="宋体" w:hAnsi="宋体" w:cs="宋体" w:eastAsia="宋体" w:hint="default"/>
                <w:sz w:val="24"/>
                <w:szCs w:val="24"/>
              </w:rPr>
            </w:pPr>
            <w:r>
              <w:rPr>
                <w:rFonts w:ascii="Arial" w:hAnsi="Arial" w:cs="Arial" w:eastAsia="Arial" w:hint="default"/>
                <w:spacing w:val="-4"/>
                <w:w w:val="99"/>
                <w:sz w:val="24"/>
                <w:szCs w:val="24"/>
              </w:rPr>
              <w:t>2012</w:t>
            </w:r>
            <w:r>
              <w:rPr>
                <w:rFonts w:ascii="宋体" w:hAnsi="宋体" w:cs="宋体" w:eastAsia="宋体" w:hint="default"/>
                <w:spacing w:val="-4"/>
                <w:w w:val="99"/>
                <w:sz w:val="24"/>
                <w:szCs w:val="24"/>
              </w:rPr>
              <w:t>年</w:t>
            </w:r>
            <w:r>
              <w:rPr>
                <w:rFonts w:ascii="Arial" w:hAnsi="Arial" w:cs="Arial" w:eastAsia="Arial" w:hint="default"/>
                <w:spacing w:val="-4"/>
                <w:w w:val="99"/>
                <w:sz w:val="24"/>
                <w:szCs w:val="24"/>
              </w:rPr>
              <w:t>8</w:t>
            </w:r>
            <w:r>
              <w:rPr>
                <w:rFonts w:ascii="宋体" w:hAnsi="宋体" w:cs="宋体" w:eastAsia="宋体" w:hint="default"/>
                <w:spacing w:val="-4"/>
                <w:w w:val="99"/>
                <w:sz w:val="24"/>
                <w:szCs w:val="24"/>
              </w:rPr>
              <w:t>月</w:t>
            </w:r>
            <w:r>
              <w:rPr>
                <w:rFonts w:ascii="Arial" w:hAnsi="Arial" w:cs="Arial" w:eastAsia="Arial" w:hint="default"/>
                <w:spacing w:val="-4"/>
                <w:w w:val="99"/>
                <w:sz w:val="24"/>
                <w:szCs w:val="24"/>
              </w:rPr>
              <w:t>15</w:t>
            </w:r>
            <w:r>
              <w:rPr>
                <w:rFonts w:ascii="宋体" w:hAnsi="宋体" w:cs="宋体" w:eastAsia="宋体" w:hint="default"/>
                <w:spacing w:val="-4"/>
                <w:w w:val="99"/>
                <w:sz w:val="24"/>
                <w:szCs w:val="24"/>
              </w:rPr>
              <w:t>日，经昆明市五华区发展和改革局五发改</w:t>
            </w:r>
            <w:r>
              <w:rPr>
                <w:rFonts w:ascii="Arial" w:hAnsi="Arial" w:cs="Arial" w:eastAsia="Arial" w:hint="default"/>
                <w:spacing w:val="-4"/>
                <w:w w:val="99"/>
                <w:sz w:val="24"/>
                <w:szCs w:val="24"/>
              </w:rPr>
              <w:t>[2012]57</w:t>
            </w:r>
            <w:r>
              <w:rPr>
                <w:rFonts w:ascii="宋体" w:hAnsi="宋体" w:cs="宋体" w:eastAsia="宋体" w:hint="default"/>
                <w:spacing w:val="-4"/>
                <w:w w:val="99"/>
                <w:sz w:val="24"/>
                <w:szCs w:val="24"/>
              </w:rPr>
              <w:t>号文确认云南</w:t>
            </w:r>
            <w:r>
              <w:rPr>
                <w:rFonts w:ascii="宋体" w:hAnsi="宋体" w:cs="宋体" w:eastAsia="宋体" w:hint="default"/>
                <w:spacing w:val="-82"/>
                <w:w w:val="99"/>
                <w:sz w:val="24"/>
                <w:szCs w:val="24"/>
              </w:rPr>
              <w:t> </w:t>
            </w:r>
            <w:r>
              <w:rPr>
                <w:rFonts w:ascii="宋体" w:hAnsi="宋体" w:cs="宋体" w:eastAsia="宋体" w:hint="default"/>
                <w:spacing w:val="-82"/>
                <w:w w:val="99"/>
                <w:sz w:val="24"/>
                <w:szCs w:val="24"/>
              </w:rPr>
            </w:r>
            <w:r>
              <w:rPr>
                <w:rFonts w:ascii="宋体" w:hAnsi="宋体" w:cs="宋体" w:eastAsia="宋体" w:hint="default"/>
                <w:spacing w:val="-2"/>
                <w:sz w:val="24"/>
                <w:szCs w:val="24"/>
              </w:rPr>
              <w:t>苏宁电器有限公司经营项目属于第一类鼓励类第三十三条</w:t>
            </w:r>
            <w:r>
              <w:rPr>
                <w:rFonts w:ascii="Arial" w:hAnsi="Arial" w:cs="Arial" w:eastAsia="Arial" w:hint="default"/>
                <w:spacing w:val="-2"/>
                <w:sz w:val="24"/>
                <w:szCs w:val="24"/>
              </w:rPr>
              <w:t>5</w:t>
            </w:r>
            <w:r>
              <w:rPr>
                <w:rFonts w:ascii="宋体" w:hAnsi="宋体" w:cs="宋体" w:eastAsia="宋体" w:hint="default"/>
                <w:spacing w:val="-2"/>
                <w:sz w:val="24"/>
                <w:szCs w:val="24"/>
              </w:rPr>
              <w:t>项“商贸企业的统</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一配送和分销网络建设”类项目。</w:t>
            </w:r>
          </w:p>
        </w:tc>
      </w:tr>
    </w:tbl>
    <w:p>
      <w:pPr>
        <w:spacing w:after="0" w:line="225" w:lineRule="auto"/>
        <w:jc w:val="both"/>
        <w:rPr>
          <w:rFonts w:ascii="宋体" w:hAnsi="宋体" w:cs="宋体" w:eastAsia="宋体" w:hint="default"/>
          <w:sz w:val="24"/>
          <w:szCs w:val="24"/>
        </w:rPr>
        <w:sectPr>
          <w:footerReference w:type="default" r:id="rId65"/>
          <w:pgSz w:w="11910" w:h="16850"/>
          <w:pgMar w:footer="708" w:header="795" w:top="2020" w:bottom="900" w:left="1420" w:right="0"/>
          <w:pgNumType w:start="126"/>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3064" type="#_x0000_t75" stroked="false">
            <v:imagedata r:id="rId10" o:title=""/>
          </v:shape>
        </w:pict>
      </w:r>
    </w:p>
    <w:p>
      <w:pPr>
        <w:spacing w:line="240" w:lineRule="auto" w:before="4"/>
        <w:rPr>
          <w:rFonts w:ascii="Times New Roman" w:hAnsi="Times New Roman" w:cs="Times New Roman" w:eastAsia="Times New Roman"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710"/>
        <w:gridCol w:w="8415"/>
      </w:tblGrid>
      <w:tr>
        <w:trPr>
          <w:trHeight w:val="495"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8415" w:type="dxa"/>
            <w:tcBorders>
              <w:top w:val="nil" w:sz="6" w:space="0" w:color="auto"/>
              <w:left w:val="nil" w:sz="6" w:space="0" w:color="auto"/>
              <w:bottom w:val="nil" w:sz="6" w:space="0" w:color="auto"/>
              <w:right w:val="nil" w:sz="6" w:space="0" w:color="auto"/>
            </w:tcBorders>
          </w:tcPr>
          <w:p>
            <w:pPr>
              <w:pStyle w:val="TableParagraph"/>
              <w:spacing w:line="257" w:lineRule="exact"/>
              <w:ind w:left="216"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6"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4"/>
              <w:jc w:val="center"/>
              <w:rPr>
                <w:rFonts w:ascii="Arial" w:hAnsi="Arial" w:cs="Arial" w:eastAsia="Arial" w:hint="default"/>
                <w:sz w:val="24"/>
                <w:szCs w:val="24"/>
              </w:rPr>
            </w:pPr>
            <w:r>
              <w:rPr>
                <w:rFonts w:ascii="Arial"/>
                <w:sz w:val="24"/>
              </w:rPr>
              <w:t>(2)</w:t>
            </w:r>
          </w:p>
        </w:tc>
        <w:tc>
          <w:tcPr>
            <w:tcW w:w="841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6" w:right="0"/>
              <w:jc w:val="left"/>
              <w:rPr>
                <w:rFonts w:ascii="Arial" w:hAnsi="Arial" w:cs="Arial" w:eastAsia="Arial" w:hint="default"/>
                <w:sz w:val="24"/>
                <w:szCs w:val="24"/>
              </w:rPr>
            </w:pPr>
            <w:r>
              <w:rPr>
                <w:rFonts w:ascii="黑体" w:hAnsi="黑体" w:cs="黑体" w:eastAsia="黑体" w:hint="default"/>
                <w:sz w:val="24"/>
                <w:szCs w:val="24"/>
              </w:rPr>
              <w:t>税收优惠及批文</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1"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4"/>
              <w:jc w:val="center"/>
              <w:rPr>
                <w:rFonts w:ascii="Arial" w:hAnsi="Arial" w:cs="Arial" w:eastAsia="Arial" w:hint="default"/>
                <w:sz w:val="24"/>
                <w:szCs w:val="24"/>
              </w:rPr>
            </w:pPr>
            <w:r>
              <w:rPr>
                <w:rFonts w:ascii="Arial"/>
                <w:sz w:val="24"/>
              </w:rPr>
              <w:t>(a)</w:t>
            </w:r>
          </w:p>
        </w:tc>
        <w:tc>
          <w:tcPr>
            <w:tcW w:w="841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6" w:right="0"/>
              <w:jc w:val="left"/>
              <w:rPr>
                <w:rFonts w:ascii="Arial" w:hAnsi="Arial" w:cs="Arial" w:eastAsia="Arial" w:hint="default"/>
                <w:sz w:val="24"/>
                <w:szCs w:val="24"/>
              </w:rPr>
            </w:pPr>
            <w:r>
              <w:rPr>
                <w:rFonts w:ascii="宋体" w:hAnsi="宋体" w:cs="宋体" w:eastAsia="宋体" w:hint="default"/>
                <w:sz w:val="24"/>
                <w:szCs w:val="24"/>
              </w:rPr>
              <w:t>西部大开发税收优惠政策</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748" w:hRule="exact"/>
        </w:trPr>
        <w:tc>
          <w:tcPr>
            <w:tcW w:w="710" w:type="dxa"/>
            <w:tcBorders>
              <w:top w:val="nil" w:sz="6" w:space="0" w:color="auto"/>
              <w:left w:val="nil" w:sz="6" w:space="0" w:color="auto"/>
              <w:bottom w:val="nil" w:sz="6" w:space="0" w:color="auto"/>
              <w:right w:val="nil" w:sz="6" w:space="0" w:color="auto"/>
            </w:tcBorders>
          </w:tcPr>
          <w:p>
            <w:pPr/>
          </w:p>
        </w:tc>
        <w:tc>
          <w:tcPr>
            <w:tcW w:w="8415"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16" w:right="0"/>
              <w:jc w:val="left"/>
              <w:rPr>
                <w:rFonts w:ascii="宋体" w:hAnsi="宋体" w:cs="宋体" w:eastAsia="宋体" w:hint="default"/>
                <w:sz w:val="24"/>
                <w:szCs w:val="24"/>
              </w:rPr>
            </w:pPr>
            <w:r>
              <w:rPr>
                <w:rFonts w:ascii="宋体" w:hAnsi="宋体" w:cs="宋体" w:eastAsia="宋体" w:hint="default"/>
                <w:sz w:val="24"/>
                <w:szCs w:val="24"/>
              </w:rPr>
              <w:t>本集团已获得其他主管部门发布产业确认函的子公司如下</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r>
      <w:tr>
        <w:trPr>
          <w:trHeight w:val="1671" w:hRule="exact"/>
        </w:trPr>
        <w:tc>
          <w:tcPr>
            <w:tcW w:w="710" w:type="dxa"/>
            <w:tcBorders>
              <w:top w:val="nil" w:sz="6" w:space="0" w:color="auto"/>
              <w:left w:val="nil" w:sz="6" w:space="0" w:color="auto"/>
              <w:bottom w:val="nil" w:sz="6" w:space="0" w:color="auto"/>
              <w:right w:val="nil" w:sz="6" w:space="0" w:color="auto"/>
            </w:tcBorders>
          </w:tcPr>
          <w:p>
            <w:pPr/>
          </w:p>
        </w:tc>
        <w:tc>
          <w:tcPr>
            <w:tcW w:w="8415" w:type="dxa"/>
            <w:tcBorders>
              <w:top w:val="nil" w:sz="6" w:space="0" w:color="auto"/>
              <w:left w:val="nil" w:sz="6" w:space="0" w:color="auto"/>
              <w:bottom w:val="nil" w:sz="6" w:space="0" w:color="auto"/>
              <w:right w:val="nil" w:sz="6" w:space="0" w:color="auto"/>
            </w:tcBorders>
          </w:tcPr>
          <w:p>
            <w:pPr>
              <w:pStyle w:val="TableParagraph"/>
              <w:spacing w:line="232" w:lineRule="auto" w:before="182"/>
              <w:ind w:left="216" w:right="200"/>
              <w:jc w:val="both"/>
              <w:rPr>
                <w:rFonts w:ascii="宋体" w:hAnsi="宋体" w:cs="宋体" w:eastAsia="宋体" w:hint="default"/>
                <w:sz w:val="24"/>
                <w:szCs w:val="24"/>
              </w:rPr>
            </w:pPr>
            <w:r>
              <w:rPr>
                <w:rFonts w:ascii="Arial" w:hAnsi="Arial" w:cs="Arial" w:eastAsia="Arial" w:hint="default"/>
                <w:spacing w:val="2"/>
                <w:sz w:val="24"/>
                <w:szCs w:val="24"/>
              </w:rPr>
              <w:t>2012</w:t>
            </w:r>
            <w:r>
              <w:rPr>
                <w:rFonts w:ascii="宋体" w:hAnsi="宋体" w:cs="宋体" w:eastAsia="宋体" w:hint="default"/>
                <w:spacing w:val="2"/>
                <w:sz w:val="24"/>
                <w:szCs w:val="24"/>
              </w:rPr>
              <w:t>年</w:t>
            </w:r>
            <w:r>
              <w:rPr>
                <w:rFonts w:ascii="Arial" w:hAnsi="Arial" w:cs="Arial" w:eastAsia="Arial" w:hint="default"/>
                <w:spacing w:val="2"/>
                <w:sz w:val="24"/>
                <w:szCs w:val="24"/>
              </w:rPr>
              <w:t>8</w:t>
            </w:r>
            <w:r>
              <w:rPr>
                <w:rFonts w:ascii="宋体" w:hAnsi="宋体" w:cs="宋体" w:eastAsia="宋体" w:hint="default"/>
                <w:spacing w:val="2"/>
                <w:sz w:val="24"/>
                <w:szCs w:val="24"/>
              </w:rPr>
              <w:t>月</w:t>
            </w:r>
            <w:r>
              <w:rPr>
                <w:rFonts w:ascii="Arial" w:hAnsi="Arial" w:cs="Arial" w:eastAsia="Arial" w:hint="default"/>
                <w:spacing w:val="2"/>
                <w:sz w:val="24"/>
                <w:szCs w:val="24"/>
              </w:rPr>
              <w:t>16</w:t>
            </w:r>
            <w:r>
              <w:rPr>
                <w:rFonts w:ascii="宋体" w:hAnsi="宋体" w:cs="宋体" w:eastAsia="宋体" w:hint="default"/>
                <w:spacing w:val="2"/>
                <w:sz w:val="24"/>
                <w:szCs w:val="24"/>
              </w:rPr>
              <w:t>日，经四川省经济和信息化委员会川经信产业函</w:t>
            </w:r>
            <w:r>
              <w:rPr>
                <w:rFonts w:ascii="Arial" w:hAnsi="Arial" w:cs="Arial" w:eastAsia="Arial" w:hint="default"/>
                <w:spacing w:val="2"/>
                <w:sz w:val="24"/>
                <w:szCs w:val="24"/>
              </w:rPr>
              <w:t>[2012]1027</w:t>
            </w:r>
            <w:r>
              <w:rPr>
                <w:rFonts w:ascii="宋体" w:hAnsi="宋体" w:cs="宋体" w:eastAsia="宋体" w:hint="default"/>
                <w:spacing w:val="2"/>
                <w:sz w:val="24"/>
                <w:szCs w:val="24"/>
              </w:rPr>
              <w:t>号</w:t>
            </w:r>
            <w:r>
              <w:rPr>
                <w:rFonts w:ascii="宋体" w:hAnsi="宋体" w:cs="宋体" w:eastAsia="宋体" w:hint="default"/>
                <w:sz w:val="24"/>
                <w:szCs w:val="24"/>
              </w:rPr>
              <w:t> 文确认德阳旌城苏宁电器有限公司、自贡苏宁电器有限公司、南充苏宁电器</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有限公司、达州苏宁电器有限公司、遂宁苏宁电器有限公司属于国家鼓励类</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产业项目。</w:t>
            </w:r>
          </w:p>
        </w:tc>
      </w:tr>
      <w:tr>
        <w:trPr>
          <w:trHeight w:val="751"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4"/>
              <w:jc w:val="center"/>
              <w:rPr>
                <w:rFonts w:ascii="Arial" w:hAnsi="Arial" w:cs="Arial" w:eastAsia="Arial" w:hint="default"/>
                <w:sz w:val="24"/>
                <w:szCs w:val="24"/>
              </w:rPr>
            </w:pPr>
            <w:r>
              <w:rPr>
                <w:rFonts w:ascii="Arial"/>
                <w:sz w:val="24"/>
              </w:rPr>
              <w:t>(b)</w:t>
            </w:r>
          </w:p>
        </w:tc>
        <w:tc>
          <w:tcPr>
            <w:tcW w:w="8415"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16" w:right="0"/>
              <w:jc w:val="left"/>
              <w:rPr>
                <w:rFonts w:ascii="宋体" w:hAnsi="宋体" w:cs="宋体" w:eastAsia="宋体" w:hint="default"/>
                <w:sz w:val="24"/>
                <w:szCs w:val="24"/>
              </w:rPr>
            </w:pPr>
            <w:r>
              <w:rPr>
                <w:rFonts w:ascii="宋体" w:hAnsi="宋体" w:cs="宋体" w:eastAsia="宋体" w:hint="default"/>
                <w:sz w:val="24"/>
                <w:szCs w:val="24"/>
              </w:rPr>
              <w:t>自治机关地方税收优惠政策</w:t>
            </w:r>
          </w:p>
        </w:tc>
      </w:tr>
      <w:tr>
        <w:trPr>
          <w:trHeight w:val="2050" w:hRule="exact"/>
        </w:trPr>
        <w:tc>
          <w:tcPr>
            <w:tcW w:w="710" w:type="dxa"/>
            <w:tcBorders>
              <w:top w:val="nil" w:sz="6" w:space="0" w:color="auto"/>
              <w:left w:val="nil" w:sz="6" w:space="0" w:color="auto"/>
              <w:bottom w:val="nil" w:sz="6" w:space="0" w:color="auto"/>
              <w:right w:val="nil" w:sz="6" w:space="0" w:color="auto"/>
            </w:tcBorders>
          </w:tcPr>
          <w:p>
            <w:pPr/>
          </w:p>
        </w:tc>
        <w:tc>
          <w:tcPr>
            <w:tcW w:w="8415" w:type="dxa"/>
            <w:tcBorders>
              <w:top w:val="nil" w:sz="6" w:space="0" w:color="auto"/>
              <w:left w:val="nil" w:sz="6" w:space="0" w:color="auto"/>
              <w:bottom w:val="nil" w:sz="6" w:space="0" w:color="auto"/>
              <w:right w:val="nil" w:sz="6" w:space="0" w:color="auto"/>
            </w:tcBorders>
          </w:tcPr>
          <w:p>
            <w:pPr>
              <w:pStyle w:val="TableParagraph"/>
              <w:spacing w:line="228" w:lineRule="auto" w:before="194"/>
              <w:ind w:left="216" w:right="198"/>
              <w:jc w:val="both"/>
              <w:rPr>
                <w:rFonts w:ascii="宋体" w:hAnsi="宋体" w:cs="宋体" w:eastAsia="宋体" w:hint="default"/>
                <w:sz w:val="24"/>
                <w:szCs w:val="24"/>
              </w:rPr>
            </w:pPr>
            <w:r>
              <w:rPr>
                <w:rFonts w:ascii="Arial" w:hAnsi="Arial" w:cs="Arial" w:eastAsia="Arial" w:hint="default"/>
                <w:sz w:val="24"/>
                <w:szCs w:val="24"/>
              </w:rPr>
              <w:t>2007</w:t>
            </w:r>
            <w:r>
              <w:rPr>
                <w:rFonts w:ascii="宋体" w:hAnsi="宋体" w:cs="宋体" w:eastAsia="宋体" w:hint="default"/>
                <w:sz w:val="24"/>
                <w:szCs w:val="24"/>
              </w:rPr>
              <w:t>年</w:t>
            </w:r>
            <w:r>
              <w:rPr>
                <w:rFonts w:ascii="Arial" w:hAnsi="Arial" w:cs="Arial" w:eastAsia="Arial" w:hint="default"/>
                <w:sz w:val="24"/>
                <w:szCs w:val="24"/>
              </w:rPr>
              <w:t>10</w:t>
            </w:r>
            <w:r>
              <w:rPr>
                <w:rFonts w:ascii="宋体" w:hAnsi="宋体" w:cs="宋体" w:eastAsia="宋体" w:hint="default"/>
                <w:sz w:val="24"/>
                <w:szCs w:val="24"/>
              </w:rPr>
              <w:t>月</w:t>
            </w:r>
            <w:r>
              <w:rPr>
                <w:rFonts w:ascii="Arial" w:hAnsi="Arial" w:cs="Arial" w:eastAsia="Arial" w:hint="default"/>
                <w:sz w:val="24"/>
                <w:szCs w:val="24"/>
              </w:rPr>
              <w:t>10</w:t>
            </w:r>
            <w:r>
              <w:rPr>
                <w:rFonts w:ascii="宋体" w:hAnsi="宋体" w:cs="宋体" w:eastAsia="宋体" w:hint="default"/>
                <w:sz w:val="24"/>
                <w:szCs w:val="24"/>
              </w:rPr>
              <w:t>日，经昌吉市国家税务局昌市国税减免字</w:t>
            </w:r>
            <w:r>
              <w:rPr>
                <w:rFonts w:ascii="Arial" w:hAnsi="Arial" w:cs="Arial" w:eastAsia="Arial" w:hint="default"/>
                <w:sz w:val="24"/>
                <w:szCs w:val="24"/>
              </w:rPr>
              <w:t>[2007]</w:t>
            </w:r>
            <w:r>
              <w:rPr>
                <w:rFonts w:ascii="宋体" w:hAnsi="宋体" w:cs="宋体" w:eastAsia="宋体" w:hint="default"/>
                <w:sz w:val="24"/>
                <w:szCs w:val="24"/>
              </w:rPr>
              <w:t>第</w:t>
            </w:r>
            <w:r>
              <w:rPr>
                <w:rFonts w:ascii="Arial" w:hAnsi="Arial" w:cs="Arial" w:eastAsia="Arial" w:hint="default"/>
                <w:sz w:val="24"/>
                <w:szCs w:val="24"/>
              </w:rPr>
              <w:t>588</w:t>
            </w:r>
            <w:r>
              <w:rPr>
                <w:rFonts w:ascii="宋体" w:hAnsi="宋体" w:cs="宋体" w:eastAsia="宋体" w:hint="default"/>
                <w:sz w:val="24"/>
                <w:szCs w:val="24"/>
              </w:rPr>
              <w:t>号文批</w:t>
            </w:r>
            <w:r>
              <w:rPr>
                <w:rFonts w:ascii="宋体" w:hAnsi="宋体" w:cs="宋体" w:eastAsia="宋体" w:hint="default"/>
                <w:spacing w:val="-44"/>
                <w:sz w:val="24"/>
                <w:szCs w:val="24"/>
              </w:rPr>
              <w:t> </w:t>
            </w:r>
            <w:r>
              <w:rPr>
                <w:rFonts w:ascii="宋体" w:hAnsi="宋体" w:cs="宋体" w:eastAsia="宋体" w:hint="default"/>
                <w:sz w:val="24"/>
                <w:szCs w:val="24"/>
              </w:rPr>
              <w:t>准：昌吉苏宁电器有限责任公司享受“三免三减半”的税收优惠政策，即免</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pacing w:val="3"/>
                <w:sz w:val="24"/>
                <w:szCs w:val="24"/>
              </w:rPr>
              <w:t>征昌吉苏宁电器有限责任公司</w:t>
            </w:r>
            <w:r>
              <w:rPr>
                <w:rFonts w:ascii="Arial" w:hAnsi="Arial" w:cs="Arial" w:eastAsia="Arial" w:hint="default"/>
                <w:spacing w:val="3"/>
                <w:sz w:val="24"/>
                <w:szCs w:val="24"/>
              </w:rPr>
              <w:t>2007</w:t>
            </w:r>
            <w:r>
              <w:rPr>
                <w:rFonts w:ascii="宋体" w:hAnsi="宋体" w:cs="宋体" w:eastAsia="宋体" w:hint="default"/>
                <w:spacing w:val="3"/>
                <w:sz w:val="24"/>
                <w:szCs w:val="24"/>
              </w:rPr>
              <w:t>年至</w:t>
            </w:r>
            <w:r>
              <w:rPr>
                <w:rFonts w:ascii="Arial" w:hAnsi="Arial" w:cs="Arial" w:eastAsia="Arial" w:hint="default"/>
                <w:spacing w:val="3"/>
                <w:sz w:val="24"/>
                <w:szCs w:val="24"/>
              </w:rPr>
              <w:t>2009</w:t>
            </w:r>
            <w:r>
              <w:rPr>
                <w:rFonts w:ascii="宋体" w:hAnsi="宋体" w:cs="宋体" w:eastAsia="宋体" w:hint="default"/>
                <w:spacing w:val="3"/>
                <w:sz w:val="24"/>
                <w:szCs w:val="24"/>
              </w:rPr>
              <w:t>年企业所得税，并于</w:t>
            </w:r>
            <w:r>
              <w:rPr>
                <w:rFonts w:ascii="Arial" w:hAnsi="Arial" w:cs="Arial" w:eastAsia="Arial" w:hint="default"/>
                <w:spacing w:val="3"/>
                <w:sz w:val="24"/>
                <w:szCs w:val="24"/>
              </w:rPr>
              <w:t>2010</w:t>
            </w:r>
            <w:r>
              <w:rPr>
                <w:rFonts w:ascii="宋体" w:hAnsi="宋体" w:cs="宋体" w:eastAsia="宋体" w:hint="default"/>
                <w:spacing w:val="3"/>
                <w:sz w:val="24"/>
                <w:szCs w:val="24"/>
              </w:rPr>
              <w:t>年至</w:t>
            </w:r>
            <w:r>
              <w:rPr>
                <w:rFonts w:ascii="宋体" w:hAnsi="宋体" w:cs="宋体" w:eastAsia="宋体" w:hint="default"/>
                <w:spacing w:val="-102"/>
                <w:sz w:val="24"/>
                <w:szCs w:val="24"/>
              </w:rPr>
              <w:t> </w:t>
            </w:r>
            <w:r>
              <w:rPr>
                <w:rFonts w:ascii="Arial" w:hAnsi="Arial" w:cs="Arial" w:eastAsia="Arial" w:hint="default"/>
                <w:spacing w:val="-4"/>
                <w:w w:val="99"/>
                <w:sz w:val="24"/>
                <w:szCs w:val="24"/>
              </w:rPr>
              <w:t>2012</w:t>
            </w:r>
            <w:r>
              <w:rPr>
                <w:rFonts w:ascii="宋体" w:hAnsi="宋体" w:cs="宋体" w:eastAsia="宋体" w:hint="default"/>
                <w:spacing w:val="-4"/>
                <w:w w:val="99"/>
                <w:sz w:val="24"/>
                <w:szCs w:val="24"/>
              </w:rPr>
              <w:t>年享受减半征收企业所得税</w:t>
            </w:r>
            <w:r>
              <w:rPr>
                <w:rFonts w:ascii="Arial" w:hAnsi="Arial" w:cs="Arial" w:eastAsia="Arial" w:hint="default"/>
                <w:spacing w:val="-4"/>
                <w:w w:val="99"/>
                <w:sz w:val="24"/>
                <w:szCs w:val="24"/>
              </w:rPr>
              <w:t>3</w:t>
            </w:r>
            <w:r>
              <w:rPr>
                <w:rFonts w:ascii="宋体" w:hAnsi="宋体" w:cs="宋体" w:eastAsia="宋体" w:hint="default"/>
                <w:spacing w:val="-4"/>
                <w:w w:val="99"/>
                <w:sz w:val="24"/>
                <w:szCs w:val="24"/>
              </w:rPr>
              <w:t>年的优惠政策。昌吉苏宁电器有限责任公司</w:t>
            </w:r>
          </w:p>
          <w:p>
            <w:pPr>
              <w:pStyle w:val="TableParagraph"/>
              <w:spacing w:line="312" w:lineRule="exact" w:before="14"/>
              <w:ind w:left="216" w:right="204"/>
              <w:jc w:val="both"/>
              <w:rPr>
                <w:rFonts w:ascii="宋体" w:hAnsi="宋体" w:cs="宋体" w:eastAsia="宋体" w:hint="default"/>
                <w:sz w:val="24"/>
                <w:szCs w:val="24"/>
              </w:rPr>
            </w:pPr>
            <w:r>
              <w:rPr>
                <w:rFonts w:ascii="Arial" w:hAnsi="Arial" w:cs="Arial" w:eastAsia="Arial" w:hint="default"/>
                <w:sz w:val="24"/>
                <w:szCs w:val="24"/>
              </w:rPr>
              <w:t>2012</w:t>
            </w:r>
            <w:r>
              <w:rPr>
                <w:rFonts w:ascii="宋体" w:hAnsi="宋体" w:cs="宋体" w:eastAsia="宋体" w:hint="default"/>
                <w:sz w:val="24"/>
                <w:szCs w:val="24"/>
              </w:rPr>
              <w:t>年享受该项优惠，减半征收企业所得税，即按</w:t>
            </w:r>
            <w:r>
              <w:rPr>
                <w:rFonts w:ascii="Arial" w:hAnsi="Arial" w:cs="Arial" w:eastAsia="Arial" w:hint="default"/>
                <w:sz w:val="24"/>
                <w:szCs w:val="24"/>
              </w:rPr>
              <w:t>12.5%</w:t>
            </w:r>
            <w:r>
              <w:rPr>
                <w:rFonts w:ascii="宋体" w:hAnsi="宋体" w:cs="宋体" w:eastAsia="宋体" w:hint="default"/>
                <w:sz w:val="24"/>
                <w:szCs w:val="24"/>
              </w:rPr>
              <w:t>的税率缴纳企业所</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得税。</w:t>
            </w:r>
          </w:p>
        </w:tc>
      </w:tr>
    </w:tbl>
    <w:p>
      <w:pPr>
        <w:spacing w:after="0" w:line="312" w:lineRule="exact"/>
        <w:jc w:val="both"/>
        <w:rPr>
          <w:rFonts w:ascii="宋体" w:hAnsi="宋体" w:cs="宋体" w:eastAsia="宋体"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707.039978pt;margin-top:518.320007pt;width:135pt;height:77pt;mso-position-horizontal-relative:page;mso-position-vertical-relative:page;z-index:-1596088" type="#_x0000_t75" stroked="false">
            <v:imagedata r:id="rId10" o:title=""/>
          </v:shape>
        </w:pict>
      </w:r>
    </w:p>
    <w:p>
      <w:pPr>
        <w:spacing w:line="240" w:lineRule="auto" w:before="4"/>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691"/>
        <w:gridCol w:w="1574"/>
        <w:gridCol w:w="1505"/>
        <w:gridCol w:w="1502"/>
        <w:gridCol w:w="1323"/>
        <w:gridCol w:w="1633"/>
        <w:gridCol w:w="1787"/>
        <w:gridCol w:w="1447"/>
        <w:gridCol w:w="1125"/>
        <w:gridCol w:w="1634"/>
      </w:tblGrid>
      <w:tr>
        <w:trPr>
          <w:trHeight w:val="489"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exact"/>
              <w:ind w:right="49"/>
              <w:jc w:val="center"/>
              <w:rPr>
                <w:rFonts w:ascii="黑体" w:hAnsi="黑体" w:cs="黑体" w:eastAsia="黑体" w:hint="default"/>
                <w:sz w:val="24"/>
                <w:szCs w:val="24"/>
              </w:rPr>
            </w:pPr>
            <w:r>
              <w:rPr>
                <w:rFonts w:ascii="黑体" w:hAnsi="黑体" w:cs="黑体" w:eastAsia="黑体" w:hint="default"/>
                <w:sz w:val="24"/>
                <w:szCs w:val="24"/>
              </w:rPr>
              <w:t>四</w:t>
            </w:r>
          </w:p>
        </w:tc>
        <w:tc>
          <w:tcPr>
            <w:tcW w:w="3079"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97" w:right="0"/>
              <w:jc w:val="left"/>
              <w:rPr>
                <w:rFonts w:ascii="黑体" w:hAnsi="黑体" w:cs="黑体" w:eastAsia="黑体" w:hint="default"/>
                <w:sz w:val="24"/>
                <w:szCs w:val="24"/>
              </w:rPr>
            </w:pPr>
            <w:r>
              <w:rPr>
                <w:rFonts w:ascii="黑体" w:hAnsi="黑体" w:cs="黑体" w:eastAsia="黑体" w:hint="default"/>
                <w:sz w:val="24"/>
                <w:szCs w:val="24"/>
              </w:rPr>
              <w:t>企业合并及合并财务报表</w:t>
            </w:r>
          </w:p>
        </w:tc>
        <w:tc>
          <w:tcPr>
            <w:tcW w:w="1502"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r>
      <w:tr>
        <w:trPr>
          <w:trHeight w:val="750"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Arial" w:hAnsi="Arial" w:cs="Arial" w:eastAsia="Arial" w:hint="default"/>
                <w:sz w:val="24"/>
                <w:szCs w:val="24"/>
              </w:rPr>
            </w:pPr>
            <w:r>
              <w:rPr>
                <w:rFonts w:ascii="Arial"/>
                <w:sz w:val="24"/>
              </w:rPr>
              <w:t>(1)</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97" w:right="0"/>
              <w:jc w:val="left"/>
              <w:rPr>
                <w:rFonts w:ascii="黑体" w:hAnsi="黑体" w:cs="黑体" w:eastAsia="黑体" w:hint="default"/>
                <w:sz w:val="24"/>
                <w:szCs w:val="24"/>
              </w:rPr>
            </w:pPr>
            <w:r>
              <w:rPr>
                <w:rFonts w:ascii="黑体" w:hAnsi="黑体" w:cs="黑体" w:eastAsia="黑体" w:hint="default"/>
                <w:sz w:val="24"/>
                <w:szCs w:val="24"/>
              </w:rPr>
              <w:t>子公司情况</w:t>
            </w:r>
          </w:p>
        </w:tc>
        <w:tc>
          <w:tcPr>
            <w:tcW w:w="1505"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r>
      <w:tr>
        <w:trPr>
          <w:trHeight w:val="2351" w:hRule="exact"/>
        </w:trPr>
        <w:tc>
          <w:tcPr>
            <w:tcW w:w="14221" w:type="dxa"/>
            <w:gridSpan w:val="10"/>
            <w:tcBorders>
              <w:top w:val="nil" w:sz="6" w:space="0" w:color="auto"/>
              <w:left w:val="nil" w:sz="6" w:space="0" w:color="auto"/>
              <w:bottom w:val="nil" w:sz="6" w:space="0" w:color="auto"/>
              <w:right w:val="nil" w:sz="6" w:space="0" w:color="auto"/>
            </w:tcBorders>
          </w:tcPr>
          <w:p>
            <w:pPr>
              <w:pStyle w:val="TableParagraph"/>
              <w:spacing w:line="225" w:lineRule="auto" w:before="196"/>
              <w:ind w:left="888" w:right="198"/>
              <w:jc w:val="both"/>
              <w:rPr>
                <w:rFonts w:ascii="宋体" w:hAnsi="宋体" w:cs="宋体" w:eastAsia="宋体" w:hint="default"/>
                <w:sz w:val="24"/>
                <w:szCs w:val="24"/>
              </w:rPr>
            </w:pPr>
            <w:r>
              <w:rPr>
                <w:rFonts w:ascii="宋体" w:hAnsi="宋体" w:cs="宋体" w:eastAsia="宋体" w:hint="default"/>
                <w:sz w:val="24"/>
                <w:szCs w:val="24"/>
              </w:rPr>
              <w:t>截止至</w:t>
            </w:r>
            <w:r>
              <w:rPr>
                <w:rFonts w:ascii="宋体" w:hAnsi="宋体" w:cs="宋体" w:eastAsia="宋体" w:hint="default"/>
                <w:spacing w:val="-61"/>
                <w:sz w:val="24"/>
                <w:szCs w:val="24"/>
              </w:rPr>
              <w:t> </w:t>
            </w: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日，本集团下属</w:t>
            </w:r>
            <w:r>
              <w:rPr>
                <w:rFonts w:ascii="宋体" w:hAnsi="宋体" w:cs="宋体" w:eastAsia="宋体" w:hint="default"/>
                <w:spacing w:val="-61"/>
                <w:sz w:val="24"/>
                <w:szCs w:val="24"/>
              </w:rPr>
              <w:t> </w:t>
            </w:r>
            <w:r>
              <w:rPr>
                <w:rFonts w:ascii="Arial" w:hAnsi="Arial" w:cs="Arial" w:eastAsia="Arial" w:hint="default"/>
                <w:sz w:val="24"/>
                <w:szCs w:val="24"/>
              </w:rPr>
              <w:t>469</w:t>
            </w:r>
            <w:r>
              <w:rPr>
                <w:rFonts w:ascii="Arial" w:hAnsi="Arial" w:cs="Arial" w:eastAsia="Arial" w:hint="default"/>
                <w:spacing w:val="-7"/>
                <w:sz w:val="24"/>
                <w:szCs w:val="24"/>
              </w:rPr>
              <w:t> </w:t>
            </w:r>
            <w:r>
              <w:rPr>
                <w:rFonts w:ascii="宋体" w:hAnsi="宋体" w:cs="宋体" w:eastAsia="宋体" w:hint="default"/>
                <w:sz w:val="24"/>
                <w:szCs w:val="24"/>
              </w:rPr>
              <w:t>家子公司，其中</w:t>
            </w:r>
            <w:r>
              <w:rPr>
                <w:rFonts w:ascii="宋体" w:hAnsi="宋体" w:cs="宋体" w:eastAsia="宋体" w:hint="default"/>
                <w:spacing w:val="-61"/>
                <w:sz w:val="24"/>
                <w:szCs w:val="24"/>
              </w:rPr>
              <w:t> </w:t>
            </w:r>
            <w:r>
              <w:rPr>
                <w:rFonts w:ascii="Arial" w:hAnsi="Arial" w:cs="Arial" w:eastAsia="Arial" w:hint="default"/>
                <w:sz w:val="24"/>
                <w:szCs w:val="24"/>
              </w:rPr>
              <w:t>323</w:t>
            </w:r>
            <w:r>
              <w:rPr>
                <w:rFonts w:ascii="Arial" w:hAnsi="Arial" w:cs="Arial" w:eastAsia="Arial" w:hint="default"/>
                <w:spacing w:val="-7"/>
                <w:sz w:val="24"/>
                <w:szCs w:val="24"/>
              </w:rPr>
              <w:t> </w:t>
            </w:r>
            <w:r>
              <w:rPr>
                <w:rFonts w:ascii="宋体" w:hAnsi="宋体" w:cs="宋体" w:eastAsia="宋体" w:hint="default"/>
                <w:sz w:val="24"/>
                <w:szCs w:val="24"/>
              </w:rPr>
              <w:t>家从事电器与电子消费品的连锁零售业务、</w:t>
            </w:r>
            <w:r>
              <w:rPr>
                <w:rFonts w:ascii="Arial" w:hAnsi="Arial" w:cs="Arial" w:eastAsia="Arial" w:hint="default"/>
                <w:sz w:val="24"/>
                <w:szCs w:val="24"/>
              </w:rPr>
              <w:t>56</w:t>
            </w:r>
            <w:r>
              <w:rPr>
                <w:rFonts w:ascii="Arial" w:hAnsi="Arial" w:cs="Arial" w:eastAsia="Arial" w:hint="default"/>
                <w:spacing w:val="-7"/>
                <w:sz w:val="24"/>
                <w:szCs w:val="24"/>
              </w:rPr>
              <w:t> </w:t>
            </w:r>
            <w:r>
              <w:rPr>
                <w:rFonts w:ascii="宋体" w:hAnsi="宋体" w:cs="宋体" w:eastAsia="宋体" w:hint="default"/>
                <w:sz w:val="24"/>
                <w:szCs w:val="24"/>
              </w:rPr>
              <w:t>家从事售后 </w:t>
            </w:r>
            <w:r>
              <w:rPr>
                <w:rFonts w:ascii="宋体" w:hAnsi="宋体" w:cs="宋体" w:eastAsia="宋体" w:hint="default"/>
                <w:spacing w:val="-4"/>
                <w:sz w:val="24"/>
                <w:szCs w:val="24"/>
              </w:rPr>
              <w:t>服务业务、</w:t>
            </w:r>
            <w:r>
              <w:rPr>
                <w:rFonts w:ascii="Arial" w:hAnsi="Arial" w:cs="Arial" w:eastAsia="Arial" w:hint="default"/>
                <w:spacing w:val="-4"/>
                <w:sz w:val="24"/>
                <w:szCs w:val="24"/>
              </w:rPr>
              <w:t>41</w:t>
            </w:r>
            <w:r>
              <w:rPr>
                <w:rFonts w:ascii="Arial" w:hAnsi="Arial" w:cs="Arial" w:eastAsia="Arial" w:hint="default"/>
                <w:spacing w:val="-28"/>
                <w:sz w:val="24"/>
                <w:szCs w:val="24"/>
              </w:rPr>
              <w:t> </w:t>
            </w:r>
            <w:r>
              <w:rPr>
                <w:rFonts w:ascii="宋体" w:hAnsi="宋体" w:cs="宋体" w:eastAsia="宋体" w:hint="default"/>
                <w:sz w:val="24"/>
                <w:szCs w:val="24"/>
              </w:rPr>
              <w:t>家从事仓储物流业务、</w:t>
            </w:r>
            <w:r>
              <w:rPr>
                <w:rFonts w:ascii="Arial" w:hAnsi="Arial" w:cs="Arial" w:eastAsia="Arial" w:hint="default"/>
                <w:sz w:val="24"/>
                <w:szCs w:val="24"/>
              </w:rPr>
              <w:t>38</w:t>
            </w:r>
            <w:r>
              <w:rPr>
                <w:rFonts w:ascii="Arial" w:hAnsi="Arial" w:cs="Arial" w:eastAsia="Arial" w:hint="default"/>
                <w:spacing w:val="-28"/>
                <w:sz w:val="24"/>
                <w:szCs w:val="24"/>
              </w:rPr>
              <w:t> </w:t>
            </w:r>
            <w:r>
              <w:rPr>
                <w:rFonts w:ascii="宋体" w:hAnsi="宋体" w:cs="宋体" w:eastAsia="宋体" w:hint="default"/>
                <w:sz w:val="24"/>
                <w:szCs w:val="24"/>
              </w:rPr>
              <w:t>家从事网上电器与电子消费品的零售业务、</w:t>
            </w:r>
            <w:r>
              <w:rPr>
                <w:rFonts w:ascii="Arial" w:hAnsi="Arial" w:cs="Arial" w:eastAsia="Arial" w:hint="default"/>
                <w:sz w:val="24"/>
                <w:szCs w:val="24"/>
              </w:rPr>
              <w:t>1</w:t>
            </w:r>
            <w:r>
              <w:rPr>
                <w:rFonts w:ascii="Arial" w:hAnsi="Arial" w:cs="Arial" w:eastAsia="Arial" w:hint="default"/>
                <w:spacing w:val="-28"/>
                <w:sz w:val="24"/>
                <w:szCs w:val="24"/>
              </w:rPr>
              <w:t> </w:t>
            </w:r>
            <w:r>
              <w:rPr>
                <w:rFonts w:ascii="宋体" w:hAnsi="宋体" w:cs="宋体" w:eastAsia="宋体" w:hint="default"/>
                <w:sz w:val="24"/>
                <w:szCs w:val="24"/>
              </w:rPr>
              <w:t>家从事集团内部的行政用品购销业务、</w:t>
            </w:r>
            <w:r>
              <w:rPr>
                <w:rFonts w:ascii="Arial" w:hAnsi="Arial" w:cs="Arial" w:eastAsia="Arial" w:hint="default"/>
                <w:sz w:val="24"/>
                <w:szCs w:val="24"/>
              </w:rPr>
              <w:t>1</w:t>
            </w:r>
            <w:r>
              <w:rPr>
                <w:rFonts w:ascii="Arial" w:hAnsi="Arial" w:cs="Arial" w:eastAsia="Arial" w:hint="default"/>
                <w:w w:val="99"/>
                <w:sz w:val="24"/>
                <w:szCs w:val="24"/>
              </w:rPr>
              <w:t> </w:t>
            </w:r>
            <w:r>
              <w:rPr>
                <w:rFonts w:ascii="宋体" w:hAnsi="宋体" w:cs="宋体" w:eastAsia="宋体" w:hint="default"/>
                <w:sz w:val="24"/>
                <w:szCs w:val="24"/>
              </w:rPr>
              <w:t>家从事商业管理业务、</w:t>
            </w:r>
            <w:r>
              <w:rPr>
                <w:rFonts w:ascii="Arial" w:hAnsi="Arial" w:cs="Arial" w:eastAsia="Arial" w:hint="default"/>
                <w:sz w:val="24"/>
                <w:szCs w:val="24"/>
              </w:rPr>
              <w:t>1</w:t>
            </w:r>
            <w:r>
              <w:rPr>
                <w:rFonts w:ascii="Arial" w:hAnsi="Arial" w:cs="Arial" w:eastAsia="Arial" w:hint="default"/>
                <w:spacing w:val="-28"/>
                <w:sz w:val="24"/>
                <w:szCs w:val="24"/>
              </w:rPr>
              <w:t> </w:t>
            </w:r>
            <w:r>
              <w:rPr>
                <w:rFonts w:ascii="宋体" w:hAnsi="宋体" w:cs="宋体" w:eastAsia="宋体" w:hint="default"/>
                <w:sz w:val="24"/>
                <w:szCs w:val="24"/>
              </w:rPr>
              <w:t>家从事计算机软件信息技术开发业务、</w:t>
            </w:r>
            <w:r>
              <w:rPr>
                <w:rFonts w:ascii="Arial" w:hAnsi="Arial" w:cs="Arial" w:eastAsia="Arial" w:hint="default"/>
                <w:sz w:val="24"/>
                <w:szCs w:val="24"/>
              </w:rPr>
              <w:t>2</w:t>
            </w:r>
            <w:r>
              <w:rPr>
                <w:rFonts w:ascii="Arial" w:hAnsi="Arial" w:cs="Arial" w:eastAsia="Arial" w:hint="default"/>
                <w:spacing w:val="-28"/>
                <w:sz w:val="24"/>
                <w:szCs w:val="24"/>
              </w:rPr>
              <w:t> </w:t>
            </w:r>
            <w:r>
              <w:rPr>
                <w:rFonts w:ascii="宋体" w:hAnsi="宋体" w:cs="宋体" w:eastAsia="宋体" w:hint="default"/>
                <w:sz w:val="24"/>
                <w:szCs w:val="24"/>
              </w:rPr>
              <w:t>家从事香港地区子公司投资业务、</w:t>
            </w:r>
            <w:r>
              <w:rPr>
                <w:rFonts w:ascii="Arial" w:hAnsi="Arial" w:cs="Arial" w:eastAsia="Arial" w:hint="default"/>
                <w:sz w:val="24"/>
                <w:szCs w:val="24"/>
              </w:rPr>
              <w:t>1</w:t>
            </w:r>
            <w:r>
              <w:rPr>
                <w:rFonts w:ascii="Arial" w:hAnsi="Arial" w:cs="Arial" w:eastAsia="Arial" w:hint="default"/>
                <w:spacing w:val="-28"/>
                <w:sz w:val="24"/>
                <w:szCs w:val="24"/>
              </w:rPr>
              <w:t> </w:t>
            </w:r>
            <w:r>
              <w:rPr>
                <w:rFonts w:ascii="宋体" w:hAnsi="宋体" w:cs="宋体" w:eastAsia="宋体" w:hint="default"/>
                <w:sz w:val="24"/>
                <w:szCs w:val="24"/>
              </w:rPr>
              <w:t>家从事海外投资业务、</w:t>
            </w:r>
            <w:r>
              <w:rPr>
                <w:rFonts w:ascii="Arial" w:hAnsi="Arial" w:cs="Arial" w:eastAsia="Arial" w:hint="default"/>
                <w:sz w:val="24"/>
                <w:szCs w:val="24"/>
              </w:rPr>
              <w:t>1</w:t>
            </w:r>
            <w:r>
              <w:rPr>
                <w:rFonts w:ascii="Arial" w:hAnsi="Arial" w:cs="Arial" w:eastAsia="Arial" w:hint="default"/>
                <w:w w:val="99"/>
                <w:sz w:val="24"/>
                <w:szCs w:val="24"/>
              </w:rPr>
              <w:t> </w:t>
            </w:r>
            <w:r>
              <w:rPr>
                <w:rFonts w:ascii="宋体" w:hAnsi="宋体" w:cs="宋体" w:eastAsia="宋体" w:hint="default"/>
                <w:sz w:val="24"/>
                <w:szCs w:val="24"/>
              </w:rPr>
              <w:t>家从事媒体广告业务，</w:t>
            </w:r>
            <w:r>
              <w:rPr>
                <w:rFonts w:ascii="Arial" w:hAnsi="Arial" w:cs="Arial" w:eastAsia="Arial" w:hint="default"/>
                <w:sz w:val="24"/>
                <w:szCs w:val="24"/>
              </w:rPr>
              <w:t>4</w:t>
            </w:r>
            <w:r>
              <w:rPr>
                <w:rFonts w:ascii="Arial" w:hAnsi="Arial" w:cs="Arial" w:eastAsia="Arial" w:hint="default"/>
                <w:spacing w:val="-7"/>
                <w:sz w:val="24"/>
                <w:szCs w:val="24"/>
              </w:rPr>
              <w:t> </w:t>
            </w:r>
            <w:r>
              <w:rPr>
                <w:rFonts w:ascii="宋体" w:hAnsi="宋体" w:cs="宋体" w:eastAsia="宋体" w:hint="default"/>
                <w:sz w:val="24"/>
                <w:szCs w:val="24"/>
              </w:rPr>
              <w:t>家从事银行支付业务。</w:t>
            </w: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left="888" w:right="0"/>
              <w:jc w:val="both"/>
              <w:rPr>
                <w:rFonts w:ascii="宋体" w:hAnsi="宋体" w:cs="宋体" w:eastAsia="宋体" w:hint="default"/>
                <w:sz w:val="24"/>
                <w:szCs w:val="24"/>
              </w:rPr>
            </w:pPr>
            <w:r>
              <w:rPr>
                <w:rFonts w:ascii="宋体" w:hAnsi="宋体" w:cs="宋体" w:eastAsia="宋体" w:hint="default"/>
                <w:sz w:val="24"/>
                <w:szCs w:val="24"/>
              </w:rPr>
              <w:t>截止至</w:t>
            </w:r>
            <w:r>
              <w:rPr>
                <w:rFonts w:ascii="宋体" w:hAnsi="宋体" w:cs="宋体" w:eastAsia="宋体" w:hint="default"/>
                <w:spacing w:val="-61"/>
                <w:sz w:val="24"/>
                <w:szCs w:val="24"/>
              </w:rPr>
              <w:t> </w:t>
            </w: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日，本集团的主要子公司列示如下：</w:t>
            </w:r>
          </w:p>
        </w:tc>
      </w:tr>
      <w:tr>
        <w:trPr>
          <w:trHeight w:val="740"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 w:right="0"/>
              <w:jc w:val="center"/>
              <w:rPr>
                <w:rFonts w:ascii="Arial" w:hAnsi="Arial" w:cs="Arial" w:eastAsia="Arial" w:hint="default"/>
                <w:sz w:val="24"/>
                <w:szCs w:val="24"/>
              </w:rPr>
            </w:pPr>
            <w:r>
              <w:rPr>
                <w:rFonts w:ascii="Arial"/>
                <w:sz w:val="24"/>
              </w:rPr>
              <w:t>(a)</w:t>
            </w:r>
          </w:p>
        </w:tc>
        <w:tc>
          <w:tcPr>
            <w:tcW w:w="458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8"/>
              <w:ind w:left="197" w:right="0"/>
              <w:jc w:val="left"/>
              <w:rPr>
                <w:rFonts w:ascii="宋体" w:hAnsi="宋体" w:cs="宋体" w:eastAsia="宋体" w:hint="default"/>
                <w:sz w:val="24"/>
                <w:szCs w:val="24"/>
              </w:rPr>
            </w:pPr>
            <w:r>
              <w:rPr>
                <w:rFonts w:ascii="宋体" w:hAnsi="宋体" w:cs="宋体" w:eastAsia="宋体" w:hint="default"/>
                <w:sz w:val="24"/>
                <w:szCs w:val="24"/>
              </w:rPr>
              <w:t>通过设立或投资等方式取得的主要子公司</w:t>
            </w:r>
          </w:p>
        </w:tc>
        <w:tc>
          <w:tcPr>
            <w:tcW w:w="1323"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r>
      <w:tr>
        <w:trPr>
          <w:trHeight w:val="647" w:hRule="exact"/>
        </w:trPr>
        <w:tc>
          <w:tcPr>
            <w:tcW w:w="69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48" w:hRule="exact"/>
        </w:trPr>
        <w:tc>
          <w:tcPr>
            <w:tcW w:w="69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76" w:lineRule="auto"/>
              <w:ind w:left="408" w:right="294" w:hanging="212"/>
              <w:jc w:val="left"/>
              <w:rPr>
                <w:rFonts w:ascii="宋体" w:hAnsi="宋体" w:cs="宋体" w:eastAsia="宋体" w:hint="default"/>
                <w:sz w:val="18"/>
                <w:szCs w:val="18"/>
              </w:rPr>
            </w:pPr>
            <w:r>
              <w:rPr>
                <w:rFonts w:ascii="宋体" w:hAnsi="宋体" w:cs="宋体" w:eastAsia="宋体" w:hint="default"/>
                <w:sz w:val="18"/>
                <w:szCs w:val="18"/>
              </w:rPr>
              <w:t>北京苏宁电器 有限公司</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30" w:lineRule="exact"/>
              <w:ind w:left="111" w:right="321"/>
              <w:jc w:val="left"/>
              <w:rPr>
                <w:rFonts w:ascii="宋体" w:hAnsi="宋体" w:cs="宋体" w:eastAsia="宋体" w:hint="default"/>
                <w:sz w:val="18"/>
                <w:szCs w:val="18"/>
              </w:rPr>
            </w:pPr>
            <w:r>
              <w:rPr>
                <w:rFonts w:ascii="宋体" w:hAnsi="宋体" w:cs="宋体" w:eastAsia="宋体" w:hint="default"/>
                <w:sz w:val="18"/>
                <w:szCs w:val="18"/>
              </w:rPr>
              <w:t>直</w:t>
            </w:r>
            <w:r>
              <w:rPr>
                <w:rFonts w:ascii="宋体" w:hAnsi="宋体" w:cs="宋体" w:eastAsia="宋体" w:hint="default"/>
                <w:spacing w:val="-47"/>
                <w:sz w:val="18"/>
                <w:szCs w:val="18"/>
              </w:rPr>
              <w:t> </w:t>
            </w:r>
            <w:r>
              <w:rPr>
                <w:rFonts w:ascii="宋体" w:hAnsi="宋体" w:cs="宋体" w:eastAsia="宋体" w:hint="default"/>
                <w:sz w:val="18"/>
                <w:szCs w:val="18"/>
              </w:rPr>
              <w:t>接</w:t>
            </w:r>
            <w:r>
              <w:rPr>
                <w:rFonts w:ascii="宋体" w:hAnsi="宋体" w:cs="宋体" w:eastAsia="宋体" w:hint="default"/>
                <w:spacing w:val="-47"/>
                <w:sz w:val="18"/>
                <w:szCs w:val="18"/>
              </w:rPr>
              <w:t> </w:t>
            </w:r>
            <w:r>
              <w:rPr>
                <w:rFonts w:ascii="宋体" w:hAnsi="宋体" w:cs="宋体" w:eastAsia="宋体" w:hint="default"/>
                <w:sz w:val="18"/>
                <w:szCs w:val="18"/>
              </w:rPr>
              <w:t>控</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及</w:t>
            </w:r>
            <w:r>
              <w:rPr>
                <w:rFonts w:ascii="宋体" w:hAnsi="宋体" w:cs="宋体" w:eastAsia="宋体" w:hint="default"/>
                <w:sz w:val="18"/>
                <w:szCs w:val="18"/>
              </w:rPr>
              <w:t> 间接控股</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北京市</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17"/>
              <w:jc w:val="right"/>
              <w:rPr>
                <w:rFonts w:ascii="宋体" w:hAnsi="宋体" w:cs="宋体" w:eastAsia="宋体" w:hint="default"/>
                <w:sz w:val="18"/>
                <w:szCs w:val="18"/>
              </w:rPr>
            </w:pPr>
            <w:r>
              <w:rPr>
                <w:rFonts w:ascii="宋体" w:hAnsi="宋体" w:cs="宋体" w:eastAsia="宋体" w:hint="default"/>
                <w:sz w:val="18"/>
                <w:szCs w:val="18"/>
              </w:rPr>
              <w:t>零售</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84"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5"/>
              <w:ind w:left="319" w:right="0"/>
              <w:jc w:val="left"/>
              <w:rPr>
                <w:rFonts w:ascii="宋体" w:hAnsi="宋体" w:cs="宋体" w:eastAsia="宋体" w:hint="default"/>
                <w:sz w:val="18"/>
                <w:szCs w:val="18"/>
              </w:rPr>
            </w:pPr>
            <w:r>
              <w:rPr>
                <w:rFonts w:ascii="Arial" w:hAnsi="Arial" w:cs="Arial" w:eastAsia="Arial" w:hint="default"/>
                <w:sz w:val="18"/>
                <w:szCs w:val="18"/>
              </w:rPr>
              <w:t>47,242.85</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30" w:lineRule="exact"/>
              <w:ind w:left="106" w:right="220"/>
              <w:jc w:val="left"/>
              <w:rPr>
                <w:rFonts w:ascii="宋体" w:hAnsi="宋体" w:cs="宋体" w:eastAsia="宋体" w:hint="default"/>
                <w:sz w:val="18"/>
                <w:szCs w:val="18"/>
              </w:rPr>
            </w:pPr>
            <w:r>
              <w:rPr>
                <w:rFonts w:ascii="宋体" w:hAnsi="宋体" w:cs="宋体" w:eastAsia="宋体" w:hint="default"/>
                <w:sz w:val="18"/>
                <w:szCs w:val="18"/>
              </w:rPr>
              <w:t>电器和电子消费品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的连锁销售</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6"/>
              <w:jc w:val="right"/>
              <w:rPr>
                <w:rFonts w:ascii="宋体" w:hAnsi="宋体" w:cs="宋体" w:eastAsia="宋体" w:hint="default"/>
                <w:sz w:val="18"/>
                <w:szCs w:val="18"/>
              </w:rPr>
            </w:pPr>
            <w:r>
              <w:rPr>
                <w:rFonts w:ascii="宋体" w:hAnsi="宋体" w:cs="宋体" w:eastAsia="宋体" w:hint="default"/>
                <w:sz w:val="18"/>
                <w:szCs w:val="18"/>
              </w:rPr>
              <w:t>孙为民</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8"/>
              <w:jc w:val="right"/>
              <w:rPr>
                <w:rFonts w:ascii="Arial" w:hAnsi="Arial" w:cs="Arial" w:eastAsia="Arial" w:hint="default"/>
                <w:sz w:val="18"/>
                <w:szCs w:val="18"/>
              </w:rPr>
            </w:pPr>
            <w:r>
              <w:rPr>
                <w:rFonts w:ascii="Arial"/>
                <w:spacing w:val="-1"/>
                <w:sz w:val="18"/>
              </w:rPr>
              <w:t>63369774-1</w:t>
            </w:r>
          </w:p>
        </w:tc>
      </w:tr>
      <w:tr>
        <w:trPr>
          <w:trHeight w:val="598" w:hRule="exact"/>
        </w:trPr>
        <w:tc>
          <w:tcPr>
            <w:tcW w:w="69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78" w:lineRule="auto" w:before="13"/>
              <w:ind w:left="391" w:right="294" w:hanging="195"/>
              <w:jc w:val="left"/>
              <w:rPr>
                <w:rFonts w:ascii="宋体" w:hAnsi="宋体" w:cs="宋体" w:eastAsia="宋体" w:hint="default"/>
                <w:sz w:val="18"/>
                <w:szCs w:val="18"/>
              </w:rPr>
            </w:pPr>
            <w:r>
              <w:rPr>
                <w:rFonts w:ascii="宋体" w:hAnsi="宋体" w:cs="宋体" w:eastAsia="宋体" w:hint="default"/>
                <w:sz w:val="18"/>
                <w:szCs w:val="18"/>
              </w:rPr>
              <w:t>上海苏宁电器 有限公司</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1" w:right="0"/>
              <w:jc w:val="left"/>
              <w:rPr>
                <w:rFonts w:ascii="宋体" w:hAnsi="宋体" w:cs="宋体" w:eastAsia="宋体" w:hint="default"/>
                <w:sz w:val="18"/>
                <w:szCs w:val="18"/>
              </w:rPr>
            </w:pPr>
            <w:r>
              <w:rPr>
                <w:rFonts w:ascii="宋体" w:hAnsi="宋体" w:cs="宋体" w:eastAsia="宋体" w:hint="default"/>
                <w:sz w:val="18"/>
                <w:szCs w:val="18"/>
              </w:rPr>
              <w:t>直接控股</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3"/>
              <w:jc w:val="right"/>
              <w:rPr>
                <w:rFonts w:ascii="宋体" w:hAnsi="宋体" w:cs="宋体" w:eastAsia="宋体" w:hint="default"/>
                <w:sz w:val="18"/>
                <w:szCs w:val="18"/>
              </w:rPr>
            </w:pPr>
            <w:r>
              <w:rPr>
                <w:rFonts w:ascii="宋体" w:hAnsi="宋体" w:cs="宋体" w:eastAsia="宋体" w:hint="default"/>
                <w:sz w:val="18"/>
                <w:szCs w:val="18"/>
              </w:rPr>
              <w:t>上海市</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7"/>
              <w:jc w:val="right"/>
              <w:rPr>
                <w:rFonts w:ascii="宋体" w:hAnsi="宋体" w:cs="宋体" w:eastAsia="宋体" w:hint="default"/>
                <w:sz w:val="18"/>
                <w:szCs w:val="18"/>
              </w:rPr>
            </w:pPr>
            <w:r>
              <w:rPr>
                <w:rFonts w:ascii="宋体" w:hAnsi="宋体" w:cs="宋体" w:eastAsia="宋体" w:hint="default"/>
                <w:sz w:val="18"/>
                <w:szCs w:val="18"/>
              </w:rPr>
              <w:t>零售</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84"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331" w:right="0"/>
              <w:jc w:val="left"/>
              <w:rPr>
                <w:rFonts w:ascii="宋体" w:hAnsi="宋体" w:cs="宋体" w:eastAsia="宋体" w:hint="default"/>
                <w:sz w:val="18"/>
                <w:szCs w:val="18"/>
              </w:rPr>
            </w:pPr>
            <w:r>
              <w:rPr>
                <w:rFonts w:ascii="Arial" w:hAnsi="Arial" w:cs="Arial" w:eastAsia="Arial" w:hint="default"/>
                <w:sz w:val="18"/>
                <w:szCs w:val="18"/>
              </w:rPr>
              <w:t>52,110.00</w:t>
            </w:r>
            <w:r>
              <w:rPr>
                <w:rFonts w:ascii="Arial" w:hAnsi="Arial" w:cs="Arial" w:eastAsia="Arial" w:hint="default"/>
                <w:spacing w:val="-20"/>
                <w:sz w:val="18"/>
                <w:szCs w:val="18"/>
              </w:rPr>
              <w:t> </w:t>
            </w:r>
            <w:r>
              <w:rPr>
                <w:rFonts w:ascii="宋体" w:hAnsi="宋体" w:cs="宋体" w:eastAsia="宋体" w:hint="default"/>
                <w:sz w:val="18"/>
                <w:szCs w:val="18"/>
              </w:rPr>
              <w:t>万元</w:t>
            </w:r>
          </w:p>
        </w:tc>
        <w:tc>
          <w:tcPr>
            <w:tcW w:w="1787" w:type="dxa"/>
            <w:tcBorders>
              <w:top w:val="nil" w:sz="6" w:space="0" w:color="auto"/>
              <w:left w:val="nil" w:sz="6" w:space="0" w:color="auto"/>
              <w:bottom w:val="nil" w:sz="6" w:space="0" w:color="auto"/>
              <w:right w:val="nil" w:sz="6" w:space="0" w:color="auto"/>
            </w:tcBorders>
          </w:tcPr>
          <w:p>
            <w:pPr>
              <w:pStyle w:val="TableParagraph"/>
              <w:spacing w:line="232" w:lineRule="exact" w:before="38"/>
              <w:ind w:left="106" w:right="220"/>
              <w:jc w:val="left"/>
              <w:rPr>
                <w:rFonts w:ascii="宋体" w:hAnsi="宋体" w:cs="宋体" w:eastAsia="宋体" w:hint="default"/>
                <w:sz w:val="18"/>
                <w:szCs w:val="18"/>
              </w:rPr>
            </w:pPr>
            <w:r>
              <w:rPr>
                <w:rFonts w:ascii="宋体" w:hAnsi="宋体" w:cs="宋体" w:eastAsia="宋体" w:hint="default"/>
                <w:sz w:val="18"/>
                <w:szCs w:val="18"/>
              </w:rPr>
              <w:t>电器和电子消费品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的连锁销售</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6"/>
              <w:jc w:val="right"/>
              <w:rPr>
                <w:rFonts w:ascii="宋体" w:hAnsi="宋体" w:cs="宋体" w:eastAsia="宋体" w:hint="default"/>
                <w:sz w:val="18"/>
                <w:szCs w:val="18"/>
              </w:rPr>
            </w:pPr>
            <w:r>
              <w:rPr>
                <w:rFonts w:ascii="宋体" w:hAnsi="宋体" w:cs="宋体" w:eastAsia="宋体" w:hint="default"/>
                <w:sz w:val="18"/>
                <w:szCs w:val="18"/>
              </w:rPr>
              <w:t>蒋勇</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8"/>
              <w:jc w:val="right"/>
              <w:rPr>
                <w:rFonts w:ascii="Arial" w:hAnsi="Arial" w:cs="Arial" w:eastAsia="Arial" w:hint="default"/>
                <w:sz w:val="18"/>
                <w:szCs w:val="18"/>
              </w:rPr>
            </w:pPr>
            <w:r>
              <w:rPr>
                <w:rFonts w:ascii="Arial"/>
                <w:spacing w:val="-1"/>
                <w:sz w:val="18"/>
              </w:rPr>
              <w:t>73749327-6</w:t>
            </w:r>
          </w:p>
        </w:tc>
      </w:tr>
      <w:tr>
        <w:trPr>
          <w:trHeight w:val="598" w:hRule="exact"/>
        </w:trPr>
        <w:tc>
          <w:tcPr>
            <w:tcW w:w="69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78" w:lineRule="auto" w:before="14"/>
              <w:ind w:left="391" w:right="294" w:hanging="195"/>
              <w:jc w:val="left"/>
              <w:rPr>
                <w:rFonts w:ascii="宋体" w:hAnsi="宋体" w:cs="宋体" w:eastAsia="宋体" w:hint="default"/>
                <w:sz w:val="18"/>
                <w:szCs w:val="18"/>
              </w:rPr>
            </w:pPr>
            <w:r>
              <w:rPr>
                <w:rFonts w:ascii="宋体" w:hAnsi="宋体" w:cs="宋体" w:eastAsia="宋体" w:hint="default"/>
                <w:sz w:val="18"/>
                <w:szCs w:val="18"/>
              </w:rPr>
              <w:t>广东苏宁电器 有限公司</w:t>
            </w:r>
          </w:p>
        </w:tc>
        <w:tc>
          <w:tcPr>
            <w:tcW w:w="1505" w:type="dxa"/>
            <w:tcBorders>
              <w:top w:val="nil" w:sz="6" w:space="0" w:color="auto"/>
              <w:left w:val="nil" w:sz="6" w:space="0" w:color="auto"/>
              <w:bottom w:val="nil" w:sz="6" w:space="0" w:color="auto"/>
              <w:right w:val="nil" w:sz="6" w:space="0" w:color="auto"/>
            </w:tcBorders>
          </w:tcPr>
          <w:p>
            <w:pPr>
              <w:pStyle w:val="TableParagraph"/>
              <w:spacing w:line="232" w:lineRule="exact" w:before="38"/>
              <w:ind w:left="111" w:right="321"/>
              <w:jc w:val="left"/>
              <w:rPr>
                <w:rFonts w:ascii="宋体" w:hAnsi="宋体" w:cs="宋体" w:eastAsia="宋体" w:hint="default"/>
                <w:sz w:val="18"/>
                <w:szCs w:val="18"/>
              </w:rPr>
            </w:pPr>
            <w:r>
              <w:rPr>
                <w:rFonts w:ascii="宋体" w:hAnsi="宋体" w:cs="宋体" w:eastAsia="宋体" w:hint="default"/>
                <w:sz w:val="18"/>
                <w:szCs w:val="18"/>
              </w:rPr>
              <w:t>直</w:t>
            </w:r>
            <w:r>
              <w:rPr>
                <w:rFonts w:ascii="宋体" w:hAnsi="宋体" w:cs="宋体" w:eastAsia="宋体" w:hint="default"/>
                <w:spacing w:val="-47"/>
                <w:sz w:val="18"/>
                <w:szCs w:val="18"/>
              </w:rPr>
              <w:t> </w:t>
            </w:r>
            <w:r>
              <w:rPr>
                <w:rFonts w:ascii="宋体" w:hAnsi="宋体" w:cs="宋体" w:eastAsia="宋体" w:hint="default"/>
                <w:sz w:val="18"/>
                <w:szCs w:val="18"/>
              </w:rPr>
              <w:t>接</w:t>
            </w:r>
            <w:r>
              <w:rPr>
                <w:rFonts w:ascii="宋体" w:hAnsi="宋体" w:cs="宋体" w:eastAsia="宋体" w:hint="default"/>
                <w:spacing w:val="-47"/>
                <w:sz w:val="18"/>
                <w:szCs w:val="18"/>
              </w:rPr>
              <w:t> </w:t>
            </w:r>
            <w:r>
              <w:rPr>
                <w:rFonts w:ascii="宋体" w:hAnsi="宋体" w:cs="宋体" w:eastAsia="宋体" w:hint="default"/>
                <w:sz w:val="18"/>
                <w:szCs w:val="18"/>
              </w:rPr>
              <w:t>控</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及</w:t>
            </w:r>
            <w:r>
              <w:rPr>
                <w:rFonts w:ascii="宋体" w:hAnsi="宋体" w:cs="宋体" w:eastAsia="宋体" w:hint="default"/>
                <w:sz w:val="18"/>
                <w:szCs w:val="18"/>
              </w:rPr>
              <w:t> 间接控股</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3"/>
              <w:jc w:val="right"/>
              <w:rPr>
                <w:rFonts w:ascii="宋体" w:hAnsi="宋体" w:cs="宋体" w:eastAsia="宋体" w:hint="default"/>
                <w:sz w:val="18"/>
                <w:szCs w:val="18"/>
              </w:rPr>
            </w:pPr>
            <w:r>
              <w:rPr>
                <w:rFonts w:ascii="宋体" w:hAnsi="宋体" w:cs="宋体" w:eastAsia="宋体" w:hint="default"/>
                <w:sz w:val="18"/>
                <w:szCs w:val="18"/>
              </w:rPr>
              <w:t>广州市</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7"/>
              <w:jc w:val="right"/>
              <w:rPr>
                <w:rFonts w:ascii="宋体" w:hAnsi="宋体" w:cs="宋体" w:eastAsia="宋体" w:hint="default"/>
                <w:sz w:val="18"/>
                <w:szCs w:val="18"/>
              </w:rPr>
            </w:pPr>
            <w:r>
              <w:rPr>
                <w:rFonts w:ascii="宋体" w:hAnsi="宋体" w:cs="宋体" w:eastAsia="宋体" w:hint="default"/>
                <w:sz w:val="18"/>
                <w:szCs w:val="18"/>
              </w:rPr>
              <w:t>零售</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84"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319" w:right="0"/>
              <w:jc w:val="left"/>
              <w:rPr>
                <w:rFonts w:ascii="宋体" w:hAnsi="宋体" w:cs="宋体" w:eastAsia="宋体" w:hint="default"/>
                <w:sz w:val="18"/>
                <w:szCs w:val="18"/>
              </w:rPr>
            </w:pPr>
            <w:r>
              <w:rPr>
                <w:rFonts w:ascii="Arial" w:hAnsi="Arial" w:cs="Arial" w:eastAsia="Arial" w:hint="default"/>
                <w:sz w:val="18"/>
                <w:szCs w:val="18"/>
              </w:rPr>
              <w:t>32,017.00</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787" w:type="dxa"/>
            <w:tcBorders>
              <w:top w:val="nil" w:sz="6" w:space="0" w:color="auto"/>
              <w:left w:val="nil" w:sz="6" w:space="0" w:color="auto"/>
              <w:bottom w:val="nil" w:sz="6" w:space="0" w:color="auto"/>
              <w:right w:val="nil" w:sz="6" w:space="0" w:color="auto"/>
            </w:tcBorders>
          </w:tcPr>
          <w:p>
            <w:pPr>
              <w:pStyle w:val="TableParagraph"/>
              <w:spacing w:line="232" w:lineRule="exact" w:before="38"/>
              <w:ind w:left="106" w:right="220"/>
              <w:jc w:val="left"/>
              <w:rPr>
                <w:rFonts w:ascii="宋体" w:hAnsi="宋体" w:cs="宋体" w:eastAsia="宋体" w:hint="default"/>
                <w:sz w:val="18"/>
                <w:szCs w:val="18"/>
              </w:rPr>
            </w:pPr>
            <w:r>
              <w:rPr>
                <w:rFonts w:ascii="宋体" w:hAnsi="宋体" w:cs="宋体" w:eastAsia="宋体" w:hint="default"/>
                <w:sz w:val="18"/>
                <w:szCs w:val="18"/>
              </w:rPr>
              <w:t>电器和电子消费品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的连锁销售</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2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6"/>
              <w:jc w:val="right"/>
              <w:rPr>
                <w:rFonts w:ascii="宋体" w:hAnsi="宋体" w:cs="宋体" w:eastAsia="宋体" w:hint="default"/>
                <w:sz w:val="18"/>
                <w:szCs w:val="18"/>
              </w:rPr>
            </w:pPr>
            <w:r>
              <w:rPr>
                <w:rFonts w:ascii="宋体" w:hAnsi="宋体" w:cs="宋体" w:eastAsia="宋体" w:hint="default"/>
                <w:sz w:val="18"/>
                <w:szCs w:val="18"/>
              </w:rPr>
              <w:t>鲍东升</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8"/>
              <w:jc w:val="right"/>
              <w:rPr>
                <w:rFonts w:ascii="Arial" w:hAnsi="Arial" w:cs="Arial" w:eastAsia="Arial" w:hint="default"/>
                <w:sz w:val="18"/>
                <w:szCs w:val="18"/>
              </w:rPr>
            </w:pPr>
            <w:r>
              <w:rPr>
                <w:rFonts w:ascii="Arial"/>
                <w:spacing w:val="-1"/>
                <w:sz w:val="18"/>
              </w:rPr>
              <w:t>61743194-3</w:t>
            </w:r>
          </w:p>
        </w:tc>
      </w:tr>
      <w:tr>
        <w:trPr>
          <w:trHeight w:val="595" w:hRule="exact"/>
        </w:trPr>
        <w:tc>
          <w:tcPr>
            <w:tcW w:w="69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76" w:lineRule="auto" w:before="13"/>
              <w:ind w:left="391" w:right="114" w:hanging="195"/>
              <w:jc w:val="left"/>
              <w:rPr>
                <w:rFonts w:ascii="宋体" w:hAnsi="宋体" w:cs="宋体" w:eastAsia="宋体" w:hint="default"/>
                <w:sz w:val="18"/>
                <w:szCs w:val="18"/>
              </w:rPr>
            </w:pPr>
            <w:r>
              <w:rPr>
                <w:rFonts w:ascii="宋体" w:hAnsi="宋体" w:cs="宋体" w:eastAsia="宋体" w:hint="default"/>
                <w:sz w:val="18"/>
                <w:szCs w:val="18"/>
              </w:rPr>
              <w:t>深圳市苏宁电器 有限公司</w:t>
            </w:r>
          </w:p>
        </w:tc>
        <w:tc>
          <w:tcPr>
            <w:tcW w:w="1505" w:type="dxa"/>
            <w:tcBorders>
              <w:top w:val="nil" w:sz="6" w:space="0" w:color="auto"/>
              <w:left w:val="nil" w:sz="6" w:space="0" w:color="auto"/>
              <w:bottom w:val="nil" w:sz="6" w:space="0" w:color="auto"/>
              <w:right w:val="nil" w:sz="6" w:space="0" w:color="auto"/>
            </w:tcBorders>
          </w:tcPr>
          <w:p>
            <w:pPr>
              <w:pStyle w:val="TableParagraph"/>
              <w:spacing w:line="232" w:lineRule="exact" w:before="38"/>
              <w:ind w:left="111" w:right="321"/>
              <w:jc w:val="left"/>
              <w:rPr>
                <w:rFonts w:ascii="宋体" w:hAnsi="宋体" w:cs="宋体" w:eastAsia="宋体" w:hint="default"/>
                <w:sz w:val="18"/>
                <w:szCs w:val="18"/>
              </w:rPr>
            </w:pPr>
            <w:r>
              <w:rPr>
                <w:rFonts w:ascii="宋体" w:hAnsi="宋体" w:cs="宋体" w:eastAsia="宋体" w:hint="default"/>
                <w:sz w:val="18"/>
                <w:szCs w:val="18"/>
              </w:rPr>
              <w:t>直</w:t>
            </w:r>
            <w:r>
              <w:rPr>
                <w:rFonts w:ascii="宋体" w:hAnsi="宋体" w:cs="宋体" w:eastAsia="宋体" w:hint="default"/>
                <w:spacing w:val="-47"/>
                <w:sz w:val="18"/>
                <w:szCs w:val="18"/>
              </w:rPr>
              <w:t> </w:t>
            </w:r>
            <w:r>
              <w:rPr>
                <w:rFonts w:ascii="宋体" w:hAnsi="宋体" w:cs="宋体" w:eastAsia="宋体" w:hint="default"/>
                <w:sz w:val="18"/>
                <w:szCs w:val="18"/>
              </w:rPr>
              <w:t>接</w:t>
            </w:r>
            <w:r>
              <w:rPr>
                <w:rFonts w:ascii="宋体" w:hAnsi="宋体" w:cs="宋体" w:eastAsia="宋体" w:hint="default"/>
                <w:spacing w:val="-47"/>
                <w:sz w:val="18"/>
                <w:szCs w:val="18"/>
              </w:rPr>
              <w:t> </w:t>
            </w:r>
            <w:r>
              <w:rPr>
                <w:rFonts w:ascii="宋体" w:hAnsi="宋体" w:cs="宋体" w:eastAsia="宋体" w:hint="default"/>
                <w:sz w:val="18"/>
                <w:szCs w:val="18"/>
              </w:rPr>
              <w:t>控</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及</w:t>
            </w:r>
            <w:r>
              <w:rPr>
                <w:rFonts w:ascii="宋体" w:hAnsi="宋体" w:cs="宋体" w:eastAsia="宋体" w:hint="default"/>
                <w:sz w:val="18"/>
                <w:szCs w:val="18"/>
              </w:rPr>
              <w:t> 间接控股</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3"/>
              <w:jc w:val="right"/>
              <w:rPr>
                <w:rFonts w:ascii="宋体" w:hAnsi="宋体" w:cs="宋体" w:eastAsia="宋体" w:hint="default"/>
                <w:sz w:val="18"/>
                <w:szCs w:val="18"/>
              </w:rPr>
            </w:pPr>
            <w:r>
              <w:rPr>
                <w:rFonts w:ascii="宋体" w:hAnsi="宋体" w:cs="宋体" w:eastAsia="宋体" w:hint="default"/>
                <w:sz w:val="18"/>
                <w:szCs w:val="18"/>
              </w:rPr>
              <w:t>深圳市</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7"/>
              <w:jc w:val="right"/>
              <w:rPr>
                <w:rFonts w:ascii="宋体" w:hAnsi="宋体" w:cs="宋体" w:eastAsia="宋体" w:hint="default"/>
                <w:sz w:val="18"/>
                <w:szCs w:val="18"/>
              </w:rPr>
            </w:pPr>
            <w:r>
              <w:rPr>
                <w:rFonts w:ascii="宋体" w:hAnsi="宋体" w:cs="宋体" w:eastAsia="宋体" w:hint="default"/>
                <w:sz w:val="18"/>
                <w:szCs w:val="18"/>
              </w:rPr>
              <w:t>零售</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84"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5"/>
              <w:ind w:left="331" w:right="0"/>
              <w:jc w:val="left"/>
              <w:rPr>
                <w:rFonts w:ascii="宋体" w:hAnsi="宋体" w:cs="宋体" w:eastAsia="宋体" w:hint="default"/>
                <w:sz w:val="18"/>
                <w:szCs w:val="18"/>
              </w:rPr>
            </w:pPr>
            <w:r>
              <w:rPr>
                <w:rFonts w:ascii="Arial" w:hAnsi="Arial" w:cs="Arial" w:eastAsia="Arial" w:hint="default"/>
                <w:sz w:val="18"/>
                <w:szCs w:val="18"/>
              </w:rPr>
              <w:t>12,311.00</w:t>
            </w:r>
            <w:r>
              <w:rPr>
                <w:rFonts w:ascii="Arial" w:hAnsi="Arial" w:cs="Arial" w:eastAsia="Arial" w:hint="default"/>
                <w:spacing w:val="-20"/>
                <w:sz w:val="18"/>
                <w:szCs w:val="18"/>
              </w:rPr>
              <w:t> </w:t>
            </w:r>
            <w:r>
              <w:rPr>
                <w:rFonts w:ascii="宋体" w:hAnsi="宋体" w:cs="宋体" w:eastAsia="宋体" w:hint="default"/>
                <w:sz w:val="18"/>
                <w:szCs w:val="18"/>
              </w:rPr>
              <w:t>万元</w:t>
            </w:r>
          </w:p>
        </w:tc>
        <w:tc>
          <w:tcPr>
            <w:tcW w:w="1787" w:type="dxa"/>
            <w:tcBorders>
              <w:top w:val="nil" w:sz="6" w:space="0" w:color="auto"/>
              <w:left w:val="nil" w:sz="6" w:space="0" w:color="auto"/>
              <w:bottom w:val="nil" w:sz="6" w:space="0" w:color="auto"/>
              <w:right w:val="nil" w:sz="6" w:space="0" w:color="auto"/>
            </w:tcBorders>
          </w:tcPr>
          <w:p>
            <w:pPr>
              <w:pStyle w:val="TableParagraph"/>
              <w:spacing w:line="232" w:lineRule="exact" w:before="38"/>
              <w:ind w:left="106" w:right="220"/>
              <w:jc w:val="left"/>
              <w:rPr>
                <w:rFonts w:ascii="宋体" w:hAnsi="宋体" w:cs="宋体" w:eastAsia="宋体" w:hint="default"/>
                <w:sz w:val="18"/>
                <w:szCs w:val="18"/>
              </w:rPr>
            </w:pPr>
            <w:r>
              <w:rPr>
                <w:rFonts w:ascii="宋体" w:hAnsi="宋体" w:cs="宋体" w:eastAsia="宋体" w:hint="default"/>
                <w:sz w:val="18"/>
                <w:szCs w:val="18"/>
              </w:rPr>
              <w:t>电器和电子消费品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的连锁销售</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6"/>
              <w:jc w:val="right"/>
              <w:rPr>
                <w:rFonts w:ascii="宋体" w:hAnsi="宋体" w:cs="宋体" w:eastAsia="宋体" w:hint="default"/>
                <w:sz w:val="18"/>
                <w:szCs w:val="18"/>
              </w:rPr>
            </w:pPr>
            <w:r>
              <w:rPr>
                <w:rFonts w:ascii="宋体" w:hAnsi="宋体" w:cs="宋体" w:eastAsia="宋体" w:hint="default"/>
                <w:sz w:val="18"/>
                <w:szCs w:val="18"/>
              </w:rPr>
              <w:t>孙为民</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8"/>
              <w:jc w:val="right"/>
              <w:rPr>
                <w:rFonts w:ascii="Arial" w:hAnsi="Arial" w:cs="Arial" w:eastAsia="Arial" w:hint="default"/>
                <w:sz w:val="18"/>
                <w:szCs w:val="18"/>
              </w:rPr>
            </w:pPr>
            <w:r>
              <w:rPr>
                <w:rFonts w:ascii="Arial"/>
                <w:spacing w:val="-1"/>
                <w:sz w:val="18"/>
              </w:rPr>
              <w:t>72858230-6</w:t>
            </w:r>
          </w:p>
        </w:tc>
      </w:tr>
      <w:tr>
        <w:trPr>
          <w:trHeight w:val="532" w:hRule="exact"/>
        </w:trPr>
        <w:tc>
          <w:tcPr>
            <w:tcW w:w="69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78" w:lineRule="auto" w:before="13"/>
              <w:ind w:left="382" w:right="109" w:hanging="185"/>
              <w:jc w:val="left"/>
              <w:rPr>
                <w:rFonts w:ascii="宋体" w:hAnsi="宋体" w:cs="宋体" w:eastAsia="宋体" w:hint="default"/>
                <w:sz w:val="18"/>
                <w:szCs w:val="18"/>
              </w:rPr>
            </w:pPr>
            <w:r>
              <w:rPr>
                <w:rFonts w:ascii="宋体" w:hAnsi="宋体" w:cs="宋体" w:eastAsia="宋体" w:hint="default"/>
                <w:sz w:val="18"/>
                <w:szCs w:val="18"/>
              </w:rPr>
              <w:t>重庆渝宁苏宁 电器有限公司</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1" w:right="0"/>
              <w:jc w:val="left"/>
              <w:rPr>
                <w:rFonts w:ascii="宋体" w:hAnsi="宋体" w:cs="宋体" w:eastAsia="宋体" w:hint="default"/>
                <w:sz w:val="18"/>
                <w:szCs w:val="18"/>
              </w:rPr>
            </w:pPr>
            <w:r>
              <w:rPr>
                <w:rFonts w:ascii="宋体" w:hAnsi="宋体" w:cs="宋体" w:eastAsia="宋体" w:hint="default"/>
                <w:sz w:val="18"/>
                <w:szCs w:val="18"/>
              </w:rPr>
              <w:t>直接控股</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3"/>
              <w:jc w:val="right"/>
              <w:rPr>
                <w:rFonts w:ascii="宋体" w:hAnsi="宋体" w:cs="宋体" w:eastAsia="宋体" w:hint="default"/>
                <w:sz w:val="18"/>
                <w:szCs w:val="18"/>
              </w:rPr>
            </w:pPr>
            <w:r>
              <w:rPr>
                <w:rFonts w:ascii="宋体" w:hAnsi="宋体" w:cs="宋体" w:eastAsia="宋体" w:hint="default"/>
                <w:sz w:val="18"/>
                <w:szCs w:val="18"/>
              </w:rPr>
              <w:t>重庆市</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7"/>
              <w:jc w:val="right"/>
              <w:rPr>
                <w:rFonts w:ascii="宋体" w:hAnsi="宋体" w:cs="宋体" w:eastAsia="宋体" w:hint="default"/>
                <w:sz w:val="18"/>
                <w:szCs w:val="18"/>
              </w:rPr>
            </w:pPr>
            <w:r>
              <w:rPr>
                <w:rFonts w:ascii="宋体" w:hAnsi="宋体" w:cs="宋体" w:eastAsia="宋体" w:hint="default"/>
                <w:sz w:val="18"/>
                <w:szCs w:val="18"/>
              </w:rPr>
              <w:t>零售</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84"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319" w:right="0"/>
              <w:jc w:val="left"/>
              <w:rPr>
                <w:rFonts w:ascii="宋体" w:hAnsi="宋体" w:cs="宋体" w:eastAsia="宋体" w:hint="default"/>
                <w:sz w:val="18"/>
                <w:szCs w:val="18"/>
              </w:rPr>
            </w:pPr>
            <w:r>
              <w:rPr>
                <w:rFonts w:ascii="Arial" w:hAnsi="Arial" w:cs="Arial" w:eastAsia="Arial" w:hint="default"/>
                <w:sz w:val="18"/>
                <w:szCs w:val="18"/>
              </w:rPr>
              <w:t>47,150.63</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787" w:type="dxa"/>
            <w:tcBorders>
              <w:top w:val="nil" w:sz="6" w:space="0" w:color="auto"/>
              <w:left w:val="nil" w:sz="6" w:space="0" w:color="auto"/>
              <w:bottom w:val="nil" w:sz="6" w:space="0" w:color="auto"/>
              <w:right w:val="nil" w:sz="6" w:space="0" w:color="auto"/>
            </w:tcBorders>
          </w:tcPr>
          <w:p>
            <w:pPr>
              <w:pStyle w:val="TableParagraph"/>
              <w:spacing w:line="232" w:lineRule="exact" w:before="38"/>
              <w:ind w:left="106" w:right="220"/>
              <w:jc w:val="left"/>
              <w:rPr>
                <w:rFonts w:ascii="宋体" w:hAnsi="宋体" w:cs="宋体" w:eastAsia="宋体" w:hint="default"/>
                <w:sz w:val="18"/>
                <w:szCs w:val="18"/>
              </w:rPr>
            </w:pPr>
            <w:r>
              <w:rPr>
                <w:rFonts w:ascii="宋体" w:hAnsi="宋体" w:cs="宋体" w:eastAsia="宋体" w:hint="default"/>
                <w:sz w:val="18"/>
                <w:szCs w:val="18"/>
              </w:rPr>
              <w:t>电器和电子消费品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的连锁销售</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6"/>
              <w:jc w:val="right"/>
              <w:rPr>
                <w:rFonts w:ascii="宋体" w:hAnsi="宋体" w:cs="宋体" w:eastAsia="宋体" w:hint="default"/>
                <w:sz w:val="18"/>
                <w:szCs w:val="18"/>
              </w:rPr>
            </w:pPr>
            <w:r>
              <w:rPr>
                <w:rFonts w:ascii="宋体" w:hAnsi="宋体" w:cs="宋体" w:eastAsia="宋体" w:hint="default"/>
                <w:sz w:val="18"/>
                <w:szCs w:val="18"/>
              </w:rPr>
              <w:t>徐耀华</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8"/>
              <w:jc w:val="right"/>
              <w:rPr>
                <w:rFonts w:ascii="Arial" w:hAnsi="Arial" w:cs="Arial" w:eastAsia="Arial" w:hint="default"/>
                <w:sz w:val="18"/>
                <w:szCs w:val="18"/>
              </w:rPr>
            </w:pPr>
            <w:r>
              <w:rPr>
                <w:rFonts w:ascii="Arial"/>
                <w:spacing w:val="-1"/>
                <w:sz w:val="18"/>
              </w:rPr>
              <w:t>66893754-9</w:t>
            </w:r>
          </w:p>
        </w:tc>
      </w:tr>
    </w:tbl>
    <w:p>
      <w:pPr>
        <w:spacing w:after="0" w:line="240" w:lineRule="auto"/>
        <w:jc w:val="right"/>
        <w:rPr>
          <w:rFonts w:ascii="Arial" w:hAnsi="Arial" w:cs="Arial" w:eastAsia="Arial" w:hint="default"/>
          <w:sz w:val="18"/>
          <w:szCs w:val="18"/>
        </w:rPr>
        <w:sectPr>
          <w:headerReference w:type="default" r:id="rId66"/>
          <w:footerReference w:type="default" r:id="rId67"/>
          <w:pgSz w:w="16850" w:h="11910" w:orient="landscape"/>
          <w:pgMar w:header="795" w:footer="706" w:top="2020" w:bottom="900" w:left="1420" w:right="0"/>
          <w:pgNumType w:start="128"/>
        </w:sectPr>
      </w:pPr>
    </w:p>
    <w:p>
      <w:pPr>
        <w:spacing w:line="240" w:lineRule="auto" w:before="0"/>
        <w:rPr>
          <w:rFonts w:ascii="Times New Roman" w:hAnsi="Times New Roman" w:cs="Times New Roman" w:eastAsia="Times New Roman" w:hint="default"/>
          <w:sz w:val="20"/>
          <w:szCs w:val="20"/>
        </w:rPr>
      </w:pPr>
      <w:r>
        <w:rPr/>
        <w:pict>
          <v:shape style="position:absolute;margin-left:707.039978pt;margin-top:518.320007pt;width:135pt;height:77pt;mso-position-horizontal-relative:page;mso-position-vertical-relative:page;z-index:-1596064" type="#_x0000_t75" stroked="false">
            <v:imagedata r:id="rId10" o:title=""/>
          </v:shape>
        </w:pict>
      </w:r>
    </w:p>
    <w:p>
      <w:pPr>
        <w:spacing w:line="240" w:lineRule="auto" w:before="4"/>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691"/>
        <w:gridCol w:w="1687"/>
        <w:gridCol w:w="1452"/>
        <w:gridCol w:w="1456"/>
        <w:gridCol w:w="1321"/>
        <w:gridCol w:w="1620"/>
        <w:gridCol w:w="1788"/>
        <w:gridCol w:w="1432"/>
        <w:gridCol w:w="1139"/>
        <w:gridCol w:w="1634"/>
      </w:tblGrid>
      <w:tr>
        <w:trPr>
          <w:trHeight w:val="489"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exact"/>
              <w:ind w:right="49"/>
              <w:jc w:val="center"/>
              <w:rPr>
                <w:rFonts w:ascii="黑体" w:hAnsi="黑体" w:cs="黑体" w:eastAsia="黑体" w:hint="default"/>
                <w:sz w:val="24"/>
                <w:szCs w:val="24"/>
              </w:rPr>
            </w:pPr>
            <w:r>
              <w:rPr>
                <w:rFonts w:ascii="黑体" w:hAnsi="黑体" w:cs="黑体" w:eastAsia="黑体" w:hint="default"/>
                <w:sz w:val="24"/>
                <w:szCs w:val="24"/>
              </w:rPr>
              <w:t>四</w:t>
            </w:r>
          </w:p>
        </w:tc>
        <w:tc>
          <w:tcPr>
            <w:tcW w:w="4595"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197" w:right="0"/>
              <w:jc w:val="left"/>
              <w:rPr>
                <w:rFonts w:ascii="黑体" w:hAnsi="黑体" w:cs="黑体" w:eastAsia="黑体" w:hint="default"/>
                <w:sz w:val="24"/>
                <w:szCs w:val="24"/>
              </w:rPr>
            </w:pPr>
            <w:r>
              <w:rPr>
                <w:rFonts w:ascii="黑体" w:hAnsi="黑体" w:cs="黑体" w:eastAsia="黑体" w:hint="default"/>
                <w:sz w:val="24"/>
                <w:szCs w:val="24"/>
              </w:rPr>
              <w:t>企业合并及合并财务报表</w:t>
            </w:r>
            <w:r>
              <w:rPr>
                <w:rFonts w:ascii="黑体" w:hAnsi="黑体" w:cs="黑体" w:eastAsia="黑体" w:hint="default"/>
                <w:sz w:val="24"/>
                <w:szCs w:val="24"/>
              </w:rPr>
              <w:t>(</w:t>
            </w:r>
            <w:r>
              <w:rPr>
                <w:rFonts w:ascii="黑体" w:hAnsi="黑体" w:cs="黑体" w:eastAsia="黑体" w:hint="default"/>
                <w:sz w:val="24"/>
                <w:szCs w:val="24"/>
              </w:rPr>
              <w:t>续</w:t>
            </w:r>
            <w:r>
              <w:rPr>
                <w:rFonts w:ascii="黑体" w:hAnsi="黑体" w:cs="黑体" w:eastAsia="黑体" w:hint="default"/>
                <w:sz w:val="24"/>
                <w:szCs w:val="24"/>
              </w:rPr>
              <w:t>)</w:t>
            </w:r>
          </w:p>
        </w:tc>
        <w:tc>
          <w:tcPr>
            <w:tcW w:w="1321"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r>
      <w:tr>
        <w:trPr>
          <w:trHeight w:val="753"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Arial" w:hAnsi="Arial" w:cs="Arial" w:eastAsia="Arial" w:hint="default"/>
                <w:sz w:val="24"/>
                <w:szCs w:val="24"/>
              </w:rPr>
            </w:pPr>
            <w:r>
              <w:rPr>
                <w:rFonts w:ascii="Arial"/>
                <w:sz w:val="24"/>
              </w:rPr>
              <w:t>(1)</w:t>
            </w:r>
          </w:p>
        </w:tc>
        <w:tc>
          <w:tcPr>
            <w:tcW w:w="31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3"/>
              <w:ind w:left="197" w:right="0"/>
              <w:jc w:val="left"/>
              <w:rPr>
                <w:rFonts w:ascii="Arial" w:hAnsi="Arial" w:cs="Arial" w:eastAsia="Arial" w:hint="default"/>
                <w:sz w:val="24"/>
                <w:szCs w:val="24"/>
              </w:rPr>
            </w:pPr>
            <w:r>
              <w:rPr>
                <w:rFonts w:ascii="黑体" w:hAnsi="黑体" w:cs="黑体" w:eastAsia="黑体" w:hint="default"/>
                <w:sz w:val="24"/>
                <w:szCs w:val="24"/>
              </w:rPr>
              <w:t>子公司情况</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5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r>
      <w:tr>
        <w:trPr>
          <w:trHeight w:val="746"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 w:right="0"/>
              <w:jc w:val="center"/>
              <w:rPr>
                <w:rFonts w:ascii="Arial" w:hAnsi="Arial" w:cs="Arial" w:eastAsia="Arial" w:hint="default"/>
                <w:sz w:val="24"/>
                <w:szCs w:val="24"/>
              </w:rPr>
            </w:pPr>
            <w:r>
              <w:rPr>
                <w:rFonts w:ascii="Arial"/>
                <w:sz w:val="24"/>
              </w:rPr>
              <w:t>(a)</w:t>
            </w:r>
          </w:p>
        </w:tc>
        <w:tc>
          <w:tcPr>
            <w:tcW w:w="591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7"/>
              <w:ind w:left="197" w:right="0"/>
              <w:jc w:val="left"/>
              <w:rPr>
                <w:rFonts w:ascii="Arial" w:hAnsi="Arial" w:cs="Arial" w:eastAsia="Arial" w:hint="default"/>
                <w:sz w:val="24"/>
                <w:szCs w:val="24"/>
              </w:rPr>
            </w:pPr>
            <w:r>
              <w:rPr>
                <w:rFonts w:ascii="宋体" w:hAnsi="宋体" w:cs="宋体" w:eastAsia="宋体" w:hint="default"/>
                <w:sz w:val="24"/>
                <w:szCs w:val="24"/>
              </w:rPr>
              <w:t>通过设立或投资等方式取得的主要子公司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620"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r>
      <w:tr>
        <w:trPr>
          <w:trHeight w:val="687" w:hRule="exact"/>
        </w:trPr>
        <w:tc>
          <w:tcPr>
            <w:tcW w:w="69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95" w:hRule="exact"/>
        </w:trPr>
        <w:tc>
          <w:tcPr>
            <w:tcW w:w="69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78" w:lineRule="auto"/>
              <w:ind w:left="382" w:right="407" w:hanging="185"/>
              <w:jc w:val="left"/>
              <w:rPr>
                <w:rFonts w:ascii="宋体" w:hAnsi="宋体" w:cs="宋体" w:eastAsia="宋体" w:hint="default"/>
                <w:sz w:val="18"/>
                <w:szCs w:val="18"/>
              </w:rPr>
            </w:pPr>
            <w:r>
              <w:rPr>
                <w:rFonts w:ascii="宋体" w:hAnsi="宋体" w:cs="宋体" w:eastAsia="宋体" w:hint="default"/>
                <w:sz w:val="18"/>
                <w:szCs w:val="18"/>
              </w:rPr>
              <w:t>四川苏宁电器 有限公司</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直接控股</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成都市</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301"/>
              <w:jc w:val="right"/>
              <w:rPr>
                <w:rFonts w:ascii="宋体" w:hAnsi="宋体" w:cs="宋体" w:eastAsia="宋体" w:hint="default"/>
                <w:sz w:val="18"/>
                <w:szCs w:val="18"/>
              </w:rPr>
            </w:pPr>
            <w:r>
              <w:rPr>
                <w:rFonts w:ascii="宋体" w:hAnsi="宋体" w:cs="宋体" w:eastAsia="宋体" w:hint="default"/>
                <w:sz w:val="18"/>
                <w:szCs w:val="18"/>
              </w:rPr>
              <w:t>零售</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970"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306" w:right="0"/>
              <w:jc w:val="left"/>
              <w:rPr>
                <w:rFonts w:ascii="宋体" w:hAnsi="宋体" w:cs="宋体" w:eastAsia="宋体" w:hint="default"/>
                <w:sz w:val="18"/>
                <w:szCs w:val="18"/>
              </w:rPr>
            </w:pPr>
            <w:r>
              <w:rPr>
                <w:rFonts w:ascii="Arial" w:hAnsi="Arial" w:cs="Arial" w:eastAsia="Arial" w:hint="default"/>
                <w:sz w:val="18"/>
                <w:szCs w:val="18"/>
              </w:rPr>
              <w:t>26,314.44</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32" w:lineRule="exact"/>
              <w:ind w:left="106" w:right="201"/>
              <w:jc w:val="left"/>
              <w:rPr>
                <w:rFonts w:ascii="宋体" w:hAnsi="宋体" w:cs="宋体" w:eastAsia="宋体" w:hint="default"/>
                <w:sz w:val="18"/>
                <w:szCs w:val="18"/>
              </w:rPr>
            </w:pPr>
            <w:r>
              <w:rPr>
                <w:rFonts w:ascii="宋体" w:hAnsi="宋体" w:cs="宋体" w:eastAsia="宋体" w:hint="default"/>
                <w:spacing w:val="4"/>
                <w:sz w:val="18"/>
                <w:szCs w:val="18"/>
              </w:rPr>
              <w:t>电器和电子消费品</w:t>
            </w:r>
            <w:r>
              <w:rPr>
                <w:rFonts w:ascii="宋体" w:hAnsi="宋体" w:cs="宋体" w:eastAsia="宋体" w:hint="default"/>
                <w:sz w:val="18"/>
                <w:szCs w:val="18"/>
              </w:rPr>
              <w:t> 的连锁销售</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86"/>
              <w:jc w:val="right"/>
              <w:rPr>
                <w:rFonts w:ascii="宋体" w:hAnsi="宋体" w:cs="宋体" w:eastAsia="宋体" w:hint="default"/>
                <w:sz w:val="18"/>
                <w:szCs w:val="18"/>
              </w:rPr>
            </w:pPr>
            <w:r>
              <w:rPr>
                <w:rFonts w:ascii="宋体" w:hAnsi="宋体" w:cs="宋体" w:eastAsia="宋体" w:hint="default"/>
                <w:sz w:val="18"/>
                <w:szCs w:val="18"/>
              </w:rPr>
              <w:t>陶京海</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98"/>
              <w:jc w:val="right"/>
              <w:rPr>
                <w:rFonts w:ascii="Arial" w:hAnsi="Arial" w:cs="Arial" w:eastAsia="Arial" w:hint="default"/>
                <w:sz w:val="18"/>
                <w:szCs w:val="18"/>
              </w:rPr>
            </w:pPr>
            <w:r>
              <w:rPr>
                <w:rFonts w:ascii="Arial"/>
                <w:spacing w:val="-1"/>
                <w:sz w:val="18"/>
              </w:rPr>
              <w:t>66956674-3</w:t>
            </w:r>
          </w:p>
        </w:tc>
      </w:tr>
      <w:tr>
        <w:trPr>
          <w:trHeight w:val="598" w:hRule="exact"/>
        </w:trPr>
        <w:tc>
          <w:tcPr>
            <w:tcW w:w="69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78" w:lineRule="auto" w:before="13"/>
              <w:ind w:left="382" w:right="222" w:hanging="185"/>
              <w:jc w:val="left"/>
              <w:rPr>
                <w:rFonts w:ascii="宋体" w:hAnsi="宋体" w:cs="宋体" w:eastAsia="宋体" w:hint="default"/>
                <w:sz w:val="18"/>
                <w:szCs w:val="18"/>
              </w:rPr>
            </w:pPr>
            <w:r>
              <w:rPr>
                <w:rFonts w:ascii="宋体" w:hAnsi="宋体" w:cs="宋体" w:eastAsia="宋体" w:hint="default"/>
                <w:sz w:val="18"/>
                <w:szCs w:val="18"/>
              </w:rPr>
              <w:t>陕西苏宁电器 有限责任公司</w:t>
            </w:r>
          </w:p>
        </w:tc>
        <w:tc>
          <w:tcPr>
            <w:tcW w:w="1452" w:type="dxa"/>
            <w:tcBorders>
              <w:top w:val="nil" w:sz="6" w:space="0" w:color="auto"/>
              <w:left w:val="nil" w:sz="6" w:space="0" w:color="auto"/>
              <w:bottom w:val="nil" w:sz="6" w:space="0" w:color="auto"/>
              <w:right w:val="nil" w:sz="6" w:space="0" w:color="auto"/>
            </w:tcBorders>
          </w:tcPr>
          <w:p>
            <w:pPr>
              <w:pStyle w:val="TableParagraph"/>
              <w:spacing w:line="278" w:lineRule="auto" w:before="13"/>
              <w:ind w:left="46" w:right="503"/>
              <w:jc w:val="left"/>
              <w:rPr>
                <w:rFonts w:ascii="宋体" w:hAnsi="宋体" w:cs="宋体" w:eastAsia="宋体" w:hint="default"/>
                <w:sz w:val="18"/>
                <w:szCs w:val="18"/>
              </w:rPr>
            </w:pPr>
            <w:r>
              <w:rPr>
                <w:rFonts w:ascii="宋体" w:hAnsi="宋体" w:cs="宋体" w:eastAsia="宋体" w:hint="default"/>
                <w:sz w:val="18"/>
                <w:szCs w:val="18"/>
              </w:rPr>
              <w:t>直接控股 及间接控股</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8"/>
              <w:jc w:val="right"/>
              <w:rPr>
                <w:rFonts w:ascii="宋体" w:hAnsi="宋体" w:cs="宋体" w:eastAsia="宋体" w:hint="default"/>
                <w:sz w:val="18"/>
                <w:szCs w:val="18"/>
              </w:rPr>
            </w:pPr>
            <w:r>
              <w:rPr>
                <w:rFonts w:ascii="宋体" w:hAnsi="宋体" w:cs="宋体" w:eastAsia="宋体" w:hint="default"/>
                <w:sz w:val="18"/>
                <w:szCs w:val="18"/>
              </w:rPr>
              <w:t>西安市</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1"/>
              <w:jc w:val="right"/>
              <w:rPr>
                <w:rFonts w:ascii="宋体" w:hAnsi="宋体" w:cs="宋体" w:eastAsia="宋体" w:hint="default"/>
                <w:sz w:val="18"/>
                <w:szCs w:val="18"/>
              </w:rPr>
            </w:pPr>
            <w:r>
              <w:rPr>
                <w:rFonts w:ascii="宋体" w:hAnsi="宋体" w:cs="宋体" w:eastAsia="宋体" w:hint="default"/>
                <w:sz w:val="18"/>
                <w:szCs w:val="18"/>
              </w:rPr>
              <w:t>零售</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70"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318" w:right="0"/>
              <w:jc w:val="left"/>
              <w:rPr>
                <w:rFonts w:ascii="宋体" w:hAnsi="宋体" w:cs="宋体" w:eastAsia="宋体" w:hint="default"/>
                <w:sz w:val="18"/>
                <w:szCs w:val="18"/>
              </w:rPr>
            </w:pPr>
            <w:r>
              <w:rPr>
                <w:rFonts w:ascii="Arial" w:hAnsi="Arial" w:cs="Arial" w:eastAsia="Arial" w:hint="default"/>
                <w:sz w:val="18"/>
                <w:szCs w:val="18"/>
              </w:rPr>
              <w:t>11,651.00</w:t>
            </w:r>
            <w:r>
              <w:rPr>
                <w:rFonts w:ascii="Arial" w:hAnsi="Arial" w:cs="Arial" w:eastAsia="Arial" w:hint="default"/>
                <w:spacing w:val="-20"/>
                <w:sz w:val="18"/>
                <w:szCs w:val="18"/>
              </w:rPr>
              <w:t> </w:t>
            </w:r>
            <w:r>
              <w:rPr>
                <w:rFonts w:ascii="宋体" w:hAnsi="宋体" w:cs="宋体" w:eastAsia="宋体" w:hint="default"/>
                <w:sz w:val="18"/>
                <w:szCs w:val="18"/>
              </w:rPr>
              <w:t>万元</w:t>
            </w:r>
          </w:p>
        </w:tc>
        <w:tc>
          <w:tcPr>
            <w:tcW w:w="1788" w:type="dxa"/>
            <w:tcBorders>
              <w:top w:val="nil" w:sz="6" w:space="0" w:color="auto"/>
              <w:left w:val="nil" w:sz="6" w:space="0" w:color="auto"/>
              <w:bottom w:val="nil" w:sz="6" w:space="0" w:color="auto"/>
              <w:right w:val="nil" w:sz="6" w:space="0" w:color="auto"/>
            </w:tcBorders>
          </w:tcPr>
          <w:p>
            <w:pPr>
              <w:pStyle w:val="TableParagraph"/>
              <w:spacing w:line="234" w:lineRule="exact" w:before="36"/>
              <w:ind w:left="106" w:right="201"/>
              <w:jc w:val="left"/>
              <w:rPr>
                <w:rFonts w:ascii="宋体" w:hAnsi="宋体" w:cs="宋体" w:eastAsia="宋体" w:hint="default"/>
                <w:sz w:val="18"/>
                <w:szCs w:val="18"/>
              </w:rPr>
            </w:pPr>
            <w:r>
              <w:rPr>
                <w:rFonts w:ascii="宋体" w:hAnsi="宋体" w:cs="宋体" w:eastAsia="宋体" w:hint="default"/>
                <w:spacing w:val="4"/>
                <w:sz w:val="18"/>
                <w:szCs w:val="18"/>
              </w:rPr>
              <w:t>电器和电子消费品</w:t>
            </w:r>
            <w:r>
              <w:rPr>
                <w:rFonts w:ascii="宋体" w:hAnsi="宋体" w:cs="宋体" w:eastAsia="宋体" w:hint="default"/>
                <w:sz w:val="18"/>
                <w:szCs w:val="18"/>
              </w:rPr>
              <w:t> 的连锁销售</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7"/>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6"/>
              <w:jc w:val="right"/>
              <w:rPr>
                <w:rFonts w:ascii="宋体" w:hAnsi="宋体" w:cs="宋体" w:eastAsia="宋体" w:hint="default"/>
                <w:sz w:val="18"/>
                <w:szCs w:val="18"/>
              </w:rPr>
            </w:pPr>
            <w:r>
              <w:rPr>
                <w:rFonts w:ascii="宋体" w:hAnsi="宋体" w:cs="宋体" w:eastAsia="宋体" w:hint="default"/>
                <w:sz w:val="18"/>
                <w:szCs w:val="18"/>
              </w:rPr>
              <w:t>孙为民</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8"/>
              <w:jc w:val="right"/>
              <w:rPr>
                <w:rFonts w:ascii="Arial" w:hAnsi="Arial" w:cs="Arial" w:eastAsia="Arial" w:hint="default"/>
                <w:sz w:val="18"/>
                <w:szCs w:val="18"/>
              </w:rPr>
            </w:pPr>
            <w:r>
              <w:rPr>
                <w:rFonts w:ascii="Arial"/>
                <w:spacing w:val="-1"/>
                <w:sz w:val="18"/>
              </w:rPr>
              <w:t>71978340-5</w:t>
            </w:r>
          </w:p>
        </w:tc>
      </w:tr>
      <w:tr>
        <w:trPr>
          <w:trHeight w:val="595" w:hRule="exact"/>
        </w:trPr>
        <w:tc>
          <w:tcPr>
            <w:tcW w:w="69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76" w:lineRule="auto" w:before="13"/>
              <w:ind w:left="408" w:right="407" w:hanging="212"/>
              <w:jc w:val="left"/>
              <w:rPr>
                <w:rFonts w:ascii="宋体" w:hAnsi="宋体" w:cs="宋体" w:eastAsia="宋体" w:hint="default"/>
                <w:sz w:val="18"/>
                <w:szCs w:val="18"/>
              </w:rPr>
            </w:pPr>
            <w:r>
              <w:rPr>
                <w:rFonts w:ascii="宋体" w:hAnsi="宋体" w:cs="宋体" w:eastAsia="宋体" w:hint="default"/>
                <w:sz w:val="18"/>
                <w:szCs w:val="18"/>
              </w:rPr>
              <w:t>浙江苏宁电器 有限公司</w:t>
            </w:r>
          </w:p>
        </w:tc>
        <w:tc>
          <w:tcPr>
            <w:tcW w:w="1452" w:type="dxa"/>
            <w:tcBorders>
              <w:top w:val="nil" w:sz="6" w:space="0" w:color="auto"/>
              <w:left w:val="nil" w:sz="6" w:space="0" w:color="auto"/>
              <w:bottom w:val="nil" w:sz="6" w:space="0" w:color="auto"/>
              <w:right w:val="nil" w:sz="6" w:space="0" w:color="auto"/>
            </w:tcBorders>
          </w:tcPr>
          <w:p>
            <w:pPr>
              <w:pStyle w:val="TableParagraph"/>
              <w:spacing w:line="276" w:lineRule="auto" w:before="13"/>
              <w:ind w:left="46" w:right="503"/>
              <w:jc w:val="left"/>
              <w:rPr>
                <w:rFonts w:ascii="宋体" w:hAnsi="宋体" w:cs="宋体" w:eastAsia="宋体" w:hint="default"/>
                <w:sz w:val="18"/>
                <w:szCs w:val="18"/>
              </w:rPr>
            </w:pPr>
            <w:r>
              <w:rPr>
                <w:rFonts w:ascii="宋体" w:hAnsi="宋体" w:cs="宋体" w:eastAsia="宋体" w:hint="default"/>
                <w:sz w:val="18"/>
                <w:szCs w:val="18"/>
              </w:rPr>
              <w:t>直接控股 及间接控股</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8"/>
              <w:jc w:val="right"/>
              <w:rPr>
                <w:rFonts w:ascii="宋体" w:hAnsi="宋体" w:cs="宋体" w:eastAsia="宋体" w:hint="default"/>
                <w:sz w:val="18"/>
                <w:szCs w:val="18"/>
              </w:rPr>
            </w:pPr>
            <w:r>
              <w:rPr>
                <w:rFonts w:ascii="宋体" w:hAnsi="宋体" w:cs="宋体" w:eastAsia="宋体" w:hint="default"/>
                <w:sz w:val="18"/>
                <w:szCs w:val="18"/>
              </w:rPr>
              <w:t>杭州市</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1"/>
              <w:jc w:val="right"/>
              <w:rPr>
                <w:rFonts w:ascii="宋体" w:hAnsi="宋体" w:cs="宋体" w:eastAsia="宋体" w:hint="default"/>
                <w:sz w:val="18"/>
                <w:szCs w:val="18"/>
              </w:rPr>
            </w:pPr>
            <w:r>
              <w:rPr>
                <w:rFonts w:ascii="宋体" w:hAnsi="宋体" w:cs="宋体" w:eastAsia="宋体" w:hint="default"/>
                <w:sz w:val="18"/>
                <w:szCs w:val="18"/>
              </w:rPr>
              <w:t>零售</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70"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5"/>
              <w:ind w:left="306" w:right="0"/>
              <w:jc w:val="left"/>
              <w:rPr>
                <w:rFonts w:ascii="宋体" w:hAnsi="宋体" w:cs="宋体" w:eastAsia="宋体" w:hint="default"/>
                <w:sz w:val="18"/>
                <w:szCs w:val="18"/>
              </w:rPr>
            </w:pPr>
            <w:r>
              <w:rPr>
                <w:rFonts w:ascii="Arial" w:hAnsi="Arial" w:cs="Arial" w:eastAsia="Arial" w:hint="default"/>
                <w:sz w:val="18"/>
                <w:szCs w:val="18"/>
              </w:rPr>
              <w:t>34,426.34</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788" w:type="dxa"/>
            <w:tcBorders>
              <w:top w:val="nil" w:sz="6" w:space="0" w:color="auto"/>
              <w:left w:val="nil" w:sz="6" w:space="0" w:color="auto"/>
              <w:bottom w:val="nil" w:sz="6" w:space="0" w:color="auto"/>
              <w:right w:val="nil" w:sz="6" w:space="0" w:color="auto"/>
            </w:tcBorders>
          </w:tcPr>
          <w:p>
            <w:pPr>
              <w:pStyle w:val="TableParagraph"/>
              <w:spacing w:line="232" w:lineRule="exact" w:before="38"/>
              <w:ind w:left="106" w:right="201"/>
              <w:jc w:val="left"/>
              <w:rPr>
                <w:rFonts w:ascii="宋体" w:hAnsi="宋体" w:cs="宋体" w:eastAsia="宋体" w:hint="default"/>
                <w:sz w:val="18"/>
                <w:szCs w:val="18"/>
              </w:rPr>
            </w:pPr>
            <w:r>
              <w:rPr>
                <w:rFonts w:ascii="宋体" w:hAnsi="宋体" w:cs="宋体" w:eastAsia="宋体" w:hint="default"/>
                <w:spacing w:val="4"/>
                <w:sz w:val="18"/>
                <w:szCs w:val="18"/>
              </w:rPr>
              <w:t>电器和电子消费品</w:t>
            </w:r>
            <w:r>
              <w:rPr>
                <w:rFonts w:ascii="宋体" w:hAnsi="宋体" w:cs="宋体" w:eastAsia="宋体" w:hint="default"/>
                <w:sz w:val="18"/>
                <w:szCs w:val="18"/>
              </w:rPr>
              <w:t> 的连锁销售</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7"/>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6"/>
              <w:jc w:val="right"/>
              <w:rPr>
                <w:rFonts w:ascii="宋体" w:hAnsi="宋体" w:cs="宋体" w:eastAsia="宋体" w:hint="default"/>
                <w:sz w:val="18"/>
                <w:szCs w:val="18"/>
              </w:rPr>
            </w:pPr>
            <w:r>
              <w:rPr>
                <w:rFonts w:ascii="宋体" w:hAnsi="宋体" w:cs="宋体" w:eastAsia="宋体" w:hint="default"/>
                <w:sz w:val="18"/>
                <w:szCs w:val="18"/>
              </w:rPr>
              <w:t>卞农</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8"/>
              <w:jc w:val="right"/>
              <w:rPr>
                <w:rFonts w:ascii="Arial" w:hAnsi="Arial" w:cs="Arial" w:eastAsia="Arial" w:hint="default"/>
                <w:sz w:val="18"/>
                <w:szCs w:val="18"/>
              </w:rPr>
            </w:pPr>
            <w:r>
              <w:rPr>
                <w:rFonts w:ascii="Arial"/>
                <w:spacing w:val="-1"/>
                <w:sz w:val="18"/>
              </w:rPr>
              <w:t>70421064-7</w:t>
            </w:r>
          </w:p>
        </w:tc>
      </w:tr>
      <w:tr>
        <w:trPr>
          <w:trHeight w:val="598" w:hRule="exact"/>
        </w:trPr>
        <w:tc>
          <w:tcPr>
            <w:tcW w:w="69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78" w:lineRule="auto" w:before="13"/>
              <w:ind w:left="427" w:right="407" w:hanging="231"/>
              <w:jc w:val="left"/>
              <w:rPr>
                <w:rFonts w:ascii="宋体" w:hAnsi="宋体" w:cs="宋体" w:eastAsia="宋体" w:hint="default"/>
                <w:sz w:val="18"/>
                <w:szCs w:val="18"/>
              </w:rPr>
            </w:pPr>
            <w:r>
              <w:rPr>
                <w:rFonts w:ascii="宋体" w:hAnsi="宋体" w:cs="宋体" w:eastAsia="宋体" w:hint="default"/>
                <w:sz w:val="18"/>
                <w:szCs w:val="18"/>
              </w:rPr>
              <w:t>武汉苏宁电器 有限公司</w:t>
            </w:r>
          </w:p>
        </w:tc>
        <w:tc>
          <w:tcPr>
            <w:tcW w:w="1452" w:type="dxa"/>
            <w:tcBorders>
              <w:top w:val="nil" w:sz="6" w:space="0" w:color="auto"/>
              <w:left w:val="nil" w:sz="6" w:space="0" w:color="auto"/>
              <w:bottom w:val="nil" w:sz="6" w:space="0" w:color="auto"/>
              <w:right w:val="nil" w:sz="6" w:space="0" w:color="auto"/>
            </w:tcBorders>
          </w:tcPr>
          <w:p>
            <w:pPr>
              <w:pStyle w:val="TableParagraph"/>
              <w:spacing w:line="278" w:lineRule="auto" w:before="13"/>
              <w:ind w:left="46" w:right="503"/>
              <w:jc w:val="left"/>
              <w:rPr>
                <w:rFonts w:ascii="宋体" w:hAnsi="宋体" w:cs="宋体" w:eastAsia="宋体" w:hint="default"/>
                <w:sz w:val="18"/>
                <w:szCs w:val="18"/>
              </w:rPr>
            </w:pPr>
            <w:r>
              <w:rPr>
                <w:rFonts w:ascii="宋体" w:hAnsi="宋体" w:cs="宋体" w:eastAsia="宋体" w:hint="default"/>
                <w:sz w:val="18"/>
                <w:szCs w:val="18"/>
              </w:rPr>
              <w:t>直接控股 及间接控股</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8"/>
              <w:jc w:val="right"/>
              <w:rPr>
                <w:rFonts w:ascii="宋体" w:hAnsi="宋体" w:cs="宋体" w:eastAsia="宋体" w:hint="default"/>
                <w:sz w:val="18"/>
                <w:szCs w:val="18"/>
              </w:rPr>
            </w:pPr>
            <w:r>
              <w:rPr>
                <w:rFonts w:ascii="宋体" w:hAnsi="宋体" w:cs="宋体" w:eastAsia="宋体" w:hint="default"/>
                <w:sz w:val="18"/>
                <w:szCs w:val="18"/>
              </w:rPr>
              <w:t>武汉市</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1"/>
              <w:jc w:val="right"/>
              <w:rPr>
                <w:rFonts w:ascii="宋体" w:hAnsi="宋体" w:cs="宋体" w:eastAsia="宋体" w:hint="default"/>
                <w:sz w:val="18"/>
                <w:szCs w:val="18"/>
              </w:rPr>
            </w:pPr>
            <w:r>
              <w:rPr>
                <w:rFonts w:ascii="宋体" w:hAnsi="宋体" w:cs="宋体" w:eastAsia="宋体" w:hint="default"/>
                <w:sz w:val="18"/>
                <w:szCs w:val="18"/>
              </w:rPr>
              <w:t>零售</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70"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306" w:right="0"/>
              <w:jc w:val="left"/>
              <w:rPr>
                <w:rFonts w:ascii="宋体" w:hAnsi="宋体" w:cs="宋体" w:eastAsia="宋体" w:hint="default"/>
                <w:sz w:val="18"/>
                <w:szCs w:val="18"/>
              </w:rPr>
            </w:pPr>
            <w:r>
              <w:rPr>
                <w:rFonts w:ascii="Arial" w:hAnsi="Arial" w:cs="Arial" w:eastAsia="Arial" w:hint="default"/>
                <w:sz w:val="18"/>
                <w:szCs w:val="18"/>
              </w:rPr>
              <w:t>38,206.00</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788" w:type="dxa"/>
            <w:tcBorders>
              <w:top w:val="nil" w:sz="6" w:space="0" w:color="auto"/>
              <w:left w:val="nil" w:sz="6" w:space="0" w:color="auto"/>
              <w:bottom w:val="nil" w:sz="6" w:space="0" w:color="auto"/>
              <w:right w:val="nil" w:sz="6" w:space="0" w:color="auto"/>
            </w:tcBorders>
          </w:tcPr>
          <w:p>
            <w:pPr>
              <w:pStyle w:val="TableParagraph"/>
              <w:spacing w:line="232" w:lineRule="exact" w:before="38"/>
              <w:ind w:left="106" w:right="201"/>
              <w:jc w:val="left"/>
              <w:rPr>
                <w:rFonts w:ascii="宋体" w:hAnsi="宋体" w:cs="宋体" w:eastAsia="宋体" w:hint="default"/>
                <w:sz w:val="18"/>
                <w:szCs w:val="18"/>
              </w:rPr>
            </w:pPr>
            <w:r>
              <w:rPr>
                <w:rFonts w:ascii="宋体" w:hAnsi="宋体" w:cs="宋体" w:eastAsia="宋体" w:hint="default"/>
                <w:spacing w:val="4"/>
                <w:sz w:val="18"/>
                <w:szCs w:val="18"/>
              </w:rPr>
              <w:t>电器和电子消费品</w:t>
            </w:r>
            <w:r>
              <w:rPr>
                <w:rFonts w:ascii="宋体" w:hAnsi="宋体" w:cs="宋体" w:eastAsia="宋体" w:hint="default"/>
                <w:sz w:val="18"/>
                <w:szCs w:val="18"/>
              </w:rPr>
              <w:t> 的连锁销售</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7"/>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6"/>
              <w:jc w:val="right"/>
              <w:rPr>
                <w:rFonts w:ascii="宋体" w:hAnsi="宋体" w:cs="宋体" w:eastAsia="宋体" w:hint="default"/>
                <w:sz w:val="18"/>
                <w:szCs w:val="18"/>
              </w:rPr>
            </w:pPr>
            <w:r>
              <w:rPr>
                <w:rFonts w:ascii="宋体" w:hAnsi="宋体" w:cs="宋体" w:eastAsia="宋体" w:hint="default"/>
                <w:sz w:val="18"/>
                <w:szCs w:val="18"/>
              </w:rPr>
              <w:t>赵蓓</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8"/>
              <w:jc w:val="right"/>
              <w:rPr>
                <w:rFonts w:ascii="Arial" w:hAnsi="Arial" w:cs="Arial" w:eastAsia="Arial" w:hint="default"/>
                <w:sz w:val="18"/>
                <w:szCs w:val="18"/>
              </w:rPr>
            </w:pPr>
            <w:r>
              <w:rPr>
                <w:rFonts w:ascii="Arial"/>
                <w:spacing w:val="-1"/>
                <w:sz w:val="18"/>
              </w:rPr>
              <w:t>77455948-1</w:t>
            </w:r>
          </w:p>
        </w:tc>
      </w:tr>
      <w:tr>
        <w:trPr>
          <w:trHeight w:val="598" w:hRule="exact"/>
        </w:trPr>
        <w:tc>
          <w:tcPr>
            <w:tcW w:w="69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78" w:lineRule="auto" w:before="13"/>
              <w:ind w:left="391" w:right="407" w:hanging="195"/>
              <w:jc w:val="left"/>
              <w:rPr>
                <w:rFonts w:ascii="宋体" w:hAnsi="宋体" w:cs="宋体" w:eastAsia="宋体" w:hint="default"/>
                <w:sz w:val="18"/>
                <w:szCs w:val="18"/>
              </w:rPr>
            </w:pPr>
            <w:r>
              <w:rPr>
                <w:rFonts w:ascii="宋体" w:hAnsi="宋体" w:cs="宋体" w:eastAsia="宋体" w:hint="default"/>
                <w:sz w:val="18"/>
                <w:szCs w:val="18"/>
              </w:rPr>
              <w:t>沈阳苏宁电器 有限公司</w:t>
            </w:r>
          </w:p>
        </w:tc>
        <w:tc>
          <w:tcPr>
            <w:tcW w:w="1452" w:type="dxa"/>
            <w:tcBorders>
              <w:top w:val="nil" w:sz="6" w:space="0" w:color="auto"/>
              <w:left w:val="nil" w:sz="6" w:space="0" w:color="auto"/>
              <w:bottom w:val="nil" w:sz="6" w:space="0" w:color="auto"/>
              <w:right w:val="nil" w:sz="6" w:space="0" w:color="auto"/>
            </w:tcBorders>
          </w:tcPr>
          <w:p>
            <w:pPr>
              <w:pStyle w:val="TableParagraph"/>
              <w:spacing w:line="278" w:lineRule="auto" w:before="13"/>
              <w:ind w:left="46" w:right="503"/>
              <w:jc w:val="left"/>
              <w:rPr>
                <w:rFonts w:ascii="宋体" w:hAnsi="宋体" w:cs="宋体" w:eastAsia="宋体" w:hint="default"/>
                <w:sz w:val="18"/>
                <w:szCs w:val="18"/>
              </w:rPr>
            </w:pPr>
            <w:r>
              <w:rPr>
                <w:rFonts w:ascii="宋体" w:hAnsi="宋体" w:cs="宋体" w:eastAsia="宋体" w:hint="default"/>
                <w:sz w:val="18"/>
                <w:szCs w:val="18"/>
              </w:rPr>
              <w:t>直接控股 及间接控股</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8"/>
              <w:jc w:val="right"/>
              <w:rPr>
                <w:rFonts w:ascii="宋体" w:hAnsi="宋体" w:cs="宋体" w:eastAsia="宋体" w:hint="default"/>
                <w:sz w:val="18"/>
                <w:szCs w:val="18"/>
              </w:rPr>
            </w:pPr>
            <w:r>
              <w:rPr>
                <w:rFonts w:ascii="宋体" w:hAnsi="宋体" w:cs="宋体" w:eastAsia="宋体" w:hint="default"/>
                <w:sz w:val="18"/>
                <w:szCs w:val="18"/>
              </w:rPr>
              <w:t>沈阳市</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1"/>
              <w:jc w:val="right"/>
              <w:rPr>
                <w:rFonts w:ascii="宋体" w:hAnsi="宋体" w:cs="宋体" w:eastAsia="宋体" w:hint="default"/>
                <w:sz w:val="18"/>
                <w:szCs w:val="18"/>
              </w:rPr>
            </w:pPr>
            <w:r>
              <w:rPr>
                <w:rFonts w:ascii="宋体" w:hAnsi="宋体" w:cs="宋体" w:eastAsia="宋体" w:hint="default"/>
                <w:sz w:val="18"/>
                <w:szCs w:val="18"/>
              </w:rPr>
              <w:t>零售</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70"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306" w:right="0"/>
              <w:jc w:val="left"/>
              <w:rPr>
                <w:rFonts w:ascii="宋体" w:hAnsi="宋体" w:cs="宋体" w:eastAsia="宋体" w:hint="default"/>
                <w:sz w:val="18"/>
                <w:szCs w:val="18"/>
              </w:rPr>
            </w:pPr>
            <w:r>
              <w:rPr>
                <w:rFonts w:ascii="Arial" w:hAnsi="Arial" w:cs="Arial" w:eastAsia="Arial" w:hint="default"/>
                <w:sz w:val="18"/>
                <w:szCs w:val="18"/>
              </w:rPr>
              <w:t>35,337.30</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788" w:type="dxa"/>
            <w:tcBorders>
              <w:top w:val="nil" w:sz="6" w:space="0" w:color="auto"/>
              <w:left w:val="nil" w:sz="6" w:space="0" w:color="auto"/>
              <w:bottom w:val="nil" w:sz="6" w:space="0" w:color="auto"/>
              <w:right w:val="nil" w:sz="6" w:space="0" w:color="auto"/>
            </w:tcBorders>
          </w:tcPr>
          <w:p>
            <w:pPr>
              <w:pStyle w:val="TableParagraph"/>
              <w:spacing w:line="232" w:lineRule="exact" w:before="38"/>
              <w:ind w:left="106" w:right="201"/>
              <w:jc w:val="left"/>
              <w:rPr>
                <w:rFonts w:ascii="宋体" w:hAnsi="宋体" w:cs="宋体" w:eastAsia="宋体" w:hint="default"/>
                <w:sz w:val="18"/>
                <w:szCs w:val="18"/>
              </w:rPr>
            </w:pPr>
            <w:r>
              <w:rPr>
                <w:rFonts w:ascii="宋体" w:hAnsi="宋体" w:cs="宋体" w:eastAsia="宋体" w:hint="default"/>
                <w:spacing w:val="4"/>
                <w:sz w:val="18"/>
                <w:szCs w:val="18"/>
              </w:rPr>
              <w:t>电器和电子消费品</w:t>
            </w:r>
            <w:r>
              <w:rPr>
                <w:rFonts w:ascii="宋体" w:hAnsi="宋体" w:cs="宋体" w:eastAsia="宋体" w:hint="default"/>
                <w:sz w:val="18"/>
                <w:szCs w:val="18"/>
              </w:rPr>
              <w:t> 的连锁销售</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7"/>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6"/>
              <w:jc w:val="right"/>
              <w:rPr>
                <w:rFonts w:ascii="宋体" w:hAnsi="宋体" w:cs="宋体" w:eastAsia="宋体" w:hint="default"/>
                <w:sz w:val="18"/>
                <w:szCs w:val="18"/>
              </w:rPr>
            </w:pPr>
            <w:r>
              <w:rPr>
                <w:rFonts w:ascii="宋体" w:hAnsi="宋体" w:cs="宋体" w:eastAsia="宋体" w:hint="default"/>
                <w:sz w:val="18"/>
                <w:szCs w:val="18"/>
              </w:rPr>
              <w:t>范志军</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8"/>
              <w:jc w:val="right"/>
              <w:rPr>
                <w:rFonts w:ascii="Arial" w:hAnsi="Arial" w:cs="Arial" w:eastAsia="Arial" w:hint="default"/>
                <w:sz w:val="18"/>
                <w:szCs w:val="18"/>
              </w:rPr>
            </w:pPr>
            <w:r>
              <w:rPr>
                <w:rFonts w:ascii="Arial"/>
                <w:spacing w:val="-1"/>
                <w:sz w:val="18"/>
              </w:rPr>
              <w:t>75078305-9</w:t>
            </w:r>
          </w:p>
        </w:tc>
      </w:tr>
      <w:tr>
        <w:trPr>
          <w:trHeight w:val="595" w:hRule="exact"/>
        </w:trPr>
        <w:tc>
          <w:tcPr>
            <w:tcW w:w="69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76" w:lineRule="auto" w:before="13"/>
              <w:ind w:left="408" w:right="197" w:hanging="212"/>
              <w:jc w:val="left"/>
              <w:rPr>
                <w:rFonts w:ascii="宋体" w:hAnsi="宋体" w:cs="宋体" w:eastAsia="宋体" w:hint="default"/>
                <w:sz w:val="18"/>
                <w:szCs w:val="18"/>
              </w:rPr>
            </w:pPr>
            <w:r>
              <w:rPr>
                <w:rFonts w:ascii="宋体" w:hAnsi="宋体" w:cs="宋体" w:eastAsia="宋体" w:hint="default"/>
                <w:sz w:val="18"/>
                <w:szCs w:val="18"/>
              </w:rPr>
              <w:t>上海长宁苏宁 电器有限公司</w:t>
            </w:r>
          </w:p>
        </w:tc>
        <w:tc>
          <w:tcPr>
            <w:tcW w:w="1452" w:type="dxa"/>
            <w:tcBorders>
              <w:top w:val="nil" w:sz="6" w:space="0" w:color="auto"/>
              <w:left w:val="nil" w:sz="6" w:space="0" w:color="auto"/>
              <w:bottom w:val="nil" w:sz="6" w:space="0" w:color="auto"/>
              <w:right w:val="nil" w:sz="6" w:space="0" w:color="auto"/>
            </w:tcBorders>
          </w:tcPr>
          <w:p>
            <w:pPr>
              <w:pStyle w:val="TableParagraph"/>
              <w:spacing w:line="276" w:lineRule="auto" w:before="13"/>
              <w:ind w:left="46" w:right="503"/>
              <w:jc w:val="left"/>
              <w:rPr>
                <w:rFonts w:ascii="宋体" w:hAnsi="宋体" w:cs="宋体" w:eastAsia="宋体" w:hint="default"/>
                <w:sz w:val="18"/>
                <w:szCs w:val="18"/>
              </w:rPr>
            </w:pPr>
            <w:r>
              <w:rPr>
                <w:rFonts w:ascii="宋体" w:hAnsi="宋体" w:cs="宋体" w:eastAsia="宋体" w:hint="default"/>
                <w:sz w:val="18"/>
                <w:szCs w:val="18"/>
              </w:rPr>
              <w:t>直接控股 及间接控股</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8"/>
              <w:jc w:val="right"/>
              <w:rPr>
                <w:rFonts w:ascii="宋体" w:hAnsi="宋体" w:cs="宋体" w:eastAsia="宋体" w:hint="default"/>
                <w:sz w:val="18"/>
                <w:szCs w:val="18"/>
              </w:rPr>
            </w:pPr>
            <w:r>
              <w:rPr>
                <w:rFonts w:ascii="宋体" w:hAnsi="宋体" w:cs="宋体" w:eastAsia="宋体" w:hint="default"/>
                <w:sz w:val="18"/>
                <w:szCs w:val="18"/>
              </w:rPr>
              <w:t>上海市</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1"/>
              <w:jc w:val="right"/>
              <w:rPr>
                <w:rFonts w:ascii="宋体" w:hAnsi="宋体" w:cs="宋体" w:eastAsia="宋体" w:hint="default"/>
                <w:sz w:val="18"/>
                <w:szCs w:val="18"/>
              </w:rPr>
            </w:pPr>
            <w:r>
              <w:rPr>
                <w:rFonts w:ascii="宋体" w:hAnsi="宋体" w:cs="宋体" w:eastAsia="宋体" w:hint="default"/>
                <w:sz w:val="18"/>
                <w:szCs w:val="18"/>
              </w:rPr>
              <w:t>零售</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70"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5"/>
              <w:ind w:left="306" w:right="0"/>
              <w:jc w:val="left"/>
              <w:rPr>
                <w:rFonts w:ascii="宋体" w:hAnsi="宋体" w:cs="宋体" w:eastAsia="宋体" w:hint="default"/>
                <w:sz w:val="18"/>
                <w:szCs w:val="18"/>
              </w:rPr>
            </w:pPr>
            <w:r>
              <w:rPr>
                <w:rFonts w:ascii="Arial" w:hAnsi="Arial" w:cs="Arial" w:eastAsia="Arial" w:hint="default"/>
                <w:sz w:val="18"/>
                <w:szCs w:val="18"/>
              </w:rPr>
              <w:t>55,818.60</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788" w:type="dxa"/>
            <w:tcBorders>
              <w:top w:val="nil" w:sz="6" w:space="0" w:color="auto"/>
              <w:left w:val="nil" w:sz="6" w:space="0" w:color="auto"/>
              <w:bottom w:val="nil" w:sz="6" w:space="0" w:color="auto"/>
              <w:right w:val="nil" w:sz="6" w:space="0" w:color="auto"/>
            </w:tcBorders>
          </w:tcPr>
          <w:p>
            <w:pPr>
              <w:pStyle w:val="TableParagraph"/>
              <w:spacing w:line="232" w:lineRule="exact" w:before="38"/>
              <w:ind w:left="106" w:right="201"/>
              <w:jc w:val="left"/>
              <w:rPr>
                <w:rFonts w:ascii="宋体" w:hAnsi="宋体" w:cs="宋体" w:eastAsia="宋体" w:hint="default"/>
                <w:sz w:val="18"/>
                <w:szCs w:val="18"/>
              </w:rPr>
            </w:pPr>
            <w:r>
              <w:rPr>
                <w:rFonts w:ascii="宋体" w:hAnsi="宋体" w:cs="宋体" w:eastAsia="宋体" w:hint="default"/>
                <w:spacing w:val="4"/>
                <w:sz w:val="18"/>
                <w:szCs w:val="18"/>
              </w:rPr>
              <w:t>电器和电子消费品</w:t>
            </w:r>
            <w:r>
              <w:rPr>
                <w:rFonts w:ascii="宋体" w:hAnsi="宋体" w:cs="宋体" w:eastAsia="宋体" w:hint="default"/>
                <w:sz w:val="18"/>
                <w:szCs w:val="18"/>
              </w:rPr>
              <w:t> 的连锁销售</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7"/>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6"/>
              <w:jc w:val="right"/>
              <w:rPr>
                <w:rFonts w:ascii="宋体" w:hAnsi="宋体" w:cs="宋体" w:eastAsia="宋体" w:hint="default"/>
                <w:sz w:val="18"/>
                <w:szCs w:val="18"/>
              </w:rPr>
            </w:pPr>
            <w:r>
              <w:rPr>
                <w:rFonts w:ascii="宋体" w:hAnsi="宋体" w:cs="宋体" w:eastAsia="宋体" w:hint="default"/>
                <w:sz w:val="18"/>
                <w:szCs w:val="18"/>
              </w:rPr>
              <w:t>蒋勇</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8"/>
              <w:jc w:val="right"/>
              <w:rPr>
                <w:rFonts w:ascii="Arial" w:hAnsi="Arial" w:cs="Arial" w:eastAsia="Arial" w:hint="default"/>
                <w:sz w:val="18"/>
                <w:szCs w:val="18"/>
              </w:rPr>
            </w:pPr>
            <w:r>
              <w:rPr>
                <w:rFonts w:ascii="Arial"/>
                <w:spacing w:val="-1"/>
                <w:sz w:val="18"/>
              </w:rPr>
              <w:t>79702660-2</w:t>
            </w:r>
          </w:p>
        </w:tc>
      </w:tr>
      <w:tr>
        <w:trPr>
          <w:trHeight w:val="598" w:hRule="exact"/>
        </w:trPr>
        <w:tc>
          <w:tcPr>
            <w:tcW w:w="69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78" w:lineRule="auto" w:before="14"/>
              <w:ind w:left="382" w:right="407" w:hanging="185"/>
              <w:jc w:val="left"/>
              <w:rPr>
                <w:rFonts w:ascii="宋体" w:hAnsi="宋体" w:cs="宋体" w:eastAsia="宋体" w:hint="default"/>
                <w:sz w:val="18"/>
                <w:szCs w:val="18"/>
              </w:rPr>
            </w:pPr>
            <w:r>
              <w:rPr>
                <w:rFonts w:ascii="宋体" w:hAnsi="宋体" w:cs="宋体" w:eastAsia="宋体" w:hint="default"/>
                <w:sz w:val="18"/>
                <w:szCs w:val="18"/>
              </w:rPr>
              <w:t>福建苏宁电器 有限公司</w:t>
            </w:r>
          </w:p>
        </w:tc>
        <w:tc>
          <w:tcPr>
            <w:tcW w:w="1452" w:type="dxa"/>
            <w:tcBorders>
              <w:top w:val="nil" w:sz="6" w:space="0" w:color="auto"/>
              <w:left w:val="nil" w:sz="6" w:space="0" w:color="auto"/>
              <w:bottom w:val="nil" w:sz="6" w:space="0" w:color="auto"/>
              <w:right w:val="nil" w:sz="6" w:space="0" w:color="auto"/>
            </w:tcBorders>
          </w:tcPr>
          <w:p>
            <w:pPr>
              <w:pStyle w:val="TableParagraph"/>
              <w:spacing w:line="278" w:lineRule="auto" w:before="14"/>
              <w:ind w:left="46" w:right="503"/>
              <w:jc w:val="left"/>
              <w:rPr>
                <w:rFonts w:ascii="宋体" w:hAnsi="宋体" w:cs="宋体" w:eastAsia="宋体" w:hint="default"/>
                <w:sz w:val="18"/>
                <w:szCs w:val="18"/>
              </w:rPr>
            </w:pPr>
            <w:r>
              <w:rPr>
                <w:rFonts w:ascii="宋体" w:hAnsi="宋体" w:cs="宋体" w:eastAsia="宋体" w:hint="default"/>
                <w:sz w:val="18"/>
                <w:szCs w:val="18"/>
              </w:rPr>
              <w:t>直接控股 及间接控股</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8"/>
              <w:jc w:val="right"/>
              <w:rPr>
                <w:rFonts w:ascii="宋体" w:hAnsi="宋体" w:cs="宋体" w:eastAsia="宋体" w:hint="default"/>
                <w:sz w:val="18"/>
                <w:szCs w:val="18"/>
              </w:rPr>
            </w:pPr>
            <w:r>
              <w:rPr>
                <w:rFonts w:ascii="宋体" w:hAnsi="宋体" w:cs="宋体" w:eastAsia="宋体" w:hint="default"/>
                <w:sz w:val="18"/>
                <w:szCs w:val="18"/>
              </w:rPr>
              <w:t>福州市</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01"/>
              <w:jc w:val="right"/>
              <w:rPr>
                <w:rFonts w:ascii="宋体" w:hAnsi="宋体" w:cs="宋体" w:eastAsia="宋体" w:hint="default"/>
                <w:sz w:val="18"/>
                <w:szCs w:val="18"/>
              </w:rPr>
            </w:pPr>
            <w:r>
              <w:rPr>
                <w:rFonts w:ascii="宋体" w:hAnsi="宋体" w:cs="宋体" w:eastAsia="宋体" w:hint="default"/>
                <w:sz w:val="18"/>
                <w:szCs w:val="18"/>
              </w:rPr>
              <w:t>零售</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70"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306" w:right="0"/>
              <w:jc w:val="left"/>
              <w:rPr>
                <w:rFonts w:ascii="宋体" w:hAnsi="宋体" w:cs="宋体" w:eastAsia="宋体" w:hint="default"/>
                <w:sz w:val="18"/>
                <w:szCs w:val="18"/>
              </w:rPr>
            </w:pPr>
            <w:r>
              <w:rPr>
                <w:rFonts w:ascii="Arial" w:hAnsi="Arial" w:cs="Arial" w:eastAsia="Arial" w:hint="default"/>
                <w:sz w:val="18"/>
                <w:szCs w:val="18"/>
              </w:rPr>
              <w:t>44,366.37</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788" w:type="dxa"/>
            <w:tcBorders>
              <w:top w:val="nil" w:sz="6" w:space="0" w:color="auto"/>
              <w:left w:val="nil" w:sz="6" w:space="0" w:color="auto"/>
              <w:bottom w:val="nil" w:sz="6" w:space="0" w:color="auto"/>
              <w:right w:val="nil" w:sz="6" w:space="0" w:color="auto"/>
            </w:tcBorders>
          </w:tcPr>
          <w:p>
            <w:pPr>
              <w:pStyle w:val="TableParagraph"/>
              <w:spacing w:line="232" w:lineRule="exact" w:before="38"/>
              <w:ind w:left="106" w:right="201"/>
              <w:jc w:val="left"/>
              <w:rPr>
                <w:rFonts w:ascii="宋体" w:hAnsi="宋体" w:cs="宋体" w:eastAsia="宋体" w:hint="default"/>
                <w:sz w:val="18"/>
                <w:szCs w:val="18"/>
              </w:rPr>
            </w:pPr>
            <w:r>
              <w:rPr>
                <w:rFonts w:ascii="宋体" w:hAnsi="宋体" w:cs="宋体" w:eastAsia="宋体" w:hint="default"/>
                <w:spacing w:val="4"/>
                <w:sz w:val="18"/>
                <w:szCs w:val="18"/>
              </w:rPr>
              <w:t>电器和电子消费品</w:t>
            </w:r>
            <w:r>
              <w:rPr>
                <w:rFonts w:ascii="宋体" w:hAnsi="宋体" w:cs="宋体" w:eastAsia="宋体" w:hint="default"/>
                <w:sz w:val="18"/>
                <w:szCs w:val="18"/>
              </w:rPr>
              <w:t> 的连锁销售</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7"/>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6"/>
              <w:jc w:val="right"/>
              <w:rPr>
                <w:rFonts w:ascii="宋体" w:hAnsi="宋体" w:cs="宋体" w:eastAsia="宋体" w:hint="default"/>
                <w:sz w:val="18"/>
                <w:szCs w:val="18"/>
              </w:rPr>
            </w:pPr>
            <w:r>
              <w:rPr>
                <w:rFonts w:ascii="宋体" w:hAnsi="宋体" w:cs="宋体" w:eastAsia="宋体" w:hint="default"/>
                <w:sz w:val="18"/>
                <w:szCs w:val="18"/>
              </w:rPr>
              <w:t>陈金凤</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8"/>
              <w:jc w:val="right"/>
              <w:rPr>
                <w:rFonts w:ascii="Arial" w:hAnsi="Arial" w:cs="Arial" w:eastAsia="Arial" w:hint="default"/>
                <w:sz w:val="18"/>
                <w:szCs w:val="18"/>
              </w:rPr>
            </w:pPr>
            <w:r>
              <w:rPr>
                <w:rFonts w:ascii="Arial"/>
                <w:spacing w:val="-1"/>
                <w:sz w:val="18"/>
              </w:rPr>
              <w:t>76178508-4</w:t>
            </w:r>
          </w:p>
        </w:tc>
      </w:tr>
      <w:tr>
        <w:trPr>
          <w:trHeight w:val="598" w:hRule="exact"/>
        </w:trPr>
        <w:tc>
          <w:tcPr>
            <w:tcW w:w="69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97" w:right="0"/>
              <w:jc w:val="left"/>
              <w:rPr>
                <w:rFonts w:ascii="宋体" w:hAnsi="宋体" w:cs="宋体" w:eastAsia="宋体" w:hint="default"/>
                <w:sz w:val="18"/>
                <w:szCs w:val="18"/>
              </w:rPr>
            </w:pPr>
            <w:r>
              <w:rPr>
                <w:rFonts w:ascii="宋体" w:hAnsi="宋体" w:cs="宋体" w:eastAsia="宋体" w:hint="default"/>
                <w:sz w:val="18"/>
                <w:szCs w:val="18"/>
              </w:rPr>
              <w:t>厦门福厦苏宁</w:t>
            </w:r>
          </w:p>
          <w:p>
            <w:pPr>
              <w:pStyle w:val="TableParagraph"/>
              <w:spacing w:line="240" w:lineRule="auto" w:before="38"/>
              <w:ind w:left="559" w:right="0"/>
              <w:jc w:val="left"/>
              <w:rPr>
                <w:rFonts w:ascii="宋体" w:hAnsi="宋体" w:cs="宋体" w:eastAsia="宋体" w:hint="default"/>
                <w:sz w:val="18"/>
                <w:szCs w:val="18"/>
              </w:rPr>
            </w:pPr>
            <w:r>
              <w:rPr>
                <w:rFonts w:ascii="宋体" w:hAnsi="宋体" w:cs="宋体" w:eastAsia="宋体" w:hint="default"/>
                <w:sz w:val="18"/>
                <w:szCs w:val="18"/>
              </w:rPr>
              <w:t>电器有限公司</w:t>
            </w:r>
          </w:p>
        </w:tc>
        <w:tc>
          <w:tcPr>
            <w:tcW w:w="1452" w:type="dxa"/>
            <w:tcBorders>
              <w:top w:val="nil" w:sz="6" w:space="0" w:color="auto"/>
              <w:left w:val="nil" w:sz="6" w:space="0" w:color="auto"/>
              <w:bottom w:val="nil" w:sz="6" w:space="0" w:color="auto"/>
              <w:right w:val="nil" w:sz="6" w:space="0" w:color="auto"/>
            </w:tcBorders>
          </w:tcPr>
          <w:p>
            <w:pPr>
              <w:pStyle w:val="TableParagraph"/>
              <w:spacing w:line="278" w:lineRule="auto" w:before="13"/>
              <w:ind w:left="46" w:right="503"/>
              <w:jc w:val="left"/>
              <w:rPr>
                <w:rFonts w:ascii="宋体" w:hAnsi="宋体" w:cs="宋体" w:eastAsia="宋体" w:hint="default"/>
                <w:sz w:val="18"/>
                <w:szCs w:val="18"/>
              </w:rPr>
            </w:pPr>
            <w:r>
              <w:rPr>
                <w:rFonts w:ascii="宋体" w:hAnsi="宋体" w:cs="宋体" w:eastAsia="宋体" w:hint="default"/>
                <w:sz w:val="18"/>
                <w:szCs w:val="18"/>
              </w:rPr>
              <w:t>直接控股 及间接控股</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8"/>
              <w:jc w:val="right"/>
              <w:rPr>
                <w:rFonts w:ascii="宋体" w:hAnsi="宋体" w:cs="宋体" w:eastAsia="宋体" w:hint="default"/>
                <w:sz w:val="18"/>
                <w:szCs w:val="18"/>
              </w:rPr>
            </w:pPr>
            <w:r>
              <w:rPr>
                <w:rFonts w:ascii="宋体" w:hAnsi="宋体" w:cs="宋体" w:eastAsia="宋体" w:hint="default"/>
                <w:sz w:val="18"/>
                <w:szCs w:val="18"/>
              </w:rPr>
              <w:t>厦门市</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1"/>
              <w:jc w:val="right"/>
              <w:rPr>
                <w:rFonts w:ascii="宋体" w:hAnsi="宋体" w:cs="宋体" w:eastAsia="宋体" w:hint="default"/>
                <w:sz w:val="18"/>
                <w:szCs w:val="18"/>
              </w:rPr>
            </w:pPr>
            <w:r>
              <w:rPr>
                <w:rFonts w:ascii="宋体" w:hAnsi="宋体" w:cs="宋体" w:eastAsia="宋体" w:hint="default"/>
                <w:sz w:val="18"/>
                <w:szCs w:val="18"/>
              </w:rPr>
              <w:t>零售</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70"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306" w:right="0"/>
              <w:jc w:val="left"/>
              <w:rPr>
                <w:rFonts w:ascii="宋体" w:hAnsi="宋体" w:cs="宋体" w:eastAsia="宋体" w:hint="default"/>
                <w:sz w:val="18"/>
                <w:szCs w:val="18"/>
              </w:rPr>
            </w:pPr>
            <w:r>
              <w:rPr>
                <w:rFonts w:ascii="Arial" w:hAnsi="Arial" w:cs="Arial" w:eastAsia="Arial" w:hint="default"/>
                <w:sz w:val="18"/>
                <w:szCs w:val="18"/>
              </w:rPr>
              <w:t>32,855.86</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788" w:type="dxa"/>
            <w:tcBorders>
              <w:top w:val="nil" w:sz="6" w:space="0" w:color="auto"/>
              <w:left w:val="nil" w:sz="6" w:space="0" w:color="auto"/>
              <w:bottom w:val="nil" w:sz="6" w:space="0" w:color="auto"/>
              <w:right w:val="nil" w:sz="6" w:space="0" w:color="auto"/>
            </w:tcBorders>
          </w:tcPr>
          <w:p>
            <w:pPr>
              <w:pStyle w:val="TableParagraph"/>
              <w:spacing w:line="232" w:lineRule="exact" w:before="38"/>
              <w:ind w:left="106" w:right="201"/>
              <w:jc w:val="left"/>
              <w:rPr>
                <w:rFonts w:ascii="宋体" w:hAnsi="宋体" w:cs="宋体" w:eastAsia="宋体" w:hint="default"/>
                <w:sz w:val="18"/>
                <w:szCs w:val="18"/>
              </w:rPr>
            </w:pPr>
            <w:r>
              <w:rPr>
                <w:rFonts w:ascii="宋体" w:hAnsi="宋体" w:cs="宋体" w:eastAsia="宋体" w:hint="default"/>
                <w:spacing w:val="4"/>
                <w:sz w:val="18"/>
                <w:szCs w:val="18"/>
              </w:rPr>
              <w:t>电器和电子消费品</w:t>
            </w:r>
            <w:r>
              <w:rPr>
                <w:rFonts w:ascii="宋体" w:hAnsi="宋体" w:cs="宋体" w:eastAsia="宋体" w:hint="default"/>
                <w:sz w:val="18"/>
                <w:szCs w:val="18"/>
              </w:rPr>
              <w:t> 的连锁销售</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7"/>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6"/>
              <w:jc w:val="right"/>
              <w:rPr>
                <w:rFonts w:ascii="宋体" w:hAnsi="宋体" w:cs="宋体" w:eastAsia="宋体" w:hint="default"/>
                <w:sz w:val="18"/>
                <w:szCs w:val="18"/>
              </w:rPr>
            </w:pPr>
            <w:r>
              <w:rPr>
                <w:rFonts w:ascii="宋体" w:hAnsi="宋体" w:cs="宋体" w:eastAsia="宋体" w:hint="default"/>
                <w:sz w:val="18"/>
                <w:szCs w:val="18"/>
              </w:rPr>
              <w:t>蒋勇</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8"/>
              <w:jc w:val="right"/>
              <w:rPr>
                <w:rFonts w:ascii="Arial" w:hAnsi="Arial" w:cs="Arial" w:eastAsia="Arial" w:hint="default"/>
                <w:sz w:val="18"/>
                <w:szCs w:val="18"/>
              </w:rPr>
            </w:pPr>
            <w:r>
              <w:rPr>
                <w:rFonts w:ascii="Arial"/>
                <w:spacing w:val="-1"/>
                <w:sz w:val="18"/>
              </w:rPr>
              <w:t>76927900-4</w:t>
            </w:r>
          </w:p>
        </w:tc>
      </w:tr>
      <w:tr>
        <w:trPr>
          <w:trHeight w:val="529" w:hRule="exact"/>
        </w:trPr>
        <w:tc>
          <w:tcPr>
            <w:tcW w:w="69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76" w:lineRule="auto" w:before="13"/>
              <w:ind w:left="502" w:right="407" w:hanging="305"/>
              <w:jc w:val="left"/>
              <w:rPr>
                <w:rFonts w:ascii="宋体" w:hAnsi="宋体" w:cs="宋体" w:eastAsia="宋体" w:hint="default"/>
                <w:sz w:val="18"/>
                <w:szCs w:val="18"/>
              </w:rPr>
            </w:pPr>
            <w:r>
              <w:rPr>
                <w:rFonts w:ascii="宋体" w:hAnsi="宋体" w:cs="宋体" w:eastAsia="宋体" w:hint="default"/>
                <w:sz w:val="18"/>
                <w:szCs w:val="18"/>
              </w:rPr>
              <w:t>杭州苏宁电器 有限公司</w:t>
            </w:r>
          </w:p>
        </w:tc>
        <w:tc>
          <w:tcPr>
            <w:tcW w:w="1452" w:type="dxa"/>
            <w:tcBorders>
              <w:top w:val="nil" w:sz="6" w:space="0" w:color="auto"/>
              <w:left w:val="nil" w:sz="6" w:space="0" w:color="auto"/>
              <w:bottom w:val="nil" w:sz="6" w:space="0" w:color="auto"/>
              <w:right w:val="nil" w:sz="6" w:space="0" w:color="auto"/>
            </w:tcBorders>
          </w:tcPr>
          <w:p>
            <w:pPr>
              <w:pStyle w:val="TableParagraph"/>
              <w:spacing w:line="276" w:lineRule="auto" w:before="13"/>
              <w:ind w:left="46" w:right="503"/>
              <w:jc w:val="left"/>
              <w:rPr>
                <w:rFonts w:ascii="宋体" w:hAnsi="宋体" w:cs="宋体" w:eastAsia="宋体" w:hint="default"/>
                <w:sz w:val="18"/>
                <w:szCs w:val="18"/>
              </w:rPr>
            </w:pPr>
            <w:r>
              <w:rPr>
                <w:rFonts w:ascii="宋体" w:hAnsi="宋体" w:cs="宋体" w:eastAsia="宋体" w:hint="default"/>
                <w:sz w:val="18"/>
                <w:szCs w:val="18"/>
              </w:rPr>
              <w:t>直接控股 及间接控股</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8"/>
              <w:jc w:val="right"/>
              <w:rPr>
                <w:rFonts w:ascii="宋体" w:hAnsi="宋体" w:cs="宋体" w:eastAsia="宋体" w:hint="default"/>
                <w:sz w:val="18"/>
                <w:szCs w:val="18"/>
              </w:rPr>
            </w:pPr>
            <w:r>
              <w:rPr>
                <w:rFonts w:ascii="宋体" w:hAnsi="宋体" w:cs="宋体" w:eastAsia="宋体" w:hint="default"/>
                <w:sz w:val="18"/>
                <w:szCs w:val="18"/>
              </w:rPr>
              <w:t>杭州市</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1"/>
              <w:jc w:val="right"/>
              <w:rPr>
                <w:rFonts w:ascii="宋体" w:hAnsi="宋体" w:cs="宋体" w:eastAsia="宋体" w:hint="default"/>
                <w:sz w:val="18"/>
                <w:szCs w:val="18"/>
              </w:rPr>
            </w:pPr>
            <w:r>
              <w:rPr>
                <w:rFonts w:ascii="宋体" w:hAnsi="宋体" w:cs="宋体" w:eastAsia="宋体" w:hint="default"/>
                <w:sz w:val="18"/>
                <w:szCs w:val="18"/>
              </w:rPr>
              <w:t>零售</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70"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5"/>
              <w:ind w:left="306" w:right="0"/>
              <w:jc w:val="left"/>
              <w:rPr>
                <w:rFonts w:ascii="宋体" w:hAnsi="宋体" w:cs="宋体" w:eastAsia="宋体" w:hint="default"/>
                <w:sz w:val="18"/>
                <w:szCs w:val="18"/>
              </w:rPr>
            </w:pPr>
            <w:r>
              <w:rPr>
                <w:rFonts w:ascii="Arial" w:hAnsi="Arial" w:cs="Arial" w:eastAsia="Arial" w:hint="default"/>
                <w:sz w:val="18"/>
                <w:szCs w:val="18"/>
              </w:rPr>
              <w:t>29,819.93</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788" w:type="dxa"/>
            <w:tcBorders>
              <w:top w:val="nil" w:sz="6" w:space="0" w:color="auto"/>
              <w:left w:val="nil" w:sz="6" w:space="0" w:color="auto"/>
              <w:bottom w:val="nil" w:sz="6" w:space="0" w:color="auto"/>
              <w:right w:val="nil" w:sz="6" w:space="0" w:color="auto"/>
            </w:tcBorders>
          </w:tcPr>
          <w:p>
            <w:pPr>
              <w:pStyle w:val="TableParagraph"/>
              <w:spacing w:line="232" w:lineRule="exact" w:before="38"/>
              <w:ind w:left="106" w:right="201"/>
              <w:jc w:val="left"/>
              <w:rPr>
                <w:rFonts w:ascii="宋体" w:hAnsi="宋体" w:cs="宋体" w:eastAsia="宋体" w:hint="default"/>
                <w:sz w:val="18"/>
                <w:szCs w:val="18"/>
              </w:rPr>
            </w:pPr>
            <w:r>
              <w:rPr>
                <w:rFonts w:ascii="宋体" w:hAnsi="宋体" w:cs="宋体" w:eastAsia="宋体" w:hint="default"/>
                <w:spacing w:val="4"/>
                <w:sz w:val="18"/>
                <w:szCs w:val="18"/>
              </w:rPr>
              <w:t>电器和电子消费品</w:t>
            </w:r>
            <w:r>
              <w:rPr>
                <w:rFonts w:ascii="宋体" w:hAnsi="宋体" w:cs="宋体" w:eastAsia="宋体" w:hint="default"/>
                <w:sz w:val="18"/>
                <w:szCs w:val="18"/>
              </w:rPr>
              <w:t> 的连锁销售</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7"/>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6"/>
              <w:jc w:val="right"/>
              <w:rPr>
                <w:rFonts w:ascii="宋体" w:hAnsi="宋体" w:cs="宋体" w:eastAsia="宋体" w:hint="default"/>
                <w:sz w:val="18"/>
                <w:szCs w:val="18"/>
              </w:rPr>
            </w:pPr>
            <w:r>
              <w:rPr>
                <w:rFonts w:ascii="宋体" w:hAnsi="宋体" w:cs="宋体" w:eastAsia="宋体" w:hint="default"/>
                <w:sz w:val="18"/>
                <w:szCs w:val="18"/>
              </w:rPr>
              <w:t>卞农</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8"/>
              <w:jc w:val="right"/>
              <w:rPr>
                <w:rFonts w:ascii="Arial" w:hAnsi="Arial" w:cs="Arial" w:eastAsia="Arial" w:hint="default"/>
                <w:sz w:val="18"/>
                <w:szCs w:val="18"/>
              </w:rPr>
            </w:pPr>
            <w:r>
              <w:rPr>
                <w:rFonts w:ascii="Arial"/>
                <w:spacing w:val="-1"/>
                <w:sz w:val="18"/>
              </w:rPr>
              <w:t>76822369-0</w:t>
            </w:r>
          </w:p>
        </w:tc>
      </w:tr>
    </w:tbl>
    <w:p>
      <w:pPr>
        <w:spacing w:after="0" w:line="240" w:lineRule="auto"/>
        <w:jc w:val="right"/>
        <w:rPr>
          <w:rFonts w:ascii="Arial" w:hAnsi="Arial" w:cs="Arial" w:eastAsia="Arial" w:hint="default"/>
          <w:sz w:val="18"/>
          <w:szCs w:val="18"/>
        </w:rPr>
        <w:sectPr>
          <w:pgSz w:w="16850" w:h="11910" w:orient="landscape"/>
          <w:pgMar w:header="795" w:footer="706" w:top="2020" w:bottom="90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707.039978pt;margin-top:518.320007pt;width:135pt;height:77pt;mso-position-horizontal-relative:page;mso-position-vertical-relative:page;z-index:3136" type="#_x0000_t75" stroked="false">
            <v:imagedata r:id="rId10" o:title=""/>
          </v:shape>
        </w:pic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691"/>
        <w:gridCol w:w="1659"/>
        <w:gridCol w:w="1644"/>
        <w:gridCol w:w="2408"/>
        <w:gridCol w:w="1175"/>
        <w:gridCol w:w="1309"/>
        <w:gridCol w:w="1434"/>
        <w:gridCol w:w="1506"/>
        <w:gridCol w:w="2422"/>
      </w:tblGrid>
      <w:tr>
        <w:trPr>
          <w:trHeight w:val="489"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exact"/>
              <w:ind w:right="49"/>
              <w:jc w:val="center"/>
              <w:rPr>
                <w:rFonts w:ascii="黑体" w:hAnsi="黑体" w:cs="黑体" w:eastAsia="黑体" w:hint="default"/>
                <w:sz w:val="24"/>
                <w:szCs w:val="24"/>
              </w:rPr>
            </w:pPr>
            <w:r>
              <w:rPr>
                <w:rFonts w:ascii="黑体" w:hAnsi="黑体" w:cs="黑体" w:eastAsia="黑体" w:hint="default"/>
                <w:sz w:val="24"/>
                <w:szCs w:val="24"/>
              </w:rPr>
              <w:t>四</w:t>
            </w:r>
          </w:p>
        </w:tc>
        <w:tc>
          <w:tcPr>
            <w:tcW w:w="3304"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97" w:right="-15"/>
              <w:jc w:val="left"/>
              <w:rPr>
                <w:rFonts w:ascii="黑体" w:hAnsi="黑体" w:cs="黑体" w:eastAsia="黑体" w:hint="default"/>
                <w:sz w:val="24"/>
                <w:szCs w:val="24"/>
              </w:rPr>
            </w:pPr>
            <w:r>
              <w:rPr>
                <w:rFonts w:ascii="黑体" w:hAnsi="黑体" w:cs="黑体" w:eastAsia="黑体" w:hint="default"/>
                <w:sz w:val="24"/>
                <w:szCs w:val="24"/>
              </w:rPr>
              <w:t>企业合并及合并财务报表</w:t>
            </w:r>
            <w:r>
              <w:rPr>
                <w:rFonts w:ascii="黑体" w:hAnsi="黑体" w:cs="黑体" w:eastAsia="黑体" w:hint="default"/>
                <w:sz w:val="24"/>
                <w:szCs w:val="24"/>
              </w:rPr>
              <w:t>(</w:t>
            </w:r>
            <w:r>
              <w:rPr>
                <w:rFonts w:ascii="黑体" w:hAnsi="黑体" w:cs="黑体" w:eastAsia="黑体" w:hint="default"/>
                <w:sz w:val="24"/>
                <w:szCs w:val="24"/>
              </w:rPr>
              <w:t>续</w:t>
            </w:r>
            <w:r>
              <w:rPr>
                <w:rFonts w:ascii="黑体" w:hAnsi="黑体" w:cs="黑体" w:eastAsia="黑体" w:hint="default"/>
                <w:sz w:val="24"/>
                <w:szCs w:val="24"/>
              </w:rPr>
              <w:t>)</w:t>
            </w:r>
          </w:p>
        </w:tc>
        <w:tc>
          <w:tcPr>
            <w:tcW w:w="2408"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r>
      <w:tr>
        <w:trPr>
          <w:trHeight w:val="753"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Arial" w:hAnsi="Arial" w:cs="Arial" w:eastAsia="Arial" w:hint="default"/>
                <w:sz w:val="24"/>
                <w:szCs w:val="24"/>
              </w:rPr>
            </w:pPr>
            <w:r>
              <w:rPr>
                <w:rFonts w:ascii="Arial"/>
                <w:sz w:val="24"/>
              </w:rPr>
              <w:t>(1)</w:t>
            </w:r>
          </w:p>
        </w:tc>
        <w:tc>
          <w:tcPr>
            <w:tcW w:w="33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3"/>
              <w:ind w:left="197" w:right="0"/>
              <w:jc w:val="left"/>
              <w:rPr>
                <w:rFonts w:ascii="Arial" w:hAnsi="Arial" w:cs="Arial" w:eastAsia="Arial" w:hint="default"/>
                <w:sz w:val="24"/>
                <w:szCs w:val="24"/>
              </w:rPr>
            </w:pPr>
            <w:r>
              <w:rPr>
                <w:rFonts w:ascii="黑体" w:hAnsi="黑体" w:cs="黑体" w:eastAsia="黑体" w:hint="default"/>
                <w:sz w:val="24"/>
                <w:szCs w:val="24"/>
              </w:rPr>
              <w:t>子公司情况</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08"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r>
      <w:tr>
        <w:trPr>
          <w:trHeight w:val="746"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 w:right="0"/>
              <w:jc w:val="center"/>
              <w:rPr>
                <w:rFonts w:ascii="Arial" w:hAnsi="Arial" w:cs="Arial" w:eastAsia="Arial" w:hint="default"/>
                <w:sz w:val="24"/>
                <w:szCs w:val="24"/>
              </w:rPr>
            </w:pPr>
            <w:r>
              <w:rPr>
                <w:rFonts w:ascii="Arial"/>
                <w:sz w:val="24"/>
              </w:rPr>
              <w:t>(a)</w:t>
            </w:r>
          </w:p>
        </w:tc>
        <w:tc>
          <w:tcPr>
            <w:tcW w:w="571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7"/>
              <w:ind w:left="197" w:right="0"/>
              <w:jc w:val="left"/>
              <w:rPr>
                <w:rFonts w:ascii="Arial" w:hAnsi="Arial" w:cs="Arial" w:eastAsia="Arial" w:hint="default"/>
                <w:sz w:val="24"/>
                <w:szCs w:val="24"/>
              </w:rPr>
            </w:pPr>
            <w:r>
              <w:rPr>
                <w:rFonts w:ascii="宋体" w:hAnsi="宋体" w:cs="宋体" w:eastAsia="宋体" w:hint="default"/>
                <w:sz w:val="24"/>
                <w:szCs w:val="24"/>
              </w:rPr>
              <w:t>通过设立或投资等方式取得的主要子公司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175"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r>
      <w:tr>
        <w:trPr>
          <w:trHeight w:val="843" w:hRule="exact"/>
        </w:trPr>
        <w:tc>
          <w:tcPr>
            <w:tcW w:w="691"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年末实际出资额</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32" w:lineRule="exact"/>
              <w:ind w:left="751" w:right="215" w:hanging="540"/>
              <w:jc w:val="left"/>
              <w:rPr>
                <w:rFonts w:ascii="宋体" w:hAnsi="宋体" w:cs="宋体" w:eastAsia="宋体" w:hint="default"/>
                <w:sz w:val="18"/>
                <w:szCs w:val="18"/>
              </w:rPr>
            </w:pPr>
            <w:r>
              <w:rPr>
                <w:rFonts w:ascii="宋体" w:hAnsi="宋体" w:cs="宋体" w:eastAsia="宋体" w:hint="default"/>
                <w:sz w:val="18"/>
                <w:szCs w:val="18"/>
              </w:rPr>
              <w:t>实质上构成对子公司净投 资的其他项目余额</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26"/>
              <w:ind w:left="655" w:right="0"/>
              <w:jc w:val="left"/>
              <w:rPr>
                <w:rFonts w:ascii="Arial" w:hAnsi="Arial" w:cs="Arial" w:eastAsia="Arial" w:hint="default"/>
                <w:sz w:val="18"/>
                <w:szCs w:val="18"/>
              </w:rPr>
            </w:pPr>
            <w:r>
              <w:rPr>
                <w:rFonts w:ascii="Arial"/>
                <w:sz w:val="18"/>
              </w:rPr>
              <w:t>(%)</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26"/>
              <w:ind w:left="858" w:right="0"/>
              <w:jc w:val="left"/>
              <w:rPr>
                <w:rFonts w:ascii="Arial" w:hAnsi="Arial" w:cs="Arial" w:eastAsia="Arial" w:hint="default"/>
                <w:sz w:val="18"/>
                <w:szCs w:val="18"/>
              </w:rPr>
            </w:pPr>
            <w:r>
              <w:rPr>
                <w:rFonts w:ascii="Arial"/>
                <w:sz w:val="18"/>
              </w:rPr>
              <w:t>(%)</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81"/>
              <w:jc w:val="right"/>
              <w:rPr>
                <w:rFonts w:ascii="宋体" w:hAnsi="宋体" w:cs="宋体" w:eastAsia="宋体" w:hint="default"/>
                <w:sz w:val="18"/>
                <w:szCs w:val="18"/>
              </w:rPr>
            </w:pPr>
            <w:r>
              <w:rPr>
                <w:rFonts w:ascii="宋体" w:hAnsi="宋体" w:cs="宋体" w:eastAsia="宋体" w:hint="default"/>
                <w:sz w:val="18"/>
                <w:szCs w:val="18"/>
              </w:rPr>
              <w:t>是否合并报表</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少数股东权益</w:t>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32" w:lineRule="exact"/>
              <w:ind w:left="602" w:right="198" w:hanging="360"/>
              <w:jc w:val="left"/>
              <w:rPr>
                <w:rFonts w:ascii="宋体" w:hAnsi="宋体" w:cs="宋体" w:eastAsia="宋体" w:hint="default"/>
                <w:sz w:val="18"/>
                <w:szCs w:val="18"/>
              </w:rPr>
            </w:pPr>
            <w:r>
              <w:rPr>
                <w:rFonts w:ascii="宋体" w:hAnsi="宋体" w:cs="宋体" w:eastAsia="宋体" w:hint="default"/>
                <w:sz w:val="18"/>
                <w:szCs w:val="18"/>
              </w:rPr>
              <w:t>少数股东权益中用于冲减 少数股东损益的金额</w:t>
            </w:r>
          </w:p>
        </w:tc>
      </w:tr>
      <w:tr>
        <w:trPr>
          <w:trHeight w:val="719" w:hRule="exact"/>
        </w:trPr>
        <w:tc>
          <w:tcPr>
            <w:tcW w:w="691"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278" w:lineRule="auto" w:before="134"/>
              <w:ind w:left="382" w:right="379" w:hanging="185"/>
              <w:jc w:val="left"/>
              <w:rPr>
                <w:rFonts w:ascii="宋体" w:hAnsi="宋体" w:cs="宋体" w:eastAsia="宋体" w:hint="default"/>
                <w:sz w:val="18"/>
                <w:szCs w:val="18"/>
              </w:rPr>
            </w:pPr>
            <w:r>
              <w:rPr>
                <w:rFonts w:ascii="宋体" w:hAnsi="宋体" w:cs="宋体" w:eastAsia="宋体" w:hint="default"/>
                <w:sz w:val="18"/>
                <w:szCs w:val="18"/>
              </w:rPr>
              <w:t>北京苏宁电器 有限公司</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878"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196" w:right="0"/>
              <w:jc w:val="left"/>
              <w:rPr>
                <w:rFonts w:ascii="宋体" w:hAnsi="宋体" w:cs="宋体" w:eastAsia="宋体" w:hint="default"/>
                <w:sz w:val="18"/>
                <w:szCs w:val="18"/>
              </w:rPr>
            </w:pPr>
            <w:r>
              <w:rPr>
                <w:rFonts w:ascii="Arial" w:hAnsi="Arial" w:cs="Arial" w:eastAsia="Arial" w:hint="default"/>
                <w:sz w:val="18"/>
                <w:szCs w:val="18"/>
              </w:rPr>
              <w:t>70,061.24</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5"/>
              <w:jc w:val="right"/>
              <w:rPr>
                <w:rFonts w:ascii="Arial" w:hAnsi="Arial" w:cs="Arial" w:eastAsia="Arial" w:hint="default"/>
                <w:sz w:val="18"/>
                <w:szCs w:val="18"/>
              </w:rPr>
            </w:pPr>
            <w:r>
              <w:rPr>
                <w:rFonts w:ascii="Arial"/>
                <w:w w:val="99"/>
                <w:sz w:val="18"/>
              </w:rPr>
              <w:t>-</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65"/>
              <w:jc w:val="right"/>
              <w:rPr>
                <w:rFonts w:ascii="Arial" w:hAnsi="Arial" w:cs="Arial" w:eastAsia="Arial" w:hint="default"/>
                <w:sz w:val="18"/>
                <w:szCs w:val="18"/>
              </w:rPr>
            </w:pPr>
            <w:r>
              <w:rPr>
                <w:rFonts w:ascii="Arial"/>
                <w:w w:val="95"/>
                <w:sz w:val="18"/>
              </w:rPr>
              <w:t>100%</w:t>
            </w:r>
            <w:r>
              <w:rPr>
                <w:rFonts w:ascii="Arial"/>
                <w:sz w:val="18"/>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7"/>
              <w:jc w:val="right"/>
              <w:rPr>
                <w:rFonts w:ascii="Arial" w:hAnsi="Arial" w:cs="Arial" w:eastAsia="Arial" w:hint="default"/>
                <w:sz w:val="18"/>
                <w:szCs w:val="18"/>
              </w:rPr>
            </w:pPr>
            <w:r>
              <w:rPr>
                <w:rFonts w:ascii="Arial"/>
                <w:w w:val="95"/>
                <w:sz w:val="18"/>
              </w:rPr>
              <w:t>100%</w:t>
            </w:r>
            <w:r>
              <w:rPr>
                <w:rFonts w:ascii="Arial"/>
                <w:sz w:val="18"/>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13"/>
              <w:jc w:val="right"/>
              <w:rPr>
                <w:rFonts w:ascii="宋体" w:hAnsi="宋体" w:cs="宋体" w:eastAsia="宋体" w:hint="default"/>
                <w:sz w:val="18"/>
                <w:szCs w:val="18"/>
              </w:rPr>
            </w:pPr>
            <w:r>
              <w:rPr>
                <w:rFonts w:ascii="宋体" w:hAnsi="宋体" w:cs="宋体" w:eastAsia="宋体" w:hint="default"/>
                <w:sz w:val="18"/>
                <w:szCs w:val="18"/>
              </w:rPr>
              <w:t>是</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71"/>
              <w:jc w:val="right"/>
              <w:rPr>
                <w:rFonts w:ascii="Arial" w:hAnsi="Arial" w:cs="Arial" w:eastAsia="Arial" w:hint="default"/>
                <w:sz w:val="18"/>
                <w:szCs w:val="18"/>
              </w:rPr>
            </w:pPr>
            <w:r>
              <w:rPr>
                <w:rFonts w:ascii="Arial"/>
                <w:w w:val="99"/>
                <w:sz w:val="18"/>
              </w:rPr>
              <w:t>-</w:t>
            </w:r>
            <w:r>
              <w:rPr>
                <w:rFonts w:ascii="Arial"/>
                <w:sz w:val="18"/>
              </w:rPr>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8"/>
              <w:jc w:val="right"/>
              <w:rPr>
                <w:rFonts w:ascii="Arial" w:hAnsi="Arial" w:cs="Arial" w:eastAsia="Arial" w:hint="default"/>
                <w:sz w:val="18"/>
                <w:szCs w:val="18"/>
              </w:rPr>
            </w:pPr>
            <w:r>
              <w:rPr>
                <w:rFonts w:ascii="Arial"/>
                <w:w w:val="99"/>
                <w:sz w:val="18"/>
              </w:rPr>
              <w:t>-</w:t>
            </w:r>
            <w:r>
              <w:rPr>
                <w:rFonts w:ascii="Arial"/>
                <w:sz w:val="18"/>
              </w:rPr>
            </w:r>
          </w:p>
        </w:tc>
      </w:tr>
      <w:tr>
        <w:trPr>
          <w:trHeight w:val="597" w:hRule="exact"/>
        </w:trPr>
        <w:tc>
          <w:tcPr>
            <w:tcW w:w="691"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276" w:lineRule="auto" w:before="14"/>
              <w:ind w:left="365" w:right="379" w:hanging="168"/>
              <w:jc w:val="left"/>
              <w:rPr>
                <w:rFonts w:ascii="宋体" w:hAnsi="宋体" w:cs="宋体" w:eastAsia="宋体" w:hint="default"/>
                <w:sz w:val="18"/>
                <w:szCs w:val="18"/>
              </w:rPr>
            </w:pPr>
            <w:r>
              <w:rPr>
                <w:rFonts w:ascii="宋体" w:hAnsi="宋体" w:cs="宋体" w:eastAsia="宋体" w:hint="default"/>
                <w:sz w:val="18"/>
                <w:szCs w:val="18"/>
              </w:rPr>
              <w:t>上海苏宁电器 有限公司</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8"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5"/>
              <w:ind w:left="196" w:right="0"/>
              <w:jc w:val="left"/>
              <w:rPr>
                <w:rFonts w:ascii="宋体" w:hAnsi="宋体" w:cs="宋体" w:eastAsia="宋体" w:hint="default"/>
                <w:sz w:val="18"/>
                <w:szCs w:val="18"/>
              </w:rPr>
            </w:pPr>
            <w:r>
              <w:rPr>
                <w:rFonts w:ascii="Arial" w:hAnsi="Arial" w:cs="Arial" w:eastAsia="Arial" w:hint="default"/>
                <w:sz w:val="18"/>
                <w:szCs w:val="18"/>
              </w:rPr>
              <w:t>67,144.38</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5"/>
              <w:jc w:val="right"/>
              <w:rPr>
                <w:rFonts w:ascii="Arial" w:hAnsi="Arial" w:cs="Arial" w:eastAsia="Arial" w:hint="default"/>
                <w:sz w:val="18"/>
                <w:szCs w:val="18"/>
              </w:rPr>
            </w:pPr>
            <w:r>
              <w:rPr>
                <w:rFonts w:ascii="Arial"/>
                <w:w w:val="99"/>
                <w:sz w:val="18"/>
              </w:rPr>
              <w:t>-</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65"/>
              <w:jc w:val="right"/>
              <w:rPr>
                <w:rFonts w:ascii="Arial" w:hAnsi="Arial" w:cs="Arial" w:eastAsia="Arial" w:hint="default"/>
                <w:sz w:val="18"/>
                <w:szCs w:val="18"/>
              </w:rPr>
            </w:pPr>
            <w:r>
              <w:rPr>
                <w:rFonts w:ascii="Arial"/>
                <w:w w:val="95"/>
                <w:sz w:val="18"/>
              </w:rPr>
              <w:t>100%</w:t>
            </w:r>
            <w:r>
              <w:rPr>
                <w:rFonts w:ascii="Arial"/>
                <w:sz w:val="18"/>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7"/>
              <w:jc w:val="right"/>
              <w:rPr>
                <w:rFonts w:ascii="Arial" w:hAnsi="Arial" w:cs="Arial" w:eastAsia="Arial" w:hint="default"/>
                <w:sz w:val="18"/>
                <w:szCs w:val="18"/>
              </w:rPr>
            </w:pPr>
            <w:r>
              <w:rPr>
                <w:rFonts w:ascii="Arial"/>
                <w:w w:val="95"/>
                <w:sz w:val="18"/>
              </w:rPr>
              <w:t>100%</w:t>
            </w:r>
            <w:r>
              <w:rPr>
                <w:rFonts w:ascii="Arial"/>
                <w:sz w:val="18"/>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3"/>
              <w:jc w:val="right"/>
              <w:rPr>
                <w:rFonts w:ascii="宋体" w:hAnsi="宋体" w:cs="宋体" w:eastAsia="宋体" w:hint="default"/>
                <w:sz w:val="18"/>
                <w:szCs w:val="18"/>
              </w:rPr>
            </w:pPr>
            <w:r>
              <w:rPr>
                <w:rFonts w:ascii="宋体" w:hAnsi="宋体" w:cs="宋体" w:eastAsia="宋体" w:hint="default"/>
                <w:sz w:val="18"/>
                <w:szCs w:val="18"/>
              </w:rPr>
              <w:t>是</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71"/>
              <w:jc w:val="right"/>
              <w:rPr>
                <w:rFonts w:ascii="Arial" w:hAnsi="Arial" w:cs="Arial" w:eastAsia="Arial" w:hint="default"/>
                <w:sz w:val="18"/>
                <w:szCs w:val="18"/>
              </w:rPr>
            </w:pPr>
            <w:r>
              <w:rPr>
                <w:rFonts w:ascii="Arial"/>
                <w:w w:val="99"/>
                <w:sz w:val="18"/>
              </w:rPr>
              <w:t>-</w:t>
            </w:r>
            <w:r>
              <w:rPr>
                <w:rFonts w:ascii="Arial"/>
                <w:sz w:val="18"/>
              </w:rPr>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28"/>
              <w:jc w:val="right"/>
              <w:rPr>
                <w:rFonts w:ascii="Arial" w:hAnsi="Arial" w:cs="Arial" w:eastAsia="Arial" w:hint="default"/>
                <w:sz w:val="18"/>
                <w:szCs w:val="18"/>
              </w:rPr>
            </w:pPr>
            <w:r>
              <w:rPr>
                <w:rFonts w:ascii="Arial"/>
                <w:w w:val="99"/>
                <w:sz w:val="18"/>
              </w:rPr>
              <w:t>-</w:t>
            </w:r>
            <w:r>
              <w:rPr>
                <w:rFonts w:ascii="Arial"/>
                <w:sz w:val="18"/>
              </w:rPr>
            </w:r>
          </w:p>
        </w:tc>
      </w:tr>
      <w:tr>
        <w:trPr>
          <w:trHeight w:val="596" w:hRule="exact"/>
        </w:trPr>
        <w:tc>
          <w:tcPr>
            <w:tcW w:w="691"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276" w:lineRule="auto" w:before="15"/>
              <w:ind w:left="365" w:right="379" w:hanging="168"/>
              <w:jc w:val="left"/>
              <w:rPr>
                <w:rFonts w:ascii="宋体" w:hAnsi="宋体" w:cs="宋体" w:eastAsia="宋体" w:hint="default"/>
                <w:sz w:val="18"/>
                <w:szCs w:val="18"/>
              </w:rPr>
            </w:pPr>
            <w:r>
              <w:rPr>
                <w:rFonts w:ascii="宋体" w:hAnsi="宋体" w:cs="宋体" w:eastAsia="宋体" w:hint="default"/>
                <w:sz w:val="18"/>
                <w:szCs w:val="18"/>
              </w:rPr>
              <w:t>广东苏宁电器 有限公司</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78"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5"/>
              <w:ind w:left="196" w:right="0"/>
              <w:jc w:val="left"/>
              <w:rPr>
                <w:rFonts w:ascii="宋体" w:hAnsi="宋体" w:cs="宋体" w:eastAsia="宋体" w:hint="default"/>
                <w:sz w:val="18"/>
                <w:szCs w:val="18"/>
              </w:rPr>
            </w:pPr>
            <w:r>
              <w:rPr>
                <w:rFonts w:ascii="Arial" w:hAnsi="Arial" w:cs="Arial" w:eastAsia="Arial" w:hint="default"/>
                <w:sz w:val="18"/>
                <w:szCs w:val="18"/>
              </w:rPr>
              <w:t>32,017.00</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5"/>
              <w:jc w:val="right"/>
              <w:rPr>
                <w:rFonts w:ascii="Arial" w:hAnsi="Arial" w:cs="Arial" w:eastAsia="Arial" w:hint="default"/>
                <w:sz w:val="18"/>
                <w:szCs w:val="18"/>
              </w:rPr>
            </w:pPr>
            <w:r>
              <w:rPr>
                <w:rFonts w:ascii="Arial"/>
                <w:w w:val="99"/>
                <w:sz w:val="18"/>
              </w:rPr>
              <w:t>-</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5"/>
              <w:jc w:val="right"/>
              <w:rPr>
                <w:rFonts w:ascii="Arial" w:hAnsi="Arial" w:cs="Arial" w:eastAsia="Arial" w:hint="default"/>
                <w:sz w:val="18"/>
                <w:szCs w:val="18"/>
              </w:rPr>
            </w:pPr>
            <w:r>
              <w:rPr>
                <w:rFonts w:ascii="Arial"/>
                <w:w w:val="95"/>
                <w:sz w:val="18"/>
              </w:rPr>
              <w:t>100%</w:t>
            </w:r>
            <w:r>
              <w:rPr>
                <w:rFonts w:ascii="Arial"/>
                <w:sz w:val="18"/>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7"/>
              <w:jc w:val="right"/>
              <w:rPr>
                <w:rFonts w:ascii="Arial" w:hAnsi="Arial" w:cs="Arial" w:eastAsia="Arial" w:hint="default"/>
                <w:sz w:val="18"/>
                <w:szCs w:val="18"/>
              </w:rPr>
            </w:pPr>
            <w:r>
              <w:rPr>
                <w:rFonts w:ascii="Arial"/>
                <w:w w:val="95"/>
                <w:sz w:val="18"/>
              </w:rPr>
              <w:t>100%</w:t>
            </w:r>
            <w:r>
              <w:rPr>
                <w:rFonts w:ascii="Arial"/>
                <w:sz w:val="18"/>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3"/>
              <w:jc w:val="right"/>
              <w:rPr>
                <w:rFonts w:ascii="宋体" w:hAnsi="宋体" w:cs="宋体" w:eastAsia="宋体" w:hint="default"/>
                <w:sz w:val="18"/>
                <w:szCs w:val="18"/>
              </w:rPr>
            </w:pPr>
            <w:r>
              <w:rPr>
                <w:rFonts w:ascii="宋体" w:hAnsi="宋体" w:cs="宋体" w:eastAsia="宋体" w:hint="default"/>
                <w:sz w:val="18"/>
                <w:szCs w:val="18"/>
              </w:rPr>
              <w:t>是</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1"/>
              <w:jc w:val="right"/>
              <w:rPr>
                <w:rFonts w:ascii="Arial" w:hAnsi="Arial" w:cs="Arial" w:eastAsia="Arial" w:hint="default"/>
                <w:sz w:val="18"/>
                <w:szCs w:val="18"/>
              </w:rPr>
            </w:pPr>
            <w:r>
              <w:rPr>
                <w:rFonts w:ascii="Arial"/>
                <w:w w:val="99"/>
                <w:sz w:val="18"/>
              </w:rPr>
              <w:t>-</w:t>
            </w:r>
            <w:r>
              <w:rPr>
                <w:rFonts w:ascii="Arial"/>
                <w:sz w:val="18"/>
              </w:rPr>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8"/>
              <w:jc w:val="right"/>
              <w:rPr>
                <w:rFonts w:ascii="Arial" w:hAnsi="Arial" w:cs="Arial" w:eastAsia="Arial" w:hint="default"/>
                <w:sz w:val="18"/>
                <w:szCs w:val="18"/>
              </w:rPr>
            </w:pPr>
            <w:r>
              <w:rPr>
                <w:rFonts w:ascii="Arial"/>
                <w:w w:val="99"/>
                <w:sz w:val="18"/>
              </w:rPr>
              <w:t>-</w:t>
            </w:r>
            <w:r>
              <w:rPr>
                <w:rFonts w:ascii="Arial"/>
                <w:sz w:val="18"/>
              </w:rPr>
            </w:r>
          </w:p>
        </w:tc>
      </w:tr>
      <w:tr>
        <w:trPr>
          <w:trHeight w:val="598" w:hRule="exact"/>
        </w:trPr>
        <w:tc>
          <w:tcPr>
            <w:tcW w:w="691"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278" w:lineRule="auto" w:before="13"/>
              <w:ind w:left="365" w:right="199" w:hanging="168"/>
              <w:jc w:val="left"/>
              <w:rPr>
                <w:rFonts w:ascii="宋体" w:hAnsi="宋体" w:cs="宋体" w:eastAsia="宋体" w:hint="default"/>
                <w:sz w:val="18"/>
                <w:szCs w:val="18"/>
              </w:rPr>
            </w:pPr>
            <w:r>
              <w:rPr>
                <w:rFonts w:ascii="宋体" w:hAnsi="宋体" w:cs="宋体" w:eastAsia="宋体" w:hint="default"/>
                <w:sz w:val="18"/>
                <w:szCs w:val="18"/>
              </w:rPr>
              <w:t>深圳市苏宁电器 有限公司</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78"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196" w:right="0"/>
              <w:jc w:val="left"/>
              <w:rPr>
                <w:rFonts w:ascii="宋体" w:hAnsi="宋体" w:cs="宋体" w:eastAsia="宋体" w:hint="default"/>
                <w:sz w:val="18"/>
                <w:szCs w:val="18"/>
              </w:rPr>
            </w:pPr>
            <w:r>
              <w:rPr>
                <w:rFonts w:ascii="Arial" w:hAnsi="Arial" w:cs="Arial" w:eastAsia="Arial" w:hint="default"/>
                <w:sz w:val="18"/>
                <w:szCs w:val="18"/>
              </w:rPr>
              <w:t>21,627.79</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5"/>
              <w:jc w:val="right"/>
              <w:rPr>
                <w:rFonts w:ascii="Arial" w:hAnsi="Arial" w:cs="Arial" w:eastAsia="Arial" w:hint="default"/>
                <w:sz w:val="18"/>
                <w:szCs w:val="18"/>
              </w:rPr>
            </w:pPr>
            <w:r>
              <w:rPr>
                <w:rFonts w:ascii="Arial"/>
                <w:w w:val="99"/>
                <w:sz w:val="18"/>
              </w:rPr>
              <w:t>-</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65"/>
              <w:jc w:val="right"/>
              <w:rPr>
                <w:rFonts w:ascii="Arial" w:hAnsi="Arial" w:cs="Arial" w:eastAsia="Arial" w:hint="default"/>
                <w:sz w:val="18"/>
                <w:szCs w:val="18"/>
              </w:rPr>
            </w:pPr>
            <w:r>
              <w:rPr>
                <w:rFonts w:ascii="Arial"/>
                <w:w w:val="95"/>
                <w:sz w:val="18"/>
              </w:rPr>
              <w:t>100%</w:t>
            </w:r>
            <w:r>
              <w:rPr>
                <w:rFonts w:ascii="Arial"/>
                <w:sz w:val="18"/>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7"/>
              <w:jc w:val="right"/>
              <w:rPr>
                <w:rFonts w:ascii="Arial" w:hAnsi="Arial" w:cs="Arial" w:eastAsia="Arial" w:hint="default"/>
                <w:sz w:val="18"/>
                <w:szCs w:val="18"/>
              </w:rPr>
            </w:pPr>
            <w:r>
              <w:rPr>
                <w:rFonts w:ascii="Arial"/>
                <w:w w:val="95"/>
                <w:sz w:val="18"/>
              </w:rPr>
              <w:t>100%</w:t>
            </w:r>
            <w:r>
              <w:rPr>
                <w:rFonts w:ascii="Arial"/>
                <w:sz w:val="18"/>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13"/>
              <w:jc w:val="right"/>
              <w:rPr>
                <w:rFonts w:ascii="宋体" w:hAnsi="宋体" w:cs="宋体" w:eastAsia="宋体" w:hint="default"/>
                <w:sz w:val="18"/>
                <w:szCs w:val="18"/>
              </w:rPr>
            </w:pPr>
            <w:r>
              <w:rPr>
                <w:rFonts w:ascii="宋体" w:hAnsi="宋体" w:cs="宋体" w:eastAsia="宋体" w:hint="default"/>
                <w:sz w:val="18"/>
                <w:szCs w:val="18"/>
              </w:rPr>
              <w:t>是</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71"/>
              <w:jc w:val="right"/>
              <w:rPr>
                <w:rFonts w:ascii="Arial" w:hAnsi="Arial" w:cs="Arial" w:eastAsia="Arial" w:hint="default"/>
                <w:sz w:val="18"/>
                <w:szCs w:val="18"/>
              </w:rPr>
            </w:pPr>
            <w:r>
              <w:rPr>
                <w:rFonts w:ascii="Arial"/>
                <w:w w:val="99"/>
                <w:sz w:val="18"/>
              </w:rPr>
              <w:t>-</w:t>
            </w:r>
            <w:r>
              <w:rPr>
                <w:rFonts w:ascii="Arial"/>
                <w:sz w:val="18"/>
              </w:rPr>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28"/>
              <w:jc w:val="right"/>
              <w:rPr>
                <w:rFonts w:ascii="Arial" w:hAnsi="Arial" w:cs="Arial" w:eastAsia="Arial" w:hint="default"/>
                <w:sz w:val="18"/>
                <w:szCs w:val="18"/>
              </w:rPr>
            </w:pPr>
            <w:r>
              <w:rPr>
                <w:rFonts w:ascii="Arial"/>
                <w:w w:val="99"/>
                <w:sz w:val="18"/>
              </w:rPr>
              <w:t>-</w:t>
            </w:r>
            <w:r>
              <w:rPr>
                <w:rFonts w:ascii="Arial"/>
                <w:sz w:val="18"/>
              </w:rPr>
            </w:r>
          </w:p>
        </w:tc>
      </w:tr>
      <w:tr>
        <w:trPr>
          <w:trHeight w:val="598" w:hRule="exact"/>
        </w:trPr>
        <w:tc>
          <w:tcPr>
            <w:tcW w:w="691"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278" w:lineRule="auto" w:before="13"/>
              <w:ind w:left="382" w:right="194" w:hanging="185"/>
              <w:jc w:val="left"/>
              <w:rPr>
                <w:rFonts w:ascii="宋体" w:hAnsi="宋体" w:cs="宋体" w:eastAsia="宋体" w:hint="default"/>
                <w:sz w:val="18"/>
                <w:szCs w:val="18"/>
              </w:rPr>
            </w:pPr>
            <w:r>
              <w:rPr>
                <w:rFonts w:ascii="宋体" w:hAnsi="宋体" w:cs="宋体" w:eastAsia="宋体" w:hint="default"/>
                <w:sz w:val="18"/>
                <w:szCs w:val="18"/>
              </w:rPr>
              <w:t>重庆渝宁苏宁 电器有限公司</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78"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196" w:right="0"/>
              <w:jc w:val="left"/>
              <w:rPr>
                <w:rFonts w:ascii="宋体" w:hAnsi="宋体" w:cs="宋体" w:eastAsia="宋体" w:hint="default"/>
                <w:sz w:val="18"/>
                <w:szCs w:val="18"/>
              </w:rPr>
            </w:pPr>
            <w:r>
              <w:rPr>
                <w:rFonts w:ascii="Arial" w:hAnsi="Arial" w:cs="Arial" w:eastAsia="Arial" w:hint="default"/>
                <w:sz w:val="18"/>
                <w:szCs w:val="18"/>
              </w:rPr>
              <w:t>47,150.63</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5"/>
              <w:jc w:val="right"/>
              <w:rPr>
                <w:rFonts w:ascii="Arial" w:hAnsi="Arial" w:cs="Arial" w:eastAsia="Arial" w:hint="default"/>
                <w:sz w:val="18"/>
                <w:szCs w:val="18"/>
              </w:rPr>
            </w:pPr>
            <w:r>
              <w:rPr>
                <w:rFonts w:ascii="Arial"/>
                <w:w w:val="99"/>
                <w:sz w:val="18"/>
              </w:rPr>
              <w:t>-</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65"/>
              <w:jc w:val="right"/>
              <w:rPr>
                <w:rFonts w:ascii="Arial" w:hAnsi="Arial" w:cs="Arial" w:eastAsia="Arial" w:hint="default"/>
                <w:sz w:val="18"/>
                <w:szCs w:val="18"/>
              </w:rPr>
            </w:pPr>
            <w:r>
              <w:rPr>
                <w:rFonts w:ascii="Arial"/>
                <w:w w:val="95"/>
                <w:sz w:val="18"/>
              </w:rPr>
              <w:t>100%</w:t>
            </w:r>
            <w:r>
              <w:rPr>
                <w:rFonts w:ascii="Arial"/>
                <w:sz w:val="18"/>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7"/>
              <w:jc w:val="right"/>
              <w:rPr>
                <w:rFonts w:ascii="Arial" w:hAnsi="Arial" w:cs="Arial" w:eastAsia="Arial" w:hint="default"/>
                <w:sz w:val="18"/>
                <w:szCs w:val="18"/>
              </w:rPr>
            </w:pPr>
            <w:r>
              <w:rPr>
                <w:rFonts w:ascii="Arial"/>
                <w:w w:val="95"/>
                <w:sz w:val="18"/>
              </w:rPr>
              <w:t>100%</w:t>
            </w:r>
            <w:r>
              <w:rPr>
                <w:rFonts w:ascii="Arial"/>
                <w:sz w:val="18"/>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13"/>
              <w:jc w:val="right"/>
              <w:rPr>
                <w:rFonts w:ascii="宋体" w:hAnsi="宋体" w:cs="宋体" w:eastAsia="宋体" w:hint="default"/>
                <w:sz w:val="18"/>
                <w:szCs w:val="18"/>
              </w:rPr>
            </w:pPr>
            <w:r>
              <w:rPr>
                <w:rFonts w:ascii="宋体" w:hAnsi="宋体" w:cs="宋体" w:eastAsia="宋体" w:hint="default"/>
                <w:sz w:val="18"/>
                <w:szCs w:val="18"/>
              </w:rPr>
              <w:t>是</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71"/>
              <w:jc w:val="right"/>
              <w:rPr>
                <w:rFonts w:ascii="Arial" w:hAnsi="Arial" w:cs="Arial" w:eastAsia="Arial" w:hint="default"/>
                <w:sz w:val="18"/>
                <w:szCs w:val="18"/>
              </w:rPr>
            </w:pPr>
            <w:r>
              <w:rPr>
                <w:rFonts w:ascii="Arial"/>
                <w:w w:val="99"/>
                <w:sz w:val="18"/>
              </w:rPr>
              <w:t>-</w:t>
            </w:r>
            <w:r>
              <w:rPr>
                <w:rFonts w:ascii="Arial"/>
                <w:sz w:val="18"/>
              </w:rPr>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28"/>
              <w:jc w:val="right"/>
              <w:rPr>
                <w:rFonts w:ascii="Arial" w:hAnsi="Arial" w:cs="Arial" w:eastAsia="Arial" w:hint="default"/>
                <w:sz w:val="18"/>
                <w:szCs w:val="18"/>
              </w:rPr>
            </w:pPr>
            <w:r>
              <w:rPr>
                <w:rFonts w:ascii="Arial"/>
                <w:w w:val="99"/>
                <w:sz w:val="18"/>
              </w:rPr>
              <w:t>-</w:t>
            </w:r>
            <w:r>
              <w:rPr>
                <w:rFonts w:ascii="Arial"/>
                <w:sz w:val="18"/>
              </w:rPr>
            </w:r>
          </w:p>
        </w:tc>
      </w:tr>
      <w:tr>
        <w:trPr>
          <w:trHeight w:val="529" w:hRule="exact"/>
        </w:trPr>
        <w:tc>
          <w:tcPr>
            <w:tcW w:w="691"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276" w:lineRule="auto" w:before="14"/>
              <w:ind w:left="365" w:right="379" w:hanging="168"/>
              <w:jc w:val="left"/>
              <w:rPr>
                <w:rFonts w:ascii="宋体" w:hAnsi="宋体" w:cs="宋体" w:eastAsia="宋体" w:hint="default"/>
                <w:sz w:val="18"/>
                <w:szCs w:val="18"/>
              </w:rPr>
            </w:pPr>
            <w:r>
              <w:rPr>
                <w:rFonts w:ascii="宋体" w:hAnsi="宋体" w:cs="宋体" w:eastAsia="宋体" w:hint="default"/>
                <w:sz w:val="18"/>
                <w:szCs w:val="18"/>
              </w:rPr>
              <w:t>四川苏宁电器 有限公司</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8"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5"/>
              <w:ind w:left="196" w:right="0"/>
              <w:jc w:val="left"/>
              <w:rPr>
                <w:rFonts w:ascii="宋体" w:hAnsi="宋体" w:cs="宋体" w:eastAsia="宋体" w:hint="default"/>
                <w:sz w:val="18"/>
                <w:szCs w:val="18"/>
              </w:rPr>
            </w:pPr>
            <w:r>
              <w:rPr>
                <w:rFonts w:ascii="Arial" w:hAnsi="Arial" w:cs="Arial" w:eastAsia="Arial" w:hint="default"/>
                <w:sz w:val="18"/>
                <w:szCs w:val="18"/>
              </w:rPr>
              <w:t>26,314.44</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5"/>
              <w:jc w:val="right"/>
              <w:rPr>
                <w:rFonts w:ascii="Arial" w:hAnsi="Arial" w:cs="Arial" w:eastAsia="Arial" w:hint="default"/>
                <w:sz w:val="18"/>
                <w:szCs w:val="18"/>
              </w:rPr>
            </w:pPr>
            <w:r>
              <w:rPr>
                <w:rFonts w:ascii="Arial"/>
                <w:w w:val="99"/>
                <w:sz w:val="18"/>
              </w:rPr>
              <w:t>-</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65"/>
              <w:jc w:val="right"/>
              <w:rPr>
                <w:rFonts w:ascii="Arial" w:hAnsi="Arial" w:cs="Arial" w:eastAsia="Arial" w:hint="default"/>
                <w:sz w:val="18"/>
                <w:szCs w:val="18"/>
              </w:rPr>
            </w:pPr>
            <w:r>
              <w:rPr>
                <w:rFonts w:ascii="Arial"/>
                <w:w w:val="95"/>
                <w:sz w:val="18"/>
              </w:rPr>
              <w:t>100%</w:t>
            </w:r>
            <w:r>
              <w:rPr>
                <w:rFonts w:ascii="Arial"/>
                <w:sz w:val="18"/>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7"/>
              <w:jc w:val="right"/>
              <w:rPr>
                <w:rFonts w:ascii="Arial" w:hAnsi="Arial" w:cs="Arial" w:eastAsia="Arial" w:hint="default"/>
                <w:sz w:val="18"/>
                <w:szCs w:val="18"/>
              </w:rPr>
            </w:pPr>
            <w:r>
              <w:rPr>
                <w:rFonts w:ascii="Arial"/>
                <w:w w:val="95"/>
                <w:sz w:val="18"/>
              </w:rPr>
              <w:t>100%</w:t>
            </w:r>
            <w:r>
              <w:rPr>
                <w:rFonts w:ascii="Arial"/>
                <w:sz w:val="18"/>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3"/>
              <w:jc w:val="right"/>
              <w:rPr>
                <w:rFonts w:ascii="宋体" w:hAnsi="宋体" w:cs="宋体" w:eastAsia="宋体" w:hint="default"/>
                <w:sz w:val="18"/>
                <w:szCs w:val="18"/>
              </w:rPr>
            </w:pPr>
            <w:r>
              <w:rPr>
                <w:rFonts w:ascii="宋体" w:hAnsi="宋体" w:cs="宋体" w:eastAsia="宋体" w:hint="default"/>
                <w:sz w:val="18"/>
                <w:szCs w:val="18"/>
              </w:rPr>
              <w:t>是</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71"/>
              <w:jc w:val="right"/>
              <w:rPr>
                <w:rFonts w:ascii="Arial" w:hAnsi="Arial" w:cs="Arial" w:eastAsia="Arial" w:hint="default"/>
                <w:sz w:val="18"/>
                <w:szCs w:val="18"/>
              </w:rPr>
            </w:pPr>
            <w:r>
              <w:rPr>
                <w:rFonts w:ascii="Arial"/>
                <w:w w:val="99"/>
                <w:sz w:val="18"/>
              </w:rPr>
              <w:t>-</w:t>
            </w:r>
            <w:r>
              <w:rPr>
                <w:rFonts w:ascii="Arial"/>
                <w:sz w:val="18"/>
              </w:rPr>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28"/>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795" w:footer="706" w:top="2020" w:bottom="9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691"/>
        <w:gridCol w:w="1756"/>
        <w:gridCol w:w="1541"/>
        <w:gridCol w:w="2376"/>
        <w:gridCol w:w="1194"/>
        <w:gridCol w:w="1327"/>
        <w:gridCol w:w="1415"/>
        <w:gridCol w:w="1502"/>
        <w:gridCol w:w="2442"/>
      </w:tblGrid>
      <w:tr>
        <w:trPr>
          <w:trHeight w:val="489"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exact"/>
              <w:ind w:right="49"/>
              <w:jc w:val="center"/>
              <w:rPr>
                <w:rFonts w:ascii="黑体" w:hAnsi="黑体" w:cs="黑体" w:eastAsia="黑体" w:hint="default"/>
                <w:sz w:val="24"/>
                <w:szCs w:val="24"/>
              </w:rPr>
            </w:pPr>
            <w:r>
              <w:rPr>
                <w:rFonts w:ascii="黑体" w:hAnsi="黑体" w:cs="黑体" w:eastAsia="黑体" w:hint="default"/>
                <w:sz w:val="24"/>
                <w:szCs w:val="24"/>
              </w:rPr>
              <w:t>四</w:t>
            </w:r>
          </w:p>
        </w:tc>
        <w:tc>
          <w:tcPr>
            <w:tcW w:w="3298"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97" w:right="-21"/>
              <w:jc w:val="left"/>
              <w:rPr>
                <w:rFonts w:ascii="黑体" w:hAnsi="黑体" w:cs="黑体" w:eastAsia="黑体" w:hint="default"/>
                <w:sz w:val="24"/>
                <w:szCs w:val="24"/>
              </w:rPr>
            </w:pPr>
            <w:r>
              <w:rPr>
                <w:rFonts w:ascii="黑体" w:hAnsi="黑体" w:cs="黑体" w:eastAsia="黑体" w:hint="default"/>
                <w:sz w:val="24"/>
                <w:szCs w:val="24"/>
              </w:rPr>
              <w:t>企业合并及合并财务报表</w:t>
            </w:r>
            <w:r>
              <w:rPr>
                <w:rFonts w:ascii="黑体" w:hAnsi="黑体" w:cs="黑体" w:eastAsia="黑体" w:hint="default"/>
                <w:sz w:val="24"/>
                <w:szCs w:val="24"/>
              </w:rPr>
              <w:t>(</w:t>
            </w:r>
            <w:r>
              <w:rPr>
                <w:rFonts w:ascii="黑体" w:hAnsi="黑体" w:cs="黑体" w:eastAsia="黑体" w:hint="default"/>
                <w:sz w:val="24"/>
                <w:szCs w:val="24"/>
              </w:rPr>
              <w:t>续</w:t>
            </w:r>
            <w:r>
              <w:rPr>
                <w:rFonts w:ascii="黑体" w:hAnsi="黑体" w:cs="黑体" w:eastAsia="黑体" w:hint="default"/>
                <w:sz w:val="24"/>
                <w:szCs w:val="24"/>
              </w:rPr>
              <w:t>)</w:t>
            </w:r>
          </w:p>
        </w:tc>
        <w:tc>
          <w:tcPr>
            <w:tcW w:w="2376"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
        </w:tc>
      </w:tr>
      <w:tr>
        <w:trPr>
          <w:trHeight w:val="753"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Arial" w:hAnsi="Arial" w:cs="Arial" w:eastAsia="Arial" w:hint="default"/>
                <w:sz w:val="24"/>
                <w:szCs w:val="24"/>
              </w:rPr>
            </w:pPr>
            <w:r>
              <w:rPr>
                <w:rFonts w:ascii="Arial"/>
                <w:sz w:val="24"/>
              </w:rPr>
              <w:t>(1)</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97" w:right="-41"/>
              <w:jc w:val="left"/>
              <w:rPr>
                <w:rFonts w:ascii="Arial" w:hAnsi="Arial" w:cs="Arial" w:eastAsia="Arial" w:hint="default"/>
                <w:sz w:val="24"/>
                <w:szCs w:val="24"/>
              </w:rPr>
            </w:pPr>
            <w:r>
              <w:rPr>
                <w:rFonts w:ascii="黑体" w:hAnsi="黑体" w:cs="黑体" w:eastAsia="黑体" w:hint="default"/>
                <w:sz w:val="24"/>
                <w:szCs w:val="24"/>
              </w:rPr>
              <w:t>子公司情况</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41"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
        </w:tc>
      </w:tr>
      <w:tr>
        <w:trPr>
          <w:trHeight w:val="746"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 w:right="0"/>
              <w:jc w:val="center"/>
              <w:rPr>
                <w:rFonts w:ascii="Arial" w:hAnsi="Arial" w:cs="Arial" w:eastAsia="Arial" w:hint="default"/>
                <w:sz w:val="24"/>
                <w:szCs w:val="24"/>
              </w:rPr>
            </w:pPr>
            <w:r>
              <w:rPr>
                <w:rFonts w:ascii="Arial"/>
                <w:sz w:val="24"/>
              </w:rPr>
              <w:t>(a)</w:t>
            </w:r>
          </w:p>
        </w:tc>
        <w:tc>
          <w:tcPr>
            <w:tcW w:w="56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7"/>
              <w:ind w:left="197" w:right="0"/>
              <w:jc w:val="left"/>
              <w:rPr>
                <w:rFonts w:ascii="Arial" w:hAnsi="Arial" w:cs="Arial" w:eastAsia="Arial" w:hint="default"/>
                <w:sz w:val="24"/>
                <w:szCs w:val="24"/>
              </w:rPr>
            </w:pPr>
            <w:r>
              <w:rPr>
                <w:rFonts w:ascii="宋体" w:hAnsi="宋体" w:cs="宋体" w:eastAsia="宋体" w:hint="default"/>
                <w:sz w:val="24"/>
                <w:szCs w:val="24"/>
              </w:rPr>
              <w:t>通过设立或投资等方式取得的主要子公司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194"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
        </w:tc>
      </w:tr>
      <w:tr>
        <w:trPr>
          <w:trHeight w:val="856" w:hRule="exact"/>
        </w:trPr>
        <w:tc>
          <w:tcPr>
            <w:tcW w:w="691"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年末实际出资额</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32" w:lineRule="exact"/>
              <w:ind w:left="726" w:right="207" w:hanging="540"/>
              <w:jc w:val="left"/>
              <w:rPr>
                <w:rFonts w:ascii="宋体" w:hAnsi="宋体" w:cs="宋体" w:eastAsia="宋体" w:hint="default"/>
                <w:sz w:val="18"/>
                <w:szCs w:val="18"/>
              </w:rPr>
            </w:pPr>
            <w:r>
              <w:rPr>
                <w:rFonts w:ascii="宋体" w:hAnsi="宋体" w:cs="宋体" w:eastAsia="宋体" w:hint="default"/>
                <w:sz w:val="18"/>
                <w:szCs w:val="18"/>
              </w:rPr>
              <w:t>实质上构成对子公司净投 资的其他项目余额</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65"/>
              <w:ind w:left="644" w:right="0"/>
              <w:jc w:val="left"/>
              <w:rPr>
                <w:rFonts w:ascii="Arial" w:hAnsi="Arial" w:cs="Arial" w:eastAsia="Arial" w:hint="default"/>
                <w:sz w:val="18"/>
                <w:szCs w:val="18"/>
              </w:rPr>
            </w:pPr>
            <w:r>
              <w:rPr>
                <w:rFonts w:ascii="Arial"/>
                <w:sz w:val="18"/>
              </w:rPr>
              <w:t>(%)</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26"/>
              <w:ind w:left="864" w:right="0"/>
              <w:jc w:val="left"/>
              <w:rPr>
                <w:rFonts w:ascii="Arial" w:hAnsi="Arial" w:cs="Arial" w:eastAsia="Arial" w:hint="default"/>
                <w:sz w:val="18"/>
                <w:szCs w:val="18"/>
              </w:rPr>
            </w:pPr>
            <w:r>
              <w:rPr>
                <w:rFonts w:ascii="Arial"/>
                <w:sz w:val="18"/>
              </w:rPr>
              <w:t>(%)</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84"/>
              <w:jc w:val="right"/>
              <w:rPr>
                <w:rFonts w:ascii="宋体" w:hAnsi="宋体" w:cs="宋体" w:eastAsia="宋体" w:hint="default"/>
                <w:sz w:val="18"/>
                <w:szCs w:val="18"/>
              </w:rPr>
            </w:pPr>
            <w:r>
              <w:rPr>
                <w:rFonts w:ascii="宋体" w:hAnsi="宋体" w:cs="宋体" w:eastAsia="宋体" w:hint="default"/>
                <w:sz w:val="18"/>
                <w:szCs w:val="18"/>
              </w:rPr>
              <w:t>是否合并报表</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少数股东权益</w:t>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32" w:lineRule="exact"/>
              <w:ind w:left="607" w:right="212" w:hanging="360"/>
              <w:jc w:val="left"/>
              <w:rPr>
                <w:rFonts w:ascii="宋体" w:hAnsi="宋体" w:cs="宋体" w:eastAsia="宋体" w:hint="default"/>
                <w:sz w:val="18"/>
                <w:szCs w:val="18"/>
              </w:rPr>
            </w:pPr>
            <w:r>
              <w:rPr>
                <w:rFonts w:ascii="宋体" w:hAnsi="宋体" w:cs="宋体" w:eastAsia="宋体" w:hint="default"/>
                <w:sz w:val="18"/>
                <w:szCs w:val="18"/>
              </w:rPr>
              <w:t>少数股东权益中用于冲减 少数股东损益的金额</w:t>
            </w:r>
          </w:p>
        </w:tc>
      </w:tr>
      <w:tr>
        <w:trPr>
          <w:trHeight w:val="696" w:hRule="exact"/>
        </w:trPr>
        <w:tc>
          <w:tcPr>
            <w:tcW w:w="691"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78" w:lineRule="auto" w:before="112"/>
              <w:ind w:left="391" w:right="282" w:hanging="195"/>
              <w:jc w:val="left"/>
              <w:rPr>
                <w:rFonts w:ascii="宋体" w:hAnsi="宋体" w:cs="宋体" w:eastAsia="宋体" w:hint="default"/>
                <w:sz w:val="18"/>
                <w:szCs w:val="18"/>
              </w:rPr>
            </w:pPr>
            <w:r>
              <w:rPr>
                <w:rFonts w:ascii="宋体" w:hAnsi="宋体" w:cs="宋体" w:eastAsia="宋体" w:hint="default"/>
                <w:sz w:val="18"/>
                <w:szCs w:val="18"/>
              </w:rPr>
              <w:t>陕西苏宁电器 有限责任公司</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97"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116" w:right="0"/>
              <w:jc w:val="left"/>
              <w:rPr>
                <w:rFonts w:ascii="宋体" w:hAnsi="宋体" w:cs="宋体" w:eastAsia="宋体" w:hint="default"/>
                <w:sz w:val="18"/>
                <w:szCs w:val="18"/>
              </w:rPr>
            </w:pPr>
            <w:r>
              <w:rPr>
                <w:rFonts w:ascii="Arial" w:hAnsi="Arial" w:cs="Arial" w:eastAsia="Arial" w:hint="default"/>
                <w:sz w:val="18"/>
                <w:szCs w:val="18"/>
              </w:rPr>
              <w:t>18,120.81</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08"/>
              <w:jc w:val="right"/>
              <w:rPr>
                <w:rFonts w:ascii="Arial" w:hAnsi="Arial" w:cs="Arial" w:eastAsia="Arial" w:hint="default"/>
                <w:sz w:val="18"/>
                <w:szCs w:val="18"/>
              </w:rPr>
            </w:pPr>
            <w:r>
              <w:rPr>
                <w:rFonts w:ascii="Arial"/>
                <w:w w:val="99"/>
                <w:sz w:val="18"/>
              </w:rPr>
              <w:t>-</w:t>
            </w:r>
            <w:r>
              <w:rPr>
                <w:rFonts w:ascii="Arial"/>
                <w:sz w:val="18"/>
              </w:rPr>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64"/>
              <w:jc w:val="right"/>
              <w:rPr>
                <w:rFonts w:ascii="Arial" w:hAnsi="Arial" w:cs="Arial" w:eastAsia="Arial" w:hint="default"/>
                <w:sz w:val="18"/>
                <w:szCs w:val="18"/>
              </w:rPr>
            </w:pPr>
            <w:r>
              <w:rPr>
                <w:rFonts w:ascii="Arial"/>
                <w:w w:val="95"/>
                <w:sz w:val="18"/>
              </w:rPr>
              <w:t>100%</w:t>
            </w:r>
            <w:r>
              <w:rPr>
                <w:rFonts w:ascii="Arial"/>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78"/>
              <w:jc w:val="right"/>
              <w:rPr>
                <w:rFonts w:ascii="Arial" w:hAnsi="Arial" w:cs="Arial" w:eastAsia="Arial" w:hint="default"/>
                <w:sz w:val="18"/>
                <w:szCs w:val="18"/>
              </w:rPr>
            </w:pPr>
            <w:r>
              <w:rPr>
                <w:rFonts w:ascii="Arial"/>
                <w:w w:val="95"/>
                <w:sz w:val="18"/>
              </w:rPr>
              <w:t>100%</w:t>
            </w:r>
            <w:r>
              <w:rPr>
                <w:rFonts w:ascii="Arial"/>
                <w:sz w:val="18"/>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84"/>
              <w:jc w:val="right"/>
              <w:rPr>
                <w:rFonts w:ascii="宋体" w:hAnsi="宋体" w:cs="宋体" w:eastAsia="宋体" w:hint="default"/>
                <w:sz w:val="18"/>
                <w:szCs w:val="18"/>
              </w:rPr>
            </w:pPr>
            <w:r>
              <w:rPr>
                <w:rFonts w:ascii="宋体" w:hAnsi="宋体" w:cs="宋体" w:eastAsia="宋体" w:hint="default"/>
                <w:sz w:val="18"/>
                <w:szCs w:val="18"/>
              </w:rPr>
              <w:t>是</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45"/>
              <w:jc w:val="right"/>
              <w:rPr>
                <w:rFonts w:ascii="Arial" w:hAnsi="Arial" w:cs="Arial" w:eastAsia="Arial" w:hint="default"/>
                <w:sz w:val="18"/>
                <w:szCs w:val="18"/>
              </w:rPr>
            </w:pPr>
            <w:r>
              <w:rPr>
                <w:rFonts w:ascii="Arial"/>
                <w:w w:val="99"/>
                <w:sz w:val="18"/>
              </w:rPr>
              <w:t>-</w:t>
            </w:r>
            <w:r>
              <w:rPr>
                <w:rFonts w:ascii="Arial"/>
                <w:sz w:val="18"/>
              </w:rPr>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596" w:hRule="exact"/>
        </w:trPr>
        <w:tc>
          <w:tcPr>
            <w:tcW w:w="691"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76" w:lineRule="auto" w:before="13"/>
              <w:ind w:left="391" w:right="476" w:hanging="195"/>
              <w:jc w:val="left"/>
              <w:rPr>
                <w:rFonts w:ascii="宋体" w:hAnsi="宋体" w:cs="宋体" w:eastAsia="宋体" w:hint="default"/>
                <w:sz w:val="18"/>
                <w:szCs w:val="18"/>
              </w:rPr>
            </w:pPr>
            <w:r>
              <w:rPr>
                <w:rFonts w:ascii="宋体" w:hAnsi="宋体" w:cs="宋体" w:eastAsia="宋体" w:hint="default"/>
                <w:sz w:val="18"/>
                <w:szCs w:val="18"/>
              </w:rPr>
              <w:t>浙江苏宁电器 有限公司</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97"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6"/>
              <w:ind w:left="116" w:right="0"/>
              <w:jc w:val="left"/>
              <w:rPr>
                <w:rFonts w:ascii="宋体" w:hAnsi="宋体" w:cs="宋体" w:eastAsia="宋体" w:hint="default"/>
                <w:sz w:val="18"/>
                <w:szCs w:val="18"/>
              </w:rPr>
            </w:pPr>
            <w:r>
              <w:rPr>
                <w:rFonts w:ascii="Arial" w:hAnsi="Arial" w:cs="Arial" w:eastAsia="Arial" w:hint="default"/>
                <w:sz w:val="18"/>
                <w:szCs w:val="18"/>
              </w:rPr>
              <w:t>38,487.85</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8"/>
              <w:jc w:val="right"/>
              <w:rPr>
                <w:rFonts w:ascii="Arial" w:hAnsi="Arial" w:cs="Arial" w:eastAsia="Arial" w:hint="default"/>
                <w:sz w:val="18"/>
                <w:szCs w:val="18"/>
              </w:rPr>
            </w:pPr>
            <w:r>
              <w:rPr>
                <w:rFonts w:ascii="Arial"/>
                <w:w w:val="99"/>
                <w:sz w:val="18"/>
              </w:rPr>
              <w:t>-</w:t>
            </w:r>
            <w:r>
              <w:rPr>
                <w:rFonts w:ascii="Arial"/>
                <w:sz w:val="18"/>
              </w:rPr>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64"/>
              <w:jc w:val="right"/>
              <w:rPr>
                <w:rFonts w:ascii="Arial" w:hAnsi="Arial" w:cs="Arial" w:eastAsia="Arial" w:hint="default"/>
                <w:sz w:val="18"/>
                <w:szCs w:val="18"/>
              </w:rPr>
            </w:pPr>
            <w:r>
              <w:rPr>
                <w:rFonts w:ascii="Arial"/>
                <w:w w:val="95"/>
                <w:sz w:val="18"/>
              </w:rPr>
              <w:t>100%</w:t>
            </w:r>
            <w:r>
              <w:rPr>
                <w:rFonts w:ascii="Arial"/>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78"/>
              <w:jc w:val="right"/>
              <w:rPr>
                <w:rFonts w:ascii="Arial" w:hAnsi="Arial" w:cs="Arial" w:eastAsia="Arial" w:hint="default"/>
                <w:sz w:val="18"/>
                <w:szCs w:val="18"/>
              </w:rPr>
            </w:pPr>
            <w:r>
              <w:rPr>
                <w:rFonts w:ascii="Arial"/>
                <w:w w:val="95"/>
                <w:sz w:val="18"/>
              </w:rPr>
              <w:t>100%</w:t>
            </w:r>
            <w:r>
              <w:rPr>
                <w:rFonts w:ascii="Arial"/>
                <w:sz w:val="18"/>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4"/>
              <w:jc w:val="right"/>
              <w:rPr>
                <w:rFonts w:ascii="宋体" w:hAnsi="宋体" w:cs="宋体" w:eastAsia="宋体" w:hint="default"/>
                <w:sz w:val="18"/>
                <w:szCs w:val="18"/>
              </w:rPr>
            </w:pPr>
            <w:r>
              <w:rPr>
                <w:rFonts w:ascii="宋体" w:hAnsi="宋体" w:cs="宋体" w:eastAsia="宋体" w:hint="default"/>
                <w:sz w:val="18"/>
                <w:szCs w:val="18"/>
              </w:rPr>
              <w:t>是</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5"/>
              <w:jc w:val="right"/>
              <w:rPr>
                <w:rFonts w:ascii="Arial" w:hAnsi="Arial" w:cs="Arial" w:eastAsia="Arial" w:hint="default"/>
                <w:sz w:val="18"/>
                <w:szCs w:val="18"/>
              </w:rPr>
            </w:pPr>
            <w:r>
              <w:rPr>
                <w:rFonts w:ascii="Arial"/>
                <w:w w:val="99"/>
                <w:sz w:val="18"/>
              </w:rPr>
              <w:t>-</w:t>
            </w:r>
            <w:r>
              <w:rPr>
                <w:rFonts w:ascii="Arial"/>
                <w:sz w:val="18"/>
              </w:rPr>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598" w:hRule="exact"/>
        </w:trPr>
        <w:tc>
          <w:tcPr>
            <w:tcW w:w="691"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78" w:lineRule="auto" w:before="13"/>
              <w:ind w:left="408" w:right="476" w:hanging="212"/>
              <w:jc w:val="left"/>
              <w:rPr>
                <w:rFonts w:ascii="宋体" w:hAnsi="宋体" w:cs="宋体" w:eastAsia="宋体" w:hint="default"/>
                <w:sz w:val="18"/>
                <w:szCs w:val="18"/>
              </w:rPr>
            </w:pPr>
            <w:r>
              <w:rPr>
                <w:rFonts w:ascii="宋体" w:hAnsi="宋体" w:cs="宋体" w:eastAsia="宋体" w:hint="default"/>
                <w:sz w:val="18"/>
                <w:szCs w:val="18"/>
              </w:rPr>
              <w:t>武汉苏宁电器 有限公司</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97"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116" w:right="0"/>
              <w:jc w:val="left"/>
              <w:rPr>
                <w:rFonts w:ascii="宋体" w:hAnsi="宋体" w:cs="宋体" w:eastAsia="宋体" w:hint="default"/>
                <w:sz w:val="18"/>
                <w:szCs w:val="18"/>
              </w:rPr>
            </w:pPr>
            <w:r>
              <w:rPr>
                <w:rFonts w:ascii="Arial" w:hAnsi="Arial" w:cs="Arial" w:eastAsia="Arial" w:hint="default"/>
                <w:sz w:val="18"/>
                <w:szCs w:val="18"/>
              </w:rPr>
              <w:t>38,206.00</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8"/>
              <w:jc w:val="right"/>
              <w:rPr>
                <w:rFonts w:ascii="Arial" w:hAnsi="Arial" w:cs="Arial" w:eastAsia="Arial" w:hint="default"/>
                <w:sz w:val="18"/>
                <w:szCs w:val="18"/>
              </w:rPr>
            </w:pPr>
            <w:r>
              <w:rPr>
                <w:rFonts w:ascii="Arial"/>
                <w:w w:val="99"/>
                <w:sz w:val="18"/>
              </w:rPr>
              <w:t>-</w:t>
            </w:r>
            <w:r>
              <w:rPr>
                <w:rFonts w:ascii="Arial"/>
                <w:sz w:val="18"/>
              </w:rPr>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64"/>
              <w:jc w:val="right"/>
              <w:rPr>
                <w:rFonts w:ascii="Arial" w:hAnsi="Arial" w:cs="Arial" w:eastAsia="Arial" w:hint="default"/>
                <w:sz w:val="18"/>
                <w:szCs w:val="18"/>
              </w:rPr>
            </w:pPr>
            <w:r>
              <w:rPr>
                <w:rFonts w:ascii="Arial"/>
                <w:w w:val="95"/>
                <w:sz w:val="18"/>
              </w:rPr>
              <w:t>100%</w:t>
            </w:r>
            <w:r>
              <w:rPr>
                <w:rFonts w:ascii="Arial"/>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78"/>
              <w:jc w:val="right"/>
              <w:rPr>
                <w:rFonts w:ascii="Arial" w:hAnsi="Arial" w:cs="Arial" w:eastAsia="Arial" w:hint="default"/>
                <w:sz w:val="18"/>
                <w:szCs w:val="18"/>
              </w:rPr>
            </w:pPr>
            <w:r>
              <w:rPr>
                <w:rFonts w:ascii="Arial"/>
                <w:w w:val="95"/>
                <w:sz w:val="18"/>
              </w:rPr>
              <w:t>100%</w:t>
            </w:r>
            <w:r>
              <w:rPr>
                <w:rFonts w:ascii="Arial"/>
                <w:sz w:val="18"/>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4"/>
              <w:jc w:val="right"/>
              <w:rPr>
                <w:rFonts w:ascii="宋体" w:hAnsi="宋体" w:cs="宋体" w:eastAsia="宋体" w:hint="default"/>
                <w:sz w:val="18"/>
                <w:szCs w:val="18"/>
              </w:rPr>
            </w:pPr>
            <w:r>
              <w:rPr>
                <w:rFonts w:ascii="宋体" w:hAnsi="宋体" w:cs="宋体" w:eastAsia="宋体" w:hint="default"/>
                <w:sz w:val="18"/>
                <w:szCs w:val="18"/>
              </w:rPr>
              <w:t>是</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5"/>
              <w:jc w:val="right"/>
              <w:rPr>
                <w:rFonts w:ascii="Arial" w:hAnsi="Arial" w:cs="Arial" w:eastAsia="Arial" w:hint="default"/>
                <w:sz w:val="18"/>
                <w:szCs w:val="18"/>
              </w:rPr>
            </w:pPr>
            <w:r>
              <w:rPr>
                <w:rFonts w:ascii="Arial"/>
                <w:w w:val="99"/>
                <w:sz w:val="18"/>
              </w:rPr>
              <w:t>-</w:t>
            </w:r>
            <w:r>
              <w:rPr>
                <w:rFonts w:ascii="Arial"/>
                <w:sz w:val="18"/>
              </w:rPr>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598" w:hRule="exact"/>
        </w:trPr>
        <w:tc>
          <w:tcPr>
            <w:tcW w:w="691"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78" w:lineRule="auto" w:before="13"/>
              <w:ind w:left="408" w:right="476" w:hanging="212"/>
              <w:jc w:val="left"/>
              <w:rPr>
                <w:rFonts w:ascii="宋体" w:hAnsi="宋体" w:cs="宋体" w:eastAsia="宋体" w:hint="default"/>
                <w:sz w:val="18"/>
                <w:szCs w:val="18"/>
              </w:rPr>
            </w:pPr>
            <w:r>
              <w:rPr>
                <w:rFonts w:ascii="宋体" w:hAnsi="宋体" w:cs="宋体" w:eastAsia="宋体" w:hint="default"/>
                <w:sz w:val="18"/>
                <w:szCs w:val="18"/>
              </w:rPr>
              <w:t>沈阳苏宁电器 有限公司</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97"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116" w:right="0"/>
              <w:jc w:val="left"/>
              <w:rPr>
                <w:rFonts w:ascii="宋体" w:hAnsi="宋体" w:cs="宋体" w:eastAsia="宋体" w:hint="default"/>
                <w:sz w:val="18"/>
                <w:szCs w:val="18"/>
              </w:rPr>
            </w:pPr>
            <w:r>
              <w:rPr>
                <w:rFonts w:ascii="Arial" w:hAnsi="Arial" w:cs="Arial" w:eastAsia="Arial" w:hint="default"/>
                <w:sz w:val="18"/>
                <w:szCs w:val="18"/>
              </w:rPr>
              <w:t>35,469.97</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8"/>
              <w:jc w:val="right"/>
              <w:rPr>
                <w:rFonts w:ascii="Arial" w:hAnsi="Arial" w:cs="Arial" w:eastAsia="Arial" w:hint="default"/>
                <w:sz w:val="18"/>
                <w:szCs w:val="18"/>
              </w:rPr>
            </w:pPr>
            <w:r>
              <w:rPr>
                <w:rFonts w:ascii="Arial"/>
                <w:w w:val="99"/>
                <w:sz w:val="18"/>
              </w:rPr>
              <w:t>-</w:t>
            </w:r>
            <w:r>
              <w:rPr>
                <w:rFonts w:ascii="Arial"/>
                <w:sz w:val="18"/>
              </w:rPr>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64"/>
              <w:jc w:val="right"/>
              <w:rPr>
                <w:rFonts w:ascii="Arial" w:hAnsi="Arial" w:cs="Arial" w:eastAsia="Arial" w:hint="default"/>
                <w:sz w:val="18"/>
                <w:szCs w:val="18"/>
              </w:rPr>
            </w:pPr>
            <w:r>
              <w:rPr>
                <w:rFonts w:ascii="Arial"/>
                <w:w w:val="95"/>
                <w:sz w:val="18"/>
              </w:rPr>
              <w:t>100%</w:t>
            </w:r>
            <w:r>
              <w:rPr>
                <w:rFonts w:ascii="Arial"/>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78"/>
              <w:jc w:val="right"/>
              <w:rPr>
                <w:rFonts w:ascii="Arial" w:hAnsi="Arial" w:cs="Arial" w:eastAsia="Arial" w:hint="default"/>
                <w:sz w:val="18"/>
                <w:szCs w:val="18"/>
              </w:rPr>
            </w:pPr>
            <w:r>
              <w:rPr>
                <w:rFonts w:ascii="Arial"/>
                <w:w w:val="95"/>
                <w:sz w:val="18"/>
              </w:rPr>
              <w:t>100%</w:t>
            </w:r>
            <w:r>
              <w:rPr>
                <w:rFonts w:ascii="Arial"/>
                <w:sz w:val="18"/>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4"/>
              <w:jc w:val="right"/>
              <w:rPr>
                <w:rFonts w:ascii="宋体" w:hAnsi="宋体" w:cs="宋体" w:eastAsia="宋体" w:hint="default"/>
                <w:sz w:val="18"/>
                <w:szCs w:val="18"/>
              </w:rPr>
            </w:pPr>
            <w:r>
              <w:rPr>
                <w:rFonts w:ascii="宋体" w:hAnsi="宋体" w:cs="宋体" w:eastAsia="宋体" w:hint="default"/>
                <w:sz w:val="18"/>
                <w:szCs w:val="18"/>
              </w:rPr>
              <w:t>是</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5"/>
              <w:jc w:val="right"/>
              <w:rPr>
                <w:rFonts w:ascii="Arial" w:hAnsi="Arial" w:cs="Arial" w:eastAsia="Arial" w:hint="default"/>
                <w:sz w:val="18"/>
                <w:szCs w:val="18"/>
              </w:rPr>
            </w:pPr>
            <w:r>
              <w:rPr>
                <w:rFonts w:ascii="Arial"/>
                <w:w w:val="99"/>
                <w:sz w:val="18"/>
              </w:rPr>
              <w:t>-</w:t>
            </w:r>
            <w:r>
              <w:rPr>
                <w:rFonts w:ascii="Arial"/>
                <w:sz w:val="18"/>
              </w:rPr>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595" w:hRule="exact"/>
        </w:trPr>
        <w:tc>
          <w:tcPr>
            <w:tcW w:w="691"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76" w:lineRule="auto" w:before="13"/>
              <w:ind w:left="391" w:right="282" w:hanging="195"/>
              <w:jc w:val="left"/>
              <w:rPr>
                <w:rFonts w:ascii="宋体" w:hAnsi="宋体" w:cs="宋体" w:eastAsia="宋体" w:hint="default"/>
                <w:sz w:val="18"/>
                <w:szCs w:val="18"/>
              </w:rPr>
            </w:pPr>
            <w:r>
              <w:rPr>
                <w:rFonts w:ascii="宋体" w:hAnsi="宋体" w:cs="宋体" w:eastAsia="宋体" w:hint="default"/>
                <w:sz w:val="18"/>
                <w:szCs w:val="18"/>
              </w:rPr>
              <w:t>上海长宁苏宁 电器有限公司</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97"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5"/>
              <w:ind w:left="116" w:right="0"/>
              <w:jc w:val="left"/>
              <w:rPr>
                <w:rFonts w:ascii="宋体" w:hAnsi="宋体" w:cs="宋体" w:eastAsia="宋体" w:hint="default"/>
                <w:sz w:val="18"/>
                <w:szCs w:val="18"/>
              </w:rPr>
            </w:pPr>
            <w:r>
              <w:rPr>
                <w:rFonts w:ascii="Arial" w:hAnsi="Arial" w:cs="Arial" w:eastAsia="Arial" w:hint="default"/>
                <w:sz w:val="18"/>
                <w:szCs w:val="18"/>
              </w:rPr>
              <w:t>55,818.60</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8"/>
              <w:jc w:val="right"/>
              <w:rPr>
                <w:rFonts w:ascii="Arial" w:hAnsi="Arial" w:cs="Arial" w:eastAsia="Arial" w:hint="default"/>
                <w:sz w:val="18"/>
                <w:szCs w:val="18"/>
              </w:rPr>
            </w:pPr>
            <w:r>
              <w:rPr>
                <w:rFonts w:ascii="Arial"/>
                <w:w w:val="99"/>
                <w:sz w:val="18"/>
              </w:rPr>
              <w:t>-</w:t>
            </w:r>
            <w:r>
              <w:rPr>
                <w:rFonts w:ascii="Arial"/>
                <w:sz w:val="18"/>
              </w:rPr>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64"/>
              <w:jc w:val="right"/>
              <w:rPr>
                <w:rFonts w:ascii="Arial" w:hAnsi="Arial" w:cs="Arial" w:eastAsia="Arial" w:hint="default"/>
                <w:sz w:val="18"/>
                <w:szCs w:val="18"/>
              </w:rPr>
            </w:pPr>
            <w:r>
              <w:rPr>
                <w:rFonts w:ascii="Arial"/>
                <w:w w:val="95"/>
                <w:sz w:val="18"/>
              </w:rPr>
              <w:t>100%</w:t>
            </w:r>
            <w:r>
              <w:rPr>
                <w:rFonts w:ascii="Arial"/>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78"/>
              <w:jc w:val="right"/>
              <w:rPr>
                <w:rFonts w:ascii="Arial" w:hAnsi="Arial" w:cs="Arial" w:eastAsia="Arial" w:hint="default"/>
                <w:sz w:val="18"/>
                <w:szCs w:val="18"/>
              </w:rPr>
            </w:pPr>
            <w:r>
              <w:rPr>
                <w:rFonts w:ascii="Arial"/>
                <w:w w:val="95"/>
                <w:sz w:val="18"/>
              </w:rPr>
              <w:t>100%</w:t>
            </w:r>
            <w:r>
              <w:rPr>
                <w:rFonts w:ascii="Arial"/>
                <w:sz w:val="18"/>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4"/>
              <w:jc w:val="right"/>
              <w:rPr>
                <w:rFonts w:ascii="宋体" w:hAnsi="宋体" w:cs="宋体" w:eastAsia="宋体" w:hint="default"/>
                <w:sz w:val="18"/>
                <w:szCs w:val="18"/>
              </w:rPr>
            </w:pPr>
            <w:r>
              <w:rPr>
                <w:rFonts w:ascii="宋体" w:hAnsi="宋体" w:cs="宋体" w:eastAsia="宋体" w:hint="default"/>
                <w:sz w:val="18"/>
                <w:szCs w:val="18"/>
              </w:rPr>
              <w:t>是</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5"/>
              <w:jc w:val="right"/>
              <w:rPr>
                <w:rFonts w:ascii="Arial" w:hAnsi="Arial" w:cs="Arial" w:eastAsia="Arial" w:hint="default"/>
                <w:sz w:val="18"/>
                <w:szCs w:val="18"/>
              </w:rPr>
            </w:pPr>
            <w:r>
              <w:rPr>
                <w:rFonts w:ascii="Arial"/>
                <w:w w:val="99"/>
                <w:sz w:val="18"/>
              </w:rPr>
              <w:t>-</w:t>
            </w:r>
            <w:r>
              <w:rPr>
                <w:rFonts w:ascii="Arial"/>
                <w:sz w:val="18"/>
              </w:rPr>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598" w:hRule="exact"/>
        </w:trPr>
        <w:tc>
          <w:tcPr>
            <w:tcW w:w="691"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78" w:lineRule="auto" w:before="13"/>
              <w:ind w:left="391" w:right="476" w:hanging="195"/>
              <w:jc w:val="left"/>
              <w:rPr>
                <w:rFonts w:ascii="宋体" w:hAnsi="宋体" w:cs="宋体" w:eastAsia="宋体" w:hint="default"/>
                <w:sz w:val="18"/>
                <w:szCs w:val="18"/>
              </w:rPr>
            </w:pPr>
            <w:r>
              <w:rPr>
                <w:rFonts w:ascii="宋体" w:hAnsi="宋体" w:cs="宋体" w:eastAsia="宋体" w:hint="default"/>
                <w:sz w:val="18"/>
                <w:szCs w:val="18"/>
              </w:rPr>
              <w:t>福建苏宁电器 有限公司</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97"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116" w:right="0"/>
              <w:jc w:val="left"/>
              <w:rPr>
                <w:rFonts w:ascii="宋体" w:hAnsi="宋体" w:cs="宋体" w:eastAsia="宋体" w:hint="default"/>
                <w:sz w:val="18"/>
                <w:szCs w:val="18"/>
              </w:rPr>
            </w:pPr>
            <w:r>
              <w:rPr>
                <w:rFonts w:ascii="Arial" w:hAnsi="Arial" w:cs="Arial" w:eastAsia="Arial" w:hint="default"/>
                <w:sz w:val="18"/>
                <w:szCs w:val="18"/>
              </w:rPr>
              <w:t>47,293.97</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8"/>
              <w:jc w:val="right"/>
              <w:rPr>
                <w:rFonts w:ascii="Arial" w:hAnsi="Arial" w:cs="Arial" w:eastAsia="Arial" w:hint="default"/>
                <w:sz w:val="18"/>
                <w:szCs w:val="18"/>
              </w:rPr>
            </w:pPr>
            <w:r>
              <w:rPr>
                <w:rFonts w:ascii="Arial"/>
                <w:w w:val="99"/>
                <w:sz w:val="18"/>
              </w:rPr>
              <w:t>-</w:t>
            </w:r>
            <w:r>
              <w:rPr>
                <w:rFonts w:ascii="Arial"/>
                <w:sz w:val="18"/>
              </w:rPr>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64"/>
              <w:jc w:val="right"/>
              <w:rPr>
                <w:rFonts w:ascii="Arial" w:hAnsi="Arial" w:cs="Arial" w:eastAsia="Arial" w:hint="default"/>
                <w:sz w:val="18"/>
                <w:szCs w:val="18"/>
              </w:rPr>
            </w:pPr>
            <w:r>
              <w:rPr>
                <w:rFonts w:ascii="Arial"/>
                <w:w w:val="95"/>
                <w:sz w:val="18"/>
              </w:rPr>
              <w:t>100%</w:t>
            </w:r>
            <w:r>
              <w:rPr>
                <w:rFonts w:ascii="Arial"/>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78"/>
              <w:jc w:val="right"/>
              <w:rPr>
                <w:rFonts w:ascii="Arial" w:hAnsi="Arial" w:cs="Arial" w:eastAsia="Arial" w:hint="default"/>
                <w:sz w:val="18"/>
                <w:szCs w:val="18"/>
              </w:rPr>
            </w:pPr>
            <w:r>
              <w:rPr>
                <w:rFonts w:ascii="Arial"/>
                <w:w w:val="95"/>
                <w:sz w:val="18"/>
              </w:rPr>
              <w:t>100%</w:t>
            </w:r>
            <w:r>
              <w:rPr>
                <w:rFonts w:ascii="Arial"/>
                <w:sz w:val="18"/>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4"/>
              <w:jc w:val="right"/>
              <w:rPr>
                <w:rFonts w:ascii="宋体" w:hAnsi="宋体" w:cs="宋体" w:eastAsia="宋体" w:hint="default"/>
                <w:sz w:val="18"/>
                <w:szCs w:val="18"/>
              </w:rPr>
            </w:pPr>
            <w:r>
              <w:rPr>
                <w:rFonts w:ascii="宋体" w:hAnsi="宋体" w:cs="宋体" w:eastAsia="宋体" w:hint="default"/>
                <w:sz w:val="18"/>
                <w:szCs w:val="18"/>
              </w:rPr>
              <w:t>是</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5"/>
              <w:jc w:val="right"/>
              <w:rPr>
                <w:rFonts w:ascii="Arial" w:hAnsi="Arial" w:cs="Arial" w:eastAsia="Arial" w:hint="default"/>
                <w:sz w:val="18"/>
                <w:szCs w:val="18"/>
              </w:rPr>
            </w:pPr>
            <w:r>
              <w:rPr>
                <w:rFonts w:ascii="Arial"/>
                <w:w w:val="99"/>
                <w:sz w:val="18"/>
              </w:rPr>
              <w:t>-</w:t>
            </w:r>
            <w:r>
              <w:rPr>
                <w:rFonts w:ascii="Arial"/>
                <w:sz w:val="18"/>
              </w:rPr>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598" w:hRule="exact"/>
        </w:trPr>
        <w:tc>
          <w:tcPr>
            <w:tcW w:w="691"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97" w:right="0"/>
              <w:jc w:val="left"/>
              <w:rPr>
                <w:rFonts w:ascii="宋体" w:hAnsi="宋体" w:cs="宋体" w:eastAsia="宋体" w:hint="default"/>
                <w:sz w:val="18"/>
                <w:szCs w:val="18"/>
              </w:rPr>
            </w:pPr>
            <w:r>
              <w:rPr>
                <w:rFonts w:ascii="宋体" w:hAnsi="宋体" w:cs="宋体" w:eastAsia="宋体" w:hint="default"/>
                <w:sz w:val="18"/>
                <w:szCs w:val="18"/>
              </w:rPr>
              <w:t>厦门福厦苏宁</w:t>
            </w:r>
          </w:p>
          <w:p>
            <w:pPr>
              <w:pStyle w:val="TableParagraph"/>
              <w:spacing w:line="240" w:lineRule="auto" w:before="38"/>
              <w:ind w:left="559" w:right="0"/>
              <w:jc w:val="left"/>
              <w:rPr>
                <w:rFonts w:ascii="宋体" w:hAnsi="宋体" w:cs="宋体" w:eastAsia="宋体" w:hint="default"/>
                <w:sz w:val="18"/>
                <w:szCs w:val="18"/>
              </w:rPr>
            </w:pPr>
            <w:r>
              <w:rPr>
                <w:rFonts w:ascii="宋体" w:hAnsi="宋体" w:cs="宋体" w:eastAsia="宋体" w:hint="default"/>
                <w:sz w:val="18"/>
                <w:szCs w:val="18"/>
              </w:rPr>
              <w:t>电器有限公司</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97"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116" w:right="0"/>
              <w:jc w:val="left"/>
              <w:rPr>
                <w:rFonts w:ascii="宋体" w:hAnsi="宋体" w:cs="宋体" w:eastAsia="宋体" w:hint="default"/>
                <w:sz w:val="18"/>
                <w:szCs w:val="18"/>
              </w:rPr>
            </w:pPr>
            <w:r>
              <w:rPr>
                <w:rFonts w:ascii="Arial" w:hAnsi="Arial" w:cs="Arial" w:eastAsia="Arial" w:hint="default"/>
                <w:sz w:val="18"/>
                <w:szCs w:val="18"/>
              </w:rPr>
              <w:t>34,083.04</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8"/>
              <w:jc w:val="right"/>
              <w:rPr>
                <w:rFonts w:ascii="Arial" w:hAnsi="Arial" w:cs="Arial" w:eastAsia="Arial" w:hint="default"/>
                <w:sz w:val="18"/>
                <w:szCs w:val="18"/>
              </w:rPr>
            </w:pPr>
            <w:r>
              <w:rPr>
                <w:rFonts w:ascii="Arial"/>
                <w:w w:val="99"/>
                <w:sz w:val="18"/>
              </w:rPr>
              <w:t>-</w:t>
            </w:r>
            <w:r>
              <w:rPr>
                <w:rFonts w:ascii="Arial"/>
                <w:sz w:val="18"/>
              </w:rPr>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64"/>
              <w:jc w:val="right"/>
              <w:rPr>
                <w:rFonts w:ascii="Arial" w:hAnsi="Arial" w:cs="Arial" w:eastAsia="Arial" w:hint="default"/>
                <w:sz w:val="18"/>
                <w:szCs w:val="18"/>
              </w:rPr>
            </w:pPr>
            <w:r>
              <w:rPr>
                <w:rFonts w:ascii="Arial"/>
                <w:w w:val="95"/>
                <w:sz w:val="18"/>
              </w:rPr>
              <w:t>100%</w:t>
            </w:r>
            <w:r>
              <w:rPr>
                <w:rFonts w:ascii="Arial"/>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78"/>
              <w:jc w:val="right"/>
              <w:rPr>
                <w:rFonts w:ascii="Arial" w:hAnsi="Arial" w:cs="Arial" w:eastAsia="Arial" w:hint="default"/>
                <w:sz w:val="18"/>
                <w:szCs w:val="18"/>
              </w:rPr>
            </w:pPr>
            <w:r>
              <w:rPr>
                <w:rFonts w:ascii="Arial"/>
                <w:w w:val="95"/>
                <w:sz w:val="18"/>
              </w:rPr>
              <w:t>100%</w:t>
            </w:r>
            <w:r>
              <w:rPr>
                <w:rFonts w:ascii="Arial"/>
                <w:sz w:val="18"/>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4"/>
              <w:jc w:val="right"/>
              <w:rPr>
                <w:rFonts w:ascii="宋体" w:hAnsi="宋体" w:cs="宋体" w:eastAsia="宋体" w:hint="default"/>
                <w:sz w:val="18"/>
                <w:szCs w:val="18"/>
              </w:rPr>
            </w:pPr>
            <w:r>
              <w:rPr>
                <w:rFonts w:ascii="宋体" w:hAnsi="宋体" w:cs="宋体" w:eastAsia="宋体" w:hint="default"/>
                <w:sz w:val="18"/>
                <w:szCs w:val="18"/>
              </w:rPr>
              <w:t>是</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5"/>
              <w:jc w:val="right"/>
              <w:rPr>
                <w:rFonts w:ascii="Arial" w:hAnsi="Arial" w:cs="Arial" w:eastAsia="Arial" w:hint="default"/>
                <w:sz w:val="18"/>
                <w:szCs w:val="18"/>
              </w:rPr>
            </w:pPr>
            <w:r>
              <w:rPr>
                <w:rFonts w:ascii="Arial"/>
                <w:w w:val="99"/>
                <w:sz w:val="18"/>
              </w:rPr>
              <w:t>-</w:t>
            </w:r>
            <w:r>
              <w:rPr>
                <w:rFonts w:ascii="Arial"/>
                <w:sz w:val="18"/>
              </w:rPr>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529" w:hRule="exact"/>
        </w:trPr>
        <w:tc>
          <w:tcPr>
            <w:tcW w:w="691"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97" w:right="0"/>
              <w:jc w:val="left"/>
              <w:rPr>
                <w:rFonts w:ascii="宋体" w:hAnsi="宋体" w:cs="宋体" w:eastAsia="宋体" w:hint="default"/>
                <w:sz w:val="18"/>
                <w:szCs w:val="18"/>
              </w:rPr>
            </w:pPr>
            <w:r>
              <w:rPr>
                <w:rFonts w:ascii="宋体" w:hAnsi="宋体" w:cs="宋体" w:eastAsia="宋体" w:hint="default"/>
                <w:sz w:val="18"/>
                <w:szCs w:val="18"/>
              </w:rPr>
              <w:t>杭州苏宁电器</w:t>
            </w:r>
          </w:p>
          <w:p>
            <w:pPr>
              <w:pStyle w:val="TableParagraph"/>
              <w:spacing w:line="240" w:lineRule="auto" w:before="35"/>
              <w:ind w:left="55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97"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5"/>
              <w:ind w:left="147" w:right="0"/>
              <w:jc w:val="left"/>
              <w:rPr>
                <w:rFonts w:ascii="宋体" w:hAnsi="宋体" w:cs="宋体" w:eastAsia="宋体" w:hint="default"/>
                <w:sz w:val="18"/>
                <w:szCs w:val="18"/>
              </w:rPr>
            </w:pPr>
            <w:r>
              <w:rPr>
                <w:rFonts w:ascii="Arial" w:hAnsi="Arial" w:cs="Arial" w:eastAsia="Arial" w:hint="default"/>
                <w:sz w:val="18"/>
                <w:szCs w:val="18"/>
              </w:rPr>
              <w:t>29,819.93</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3"/>
              <w:jc w:val="right"/>
              <w:rPr>
                <w:rFonts w:ascii="Arial" w:hAnsi="Arial" w:cs="Arial" w:eastAsia="Arial" w:hint="default"/>
                <w:sz w:val="18"/>
                <w:szCs w:val="18"/>
              </w:rPr>
            </w:pPr>
            <w:r>
              <w:rPr>
                <w:rFonts w:ascii="Arial"/>
                <w:w w:val="99"/>
                <w:sz w:val="18"/>
              </w:rPr>
              <w:t>-</w:t>
            </w:r>
            <w:r>
              <w:rPr>
                <w:rFonts w:ascii="Arial"/>
                <w:sz w:val="18"/>
              </w:rPr>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3"/>
              <w:jc w:val="right"/>
              <w:rPr>
                <w:rFonts w:ascii="Arial" w:hAnsi="Arial" w:cs="Arial" w:eastAsia="Arial" w:hint="default"/>
                <w:sz w:val="18"/>
                <w:szCs w:val="18"/>
              </w:rPr>
            </w:pPr>
            <w:r>
              <w:rPr>
                <w:rFonts w:ascii="Arial"/>
                <w:w w:val="95"/>
                <w:sz w:val="18"/>
              </w:rPr>
              <w:t>100%</w:t>
            </w:r>
            <w:r>
              <w:rPr>
                <w:rFonts w:ascii="Arial"/>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6"/>
              <w:jc w:val="right"/>
              <w:rPr>
                <w:rFonts w:ascii="Arial" w:hAnsi="Arial" w:cs="Arial" w:eastAsia="Arial" w:hint="default"/>
                <w:sz w:val="18"/>
                <w:szCs w:val="18"/>
              </w:rPr>
            </w:pPr>
            <w:r>
              <w:rPr>
                <w:rFonts w:ascii="Arial"/>
                <w:w w:val="95"/>
                <w:sz w:val="18"/>
              </w:rPr>
              <w:t>100%</w:t>
            </w:r>
            <w:r>
              <w:rPr>
                <w:rFonts w:ascii="Arial"/>
                <w:sz w:val="18"/>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2"/>
              <w:jc w:val="right"/>
              <w:rPr>
                <w:rFonts w:ascii="宋体" w:hAnsi="宋体" w:cs="宋体" w:eastAsia="宋体" w:hint="default"/>
                <w:sz w:val="18"/>
                <w:szCs w:val="18"/>
              </w:rPr>
            </w:pPr>
            <w:r>
              <w:rPr>
                <w:rFonts w:ascii="宋体" w:hAnsi="宋体" w:cs="宋体" w:eastAsia="宋体" w:hint="default"/>
                <w:sz w:val="18"/>
                <w:szCs w:val="18"/>
              </w:rPr>
              <w:t>是</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59"/>
              <w:jc w:val="right"/>
              <w:rPr>
                <w:rFonts w:ascii="Arial" w:hAnsi="Arial" w:cs="Arial" w:eastAsia="Arial" w:hint="default"/>
                <w:sz w:val="18"/>
                <w:szCs w:val="18"/>
              </w:rPr>
            </w:pPr>
            <w:r>
              <w:rPr>
                <w:rFonts w:ascii="Arial"/>
                <w:w w:val="99"/>
                <w:sz w:val="18"/>
              </w:rPr>
              <w:t>-</w:t>
            </w:r>
            <w:r>
              <w:rPr>
                <w:rFonts w:ascii="Arial"/>
                <w:sz w:val="18"/>
              </w:rPr>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8"/>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footerReference w:type="default" r:id="rId68"/>
          <w:pgSz w:w="16850" w:h="11910" w:orient="landscape"/>
          <w:pgMar w:footer="1340" w:header="795" w:top="2020" w:bottom="1540" w:left="1420" w:right="0"/>
          <w:pgNumType w:start="131"/>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692"/>
        <w:gridCol w:w="1592"/>
        <w:gridCol w:w="1467"/>
        <w:gridCol w:w="2196"/>
        <w:gridCol w:w="1085"/>
        <w:gridCol w:w="1681"/>
        <w:gridCol w:w="1502"/>
        <w:gridCol w:w="1404"/>
        <w:gridCol w:w="1103"/>
        <w:gridCol w:w="1589"/>
      </w:tblGrid>
      <w:tr>
        <w:trPr>
          <w:trHeight w:val="497"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exact"/>
              <w:ind w:right="50"/>
              <w:jc w:val="center"/>
              <w:rPr>
                <w:rFonts w:ascii="黑体" w:hAnsi="黑体" w:cs="黑体" w:eastAsia="黑体" w:hint="default"/>
                <w:sz w:val="24"/>
                <w:szCs w:val="24"/>
              </w:rPr>
            </w:pPr>
            <w:r>
              <w:rPr>
                <w:rFonts w:ascii="黑体" w:hAnsi="黑体" w:cs="黑体" w:eastAsia="黑体" w:hint="default"/>
                <w:sz w:val="24"/>
                <w:szCs w:val="24"/>
              </w:rPr>
              <w:t>四</w:t>
            </w:r>
          </w:p>
        </w:tc>
        <w:tc>
          <w:tcPr>
            <w:tcW w:w="5255"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198" w:right="0"/>
              <w:jc w:val="left"/>
              <w:rPr>
                <w:rFonts w:ascii="Arial" w:hAnsi="Arial" w:cs="Arial" w:eastAsia="Arial" w:hint="default"/>
                <w:sz w:val="24"/>
                <w:szCs w:val="24"/>
              </w:rPr>
            </w:pPr>
            <w:r>
              <w:rPr>
                <w:rFonts w:ascii="黑体" w:hAnsi="黑体" w:cs="黑体" w:eastAsia="黑体" w:hint="default"/>
                <w:sz w:val="24"/>
                <w:szCs w:val="24"/>
              </w:rPr>
              <w:t>企业合并及合并财务报表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85"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r>
      <w:tr>
        <w:trPr>
          <w:trHeight w:val="748"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0"/>
              <w:jc w:val="center"/>
              <w:rPr>
                <w:rFonts w:ascii="Arial" w:hAnsi="Arial" w:cs="Arial" w:eastAsia="Arial" w:hint="default"/>
                <w:sz w:val="24"/>
                <w:szCs w:val="24"/>
              </w:rPr>
            </w:pPr>
            <w:r>
              <w:rPr>
                <w:rFonts w:ascii="Arial"/>
                <w:sz w:val="24"/>
              </w:rPr>
              <w:t>(1)</w:t>
            </w:r>
          </w:p>
        </w:tc>
        <w:tc>
          <w:tcPr>
            <w:tcW w:w="30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8"/>
              <w:ind w:left="198" w:right="0"/>
              <w:jc w:val="left"/>
              <w:rPr>
                <w:rFonts w:ascii="Arial" w:hAnsi="Arial" w:cs="Arial" w:eastAsia="Arial" w:hint="default"/>
                <w:sz w:val="24"/>
                <w:szCs w:val="24"/>
              </w:rPr>
            </w:pPr>
            <w:r>
              <w:rPr>
                <w:rFonts w:ascii="黑体" w:hAnsi="黑体" w:cs="黑体" w:eastAsia="黑体" w:hint="default"/>
                <w:sz w:val="24"/>
                <w:szCs w:val="24"/>
              </w:rPr>
              <w:t>子公司情况</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196"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r>
      <w:tr>
        <w:trPr>
          <w:trHeight w:val="739"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1" w:right="0"/>
              <w:jc w:val="center"/>
              <w:rPr>
                <w:rFonts w:ascii="Arial" w:hAnsi="Arial" w:cs="Arial" w:eastAsia="Arial" w:hint="default"/>
                <w:sz w:val="24"/>
                <w:szCs w:val="24"/>
              </w:rPr>
            </w:pPr>
            <w:r>
              <w:rPr>
                <w:rFonts w:ascii="Arial"/>
                <w:sz w:val="24"/>
              </w:rPr>
              <w:t>(b)</w:t>
            </w:r>
          </w:p>
        </w:tc>
        <w:tc>
          <w:tcPr>
            <w:tcW w:w="525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7"/>
              <w:ind w:left="198" w:right="0"/>
              <w:jc w:val="left"/>
              <w:rPr>
                <w:rFonts w:ascii="宋体" w:hAnsi="宋体" w:cs="宋体" w:eastAsia="宋体" w:hint="default"/>
                <w:sz w:val="24"/>
                <w:szCs w:val="24"/>
              </w:rPr>
            </w:pPr>
            <w:r>
              <w:rPr>
                <w:rFonts w:ascii="宋体" w:hAnsi="宋体" w:cs="宋体" w:eastAsia="宋体" w:hint="default"/>
                <w:sz w:val="24"/>
                <w:szCs w:val="24"/>
              </w:rPr>
              <w:t>通过同一控制下的企业合并取得的子公司</w:t>
            </w:r>
          </w:p>
        </w:tc>
        <w:tc>
          <w:tcPr>
            <w:tcW w:w="1085"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r>
      <w:tr>
        <w:trPr>
          <w:trHeight w:val="647" w:hRule="exact"/>
        </w:trPr>
        <w:tc>
          <w:tcPr>
            <w:tcW w:w="692"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72"/>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法人代表</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093" w:hRule="exact"/>
        </w:trPr>
        <w:tc>
          <w:tcPr>
            <w:tcW w:w="692"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30" w:lineRule="auto"/>
              <w:ind w:left="407" w:right="119" w:hanging="209"/>
              <w:jc w:val="both"/>
              <w:rPr>
                <w:rFonts w:ascii="Arial" w:hAnsi="Arial" w:cs="Arial" w:eastAsia="Arial" w:hint="default"/>
                <w:sz w:val="18"/>
                <w:szCs w:val="18"/>
              </w:rPr>
            </w:pPr>
            <w:r>
              <w:rPr>
                <w:rFonts w:ascii="宋体" w:hAnsi="宋体" w:cs="宋体" w:eastAsia="宋体" w:hint="default"/>
                <w:sz w:val="18"/>
                <w:szCs w:val="18"/>
              </w:rPr>
              <w:t>江苏昌祺贸易有 </w:t>
            </w:r>
            <w:r>
              <w:rPr>
                <w:rFonts w:ascii="宋体" w:hAnsi="宋体" w:cs="宋体" w:eastAsia="宋体" w:hint="default"/>
                <w:spacing w:val="6"/>
                <w:sz w:val="18"/>
                <w:szCs w:val="18"/>
              </w:rPr>
              <w:t>限公司</w:t>
            </w:r>
            <w:r>
              <w:rPr>
                <w:rFonts w:ascii="Arial" w:hAnsi="Arial" w:cs="Arial" w:eastAsia="Arial" w:hint="default"/>
                <w:spacing w:val="6"/>
                <w:sz w:val="18"/>
                <w:szCs w:val="18"/>
              </w:rPr>
              <w:t>(“</w:t>
            </w:r>
            <w:r>
              <w:rPr>
                <w:rFonts w:ascii="宋体" w:hAnsi="宋体" w:cs="宋体" w:eastAsia="宋体" w:hint="default"/>
                <w:spacing w:val="6"/>
                <w:sz w:val="18"/>
                <w:szCs w:val="18"/>
              </w:rPr>
              <w:t>江苏</w:t>
            </w:r>
            <w:r>
              <w:rPr>
                <w:rFonts w:ascii="宋体" w:hAnsi="宋体" w:cs="宋体" w:eastAsia="宋体" w:hint="default"/>
                <w:spacing w:val="7"/>
                <w:sz w:val="18"/>
                <w:szCs w:val="18"/>
              </w:rPr>
              <w:t> </w:t>
            </w:r>
            <w:r>
              <w:rPr>
                <w:rFonts w:ascii="宋体" w:hAnsi="宋体" w:cs="宋体" w:eastAsia="宋体" w:hint="default"/>
                <w:sz w:val="18"/>
                <w:szCs w:val="18"/>
              </w:rPr>
              <w:t>昌祺</w:t>
            </w:r>
            <w:r>
              <w:rPr>
                <w:rFonts w:ascii="Arial" w:hAnsi="Arial" w:cs="Arial" w:eastAsia="Arial" w:hint="default"/>
                <w:sz w:val="18"/>
                <w:szCs w:val="18"/>
              </w:rPr>
              <w:t>”</w:t>
            </w:r>
            <w:r>
              <w:rPr>
                <w:rFonts w:ascii="Arial" w:hAnsi="Arial" w:cs="Arial" w:eastAsia="Arial" w:hint="default"/>
                <w:sz w:val="18"/>
                <w:szCs w:val="18"/>
              </w:rPr>
              <w:t>)</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43" w:right="0"/>
              <w:jc w:val="left"/>
              <w:rPr>
                <w:rFonts w:ascii="宋体" w:hAnsi="宋体" w:cs="宋体" w:eastAsia="宋体" w:hint="default"/>
                <w:sz w:val="18"/>
                <w:szCs w:val="18"/>
              </w:rPr>
            </w:pPr>
            <w:r>
              <w:rPr>
                <w:rFonts w:ascii="宋体" w:hAnsi="宋体" w:cs="宋体" w:eastAsia="宋体" w:hint="default"/>
                <w:sz w:val="18"/>
                <w:szCs w:val="18"/>
              </w:rPr>
              <w:t>直接控股</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南京市</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34" w:lineRule="exact"/>
              <w:ind w:left="58" w:right="0"/>
              <w:jc w:val="left"/>
              <w:rPr>
                <w:rFonts w:ascii="宋体" w:hAnsi="宋体" w:cs="宋体" w:eastAsia="宋体" w:hint="default"/>
                <w:sz w:val="18"/>
                <w:szCs w:val="18"/>
              </w:rPr>
            </w:pPr>
            <w:r>
              <w:rPr>
                <w:rFonts w:ascii="宋体" w:hAnsi="宋体" w:cs="宋体" w:eastAsia="宋体" w:hint="default"/>
                <w:sz w:val="18"/>
                <w:szCs w:val="18"/>
              </w:rPr>
              <w:t>工程项目</w:t>
            </w:r>
          </w:p>
          <w:p>
            <w:pPr>
              <w:pStyle w:val="TableParagraph"/>
              <w:spacing w:line="234" w:lineRule="exact"/>
              <w:ind w:left="418"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34" w:lineRule="exact"/>
              <w:ind w:left="6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7" w:lineRule="exact"/>
              <w:ind w:left="56" w:right="0"/>
              <w:jc w:val="left"/>
              <w:rPr>
                <w:rFonts w:ascii="宋体" w:hAnsi="宋体" w:cs="宋体" w:eastAsia="宋体" w:hint="default"/>
                <w:sz w:val="18"/>
                <w:szCs w:val="18"/>
              </w:rPr>
            </w:pPr>
            <w:r>
              <w:rPr>
                <w:rFonts w:ascii="Arial" w:hAnsi="Arial" w:cs="Arial" w:eastAsia="Arial" w:hint="default"/>
                <w:sz w:val="18"/>
                <w:szCs w:val="18"/>
              </w:rPr>
              <w:t>1,500.00</w:t>
            </w:r>
            <w:r>
              <w:rPr>
                <w:rFonts w:ascii="Arial" w:hAnsi="Arial" w:cs="Arial" w:eastAsia="Arial" w:hint="default"/>
                <w:spacing w:val="-6"/>
                <w:sz w:val="18"/>
                <w:szCs w:val="18"/>
              </w:rPr>
              <w:t> </w:t>
            </w:r>
            <w:r>
              <w:rPr>
                <w:rFonts w:ascii="宋体" w:hAnsi="宋体" w:cs="宋体" w:eastAsia="宋体" w:hint="default"/>
                <w:sz w:val="18"/>
                <w:szCs w:val="18"/>
              </w:rPr>
              <w:t>万元</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34" w:lineRule="exact"/>
              <w:ind w:left="186" w:right="0"/>
              <w:jc w:val="left"/>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left="48"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金明</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39" w:right="0"/>
              <w:jc w:val="left"/>
              <w:rPr>
                <w:rFonts w:ascii="Arial" w:hAnsi="Arial" w:cs="Arial" w:eastAsia="Arial" w:hint="default"/>
                <w:sz w:val="18"/>
                <w:szCs w:val="18"/>
              </w:rPr>
            </w:pPr>
            <w:r>
              <w:rPr>
                <w:rFonts w:ascii="Arial"/>
                <w:sz w:val="18"/>
              </w:rPr>
              <w:t>59119768-4</w:t>
            </w:r>
          </w:p>
        </w:tc>
      </w:tr>
      <w:tr>
        <w:trPr>
          <w:trHeight w:val="887" w:hRule="exact"/>
        </w:trPr>
        <w:tc>
          <w:tcPr>
            <w:tcW w:w="692"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76" w:lineRule="auto" w:before="161"/>
              <w:ind w:left="687" w:right="237" w:hanging="180"/>
              <w:jc w:val="left"/>
              <w:rPr>
                <w:rFonts w:ascii="宋体" w:hAnsi="宋体" w:cs="宋体" w:eastAsia="宋体" w:hint="default"/>
                <w:sz w:val="18"/>
                <w:szCs w:val="18"/>
              </w:rPr>
            </w:pPr>
            <w:r>
              <w:rPr>
                <w:rFonts w:ascii="宋体" w:hAnsi="宋体" w:cs="宋体" w:eastAsia="宋体" w:hint="default"/>
                <w:sz w:val="18"/>
                <w:szCs w:val="18"/>
              </w:rPr>
              <w:t>年末实际 出资额</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32" w:lineRule="exact"/>
              <w:ind w:left="743" w:right="11" w:hanging="540"/>
              <w:jc w:val="left"/>
              <w:rPr>
                <w:rFonts w:ascii="宋体" w:hAnsi="宋体" w:cs="宋体" w:eastAsia="宋体" w:hint="default"/>
                <w:sz w:val="18"/>
                <w:szCs w:val="18"/>
              </w:rPr>
            </w:pPr>
            <w:r>
              <w:rPr>
                <w:rFonts w:ascii="宋体" w:hAnsi="宋体" w:cs="宋体" w:eastAsia="宋体" w:hint="default"/>
                <w:sz w:val="18"/>
                <w:szCs w:val="18"/>
              </w:rPr>
              <w:t>实质上构成对子公司净投 资的其他项目余额</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68"/>
              <w:jc w:val="right"/>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26"/>
              <w:ind w:right="69"/>
              <w:jc w:val="right"/>
              <w:rPr>
                <w:rFonts w:ascii="Arial" w:hAnsi="Arial" w:cs="Arial" w:eastAsia="Arial" w:hint="default"/>
                <w:sz w:val="18"/>
                <w:szCs w:val="18"/>
              </w:rPr>
            </w:pPr>
            <w:r>
              <w:rPr>
                <w:rFonts w:ascii="Arial"/>
                <w:w w:val="95"/>
                <w:sz w:val="18"/>
              </w:rPr>
              <w:t>(%)</w:t>
            </w:r>
            <w:r>
              <w:rPr>
                <w:rFonts w:ascii="Arial"/>
                <w:sz w:val="18"/>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68"/>
              <w:jc w:val="right"/>
              <w:rPr>
                <w:rFonts w:ascii="Arial" w:hAnsi="Arial" w:cs="Arial" w:eastAsia="Arial" w:hint="default"/>
                <w:sz w:val="18"/>
                <w:szCs w:val="18"/>
              </w:rPr>
            </w:pPr>
            <w:r>
              <w:rPr>
                <w:rFonts w:ascii="宋体" w:hAnsi="宋体" w:cs="宋体" w:eastAsia="宋体" w:hint="default"/>
                <w:sz w:val="18"/>
                <w:szCs w:val="18"/>
              </w:rPr>
              <w:t>表决权比例 </w:t>
            </w:r>
            <w:r>
              <w:rPr>
                <w:rFonts w:ascii="Arial" w:hAnsi="Arial" w:cs="Arial" w:eastAsia="Arial" w:hint="default"/>
                <w:sz w:val="18"/>
                <w:szCs w:val="18"/>
              </w:rPr>
              <w:t>(%)</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36"/>
              <w:jc w:val="right"/>
              <w:rPr>
                <w:rFonts w:ascii="宋体" w:hAnsi="宋体" w:cs="宋体" w:eastAsia="宋体" w:hint="default"/>
                <w:sz w:val="18"/>
                <w:szCs w:val="18"/>
              </w:rPr>
            </w:pPr>
            <w:r>
              <w:rPr>
                <w:rFonts w:ascii="宋体" w:hAnsi="宋体" w:cs="宋体" w:eastAsia="宋体" w:hint="default"/>
                <w:sz w:val="18"/>
                <w:szCs w:val="18"/>
              </w:rPr>
              <w:t>是否合并报表</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9"/>
              <w:jc w:val="right"/>
              <w:rPr>
                <w:rFonts w:ascii="宋体" w:hAnsi="宋体" w:cs="宋体" w:eastAsia="宋体" w:hint="default"/>
                <w:sz w:val="18"/>
                <w:szCs w:val="18"/>
              </w:rPr>
            </w:pPr>
            <w:r>
              <w:rPr>
                <w:rFonts w:ascii="宋体" w:hAnsi="宋体" w:cs="宋体" w:eastAsia="宋体" w:hint="default"/>
                <w:sz w:val="18"/>
                <w:szCs w:val="18"/>
              </w:rPr>
              <w:t>少数股东权益</w:t>
            </w:r>
          </w:p>
        </w:tc>
        <w:tc>
          <w:tcPr>
            <w:tcW w:w="26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32" w:lineRule="exact"/>
              <w:ind w:left="848" w:right="221" w:hanging="360"/>
              <w:jc w:val="left"/>
              <w:rPr>
                <w:rFonts w:ascii="宋体" w:hAnsi="宋体" w:cs="宋体" w:eastAsia="宋体" w:hint="default"/>
                <w:sz w:val="18"/>
                <w:szCs w:val="18"/>
              </w:rPr>
            </w:pPr>
            <w:r>
              <w:rPr>
                <w:rFonts w:ascii="宋体" w:hAnsi="宋体" w:cs="宋体" w:eastAsia="宋体" w:hint="default"/>
                <w:sz w:val="18"/>
                <w:szCs w:val="18"/>
              </w:rPr>
              <w:t>少数股东权益中用于冲减 少数股东损益的金额</w:t>
            </w:r>
          </w:p>
        </w:tc>
      </w:tr>
      <w:tr>
        <w:trPr>
          <w:trHeight w:val="685" w:hRule="exact"/>
        </w:trPr>
        <w:tc>
          <w:tcPr>
            <w:tcW w:w="692"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江苏昌祺</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67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121" w:right="0"/>
              <w:jc w:val="left"/>
              <w:rPr>
                <w:rFonts w:ascii="宋体" w:hAnsi="宋体" w:cs="宋体" w:eastAsia="宋体" w:hint="default"/>
                <w:sz w:val="18"/>
                <w:szCs w:val="18"/>
              </w:rPr>
            </w:pPr>
            <w:r>
              <w:rPr>
                <w:rFonts w:ascii="Arial" w:hAnsi="Arial" w:cs="Arial" w:eastAsia="Arial" w:hint="default"/>
                <w:sz w:val="18"/>
                <w:szCs w:val="18"/>
              </w:rPr>
              <w:t>5,039.33</w:t>
            </w:r>
            <w:r>
              <w:rPr>
                <w:rFonts w:ascii="Arial" w:hAnsi="Arial" w:cs="Arial" w:eastAsia="Arial" w:hint="default"/>
                <w:spacing w:val="-6"/>
                <w:sz w:val="18"/>
                <w:szCs w:val="18"/>
              </w:rPr>
              <w:t> </w:t>
            </w:r>
            <w:r>
              <w:rPr>
                <w:rFonts w:ascii="宋体" w:hAnsi="宋体" w:cs="宋体" w:eastAsia="宋体" w:hint="default"/>
                <w:sz w:val="18"/>
                <w:szCs w:val="18"/>
              </w:rPr>
              <w:t>万元</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9"/>
              <w:jc w:val="right"/>
              <w:rPr>
                <w:rFonts w:ascii="Arial" w:hAnsi="Arial" w:cs="Arial" w:eastAsia="Arial" w:hint="default"/>
                <w:sz w:val="18"/>
                <w:szCs w:val="18"/>
              </w:rPr>
            </w:pPr>
            <w:r>
              <w:rPr>
                <w:rFonts w:ascii="Arial"/>
                <w:w w:val="99"/>
                <w:sz w:val="18"/>
              </w:rPr>
              <w:t>-</w:t>
            </w:r>
            <w:r>
              <w:rPr>
                <w:rFonts w:ascii="Arial"/>
                <w:sz w:val="18"/>
              </w:rPr>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65" w:right="0"/>
              <w:jc w:val="left"/>
              <w:rPr>
                <w:rFonts w:ascii="Arial" w:hAnsi="Arial" w:cs="Arial" w:eastAsia="Arial" w:hint="default"/>
                <w:sz w:val="18"/>
                <w:szCs w:val="18"/>
              </w:rPr>
            </w:pPr>
            <w:r>
              <w:rPr>
                <w:rFonts w:ascii="Arial"/>
                <w:sz w:val="18"/>
              </w:rPr>
              <w:t>100%</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39"/>
              <w:jc w:val="right"/>
              <w:rPr>
                <w:rFonts w:ascii="Arial" w:hAnsi="Arial" w:cs="Arial" w:eastAsia="Arial" w:hint="default"/>
                <w:sz w:val="18"/>
                <w:szCs w:val="18"/>
              </w:rPr>
            </w:pPr>
            <w:r>
              <w:rPr>
                <w:rFonts w:ascii="Arial"/>
                <w:w w:val="95"/>
                <w:sz w:val="18"/>
              </w:rPr>
              <w:t>100%</w:t>
            </w:r>
            <w:r>
              <w:rPr>
                <w:rFonts w:ascii="Arial"/>
                <w:sz w:val="18"/>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1"/>
              <w:jc w:val="right"/>
              <w:rPr>
                <w:rFonts w:ascii="宋体" w:hAnsi="宋体" w:cs="宋体" w:eastAsia="宋体" w:hint="default"/>
                <w:sz w:val="18"/>
                <w:szCs w:val="18"/>
              </w:rPr>
            </w:pPr>
            <w:r>
              <w:rPr>
                <w:rFonts w:ascii="宋体" w:hAnsi="宋体" w:cs="宋体" w:eastAsia="宋体" w:hint="default"/>
                <w:sz w:val="18"/>
                <w:szCs w:val="18"/>
              </w:rPr>
              <w:t>是</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2"/>
              <w:jc w:val="right"/>
              <w:rPr>
                <w:rFonts w:ascii="Arial" w:hAnsi="Arial" w:cs="Arial" w:eastAsia="Arial" w:hint="default"/>
                <w:sz w:val="18"/>
                <w:szCs w:val="18"/>
              </w:rPr>
            </w:pPr>
            <w:r>
              <w:rPr>
                <w:rFonts w:ascii="Arial"/>
                <w:w w:val="99"/>
                <w:sz w:val="18"/>
              </w:rPr>
              <w:t>-</w:t>
            </w:r>
            <w:r>
              <w:rPr>
                <w:rFonts w:ascii="Arial"/>
                <w:sz w:val="18"/>
              </w:rPr>
            </w:r>
          </w:p>
        </w:tc>
        <w:tc>
          <w:tcPr>
            <w:tcW w:w="1103"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88"/>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685"/>
        <w:gridCol w:w="1830"/>
        <w:gridCol w:w="1624"/>
        <w:gridCol w:w="884"/>
        <w:gridCol w:w="1502"/>
        <w:gridCol w:w="773"/>
        <w:gridCol w:w="972"/>
        <w:gridCol w:w="1762"/>
        <w:gridCol w:w="1575"/>
        <w:gridCol w:w="1090"/>
        <w:gridCol w:w="1540"/>
      </w:tblGrid>
      <w:tr>
        <w:trPr>
          <w:trHeight w:val="497"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exact"/>
              <w:ind w:right="44"/>
              <w:jc w:val="center"/>
              <w:rPr>
                <w:rFonts w:ascii="黑体" w:hAnsi="黑体" w:cs="黑体" w:eastAsia="黑体" w:hint="default"/>
                <w:sz w:val="24"/>
                <w:szCs w:val="24"/>
              </w:rPr>
            </w:pPr>
            <w:r>
              <w:rPr>
                <w:rFonts w:ascii="黑体" w:hAnsi="黑体" w:cs="黑体" w:eastAsia="黑体" w:hint="default"/>
                <w:sz w:val="24"/>
                <w:szCs w:val="24"/>
              </w:rPr>
              <w:t>四</w:t>
            </w:r>
          </w:p>
        </w:tc>
        <w:tc>
          <w:tcPr>
            <w:tcW w:w="3454"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91" w:right="0"/>
              <w:jc w:val="left"/>
              <w:rPr>
                <w:rFonts w:ascii="Arial" w:hAnsi="Arial" w:cs="Arial" w:eastAsia="Arial" w:hint="default"/>
                <w:sz w:val="24"/>
                <w:szCs w:val="24"/>
              </w:rPr>
            </w:pPr>
            <w:r>
              <w:rPr>
                <w:rFonts w:ascii="黑体" w:hAnsi="黑体" w:cs="黑体" w:eastAsia="黑体" w:hint="default"/>
                <w:sz w:val="24"/>
                <w:szCs w:val="24"/>
              </w:rPr>
              <w:t>企业合并及合并财务报表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88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r>
      <w:tr>
        <w:trPr>
          <w:trHeight w:val="748"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8" w:right="0"/>
              <w:jc w:val="center"/>
              <w:rPr>
                <w:rFonts w:ascii="Arial" w:hAnsi="Arial" w:cs="Arial" w:eastAsia="Arial" w:hint="default"/>
                <w:sz w:val="24"/>
                <w:szCs w:val="24"/>
              </w:rPr>
            </w:pPr>
            <w:r>
              <w:rPr>
                <w:rFonts w:ascii="Arial"/>
                <w:sz w:val="24"/>
              </w:rPr>
              <w:t>(1)</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91" w:right="0"/>
              <w:jc w:val="left"/>
              <w:rPr>
                <w:rFonts w:ascii="Arial" w:hAnsi="Arial" w:cs="Arial" w:eastAsia="Arial" w:hint="default"/>
                <w:sz w:val="24"/>
                <w:szCs w:val="24"/>
              </w:rPr>
            </w:pPr>
            <w:r>
              <w:rPr>
                <w:rFonts w:ascii="黑体" w:hAnsi="黑体" w:cs="黑体" w:eastAsia="黑体" w:hint="default"/>
                <w:sz w:val="24"/>
                <w:szCs w:val="24"/>
              </w:rPr>
              <w:t>子公司情况</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24"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r>
      <w:tr>
        <w:trPr>
          <w:trHeight w:val="744"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3"/>
              <w:jc w:val="center"/>
              <w:rPr>
                <w:rFonts w:ascii="Arial" w:hAnsi="Arial" w:cs="Arial" w:eastAsia="Arial" w:hint="default"/>
                <w:sz w:val="24"/>
                <w:szCs w:val="24"/>
              </w:rPr>
            </w:pPr>
            <w:r>
              <w:rPr>
                <w:rFonts w:ascii="Arial"/>
                <w:sz w:val="24"/>
              </w:rPr>
              <w:t>(c)</w:t>
            </w:r>
          </w:p>
        </w:tc>
        <w:tc>
          <w:tcPr>
            <w:tcW w:w="584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7"/>
              <w:ind w:left="191" w:right="0"/>
              <w:jc w:val="left"/>
              <w:rPr>
                <w:rFonts w:ascii="宋体" w:hAnsi="宋体" w:cs="宋体" w:eastAsia="宋体" w:hint="default"/>
                <w:sz w:val="24"/>
                <w:szCs w:val="24"/>
              </w:rPr>
            </w:pPr>
            <w:r>
              <w:rPr>
                <w:rFonts w:ascii="宋体" w:hAnsi="宋体" w:cs="宋体" w:eastAsia="宋体" w:hint="default"/>
                <w:sz w:val="24"/>
                <w:szCs w:val="24"/>
              </w:rPr>
              <w:t>通过非同一控制下的企业合并取得的主要子公司</w:t>
            </w:r>
          </w:p>
        </w:tc>
        <w:tc>
          <w:tcPr>
            <w:tcW w:w="773"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r>
      <w:tr>
        <w:trPr>
          <w:trHeight w:val="653" w:hRule="exact"/>
        </w:trPr>
        <w:tc>
          <w:tcPr>
            <w:tcW w:w="685"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313"/>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7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52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法人代表</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04" w:hRule="exact"/>
        </w:trPr>
        <w:tc>
          <w:tcPr>
            <w:tcW w:w="685"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32" w:lineRule="exact"/>
              <w:ind w:left="388" w:right="287" w:hanging="197"/>
              <w:jc w:val="left"/>
              <w:rPr>
                <w:rFonts w:ascii="宋体" w:hAnsi="宋体" w:cs="宋体" w:eastAsia="宋体" w:hint="default"/>
                <w:sz w:val="18"/>
                <w:szCs w:val="18"/>
              </w:rPr>
            </w:pPr>
            <w:r>
              <w:rPr>
                <w:rFonts w:ascii="宋体" w:hAnsi="宋体" w:cs="宋体" w:eastAsia="宋体" w:hint="default"/>
                <w:sz w:val="18"/>
                <w:szCs w:val="18"/>
              </w:rPr>
              <w:t>日本 </w:t>
            </w:r>
            <w:r>
              <w:rPr>
                <w:rFonts w:ascii="Arial" w:hAnsi="Arial" w:cs="Arial" w:eastAsia="Arial" w:hint="default"/>
                <w:sz w:val="18"/>
                <w:szCs w:val="18"/>
              </w:rPr>
              <w:t>LAOX</w:t>
            </w:r>
            <w:r>
              <w:rPr>
                <w:rFonts w:ascii="Arial" w:hAnsi="Arial" w:cs="Arial" w:eastAsia="Arial" w:hint="default"/>
                <w:spacing w:val="7"/>
                <w:sz w:val="18"/>
                <w:szCs w:val="18"/>
              </w:rPr>
              <w:t> </w:t>
            </w:r>
            <w:r>
              <w:rPr>
                <w:rFonts w:ascii="宋体" w:hAnsi="宋体" w:cs="宋体" w:eastAsia="宋体" w:hint="default"/>
                <w:sz w:val="18"/>
                <w:szCs w:val="18"/>
              </w:rPr>
              <w:t>株式</w:t>
            </w:r>
            <w:r>
              <w:rPr>
                <w:rFonts w:ascii="宋体" w:hAnsi="宋体" w:cs="宋体" w:eastAsia="宋体" w:hint="default"/>
                <w:w w:val="100"/>
                <w:sz w:val="18"/>
                <w:szCs w:val="18"/>
              </w:rPr>
              <w:t> </w:t>
            </w:r>
            <w:r>
              <w:rPr>
                <w:rFonts w:ascii="宋体" w:hAnsi="宋体" w:cs="宋体" w:eastAsia="宋体" w:hint="default"/>
                <w:sz w:val="18"/>
                <w:szCs w:val="18"/>
              </w:rPr>
              <w:t>会社</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间接控股</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42"/>
              <w:jc w:val="right"/>
              <w:rPr>
                <w:rFonts w:ascii="宋体" w:hAnsi="宋体" w:cs="宋体" w:eastAsia="宋体" w:hint="default"/>
                <w:sz w:val="18"/>
                <w:szCs w:val="18"/>
              </w:rPr>
            </w:pPr>
            <w:r>
              <w:rPr>
                <w:rFonts w:ascii="宋体" w:hAnsi="宋体" w:cs="宋体" w:eastAsia="宋体" w:hint="default"/>
                <w:sz w:val="18"/>
                <w:szCs w:val="18"/>
              </w:rPr>
              <w:t>日本</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34" w:lineRule="exact"/>
              <w:ind w:left="44" w:right="0"/>
              <w:jc w:val="left"/>
              <w:rPr>
                <w:rFonts w:ascii="宋体" w:hAnsi="宋体" w:cs="宋体" w:eastAsia="宋体" w:hint="default"/>
                <w:sz w:val="18"/>
                <w:szCs w:val="18"/>
              </w:rPr>
            </w:pPr>
            <w:r>
              <w:rPr>
                <w:rFonts w:ascii="宋体" w:hAnsi="宋体" w:cs="宋体" w:eastAsia="宋体" w:hint="default"/>
                <w:sz w:val="18"/>
                <w:szCs w:val="18"/>
              </w:rPr>
              <w:t>电器和电子消费品</w:t>
            </w:r>
          </w:p>
          <w:p>
            <w:pPr>
              <w:pStyle w:val="TableParagraph"/>
              <w:spacing w:line="234" w:lineRule="exact"/>
              <w:ind w:left="584" w:right="0"/>
              <w:jc w:val="left"/>
              <w:rPr>
                <w:rFonts w:ascii="宋体" w:hAnsi="宋体" w:cs="宋体" w:eastAsia="宋体" w:hint="default"/>
                <w:sz w:val="18"/>
                <w:szCs w:val="18"/>
              </w:rPr>
            </w:pPr>
            <w:r>
              <w:rPr>
                <w:rFonts w:ascii="宋体" w:hAnsi="宋体" w:cs="宋体" w:eastAsia="宋体" w:hint="default"/>
                <w:sz w:val="18"/>
                <w:szCs w:val="18"/>
              </w:rPr>
              <w:t>的连锁销售</w:t>
            </w:r>
          </w:p>
        </w:tc>
        <w:tc>
          <w:tcPr>
            <w:tcW w:w="17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719" w:right="-9"/>
              <w:jc w:val="left"/>
              <w:rPr>
                <w:rFonts w:ascii="宋体" w:hAnsi="宋体" w:cs="宋体" w:eastAsia="宋体" w:hint="default"/>
                <w:sz w:val="18"/>
                <w:szCs w:val="18"/>
              </w:rPr>
            </w:pPr>
            <w:r>
              <w:rPr>
                <w:rFonts w:ascii="Arial" w:hAnsi="Arial" w:cs="Arial" w:eastAsia="Arial" w:hint="default"/>
                <w:sz w:val="18"/>
                <w:szCs w:val="18"/>
              </w:rPr>
              <w:t>124.5</w:t>
            </w:r>
            <w:r>
              <w:rPr>
                <w:rFonts w:ascii="Arial" w:hAnsi="Arial" w:cs="Arial" w:eastAsia="Arial" w:hint="default"/>
                <w:spacing w:val="-9"/>
                <w:sz w:val="18"/>
                <w:szCs w:val="18"/>
              </w:rPr>
              <w:t> </w:t>
            </w:r>
            <w:r>
              <w:rPr>
                <w:rFonts w:ascii="宋体" w:hAnsi="宋体" w:cs="宋体" w:eastAsia="宋体" w:hint="default"/>
                <w:sz w:val="18"/>
                <w:szCs w:val="18"/>
              </w:rPr>
              <w:t>亿日元</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34" w:lineRule="exact"/>
              <w:ind w:left="-9" w:right="0"/>
              <w:jc w:val="left"/>
              <w:rPr>
                <w:rFonts w:ascii="宋体" w:hAnsi="宋体" w:cs="宋体" w:eastAsia="宋体" w:hint="default"/>
                <w:sz w:val="18"/>
                <w:szCs w:val="18"/>
              </w:rPr>
            </w:pPr>
            <w:r>
              <w:rPr>
                <w:rFonts w:ascii="宋体" w:hAnsi="宋体" w:cs="宋体" w:eastAsia="宋体" w:hint="default"/>
                <w:sz w:val="18"/>
                <w:szCs w:val="18"/>
              </w:rPr>
              <w:t>电器和电子消费品</w:t>
            </w:r>
          </w:p>
          <w:p>
            <w:pPr>
              <w:pStyle w:val="TableParagraph"/>
              <w:spacing w:line="234" w:lineRule="exact"/>
              <w:ind w:left="531" w:right="0"/>
              <w:jc w:val="left"/>
              <w:rPr>
                <w:rFonts w:ascii="宋体" w:hAnsi="宋体" w:cs="宋体" w:eastAsia="宋体" w:hint="default"/>
                <w:sz w:val="18"/>
                <w:szCs w:val="18"/>
              </w:rPr>
            </w:pPr>
            <w:r>
              <w:rPr>
                <w:rFonts w:ascii="宋体" w:hAnsi="宋体" w:cs="宋体" w:eastAsia="宋体" w:hint="default"/>
                <w:sz w:val="18"/>
                <w:szCs w:val="18"/>
              </w:rPr>
              <w:t>的连锁销售</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93"/>
              <w:jc w:val="right"/>
              <w:rPr>
                <w:rFonts w:ascii="宋体" w:hAnsi="宋体" w:cs="宋体" w:eastAsia="宋体" w:hint="default"/>
                <w:sz w:val="18"/>
                <w:szCs w:val="18"/>
              </w:rPr>
            </w:pPr>
            <w:r>
              <w:rPr>
                <w:rFonts w:ascii="宋体" w:hAnsi="宋体" w:cs="宋体" w:eastAsia="宋体" w:hint="default"/>
                <w:sz w:val="18"/>
                <w:szCs w:val="18"/>
              </w:rPr>
              <w:t>股份有限公司</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罗怡文</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786" w:hRule="exact"/>
        </w:trPr>
        <w:tc>
          <w:tcPr>
            <w:tcW w:w="685"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Style w:val="TableParagraph"/>
              <w:spacing w:line="232" w:lineRule="exact" w:before="42"/>
              <w:ind w:left="388" w:right="275" w:hanging="197"/>
              <w:jc w:val="left"/>
              <w:rPr>
                <w:rFonts w:ascii="宋体" w:hAnsi="宋体" w:cs="宋体" w:eastAsia="宋体" w:hint="default"/>
                <w:sz w:val="18"/>
                <w:szCs w:val="18"/>
              </w:rPr>
            </w:pPr>
            <w:r>
              <w:rPr>
                <w:rFonts w:ascii="宋体" w:hAnsi="宋体" w:cs="宋体" w:eastAsia="宋体" w:hint="default"/>
                <w:spacing w:val="14"/>
                <w:sz w:val="18"/>
                <w:szCs w:val="18"/>
              </w:rPr>
              <w:t>无锡胜利门苏宁 </w:t>
            </w:r>
            <w:r>
              <w:rPr>
                <w:rFonts w:ascii="宋体" w:hAnsi="宋体" w:cs="宋体" w:eastAsia="宋体" w:hint="default"/>
                <w:sz w:val="18"/>
                <w:szCs w:val="18"/>
              </w:rPr>
              <w:t>电器有限公司</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8"/>
              <w:jc w:val="right"/>
              <w:rPr>
                <w:rFonts w:ascii="宋体" w:hAnsi="宋体" w:cs="宋体" w:eastAsia="宋体" w:hint="default"/>
                <w:sz w:val="18"/>
                <w:szCs w:val="18"/>
              </w:rPr>
            </w:pPr>
            <w:r>
              <w:rPr>
                <w:rFonts w:ascii="宋体" w:hAnsi="宋体" w:cs="宋体" w:eastAsia="宋体" w:hint="default"/>
                <w:sz w:val="18"/>
                <w:szCs w:val="18"/>
              </w:rPr>
              <w:t>直接控股</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2"/>
              <w:jc w:val="right"/>
              <w:rPr>
                <w:rFonts w:ascii="宋体" w:hAnsi="宋体" w:cs="宋体" w:eastAsia="宋体" w:hint="default"/>
                <w:sz w:val="18"/>
                <w:szCs w:val="18"/>
              </w:rPr>
            </w:pPr>
            <w:r>
              <w:rPr>
                <w:rFonts w:ascii="宋体" w:hAnsi="宋体" w:cs="宋体" w:eastAsia="宋体" w:hint="default"/>
                <w:sz w:val="18"/>
                <w:szCs w:val="18"/>
              </w:rPr>
              <w:t>无锡市</w:t>
            </w:r>
          </w:p>
        </w:tc>
        <w:tc>
          <w:tcPr>
            <w:tcW w:w="1502" w:type="dxa"/>
            <w:tcBorders>
              <w:top w:val="nil" w:sz="6" w:space="0" w:color="auto"/>
              <w:left w:val="nil" w:sz="6" w:space="0" w:color="auto"/>
              <w:bottom w:val="nil" w:sz="6" w:space="0" w:color="auto"/>
              <w:right w:val="nil" w:sz="6" w:space="0" w:color="auto"/>
            </w:tcBorders>
          </w:tcPr>
          <w:p>
            <w:pPr>
              <w:pStyle w:val="TableParagraph"/>
              <w:spacing w:line="234" w:lineRule="exact" w:before="18"/>
              <w:ind w:left="44" w:right="0"/>
              <w:jc w:val="left"/>
              <w:rPr>
                <w:rFonts w:ascii="宋体" w:hAnsi="宋体" w:cs="宋体" w:eastAsia="宋体" w:hint="default"/>
                <w:sz w:val="18"/>
                <w:szCs w:val="18"/>
              </w:rPr>
            </w:pPr>
            <w:r>
              <w:rPr>
                <w:rFonts w:ascii="宋体" w:hAnsi="宋体" w:cs="宋体" w:eastAsia="宋体" w:hint="default"/>
                <w:sz w:val="18"/>
                <w:szCs w:val="18"/>
              </w:rPr>
              <w:t>电器和电子消费品</w:t>
            </w:r>
          </w:p>
          <w:p>
            <w:pPr>
              <w:pStyle w:val="TableParagraph"/>
              <w:spacing w:line="234" w:lineRule="exact"/>
              <w:ind w:left="584" w:right="0"/>
              <w:jc w:val="left"/>
              <w:rPr>
                <w:rFonts w:ascii="宋体" w:hAnsi="宋体" w:cs="宋体" w:eastAsia="宋体" w:hint="default"/>
                <w:sz w:val="18"/>
                <w:szCs w:val="18"/>
              </w:rPr>
            </w:pPr>
            <w:r>
              <w:rPr>
                <w:rFonts w:ascii="宋体" w:hAnsi="宋体" w:cs="宋体" w:eastAsia="宋体" w:hint="default"/>
                <w:sz w:val="18"/>
                <w:szCs w:val="18"/>
              </w:rPr>
              <w:t>的连锁销售</w:t>
            </w:r>
          </w:p>
        </w:tc>
        <w:tc>
          <w:tcPr>
            <w:tcW w:w="17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1045"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479" w:right="0"/>
              <w:jc w:val="left"/>
              <w:rPr>
                <w:rFonts w:ascii="宋体" w:hAnsi="宋体" w:cs="宋体" w:eastAsia="宋体" w:hint="default"/>
                <w:sz w:val="18"/>
                <w:szCs w:val="18"/>
              </w:rPr>
            </w:pPr>
            <w:r>
              <w:rPr>
                <w:rFonts w:ascii="Arial" w:hAnsi="Arial" w:cs="Arial" w:eastAsia="Arial" w:hint="default"/>
                <w:sz w:val="18"/>
                <w:szCs w:val="18"/>
              </w:rPr>
              <w:t>2,500.00</w:t>
            </w:r>
            <w:r>
              <w:rPr>
                <w:rFonts w:ascii="Arial" w:hAnsi="Arial" w:cs="Arial" w:eastAsia="Arial" w:hint="default"/>
                <w:spacing w:val="-6"/>
                <w:sz w:val="18"/>
                <w:szCs w:val="18"/>
              </w:rPr>
              <w:t> </w:t>
            </w:r>
            <w:r>
              <w:rPr>
                <w:rFonts w:ascii="宋体" w:hAnsi="宋体" w:cs="宋体" w:eastAsia="宋体" w:hint="default"/>
                <w:sz w:val="18"/>
                <w:szCs w:val="18"/>
              </w:rPr>
              <w:t>万元</w:t>
            </w:r>
          </w:p>
        </w:tc>
        <w:tc>
          <w:tcPr>
            <w:tcW w:w="1762" w:type="dxa"/>
            <w:tcBorders>
              <w:top w:val="nil" w:sz="6" w:space="0" w:color="auto"/>
              <w:left w:val="nil" w:sz="6" w:space="0" w:color="auto"/>
              <w:bottom w:val="nil" w:sz="6" w:space="0" w:color="auto"/>
              <w:right w:val="nil" w:sz="6" w:space="0" w:color="auto"/>
            </w:tcBorders>
          </w:tcPr>
          <w:p>
            <w:pPr>
              <w:pStyle w:val="TableParagraph"/>
              <w:spacing w:line="234" w:lineRule="exact" w:before="18"/>
              <w:ind w:left="-9" w:right="0"/>
              <w:jc w:val="left"/>
              <w:rPr>
                <w:rFonts w:ascii="宋体" w:hAnsi="宋体" w:cs="宋体" w:eastAsia="宋体" w:hint="default"/>
                <w:sz w:val="18"/>
                <w:szCs w:val="18"/>
              </w:rPr>
            </w:pPr>
            <w:r>
              <w:rPr>
                <w:rFonts w:ascii="宋体" w:hAnsi="宋体" w:cs="宋体" w:eastAsia="宋体" w:hint="default"/>
                <w:sz w:val="18"/>
                <w:szCs w:val="18"/>
              </w:rPr>
              <w:t>电器和电子消费品</w:t>
            </w:r>
          </w:p>
          <w:p>
            <w:pPr>
              <w:pStyle w:val="TableParagraph"/>
              <w:spacing w:line="234" w:lineRule="exact"/>
              <w:ind w:left="531" w:right="0"/>
              <w:jc w:val="left"/>
              <w:rPr>
                <w:rFonts w:ascii="宋体" w:hAnsi="宋体" w:cs="宋体" w:eastAsia="宋体" w:hint="default"/>
                <w:sz w:val="18"/>
                <w:szCs w:val="18"/>
              </w:rPr>
            </w:pPr>
            <w:r>
              <w:rPr>
                <w:rFonts w:ascii="宋体" w:hAnsi="宋体" w:cs="宋体" w:eastAsia="宋体" w:hint="default"/>
                <w:sz w:val="18"/>
                <w:szCs w:val="18"/>
              </w:rPr>
              <w:t>的连锁销售</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8"/>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5"/>
              <w:jc w:val="right"/>
              <w:rPr>
                <w:rFonts w:ascii="宋体" w:hAnsi="宋体" w:cs="宋体" w:eastAsia="宋体" w:hint="default"/>
                <w:sz w:val="18"/>
                <w:szCs w:val="18"/>
              </w:rPr>
            </w:pPr>
            <w:r>
              <w:rPr>
                <w:rFonts w:ascii="宋体" w:hAnsi="宋体" w:cs="宋体" w:eastAsia="宋体" w:hint="default"/>
                <w:sz w:val="18"/>
                <w:szCs w:val="18"/>
              </w:rPr>
              <w:t>赵蓓</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98"/>
              <w:jc w:val="right"/>
              <w:rPr>
                <w:rFonts w:ascii="Arial" w:hAnsi="Arial" w:cs="Arial" w:eastAsia="Arial" w:hint="default"/>
                <w:sz w:val="18"/>
                <w:szCs w:val="18"/>
              </w:rPr>
            </w:pPr>
            <w:r>
              <w:rPr>
                <w:rFonts w:ascii="Arial"/>
                <w:spacing w:val="-1"/>
                <w:sz w:val="18"/>
              </w:rPr>
              <w:t>13600562-8</w:t>
            </w:r>
          </w:p>
        </w:tc>
      </w:tr>
      <w:tr>
        <w:trPr>
          <w:trHeight w:val="925" w:hRule="exact"/>
        </w:trPr>
        <w:tc>
          <w:tcPr>
            <w:tcW w:w="685"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78" w:lineRule="auto"/>
              <w:ind w:left="833" w:right="248" w:hanging="180"/>
              <w:jc w:val="left"/>
              <w:rPr>
                <w:rFonts w:ascii="宋体" w:hAnsi="宋体" w:cs="宋体" w:eastAsia="宋体" w:hint="default"/>
                <w:sz w:val="18"/>
                <w:szCs w:val="18"/>
              </w:rPr>
            </w:pPr>
            <w:r>
              <w:rPr>
                <w:rFonts w:ascii="宋体" w:hAnsi="宋体" w:cs="宋体" w:eastAsia="宋体" w:hint="default"/>
                <w:sz w:val="18"/>
                <w:szCs w:val="18"/>
              </w:rPr>
              <w:t>年末实际 出资额</w:t>
            </w:r>
          </w:p>
        </w:tc>
        <w:tc>
          <w:tcPr>
            <w:tcW w:w="23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32" w:lineRule="exact"/>
              <w:ind w:left="703" w:right="241" w:hanging="540"/>
              <w:jc w:val="left"/>
              <w:rPr>
                <w:rFonts w:ascii="宋体" w:hAnsi="宋体" w:cs="宋体" w:eastAsia="宋体" w:hint="default"/>
                <w:sz w:val="18"/>
                <w:szCs w:val="18"/>
              </w:rPr>
            </w:pPr>
            <w:r>
              <w:rPr>
                <w:rFonts w:ascii="宋体" w:hAnsi="宋体" w:cs="宋体" w:eastAsia="宋体" w:hint="default"/>
                <w:sz w:val="18"/>
                <w:szCs w:val="18"/>
              </w:rPr>
              <w:t>实质上构成对子公司净投 资的其他项目余额</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32" w:lineRule="exact"/>
              <w:ind w:left="17" w:right="111" w:firstLine="280"/>
              <w:jc w:val="left"/>
              <w:rPr>
                <w:rFonts w:ascii="Arial" w:hAnsi="Arial" w:cs="Arial" w:eastAsia="Arial" w:hint="default"/>
                <w:sz w:val="18"/>
                <w:szCs w:val="18"/>
              </w:rPr>
            </w:pPr>
            <w:r>
              <w:rPr>
                <w:rFonts w:ascii="宋体" w:hAnsi="宋体" w:cs="宋体" w:eastAsia="宋体" w:hint="default"/>
                <w:sz w:val="18"/>
                <w:szCs w:val="18"/>
              </w:rPr>
              <w:t>持股 比例</w:t>
            </w:r>
            <w:r>
              <w:rPr>
                <w:rFonts w:ascii="Arial" w:hAnsi="Arial" w:cs="Arial" w:eastAsia="Arial" w:hint="default"/>
                <w:sz w:val="18"/>
                <w:szCs w:val="18"/>
              </w:rPr>
              <w:t>(%)</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4" w:lineRule="exact"/>
              <w:ind w:left="111" w:right="0"/>
              <w:jc w:val="left"/>
              <w:rPr>
                <w:rFonts w:ascii="宋体" w:hAnsi="宋体" w:cs="宋体" w:eastAsia="宋体" w:hint="default"/>
                <w:sz w:val="18"/>
                <w:szCs w:val="18"/>
              </w:rPr>
            </w:pPr>
            <w:r>
              <w:rPr>
                <w:rFonts w:ascii="宋体" w:hAnsi="宋体" w:cs="宋体" w:eastAsia="宋体" w:hint="default"/>
                <w:sz w:val="18"/>
                <w:szCs w:val="18"/>
              </w:rPr>
              <w:t>表决权比</w:t>
            </w:r>
          </w:p>
          <w:p>
            <w:pPr>
              <w:pStyle w:val="TableParagraph"/>
              <w:spacing w:line="247" w:lineRule="exact"/>
              <w:ind w:left="371" w:right="0"/>
              <w:jc w:val="left"/>
              <w:rPr>
                <w:rFonts w:ascii="Arial" w:hAnsi="Arial" w:cs="Arial" w:eastAsia="Arial" w:hint="default"/>
                <w:sz w:val="18"/>
                <w:szCs w:val="18"/>
              </w:rPr>
            </w:pPr>
            <w:r>
              <w:rPr>
                <w:rFonts w:ascii="宋体" w:hAnsi="宋体" w:cs="宋体" w:eastAsia="宋体" w:hint="default"/>
                <w:sz w:val="18"/>
                <w:szCs w:val="18"/>
              </w:rPr>
              <w:t>例</w:t>
            </w:r>
            <w:r>
              <w:rPr>
                <w:rFonts w:ascii="Arial" w:hAnsi="Arial" w:cs="Arial" w:eastAsia="Arial" w:hint="default"/>
                <w:sz w:val="18"/>
                <w:szCs w:val="18"/>
              </w:rPr>
              <w:t>(%)</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是否合并报表</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0"/>
              <w:jc w:val="right"/>
              <w:rPr>
                <w:rFonts w:ascii="宋体" w:hAnsi="宋体" w:cs="宋体" w:eastAsia="宋体" w:hint="default"/>
                <w:sz w:val="18"/>
                <w:szCs w:val="18"/>
              </w:rPr>
            </w:pPr>
            <w:r>
              <w:rPr>
                <w:rFonts w:ascii="宋体" w:hAnsi="宋体" w:cs="宋体" w:eastAsia="宋体" w:hint="default"/>
                <w:sz w:val="18"/>
                <w:szCs w:val="18"/>
              </w:rPr>
              <w:t>少数股东权益</w:t>
            </w:r>
          </w:p>
        </w:tc>
        <w:tc>
          <w:tcPr>
            <w:tcW w:w="26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32" w:lineRule="exact"/>
              <w:ind w:left="797" w:right="209" w:hanging="360"/>
              <w:jc w:val="left"/>
              <w:rPr>
                <w:rFonts w:ascii="宋体" w:hAnsi="宋体" w:cs="宋体" w:eastAsia="宋体" w:hint="default"/>
                <w:sz w:val="18"/>
                <w:szCs w:val="18"/>
              </w:rPr>
            </w:pPr>
            <w:r>
              <w:rPr>
                <w:rFonts w:ascii="宋体" w:hAnsi="宋体" w:cs="宋体" w:eastAsia="宋体" w:hint="default"/>
                <w:sz w:val="18"/>
                <w:szCs w:val="18"/>
              </w:rPr>
              <w:t>少数股东权益中用于冲减 少数股东损益的金额</w:t>
            </w:r>
          </w:p>
        </w:tc>
      </w:tr>
      <w:tr>
        <w:trPr>
          <w:trHeight w:val="757" w:hRule="exact"/>
        </w:trPr>
        <w:tc>
          <w:tcPr>
            <w:tcW w:w="685"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32" w:lineRule="exact"/>
              <w:ind w:left="388" w:right="287" w:hanging="197"/>
              <w:jc w:val="left"/>
              <w:rPr>
                <w:rFonts w:ascii="宋体" w:hAnsi="宋体" w:cs="宋体" w:eastAsia="宋体" w:hint="default"/>
                <w:sz w:val="18"/>
                <w:szCs w:val="18"/>
              </w:rPr>
            </w:pPr>
            <w:r>
              <w:rPr>
                <w:rFonts w:ascii="宋体" w:hAnsi="宋体" w:cs="宋体" w:eastAsia="宋体" w:hint="default"/>
                <w:sz w:val="18"/>
                <w:szCs w:val="18"/>
              </w:rPr>
              <w:t>日本 </w:t>
            </w:r>
            <w:r>
              <w:rPr>
                <w:rFonts w:ascii="Arial" w:hAnsi="Arial" w:cs="Arial" w:eastAsia="Arial" w:hint="default"/>
                <w:sz w:val="18"/>
                <w:szCs w:val="18"/>
              </w:rPr>
              <w:t>LAOX</w:t>
            </w:r>
            <w:r>
              <w:rPr>
                <w:rFonts w:ascii="Arial" w:hAnsi="Arial" w:cs="Arial" w:eastAsia="Arial" w:hint="default"/>
                <w:spacing w:val="7"/>
                <w:sz w:val="18"/>
                <w:szCs w:val="18"/>
              </w:rPr>
              <w:t> </w:t>
            </w:r>
            <w:r>
              <w:rPr>
                <w:rFonts w:ascii="宋体" w:hAnsi="宋体" w:cs="宋体" w:eastAsia="宋体" w:hint="default"/>
                <w:sz w:val="18"/>
                <w:szCs w:val="18"/>
              </w:rPr>
              <w:t>株式</w:t>
            </w:r>
            <w:r>
              <w:rPr>
                <w:rFonts w:ascii="宋体" w:hAnsi="宋体" w:cs="宋体" w:eastAsia="宋体" w:hint="default"/>
                <w:w w:val="100"/>
                <w:sz w:val="18"/>
                <w:szCs w:val="18"/>
              </w:rPr>
              <w:t> </w:t>
            </w:r>
            <w:r>
              <w:rPr>
                <w:rFonts w:ascii="宋体" w:hAnsi="宋体" w:cs="宋体" w:eastAsia="宋体" w:hint="default"/>
                <w:sz w:val="18"/>
                <w:szCs w:val="18"/>
              </w:rPr>
              <w:t>会社</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5"/>
              <w:ind w:left="701" w:right="0"/>
              <w:jc w:val="left"/>
              <w:rPr>
                <w:rFonts w:ascii="宋体" w:hAnsi="宋体" w:cs="宋体" w:eastAsia="宋体" w:hint="default"/>
                <w:sz w:val="18"/>
                <w:szCs w:val="18"/>
              </w:rPr>
            </w:pPr>
            <w:r>
              <w:rPr>
                <w:rFonts w:ascii="Arial" w:hAnsi="Arial" w:cs="Arial" w:eastAsia="Arial" w:hint="default"/>
                <w:sz w:val="18"/>
                <w:szCs w:val="18"/>
              </w:rPr>
              <w:t>7.66</w:t>
            </w:r>
            <w:r>
              <w:rPr>
                <w:rFonts w:ascii="Arial" w:hAnsi="Arial" w:cs="Arial" w:eastAsia="Arial" w:hint="default"/>
                <w:spacing w:val="-4"/>
                <w:sz w:val="18"/>
                <w:szCs w:val="18"/>
              </w:rPr>
              <w:t> </w:t>
            </w:r>
            <w:r>
              <w:rPr>
                <w:rFonts w:ascii="宋体" w:hAnsi="宋体" w:cs="宋体" w:eastAsia="宋体" w:hint="default"/>
                <w:sz w:val="18"/>
                <w:szCs w:val="18"/>
              </w:rPr>
              <w:t>亿元</w:t>
            </w:r>
          </w:p>
        </w:tc>
        <w:tc>
          <w:tcPr>
            <w:tcW w:w="88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84"/>
              <w:jc w:val="right"/>
              <w:rPr>
                <w:rFonts w:ascii="Arial" w:hAnsi="Arial" w:cs="Arial" w:eastAsia="Arial" w:hint="default"/>
                <w:sz w:val="18"/>
                <w:szCs w:val="18"/>
              </w:rPr>
            </w:pPr>
            <w:r>
              <w:rPr>
                <w:rFonts w:ascii="Arial"/>
                <w:w w:val="99"/>
                <w:sz w:val="18"/>
              </w:rPr>
              <w:t>-</w:t>
            </w:r>
            <w:r>
              <w:rPr>
                <w:rFonts w:ascii="Arial"/>
                <w:sz w:val="18"/>
              </w:rPr>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111"/>
              <w:jc w:val="right"/>
              <w:rPr>
                <w:rFonts w:ascii="Arial" w:hAnsi="Arial" w:cs="Arial" w:eastAsia="Arial" w:hint="default"/>
                <w:sz w:val="18"/>
                <w:szCs w:val="18"/>
              </w:rPr>
            </w:pPr>
            <w:r>
              <w:rPr>
                <w:rFonts w:ascii="Arial"/>
                <w:sz w:val="18"/>
              </w:rPr>
              <w:t>51%</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Arial" w:hAnsi="Arial" w:cs="Arial" w:eastAsia="Arial" w:hint="default"/>
                <w:sz w:val="18"/>
                <w:szCs w:val="18"/>
              </w:rPr>
            </w:pPr>
            <w:r>
              <w:rPr>
                <w:rFonts w:ascii="Arial"/>
                <w:w w:val="95"/>
                <w:sz w:val="18"/>
              </w:rPr>
              <w:t>51%</w:t>
            </w:r>
            <w:r>
              <w:rPr>
                <w:rFonts w:ascii="Arial"/>
                <w:sz w:val="18"/>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97"/>
              <w:jc w:val="right"/>
              <w:rPr>
                <w:rFonts w:ascii="宋体" w:hAnsi="宋体" w:cs="宋体" w:eastAsia="宋体" w:hint="default"/>
                <w:sz w:val="18"/>
                <w:szCs w:val="18"/>
              </w:rPr>
            </w:pPr>
            <w:r>
              <w:rPr>
                <w:rFonts w:ascii="宋体" w:hAnsi="宋体" w:cs="宋体" w:eastAsia="宋体" w:hint="default"/>
                <w:sz w:val="18"/>
                <w:szCs w:val="18"/>
              </w:rPr>
              <w:t>是</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39"/>
              <w:jc w:val="right"/>
              <w:rPr>
                <w:rFonts w:ascii="Arial" w:hAnsi="Arial" w:cs="Arial" w:eastAsia="Arial" w:hint="default"/>
                <w:sz w:val="18"/>
                <w:szCs w:val="18"/>
              </w:rPr>
            </w:pPr>
            <w:r>
              <w:rPr>
                <w:rFonts w:ascii="Arial"/>
                <w:spacing w:val="-1"/>
                <w:sz w:val="18"/>
              </w:rPr>
              <w:t>538,070</w:t>
            </w:r>
          </w:p>
        </w:tc>
        <w:tc>
          <w:tcPr>
            <w:tcW w:w="109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723" w:right="0"/>
              <w:jc w:val="left"/>
              <w:rPr>
                <w:rFonts w:ascii="Arial" w:hAnsi="Arial" w:cs="Arial" w:eastAsia="Arial" w:hint="default"/>
                <w:sz w:val="18"/>
                <w:szCs w:val="18"/>
              </w:rPr>
            </w:pPr>
            <w:r>
              <w:rPr>
                <w:rFonts w:ascii="Arial"/>
                <w:sz w:val="18"/>
              </w:rPr>
              <w:t>51,172</w:t>
            </w:r>
          </w:p>
        </w:tc>
      </w:tr>
      <w:tr>
        <w:trPr>
          <w:trHeight w:val="535" w:hRule="exact"/>
        </w:trPr>
        <w:tc>
          <w:tcPr>
            <w:tcW w:w="685"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Style w:val="TableParagraph"/>
              <w:spacing w:line="232" w:lineRule="exact" w:before="28"/>
              <w:ind w:left="388" w:right="275" w:hanging="197"/>
              <w:jc w:val="left"/>
              <w:rPr>
                <w:rFonts w:ascii="宋体" w:hAnsi="宋体" w:cs="宋体" w:eastAsia="宋体" w:hint="default"/>
                <w:sz w:val="18"/>
                <w:szCs w:val="18"/>
              </w:rPr>
            </w:pPr>
            <w:r>
              <w:rPr>
                <w:rFonts w:ascii="宋体" w:hAnsi="宋体" w:cs="宋体" w:eastAsia="宋体" w:hint="default"/>
                <w:spacing w:val="14"/>
                <w:sz w:val="18"/>
                <w:szCs w:val="18"/>
              </w:rPr>
              <w:t>无锡胜利门苏宁 </w:t>
            </w:r>
            <w:r>
              <w:rPr>
                <w:rFonts w:ascii="宋体" w:hAnsi="宋体" w:cs="宋体" w:eastAsia="宋体" w:hint="default"/>
                <w:sz w:val="18"/>
                <w:szCs w:val="18"/>
              </w:rPr>
              <w:t>电器有限公司</w:t>
            </w:r>
          </w:p>
        </w:tc>
        <w:tc>
          <w:tcPr>
            <w:tcW w:w="1624" w:type="dxa"/>
            <w:vMerge w:val="restart"/>
            <w:tcBorders>
              <w:top w:val="nil" w:sz="6" w:space="0" w:color="auto"/>
              <w:left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9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277" w:right="0"/>
              <w:jc w:val="left"/>
              <w:rPr>
                <w:rFonts w:ascii="宋体" w:hAnsi="宋体" w:cs="宋体" w:eastAsia="宋体" w:hint="default"/>
                <w:sz w:val="18"/>
                <w:szCs w:val="18"/>
              </w:rPr>
            </w:pPr>
            <w:r>
              <w:rPr>
                <w:rFonts w:ascii="Arial" w:hAnsi="Arial" w:cs="Arial" w:eastAsia="Arial" w:hint="default"/>
                <w:sz w:val="18"/>
                <w:szCs w:val="18"/>
              </w:rPr>
              <w:t>5,037.38</w:t>
            </w:r>
            <w:r>
              <w:rPr>
                <w:rFonts w:ascii="Arial" w:hAnsi="Arial" w:cs="Arial" w:eastAsia="Arial" w:hint="default"/>
                <w:spacing w:val="-6"/>
                <w:sz w:val="18"/>
                <w:szCs w:val="18"/>
              </w:rPr>
              <w:t> </w:t>
            </w:r>
            <w:r>
              <w:rPr>
                <w:rFonts w:ascii="宋体" w:hAnsi="宋体" w:cs="宋体" w:eastAsia="宋体" w:hint="default"/>
                <w:sz w:val="18"/>
                <w:szCs w:val="18"/>
              </w:rPr>
              <w:t>万元</w:t>
            </w:r>
          </w:p>
        </w:tc>
        <w:tc>
          <w:tcPr>
            <w:tcW w:w="88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r>
      <w:tr>
        <w:trPr>
          <w:trHeight w:val="266" w:hRule="exact"/>
        </w:trPr>
        <w:tc>
          <w:tcPr>
            <w:tcW w:w="685"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
        </w:tc>
        <w:tc>
          <w:tcPr>
            <w:tcW w:w="1624" w:type="dxa"/>
            <w:vMerge/>
            <w:tcBorders>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3"/>
              <w:jc w:val="right"/>
              <w:rPr>
                <w:rFonts w:ascii="Arial" w:hAnsi="Arial" w:cs="Arial" w:eastAsia="Arial" w:hint="default"/>
                <w:sz w:val="18"/>
                <w:szCs w:val="18"/>
              </w:rPr>
            </w:pPr>
            <w:r>
              <w:rPr>
                <w:rFonts w:ascii="Arial"/>
                <w:w w:val="99"/>
                <w:sz w:val="18"/>
              </w:rPr>
              <w:t>-</w:t>
            </w:r>
            <w:r>
              <w:rPr>
                <w:rFonts w:ascii="Arial"/>
                <w:sz w:val="18"/>
              </w:rPr>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1"/>
              <w:jc w:val="right"/>
              <w:rPr>
                <w:rFonts w:ascii="Arial" w:hAnsi="Arial" w:cs="Arial" w:eastAsia="Arial" w:hint="default"/>
                <w:sz w:val="18"/>
                <w:szCs w:val="18"/>
              </w:rPr>
            </w:pPr>
            <w:r>
              <w:rPr>
                <w:rFonts w:ascii="Arial"/>
                <w:sz w:val="18"/>
              </w:rPr>
              <w:t>100%</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3"/>
              <w:jc w:val="right"/>
              <w:rPr>
                <w:rFonts w:ascii="Arial" w:hAnsi="Arial" w:cs="Arial" w:eastAsia="Arial" w:hint="default"/>
                <w:sz w:val="18"/>
                <w:szCs w:val="18"/>
              </w:rPr>
            </w:pPr>
            <w:r>
              <w:rPr>
                <w:rFonts w:ascii="Arial"/>
                <w:w w:val="95"/>
                <w:sz w:val="18"/>
              </w:rPr>
              <w:t>100%</w:t>
            </w:r>
            <w:r>
              <w:rPr>
                <w:rFonts w:ascii="Arial"/>
                <w:sz w:val="18"/>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97"/>
              <w:jc w:val="right"/>
              <w:rPr>
                <w:rFonts w:ascii="宋体" w:hAnsi="宋体" w:cs="宋体" w:eastAsia="宋体" w:hint="default"/>
                <w:sz w:val="18"/>
                <w:szCs w:val="18"/>
              </w:rPr>
            </w:pPr>
            <w:r>
              <w:rPr>
                <w:rFonts w:ascii="宋体" w:hAnsi="宋体" w:cs="宋体" w:eastAsia="宋体" w:hint="default"/>
                <w:sz w:val="18"/>
                <w:szCs w:val="18"/>
              </w:rPr>
              <w:t>是</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2"/>
              <w:jc w:val="right"/>
              <w:rPr>
                <w:rFonts w:ascii="Arial" w:hAnsi="Arial" w:cs="Arial" w:eastAsia="Arial" w:hint="default"/>
                <w:sz w:val="18"/>
                <w:szCs w:val="18"/>
              </w:rPr>
            </w:pPr>
            <w:r>
              <w:rPr>
                <w:rFonts w:ascii="Arial"/>
                <w:w w:val="99"/>
                <w:sz w:val="18"/>
              </w:rPr>
              <w:t>-</w:t>
            </w:r>
            <w:r>
              <w:rPr>
                <w:rFonts w:ascii="Arial"/>
                <w:sz w:val="18"/>
              </w:rPr>
            </w:r>
          </w:p>
        </w:tc>
        <w:tc>
          <w:tcPr>
            <w:tcW w:w="109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10"/>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09"/>
        <w:gridCol w:w="4558"/>
        <w:gridCol w:w="2275"/>
        <w:gridCol w:w="1847"/>
      </w:tblGrid>
      <w:tr>
        <w:trPr>
          <w:trHeight w:val="495"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四</w:t>
            </w:r>
          </w:p>
        </w:tc>
        <w:tc>
          <w:tcPr>
            <w:tcW w:w="4558" w:type="dxa"/>
            <w:tcBorders>
              <w:top w:val="nil" w:sz="6" w:space="0" w:color="auto"/>
              <w:left w:val="nil" w:sz="6" w:space="0" w:color="auto"/>
              <w:bottom w:val="nil" w:sz="6" w:space="0" w:color="auto"/>
              <w:right w:val="nil" w:sz="6" w:space="0" w:color="auto"/>
            </w:tcBorders>
          </w:tcPr>
          <w:p>
            <w:pPr>
              <w:pStyle w:val="TableParagraph"/>
              <w:spacing w:line="257" w:lineRule="exact"/>
              <w:ind w:left="215" w:right="0"/>
              <w:jc w:val="left"/>
              <w:rPr>
                <w:rFonts w:ascii="Arial" w:hAnsi="Arial" w:cs="Arial" w:eastAsia="Arial" w:hint="default"/>
                <w:sz w:val="24"/>
                <w:szCs w:val="24"/>
              </w:rPr>
            </w:pPr>
            <w:r>
              <w:rPr>
                <w:rFonts w:ascii="黑体" w:hAnsi="黑体" w:cs="黑体" w:eastAsia="黑体" w:hint="default"/>
                <w:sz w:val="24"/>
                <w:szCs w:val="24"/>
              </w:rPr>
              <w:t>企业合并及合并财务报表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75"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r>
      <w:tr>
        <w:trPr>
          <w:trHeight w:val="741"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3"/>
              <w:jc w:val="center"/>
              <w:rPr>
                <w:rFonts w:ascii="Arial" w:hAnsi="Arial" w:cs="Arial" w:eastAsia="Arial" w:hint="default"/>
                <w:sz w:val="24"/>
                <w:szCs w:val="24"/>
              </w:rPr>
            </w:pPr>
            <w:r>
              <w:rPr>
                <w:rFonts w:ascii="Arial"/>
                <w:sz w:val="24"/>
              </w:rPr>
              <w:t>(2)</w:t>
            </w:r>
          </w:p>
        </w:tc>
        <w:tc>
          <w:tcPr>
            <w:tcW w:w="868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7"/>
              <w:ind w:left="215" w:right="0"/>
              <w:jc w:val="left"/>
              <w:rPr>
                <w:rFonts w:ascii="黑体" w:hAnsi="黑体" w:cs="黑体" w:eastAsia="黑体" w:hint="default"/>
                <w:sz w:val="24"/>
                <w:szCs w:val="24"/>
              </w:rPr>
            </w:pPr>
            <w:r>
              <w:rPr>
                <w:rFonts w:ascii="黑体" w:hAnsi="黑体" w:cs="黑体" w:eastAsia="黑体" w:hint="default"/>
                <w:sz w:val="24"/>
                <w:szCs w:val="24"/>
              </w:rPr>
              <w:t>本年度新纳入合并范围的主体和本年度不再纳入合并范围的主体</w:t>
            </w:r>
          </w:p>
        </w:tc>
      </w:tr>
      <w:tr>
        <w:trPr>
          <w:trHeight w:val="751"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3"/>
              <w:jc w:val="center"/>
              <w:rPr>
                <w:rFonts w:ascii="Arial" w:hAnsi="Arial" w:cs="Arial" w:eastAsia="Arial" w:hint="default"/>
                <w:sz w:val="24"/>
                <w:szCs w:val="24"/>
              </w:rPr>
            </w:pPr>
            <w:r>
              <w:rPr>
                <w:rFonts w:ascii="Arial"/>
                <w:sz w:val="24"/>
              </w:rPr>
              <w:t>(a)</w:t>
            </w:r>
          </w:p>
        </w:tc>
        <w:tc>
          <w:tcPr>
            <w:tcW w:w="4558"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15" w:right="0"/>
              <w:jc w:val="left"/>
              <w:rPr>
                <w:rFonts w:ascii="宋体" w:hAnsi="宋体" w:cs="宋体" w:eastAsia="宋体" w:hint="default"/>
                <w:sz w:val="24"/>
                <w:szCs w:val="24"/>
              </w:rPr>
            </w:pPr>
            <w:r>
              <w:rPr>
                <w:rFonts w:ascii="宋体" w:hAnsi="宋体" w:cs="宋体" w:eastAsia="宋体" w:hint="default"/>
                <w:sz w:val="24"/>
                <w:szCs w:val="24"/>
              </w:rPr>
              <w:t>本年度新纳入合并范围的主要主体</w:t>
            </w:r>
          </w:p>
        </w:tc>
        <w:tc>
          <w:tcPr>
            <w:tcW w:w="2275"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r>
      <w:tr>
        <w:trPr>
          <w:trHeight w:val="1064" w:hRule="exact"/>
        </w:trPr>
        <w:tc>
          <w:tcPr>
            <w:tcW w:w="709" w:type="dxa"/>
            <w:tcBorders>
              <w:top w:val="nil" w:sz="6" w:space="0" w:color="auto"/>
              <w:left w:val="nil" w:sz="6" w:space="0" w:color="auto"/>
              <w:bottom w:val="nil" w:sz="6" w:space="0" w:color="auto"/>
              <w:right w:val="nil" w:sz="6" w:space="0" w:color="auto"/>
            </w:tcBorders>
          </w:tcPr>
          <w:p>
            <w:pPr/>
          </w:p>
        </w:tc>
        <w:tc>
          <w:tcPr>
            <w:tcW w:w="6834" w:type="dxa"/>
            <w:gridSpan w:val="2"/>
            <w:tcBorders>
              <w:top w:val="nil" w:sz="6" w:space="0" w:color="auto"/>
              <w:left w:val="nil" w:sz="6" w:space="0" w:color="auto"/>
              <w:bottom w:val="nil" w:sz="6" w:space="0" w:color="auto"/>
              <w:right w:val="nil" w:sz="6" w:space="0" w:color="auto"/>
            </w:tcBorders>
          </w:tcPr>
          <w:p>
            <w:pPr>
              <w:pStyle w:val="TableParagraph"/>
              <w:spacing w:line="321" w:lineRule="exact" w:before="180"/>
              <w:ind w:left="3864" w:right="0"/>
              <w:jc w:val="center"/>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12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z w:val="24"/>
                <w:szCs w:val="24"/>
              </w:rPr>
              <w:t>日</w:t>
            </w:r>
          </w:p>
          <w:p>
            <w:pPr>
              <w:pStyle w:val="TableParagraph"/>
              <w:spacing w:line="304" w:lineRule="exact"/>
              <w:ind w:right="1123"/>
              <w:jc w:val="right"/>
              <w:rPr>
                <w:rFonts w:ascii="宋体" w:hAnsi="宋体" w:cs="宋体" w:eastAsia="宋体" w:hint="default"/>
                <w:sz w:val="24"/>
                <w:szCs w:val="24"/>
              </w:rPr>
            </w:pPr>
            <w:r>
              <w:rPr>
                <w:rFonts w:ascii="宋体" w:hAnsi="宋体" w:cs="宋体" w:eastAsia="宋体" w:hint="default"/>
                <w:sz w:val="24"/>
                <w:szCs w:val="24"/>
              </w:rPr>
              <w:t>净资产</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01"/>
              <w:jc w:val="right"/>
              <w:rPr>
                <w:rFonts w:ascii="宋体" w:hAnsi="宋体" w:cs="宋体" w:eastAsia="宋体" w:hint="default"/>
                <w:sz w:val="24"/>
                <w:szCs w:val="24"/>
              </w:rPr>
            </w:pPr>
            <w:r>
              <w:rPr>
                <w:rFonts w:ascii="宋体" w:hAnsi="宋体" w:cs="宋体" w:eastAsia="宋体" w:hint="default"/>
                <w:sz w:val="24"/>
                <w:szCs w:val="24"/>
              </w:rPr>
              <w:t>本年净亏损</w:t>
            </w:r>
          </w:p>
        </w:tc>
      </w:tr>
      <w:tr>
        <w:trPr>
          <w:trHeight w:val="583" w:hRule="exact"/>
        </w:trPr>
        <w:tc>
          <w:tcPr>
            <w:tcW w:w="709" w:type="dxa"/>
            <w:tcBorders>
              <w:top w:val="nil" w:sz="6" w:space="0" w:color="auto"/>
              <w:left w:val="nil" w:sz="6" w:space="0" w:color="auto"/>
              <w:bottom w:val="nil" w:sz="6" w:space="0" w:color="auto"/>
              <w:right w:val="nil" w:sz="6" w:space="0" w:color="auto"/>
            </w:tcBorders>
          </w:tcPr>
          <w:p>
            <w:pPr/>
          </w:p>
        </w:tc>
        <w:tc>
          <w:tcPr>
            <w:tcW w:w="4558"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215" w:right="0"/>
              <w:jc w:val="left"/>
              <w:rPr>
                <w:rFonts w:ascii="Arial" w:hAnsi="Arial" w:cs="Arial" w:eastAsia="Arial" w:hint="default"/>
                <w:sz w:val="24"/>
                <w:szCs w:val="24"/>
              </w:rPr>
            </w:pPr>
            <w:r>
              <w:rPr>
                <w:rFonts w:ascii="宋体" w:hAnsi="宋体" w:cs="宋体" w:eastAsia="宋体" w:hint="default"/>
                <w:sz w:val="24"/>
                <w:szCs w:val="24"/>
              </w:rPr>
              <w:t>重庆苏宁小额贷款有限公司</w:t>
            </w:r>
            <w:r>
              <w:rPr>
                <w:rFonts w:ascii="Arial" w:hAnsi="Arial" w:cs="Arial" w:eastAsia="Arial" w:hint="default"/>
                <w:sz w:val="24"/>
                <w:szCs w:val="24"/>
              </w:rPr>
              <w:t>(i)</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475"/>
              <w:jc w:val="right"/>
              <w:rPr>
                <w:rFonts w:ascii="Arial" w:hAnsi="Arial" w:cs="Arial" w:eastAsia="Arial" w:hint="default"/>
                <w:sz w:val="24"/>
                <w:szCs w:val="24"/>
              </w:rPr>
            </w:pPr>
            <w:r>
              <w:rPr>
                <w:rFonts w:ascii="Arial"/>
                <w:spacing w:val="-1"/>
                <w:sz w:val="24"/>
              </w:rPr>
              <w:t>300,130</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0"/>
              <w:jc w:val="right"/>
              <w:rPr>
                <w:rFonts w:ascii="Arial" w:hAnsi="Arial" w:cs="Arial" w:eastAsia="Arial" w:hint="default"/>
                <w:sz w:val="24"/>
                <w:szCs w:val="24"/>
              </w:rPr>
            </w:pPr>
            <w:r>
              <w:rPr>
                <w:rFonts w:ascii="Arial"/>
                <w:sz w:val="24"/>
              </w:rPr>
              <w:t>(33)</w:t>
            </w:r>
          </w:p>
        </w:tc>
      </w:tr>
      <w:tr>
        <w:trPr>
          <w:trHeight w:val="391" w:hRule="exact"/>
        </w:trPr>
        <w:tc>
          <w:tcPr>
            <w:tcW w:w="709" w:type="dxa"/>
            <w:tcBorders>
              <w:top w:val="nil" w:sz="6" w:space="0" w:color="auto"/>
              <w:left w:val="nil" w:sz="6" w:space="0" w:color="auto"/>
              <w:bottom w:val="nil" w:sz="6" w:space="0" w:color="auto"/>
              <w:right w:val="nil" w:sz="6" w:space="0" w:color="auto"/>
            </w:tcBorders>
          </w:tcPr>
          <w:p>
            <w:pPr/>
          </w:p>
        </w:tc>
        <w:tc>
          <w:tcPr>
            <w:tcW w:w="4558" w:type="dxa"/>
            <w:tcBorders>
              <w:top w:val="nil" w:sz="6" w:space="0" w:color="auto"/>
              <w:left w:val="nil" w:sz="6" w:space="0" w:color="auto"/>
              <w:bottom w:val="nil" w:sz="6" w:space="0" w:color="auto"/>
              <w:right w:val="nil" w:sz="6" w:space="0" w:color="auto"/>
            </w:tcBorders>
          </w:tcPr>
          <w:p>
            <w:pPr>
              <w:pStyle w:val="TableParagraph"/>
              <w:spacing w:line="320" w:lineRule="exact"/>
              <w:ind w:left="215" w:right="0"/>
              <w:jc w:val="left"/>
              <w:rPr>
                <w:rFonts w:ascii="Arial" w:hAnsi="Arial" w:cs="Arial" w:eastAsia="Arial" w:hint="default"/>
                <w:sz w:val="24"/>
                <w:szCs w:val="24"/>
              </w:rPr>
            </w:pPr>
            <w:r>
              <w:rPr>
                <w:rFonts w:ascii="宋体" w:hAnsi="宋体" w:cs="宋体" w:eastAsia="宋体" w:hint="default"/>
                <w:sz w:val="24"/>
                <w:szCs w:val="24"/>
              </w:rPr>
              <w:t>苏州苏宁电器采购有限公司</w:t>
            </w:r>
            <w:r>
              <w:rPr>
                <w:rFonts w:ascii="Arial" w:hAnsi="Arial" w:cs="Arial" w:eastAsia="Arial" w:hint="default"/>
                <w:sz w:val="24"/>
                <w:szCs w:val="24"/>
              </w:rPr>
              <w:t>(i)</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77"/>
              <w:jc w:val="right"/>
              <w:rPr>
                <w:rFonts w:ascii="Arial" w:hAnsi="Arial" w:cs="Arial" w:eastAsia="Arial" w:hint="default"/>
                <w:sz w:val="24"/>
                <w:szCs w:val="24"/>
              </w:rPr>
            </w:pPr>
            <w:r>
              <w:rPr>
                <w:rFonts w:ascii="Arial"/>
                <w:spacing w:val="-1"/>
                <w:sz w:val="24"/>
              </w:rPr>
              <w:t>75,954</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99"/>
              <w:jc w:val="right"/>
              <w:rPr>
                <w:rFonts w:ascii="Arial" w:hAnsi="Arial" w:cs="Arial" w:eastAsia="Arial" w:hint="default"/>
                <w:sz w:val="24"/>
                <w:szCs w:val="24"/>
              </w:rPr>
            </w:pPr>
            <w:r>
              <w:rPr>
                <w:rFonts w:ascii="Arial"/>
                <w:spacing w:val="-1"/>
                <w:sz w:val="24"/>
              </w:rPr>
              <w:t>(46)</w:t>
            </w:r>
          </w:p>
        </w:tc>
      </w:tr>
      <w:tr>
        <w:trPr>
          <w:trHeight w:val="391" w:hRule="exact"/>
        </w:trPr>
        <w:tc>
          <w:tcPr>
            <w:tcW w:w="709" w:type="dxa"/>
            <w:tcBorders>
              <w:top w:val="nil" w:sz="6" w:space="0" w:color="auto"/>
              <w:left w:val="nil" w:sz="6" w:space="0" w:color="auto"/>
              <w:bottom w:val="nil" w:sz="6" w:space="0" w:color="auto"/>
              <w:right w:val="nil" w:sz="6" w:space="0" w:color="auto"/>
            </w:tcBorders>
          </w:tcPr>
          <w:p>
            <w:pPr/>
          </w:p>
        </w:tc>
        <w:tc>
          <w:tcPr>
            <w:tcW w:w="4558" w:type="dxa"/>
            <w:tcBorders>
              <w:top w:val="nil" w:sz="6" w:space="0" w:color="auto"/>
              <w:left w:val="nil" w:sz="6" w:space="0" w:color="auto"/>
              <w:bottom w:val="nil" w:sz="6" w:space="0" w:color="auto"/>
              <w:right w:val="nil" w:sz="6" w:space="0" w:color="auto"/>
            </w:tcBorders>
          </w:tcPr>
          <w:p>
            <w:pPr>
              <w:pStyle w:val="TableParagraph"/>
              <w:spacing w:line="320" w:lineRule="exact"/>
              <w:ind w:left="215" w:right="0"/>
              <w:jc w:val="left"/>
              <w:rPr>
                <w:rFonts w:ascii="Arial" w:hAnsi="Arial" w:cs="Arial" w:eastAsia="Arial" w:hint="default"/>
                <w:sz w:val="24"/>
                <w:szCs w:val="24"/>
              </w:rPr>
            </w:pPr>
            <w:r>
              <w:rPr>
                <w:rFonts w:ascii="宋体" w:hAnsi="宋体" w:cs="宋体" w:eastAsia="宋体" w:hint="default"/>
                <w:sz w:val="24"/>
                <w:szCs w:val="24"/>
              </w:rPr>
              <w:t>江苏苏宁物流有限公司</w:t>
            </w:r>
            <w:r>
              <w:rPr>
                <w:rFonts w:ascii="Arial" w:hAnsi="Arial" w:cs="Arial" w:eastAsia="Arial" w:hint="default"/>
                <w:sz w:val="24"/>
                <w:szCs w:val="24"/>
              </w:rPr>
              <w:t>(i)</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75"/>
              <w:jc w:val="right"/>
              <w:rPr>
                <w:rFonts w:ascii="Arial" w:hAnsi="Arial" w:cs="Arial" w:eastAsia="Arial" w:hint="default"/>
                <w:sz w:val="24"/>
                <w:szCs w:val="24"/>
              </w:rPr>
            </w:pPr>
            <w:r>
              <w:rPr>
                <w:rFonts w:ascii="Arial"/>
                <w:spacing w:val="-1"/>
                <w:sz w:val="24"/>
              </w:rPr>
              <w:t>49,841</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98"/>
              <w:jc w:val="right"/>
              <w:rPr>
                <w:rFonts w:ascii="Arial" w:hAnsi="Arial" w:cs="Arial" w:eastAsia="Arial" w:hint="default"/>
                <w:sz w:val="24"/>
                <w:szCs w:val="24"/>
              </w:rPr>
            </w:pPr>
            <w:r>
              <w:rPr>
                <w:rFonts w:ascii="Arial"/>
                <w:w w:val="95"/>
                <w:sz w:val="24"/>
              </w:rPr>
              <w:t>(159)</w:t>
            </w:r>
            <w:r>
              <w:rPr>
                <w:rFonts w:ascii="Arial"/>
                <w:sz w:val="24"/>
              </w:rPr>
            </w:r>
          </w:p>
        </w:tc>
      </w:tr>
      <w:tr>
        <w:trPr>
          <w:trHeight w:val="391" w:hRule="exact"/>
        </w:trPr>
        <w:tc>
          <w:tcPr>
            <w:tcW w:w="709" w:type="dxa"/>
            <w:tcBorders>
              <w:top w:val="nil" w:sz="6" w:space="0" w:color="auto"/>
              <w:left w:val="nil" w:sz="6" w:space="0" w:color="auto"/>
              <w:bottom w:val="nil" w:sz="6" w:space="0" w:color="auto"/>
              <w:right w:val="nil" w:sz="6" w:space="0" w:color="auto"/>
            </w:tcBorders>
          </w:tcPr>
          <w:p>
            <w:pPr/>
          </w:p>
        </w:tc>
        <w:tc>
          <w:tcPr>
            <w:tcW w:w="4558" w:type="dxa"/>
            <w:tcBorders>
              <w:top w:val="nil" w:sz="6" w:space="0" w:color="auto"/>
              <w:left w:val="nil" w:sz="6" w:space="0" w:color="auto"/>
              <w:bottom w:val="nil" w:sz="6" w:space="0" w:color="auto"/>
              <w:right w:val="nil" w:sz="6" w:space="0" w:color="auto"/>
            </w:tcBorders>
          </w:tcPr>
          <w:p>
            <w:pPr>
              <w:pStyle w:val="TableParagraph"/>
              <w:spacing w:line="320" w:lineRule="exact"/>
              <w:ind w:left="215" w:right="0"/>
              <w:jc w:val="left"/>
              <w:rPr>
                <w:rFonts w:ascii="Arial" w:hAnsi="Arial" w:cs="Arial" w:eastAsia="Arial" w:hint="default"/>
                <w:sz w:val="24"/>
                <w:szCs w:val="24"/>
              </w:rPr>
            </w:pPr>
            <w:r>
              <w:rPr>
                <w:rFonts w:ascii="宋体" w:hAnsi="宋体" w:cs="宋体" w:eastAsia="宋体" w:hint="default"/>
                <w:sz w:val="24"/>
                <w:szCs w:val="24"/>
              </w:rPr>
              <w:t>江苏昌祺</w:t>
            </w:r>
            <w:r>
              <w:rPr>
                <w:rFonts w:ascii="宋体" w:hAnsi="宋体" w:cs="宋体" w:eastAsia="宋体" w:hint="default"/>
                <w:spacing w:val="-3"/>
                <w:sz w:val="24"/>
                <w:szCs w:val="24"/>
              </w:rPr>
              <w:t> </w:t>
            </w:r>
            <w:r>
              <w:rPr>
                <w:rFonts w:ascii="Arial" w:hAnsi="Arial" w:cs="Arial" w:eastAsia="Arial" w:hint="default"/>
                <w:sz w:val="24"/>
                <w:szCs w:val="24"/>
              </w:rPr>
              <w:t>(ii)</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75"/>
              <w:jc w:val="right"/>
              <w:rPr>
                <w:rFonts w:ascii="Arial" w:hAnsi="Arial" w:cs="Arial" w:eastAsia="Arial" w:hint="default"/>
                <w:sz w:val="24"/>
                <w:szCs w:val="24"/>
              </w:rPr>
            </w:pPr>
            <w:r>
              <w:rPr>
                <w:rFonts w:ascii="Arial"/>
                <w:spacing w:val="-1"/>
                <w:sz w:val="24"/>
              </w:rPr>
              <w:t>49,420</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98"/>
              <w:jc w:val="right"/>
              <w:rPr>
                <w:rFonts w:ascii="Arial" w:hAnsi="Arial" w:cs="Arial" w:eastAsia="Arial" w:hint="default"/>
                <w:sz w:val="24"/>
                <w:szCs w:val="24"/>
              </w:rPr>
            </w:pPr>
            <w:r>
              <w:rPr>
                <w:rFonts w:ascii="Arial"/>
                <w:sz w:val="24"/>
              </w:rPr>
              <w:t>(973)</w:t>
            </w:r>
          </w:p>
        </w:tc>
      </w:tr>
      <w:tr>
        <w:trPr>
          <w:trHeight w:val="569" w:hRule="exact"/>
        </w:trPr>
        <w:tc>
          <w:tcPr>
            <w:tcW w:w="709" w:type="dxa"/>
            <w:tcBorders>
              <w:top w:val="nil" w:sz="6" w:space="0" w:color="auto"/>
              <w:left w:val="nil" w:sz="6" w:space="0" w:color="auto"/>
              <w:bottom w:val="nil" w:sz="6" w:space="0" w:color="auto"/>
              <w:right w:val="nil" w:sz="6" w:space="0" w:color="auto"/>
            </w:tcBorders>
          </w:tcPr>
          <w:p>
            <w:pPr/>
          </w:p>
        </w:tc>
        <w:tc>
          <w:tcPr>
            <w:tcW w:w="4558" w:type="dxa"/>
            <w:tcBorders>
              <w:top w:val="nil" w:sz="6" w:space="0" w:color="auto"/>
              <w:left w:val="nil" w:sz="6" w:space="0" w:color="auto"/>
              <w:bottom w:val="nil" w:sz="6" w:space="0" w:color="auto"/>
              <w:right w:val="nil" w:sz="6" w:space="0" w:color="auto"/>
            </w:tcBorders>
          </w:tcPr>
          <w:p>
            <w:pPr>
              <w:pStyle w:val="TableParagraph"/>
              <w:spacing w:line="320" w:lineRule="exact"/>
              <w:ind w:left="191" w:right="0"/>
              <w:jc w:val="left"/>
              <w:rPr>
                <w:rFonts w:ascii="Arial" w:hAnsi="Arial" w:cs="Arial" w:eastAsia="Arial" w:hint="default"/>
                <w:sz w:val="24"/>
                <w:szCs w:val="24"/>
              </w:rPr>
            </w:pPr>
            <w:r>
              <w:rPr>
                <w:rFonts w:ascii="宋体" w:hAnsi="宋体" w:cs="宋体" w:eastAsia="宋体" w:hint="default"/>
                <w:sz w:val="24"/>
                <w:szCs w:val="24"/>
              </w:rPr>
              <w:t>无锡胜利门苏宁电器有限公司</w:t>
            </w:r>
            <w:r>
              <w:rPr>
                <w:rFonts w:ascii="Arial" w:hAnsi="Arial" w:cs="Arial" w:eastAsia="Arial" w:hint="default"/>
                <w:sz w:val="24"/>
                <w:szCs w:val="24"/>
              </w:rPr>
              <w:t>(iii)</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75"/>
              <w:jc w:val="right"/>
              <w:rPr>
                <w:rFonts w:ascii="Arial" w:hAnsi="Arial" w:cs="Arial" w:eastAsia="Arial" w:hint="default"/>
                <w:sz w:val="24"/>
                <w:szCs w:val="24"/>
              </w:rPr>
            </w:pPr>
            <w:r>
              <w:rPr>
                <w:rFonts w:ascii="Arial"/>
                <w:spacing w:val="-1"/>
                <w:sz w:val="24"/>
              </w:rPr>
              <w:t>44,454</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98"/>
              <w:jc w:val="right"/>
              <w:rPr>
                <w:rFonts w:ascii="Arial" w:hAnsi="Arial" w:cs="Arial" w:eastAsia="Arial" w:hint="default"/>
                <w:sz w:val="24"/>
                <w:szCs w:val="24"/>
              </w:rPr>
            </w:pPr>
            <w:r>
              <w:rPr>
                <w:rFonts w:ascii="Arial"/>
                <w:sz w:val="24"/>
              </w:rPr>
              <w:t>(5,350)</w:t>
            </w:r>
          </w:p>
        </w:tc>
      </w:tr>
      <w:tr>
        <w:trPr>
          <w:trHeight w:val="739" w:hRule="exact"/>
        </w:trPr>
        <w:tc>
          <w:tcPr>
            <w:tcW w:w="709" w:type="dxa"/>
            <w:tcBorders>
              <w:top w:val="nil" w:sz="6" w:space="0" w:color="auto"/>
              <w:left w:val="nil" w:sz="6" w:space="0" w:color="auto"/>
              <w:bottom w:val="nil" w:sz="6" w:space="0" w:color="auto"/>
              <w:right w:val="nil" w:sz="6" w:space="0" w:color="auto"/>
            </w:tcBorders>
          </w:tcPr>
          <w:p>
            <w:pPr/>
          </w:p>
        </w:tc>
        <w:tc>
          <w:tcPr>
            <w:tcW w:w="68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6"/>
              <w:ind w:left="215" w:right="0"/>
              <w:jc w:val="left"/>
              <w:rPr>
                <w:rFonts w:ascii="宋体" w:hAnsi="宋体" w:cs="宋体" w:eastAsia="宋体" w:hint="default"/>
                <w:sz w:val="24"/>
                <w:szCs w:val="24"/>
              </w:rPr>
            </w:pPr>
            <w:r>
              <w:rPr>
                <w:rFonts w:ascii="Arial" w:hAnsi="Arial" w:cs="Arial" w:eastAsia="Arial" w:hint="default"/>
                <w:sz w:val="24"/>
                <w:szCs w:val="24"/>
              </w:rPr>
              <w:t>(i)</w:t>
            </w:r>
            <w:r>
              <w:rPr>
                <w:rFonts w:ascii="Arial" w:hAnsi="Arial" w:cs="Arial" w:eastAsia="Arial" w:hint="default"/>
                <w:spacing w:val="51"/>
                <w:sz w:val="24"/>
                <w:szCs w:val="24"/>
              </w:rPr>
              <w:t> </w:t>
            </w:r>
            <w:r>
              <w:rPr>
                <w:rFonts w:ascii="宋体" w:hAnsi="宋体" w:cs="宋体" w:eastAsia="宋体" w:hint="default"/>
                <w:sz w:val="24"/>
                <w:szCs w:val="24"/>
              </w:rPr>
              <w:t>本集团本年通过设立方式取得的子公司。</w:t>
            </w:r>
          </w:p>
        </w:tc>
        <w:tc>
          <w:tcPr>
            <w:tcW w:w="1847" w:type="dxa"/>
            <w:tcBorders>
              <w:top w:val="nil" w:sz="6" w:space="0" w:color="auto"/>
              <w:left w:val="nil" w:sz="6" w:space="0" w:color="auto"/>
              <w:bottom w:val="nil" w:sz="6" w:space="0" w:color="auto"/>
              <w:right w:val="nil" w:sz="6" w:space="0" w:color="auto"/>
            </w:tcBorders>
          </w:tcPr>
          <w:p>
            <w:pPr/>
          </w:p>
        </w:tc>
      </w:tr>
      <w:tr>
        <w:trPr>
          <w:trHeight w:val="748" w:hRule="exact"/>
        </w:trPr>
        <w:tc>
          <w:tcPr>
            <w:tcW w:w="709" w:type="dxa"/>
            <w:tcBorders>
              <w:top w:val="nil" w:sz="6" w:space="0" w:color="auto"/>
              <w:left w:val="nil" w:sz="6" w:space="0" w:color="auto"/>
              <w:bottom w:val="nil" w:sz="6" w:space="0" w:color="auto"/>
              <w:right w:val="nil" w:sz="6" w:space="0" w:color="auto"/>
            </w:tcBorders>
          </w:tcPr>
          <w:p>
            <w:pPr/>
          </w:p>
        </w:tc>
        <w:tc>
          <w:tcPr>
            <w:tcW w:w="868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3"/>
              <w:ind w:left="215" w:right="0"/>
              <w:jc w:val="left"/>
              <w:rPr>
                <w:rFonts w:ascii="宋体" w:hAnsi="宋体" w:cs="宋体" w:eastAsia="宋体" w:hint="default"/>
                <w:sz w:val="24"/>
                <w:szCs w:val="24"/>
              </w:rPr>
            </w:pPr>
            <w:r>
              <w:rPr>
                <w:rFonts w:ascii="Arial" w:hAnsi="Arial" w:cs="Arial" w:eastAsia="Arial" w:hint="default"/>
                <w:sz w:val="24"/>
                <w:szCs w:val="24"/>
              </w:rPr>
              <w:t>(ii)</w:t>
            </w:r>
            <w:r>
              <w:rPr>
                <w:rFonts w:ascii="Arial" w:hAnsi="Arial" w:cs="Arial" w:eastAsia="Arial" w:hint="default"/>
                <w:spacing w:val="50"/>
                <w:sz w:val="24"/>
                <w:szCs w:val="24"/>
              </w:rPr>
              <w:t> </w:t>
            </w:r>
            <w:r>
              <w:rPr>
                <w:rFonts w:ascii="宋体" w:hAnsi="宋体" w:cs="宋体" w:eastAsia="宋体" w:hint="default"/>
                <w:sz w:val="24"/>
                <w:szCs w:val="24"/>
              </w:rPr>
              <w:t>江苏昌祺为本年度通过同一控制下企业合并取得的子公司</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w:t>
            </w:r>
            <w:r>
              <w:rPr>
                <w:rFonts w:ascii="宋体" w:hAnsi="宋体" w:cs="宋体" w:eastAsia="宋体" w:hint="default"/>
                <w:sz w:val="24"/>
                <w:szCs w:val="24"/>
              </w:rPr>
              <w:t>。</w:t>
            </w:r>
          </w:p>
        </w:tc>
      </w:tr>
      <w:tr>
        <w:trPr>
          <w:trHeight w:val="1122" w:hRule="exact"/>
        </w:trPr>
        <w:tc>
          <w:tcPr>
            <w:tcW w:w="709" w:type="dxa"/>
            <w:tcBorders>
              <w:top w:val="nil" w:sz="6" w:space="0" w:color="auto"/>
              <w:left w:val="nil" w:sz="6" w:space="0" w:color="auto"/>
              <w:bottom w:val="nil" w:sz="6" w:space="0" w:color="auto"/>
              <w:right w:val="nil" w:sz="6" w:space="0" w:color="auto"/>
            </w:tcBorders>
          </w:tcPr>
          <w:p>
            <w:pPr/>
          </w:p>
        </w:tc>
        <w:tc>
          <w:tcPr>
            <w:tcW w:w="8681" w:type="dxa"/>
            <w:gridSpan w:val="3"/>
            <w:tcBorders>
              <w:top w:val="nil" w:sz="6" w:space="0" w:color="auto"/>
              <w:left w:val="nil" w:sz="6" w:space="0" w:color="auto"/>
              <w:bottom w:val="nil" w:sz="6" w:space="0" w:color="auto"/>
              <w:right w:val="nil" w:sz="6" w:space="0" w:color="auto"/>
            </w:tcBorders>
          </w:tcPr>
          <w:p>
            <w:pPr>
              <w:pStyle w:val="TableParagraph"/>
              <w:spacing w:line="225" w:lineRule="auto" w:before="191"/>
              <w:ind w:left="215" w:right="203"/>
              <w:jc w:val="both"/>
              <w:rPr>
                <w:rFonts w:ascii="宋体" w:hAnsi="宋体" w:cs="宋体" w:eastAsia="宋体" w:hint="default"/>
                <w:sz w:val="24"/>
                <w:szCs w:val="24"/>
              </w:rPr>
            </w:pPr>
            <w:r>
              <w:rPr>
                <w:rFonts w:ascii="Arial" w:hAnsi="Arial" w:cs="Arial" w:eastAsia="Arial" w:hint="default"/>
                <w:sz w:val="24"/>
                <w:szCs w:val="24"/>
              </w:rPr>
              <w:t>(iii) </w:t>
            </w:r>
            <w:r>
              <w:rPr>
                <w:rFonts w:ascii="宋体" w:hAnsi="宋体" w:cs="宋体" w:eastAsia="宋体" w:hint="default"/>
                <w:spacing w:val="3"/>
                <w:sz w:val="24"/>
                <w:szCs w:val="24"/>
              </w:rPr>
              <w:t>无锡胜利门苏宁电器有限公司为本年度通过非同一控制下企业合并取得的</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子公司，其本期净利润为该公司自购买日至</w:t>
            </w:r>
            <w:r>
              <w:rPr>
                <w:rFonts w:ascii="宋体" w:hAnsi="宋体" w:cs="宋体" w:eastAsia="宋体" w:hint="default"/>
                <w:spacing w:val="-42"/>
                <w:sz w:val="24"/>
                <w:szCs w:val="24"/>
              </w:rPr>
              <w:t> </w:t>
            </w: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43"/>
                <w:sz w:val="24"/>
                <w:szCs w:val="24"/>
              </w:rPr>
              <w:t> </w:t>
            </w:r>
            <w:r>
              <w:rPr>
                <w:rFonts w:ascii="Arial" w:hAnsi="Arial" w:cs="Arial" w:eastAsia="Arial" w:hint="default"/>
                <w:sz w:val="24"/>
                <w:szCs w:val="24"/>
              </w:rPr>
              <w:t>12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43"/>
                <w:sz w:val="24"/>
                <w:szCs w:val="24"/>
              </w:rPr>
              <w:t> </w:t>
            </w:r>
            <w:r>
              <w:rPr>
                <w:rFonts w:ascii="Arial" w:hAnsi="Arial" w:cs="Arial" w:eastAsia="Arial" w:hint="default"/>
                <w:sz w:val="24"/>
                <w:szCs w:val="24"/>
              </w:rPr>
              <w:t>31</w:t>
            </w:r>
            <w:r>
              <w:rPr>
                <w:rFonts w:ascii="Arial" w:hAnsi="Arial" w:cs="Arial" w:eastAsia="Arial" w:hint="default"/>
                <w:spacing w:val="12"/>
                <w:sz w:val="24"/>
                <w:szCs w:val="24"/>
              </w:rPr>
              <w:t> </w:t>
            </w:r>
            <w:r>
              <w:rPr>
                <w:rFonts w:ascii="宋体" w:hAnsi="宋体" w:cs="宋体" w:eastAsia="宋体" w:hint="default"/>
                <w:sz w:val="24"/>
                <w:szCs w:val="24"/>
              </w:rPr>
              <w:t>日止期间的净利 润</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(4))</w:t>
            </w:r>
            <w:r>
              <w:rPr>
                <w:rFonts w:ascii="宋体" w:hAnsi="宋体" w:cs="宋体" w:eastAsia="宋体"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709"/>
        <w:gridCol w:w="3771"/>
        <w:gridCol w:w="2373"/>
        <w:gridCol w:w="2533"/>
      </w:tblGrid>
      <w:tr>
        <w:trPr>
          <w:trHeight w:val="502"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3771" w:type="dxa"/>
            <w:tcBorders>
              <w:top w:val="nil" w:sz="6" w:space="0" w:color="auto"/>
              <w:left w:val="nil" w:sz="6" w:space="0" w:color="auto"/>
              <w:bottom w:val="nil" w:sz="6" w:space="0" w:color="auto"/>
              <w:right w:val="nil" w:sz="6" w:space="0" w:color="auto"/>
            </w:tcBorders>
          </w:tcPr>
          <w:p>
            <w:pPr>
              <w:pStyle w:val="TableParagraph"/>
              <w:spacing w:line="247" w:lineRule="exact"/>
              <w:ind w:left="215" w:right="0"/>
              <w:jc w:val="left"/>
              <w:rPr>
                <w:rFonts w:ascii="宋体" w:hAnsi="宋体" w:cs="宋体" w:eastAsia="宋体" w:hint="default"/>
                <w:sz w:val="24"/>
                <w:szCs w:val="24"/>
              </w:rPr>
            </w:pPr>
            <w:r>
              <w:rPr>
                <w:rFonts w:ascii="宋体" w:hAnsi="宋体" w:cs="宋体" w:eastAsia="宋体" w:hint="default"/>
                <w:sz w:val="24"/>
                <w:szCs w:val="24"/>
              </w:rPr>
              <w:t>本年度不再纳入合并范围的主体</w:t>
            </w:r>
          </w:p>
        </w:tc>
        <w:tc>
          <w:tcPr>
            <w:tcW w:w="2373"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
        </w:tc>
      </w:tr>
      <w:tr>
        <w:trPr>
          <w:trHeight w:val="758" w:hRule="exact"/>
        </w:trPr>
        <w:tc>
          <w:tcPr>
            <w:tcW w:w="709" w:type="dxa"/>
            <w:tcBorders>
              <w:top w:val="nil" w:sz="6" w:space="0" w:color="auto"/>
              <w:left w:val="nil" w:sz="6" w:space="0" w:color="auto"/>
              <w:bottom w:val="nil" w:sz="6" w:space="0" w:color="auto"/>
              <w:right w:val="nil" w:sz="6" w:space="0" w:color="auto"/>
            </w:tcBorders>
          </w:tcPr>
          <w:p>
            <w:pPr/>
          </w:p>
        </w:tc>
        <w:tc>
          <w:tcPr>
            <w:tcW w:w="3771" w:type="dxa"/>
            <w:tcBorders>
              <w:top w:val="nil" w:sz="6" w:space="0" w:color="auto"/>
              <w:left w:val="nil" w:sz="6" w:space="0" w:color="auto"/>
              <w:bottom w:val="nil" w:sz="6" w:space="0" w:color="auto"/>
              <w:right w:val="nil" w:sz="6" w:space="0" w:color="auto"/>
            </w:tcBorders>
          </w:tcPr>
          <w:p>
            <w:pP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136"/>
              <w:jc w:val="right"/>
              <w:rPr>
                <w:rFonts w:ascii="宋体" w:hAnsi="宋体" w:cs="宋体" w:eastAsia="宋体" w:hint="default"/>
                <w:sz w:val="24"/>
                <w:szCs w:val="24"/>
              </w:rPr>
            </w:pPr>
            <w:r>
              <w:rPr>
                <w:rFonts w:ascii="宋体" w:hAnsi="宋体" w:cs="宋体" w:eastAsia="宋体" w:hint="default"/>
                <w:sz w:val="24"/>
                <w:szCs w:val="24"/>
              </w:rPr>
              <w:t>注销日净资产</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233"/>
              <w:jc w:val="right"/>
              <w:rPr>
                <w:rFonts w:ascii="宋体" w:hAnsi="宋体" w:cs="宋体" w:eastAsia="宋体" w:hint="default"/>
                <w:sz w:val="24"/>
                <w:szCs w:val="24"/>
              </w:rPr>
            </w:pPr>
            <w:r>
              <w:rPr>
                <w:rFonts w:ascii="宋体" w:hAnsi="宋体" w:cs="宋体" w:eastAsia="宋体" w:hint="default"/>
                <w:sz w:val="24"/>
                <w:szCs w:val="24"/>
              </w:rPr>
              <w:t>年初至注销日净利润</w:t>
            </w:r>
          </w:p>
        </w:tc>
      </w:tr>
      <w:tr>
        <w:trPr>
          <w:trHeight w:val="1123" w:hRule="exact"/>
        </w:trPr>
        <w:tc>
          <w:tcPr>
            <w:tcW w:w="709" w:type="dxa"/>
            <w:tcBorders>
              <w:top w:val="nil" w:sz="6" w:space="0" w:color="auto"/>
              <w:left w:val="nil" w:sz="6" w:space="0" w:color="auto"/>
              <w:bottom w:val="nil" w:sz="6" w:space="0" w:color="auto"/>
              <w:right w:val="nil" w:sz="6" w:space="0" w:color="auto"/>
            </w:tcBorders>
          </w:tcPr>
          <w:p>
            <w:pPr/>
          </w:p>
        </w:tc>
        <w:tc>
          <w:tcPr>
            <w:tcW w:w="3771" w:type="dxa"/>
            <w:tcBorders>
              <w:top w:val="nil" w:sz="6" w:space="0" w:color="auto"/>
              <w:left w:val="nil" w:sz="6" w:space="0" w:color="auto"/>
              <w:bottom w:val="nil" w:sz="6" w:space="0" w:color="auto"/>
              <w:right w:val="nil" w:sz="6" w:space="0" w:color="auto"/>
            </w:tcBorders>
          </w:tcPr>
          <w:p>
            <w:pPr>
              <w:pStyle w:val="TableParagraph"/>
              <w:spacing w:line="268" w:lineRule="auto" w:before="188"/>
              <w:ind w:left="695" w:right="1632" w:hanging="480"/>
              <w:jc w:val="left"/>
              <w:rPr>
                <w:rFonts w:ascii="Arial" w:hAnsi="Arial" w:cs="Arial" w:eastAsia="Arial" w:hint="default"/>
                <w:sz w:val="24"/>
                <w:szCs w:val="24"/>
              </w:rPr>
            </w:pPr>
            <w:r>
              <w:rPr>
                <w:rFonts w:ascii="宋体" w:hAnsi="宋体" w:cs="宋体" w:eastAsia="宋体" w:hint="default"/>
                <w:sz w:val="24"/>
                <w:szCs w:val="24"/>
              </w:rPr>
              <w:t>成都春熙苏宁电器 有限公司</w:t>
            </w:r>
            <w:r>
              <w:rPr>
                <w:rFonts w:ascii="Arial" w:hAnsi="Arial" w:cs="Arial" w:eastAsia="Arial" w:hint="default"/>
                <w:sz w:val="24"/>
                <w:szCs w:val="24"/>
              </w:rPr>
              <w:t>(i)</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35"/>
              <w:jc w:val="right"/>
              <w:rPr>
                <w:rFonts w:ascii="Arial" w:hAnsi="Arial" w:cs="Arial" w:eastAsia="Arial" w:hint="default"/>
                <w:sz w:val="24"/>
                <w:szCs w:val="24"/>
              </w:rPr>
            </w:pPr>
            <w:r>
              <w:rPr>
                <w:rFonts w:ascii="Arial"/>
                <w:w w:val="95"/>
                <w:sz w:val="24"/>
              </w:rPr>
              <w:t>4,997</w:t>
            </w:r>
            <w:r>
              <w:rPr>
                <w:rFonts w:ascii="Arial"/>
                <w:sz w:val="24"/>
              </w:rPr>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70"/>
              <w:jc w:val="right"/>
              <w:rPr>
                <w:rFonts w:ascii="Arial" w:hAnsi="Arial" w:cs="Arial" w:eastAsia="Arial" w:hint="default"/>
                <w:sz w:val="24"/>
                <w:szCs w:val="24"/>
              </w:rPr>
            </w:pPr>
            <w:r>
              <w:rPr>
                <w:rFonts w:ascii="Arial"/>
                <w:w w:val="99"/>
                <w:sz w:val="24"/>
              </w:rPr>
              <w:t>-</w:t>
            </w:r>
            <w:r>
              <w:rPr>
                <w:rFonts w:ascii="Arial"/>
                <w:sz w:val="24"/>
              </w:rPr>
            </w:r>
          </w:p>
        </w:tc>
      </w:tr>
      <w:tr>
        <w:trPr>
          <w:trHeight w:val="791" w:hRule="exact"/>
        </w:trPr>
        <w:tc>
          <w:tcPr>
            <w:tcW w:w="709" w:type="dxa"/>
            <w:tcBorders>
              <w:top w:val="nil" w:sz="6" w:space="0" w:color="auto"/>
              <w:left w:val="nil" w:sz="6" w:space="0" w:color="auto"/>
              <w:bottom w:val="nil" w:sz="6" w:space="0" w:color="auto"/>
              <w:right w:val="nil" w:sz="6" w:space="0" w:color="auto"/>
            </w:tcBorders>
          </w:tcPr>
          <w:p>
            <w:pPr/>
          </w:p>
        </w:tc>
        <w:tc>
          <w:tcPr>
            <w:tcW w:w="8677" w:type="dxa"/>
            <w:gridSpan w:val="3"/>
            <w:tcBorders>
              <w:top w:val="nil" w:sz="6" w:space="0" w:color="auto"/>
              <w:left w:val="nil" w:sz="6" w:space="0" w:color="auto"/>
              <w:bottom w:val="nil" w:sz="6" w:space="0" w:color="auto"/>
              <w:right w:val="nil" w:sz="6" w:space="0" w:color="auto"/>
            </w:tcBorders>
          </w:tcPr>
          <w:p>
            <w:pPr>
              <w:pStyle w:val="TableParagraph"/>
              <w:spacing w:line="312" w:lineRule="exact" w:before="195"/>
              <w:ind w:left="215" w:right="198"/>
              <w:jc w:val="left"/>
              <w:rPr>
                <w:rFonts w:ascii="宋体" w:hAnsi="宋体" w:cs="宋体" w:eastAsia="宋体" w:hint="default"/>
                <w:sz w:val="24"/>
                <w:szCs w:val="24"/>
              </w:rPr>
            </w:pPr>
            <w:r>
              <w:rPr>
                <w:rFonts w:ascii="Arial" w:hAnsi="Arial" w:cs="Arial" w:eastAsia="Arial" w:hint="default"/>
                <w:sz w:val="24"/>
                <w:szCs w:val="24"/>
              </w:rPr>
              <w:t>(i)</w:t>
            </w:r>
            <w:r>
              <w:rPr>
                <w:rFonts w:ascii="Arial" w:hAnsi="Arial" w:cs="Arial" w:eastAsia="Arial" w:hint="default"/>
                <w:spacing w:val="58"/>
                <w:sz w:val="24"/>
                <w:szCs w:val="24"/>
              </w:rPr>
              <w:t> </w:t>
            </w:r>
            <w:r>
              <w:rPr>
                <w:rFonts w:ascii="宋体" w:hAnsi="宋体" w:cs="宋体" w:eastAsia="宋体" w:hint="default"/>
                <w:sz w:val="24"/>
                <w:szCs w:val="24"/>
              </w:rPr>
              <w:t>成都春熙苏宁电器有限公司于本年度予以注销，从而不再纳入合并范围的子</w:t>
            </w:r>
            <w:r>
              <w:rPr>
                <w:rFonts w:ascii="宋体" w:hAnsi="宋体" w:cs="宋体" w:eastAsia="宋体" w:hint="default"/>
                <w:w w:val="99"/>
                <w:sz w:val="24"/>
                <w:szCs w:val="24"/>
              </w:rPr>
              <w:t> </w:t>
            </w:r>
            <w:r>
              <w:rPr>
                <w:rFonts w:ascii="宋体" w:hAnsi="宋体" w:cs="宋体" w:eastAsia="宋体" w:hint="default"/>
                <w:sz w:val="24"/>
                <w:szCs w:val="24"/>
              </w:rPr>
              <w:t>公司。上述公司自年初至注销日无业务发生。</w:t>
            </w:r>
          </w:p>
        </w:tc>
      </w:tr>
    </w:tbl>
    <w:p>
      <w:pPr>
        <w:spacing w:after="0" w:line="312" w:lineRule="exact"/>
        <w:jc w:val="left"/>
        <w:rPr>
          <w:rFonts w:ascii="宋体" w:hAnsi="宋体" w:cs="宋体" w:eastAsia="宋体" w:hint="default"/>
          <w:sz w:val="24"/>
          <w:szCs w:val="24"/>
        </w:rPr>
        <w:sectPr>
          <w:headerReference w:type="default" r:id="rId69"/>
          <w:footerReference w:type="default" r:id="rId70"/>
          <w:pgSz w:w="11910" w:h="16850"/>
          <w:pgMar w:header="795" w:footer="1340" w:top="2020" w:bottom="1540" w:left="1420" w:right="0"/>
          <w:pgNumType w:start="134"/>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05"/>
        <w:gridCol w:w="1206"/>
        <w:gridCol w:w="2700"/>
        <w:gridCol w:w="1222"/>
        <w:gridCol w:w="1076"/>
        <w:gridCol w:w="995"/>
        <w:gridCol w:w="1133"/>
      </w:tblGrid>
      <w:tr>
        <w:trPr>
          <w:trHeight w:val="497" w:hRule="exact"/>
        </w:trPr>
        <w:tc>
          <w:tcPr>
            <w:tcW w:w="705" w:type="dxa"/>
            <w:tcBorders>
              <w:top w:val="nil" w:sz="6" w:space="0" w:color="auto"/>
              <w:left w:val="nil" w:sz="6" w:space="0" w:color="auto"/>
              <w:bottom w:val="nil" w:sz="6" w:space="0" w:color="auto"/>
              <w:right w:val="nil" w:sz="6" w:space="0" w:color="auto"/>
            </w:tcBorders>
          </w:tcPr>
          <w:p>
            <w:pPr>
              <w:pStyle w:val="TableParagraph"/>
              <w:spacing w:line="240" w:lineRule="exact"/>
              <w:ind w:right="63"/>
              <w:jc w:val="center"/>
              <w:rPr>
                <w:rFonts w:ascii="黑体" w:hAnsi="黑体" w:cs="黑体" w:eastAsia="黑体" w:hint="default"/>
                <w:sz w:val="24"/>
                <w:szCs w:val="24"/>
              </w:rPr>
            </w:pPr>
            <w:r>
              <w:rPr>
                <w:rFonts w:ascii="黑体" w:hAnsi="黑体" w:cs="黑体" w:eastAsia="黑体" w:hint="default"/>
                <w:sz w:val="24"/>
                <w:szCs w:val="24"/>
              </w:rPr>
              <w:t>四</w:t>
            </w:r>
          </w:p>
        </w:tc>
        <w:tc>
          <w:tcPr>
            <w:tcW w:w="3906"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212" w:right="0"/>
              <w:jc w:val="left"/>
              <w:rPr>
                <w:rFonts w:ascii="Arial" w:hAnsi="Arial" w:cs="Arial" w:eastAsia="Arial" w:hint="default"/>
                <w:sz w:val="24"/>
                <w:szCs w:val="24"/>
              </w:rPr>
            </w:pPr>
            <w:r>
              <w:rPr>
                <w:rFonts w:ascii="黑体" w:hAnsi="黑体" w:cs="黑体" w:eastAsia="黑体" w:hint="default"/>
                <w:sz w:val="24"/>
                <w:szCs w:val="24"/>
              </w:rPr>
              <w:t>企业合并及合并财务报表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22"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r>
      <w:tr>
        <w:trPr>
          <w:trHeight w:val="740" w:hRule="exact"/>
        </w:trPr>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
              <w:jc w:val="center"/>
              <w:rPr>
                <w:rFonts w:ascii="Arial" w:hAnsi="Arial" w:cs="Arial" w:eastAsia="Arial" w:hint="default"/>
                <w:sz w:val="24"/>
                <w:szCs w:val="24"/>
              </w:rPr>
            </w:pPr>
            <w:r>
              <w:rPr>
                <w:rFonts w:ascii="Arial"/>
                <w:sz w:val="24"/>
              </w:rPr>
              <w:t>(3)</w:t>
            </w:r>
          </w:p>
        </w:tc>
        <w:tc>
          <w:tcPr>
            <w:tcW w:w="39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8"/>
              <w:ind w:left="212" w:right="0"/>
              <w:jc w:val="left"/>
              <w:rPr>
                <w:rFonts w:ascii="黑体" w:hAnsi="黑体" w:cs="黑体" w:eastAsia="黑体" w:hint="default"/>
                <w:sz w:val="24"/>
                <w:szCs w:val="24"/>
              </w:rPr>
            </w:pPr>
            <w:r>
              <w:rPr>
                <w:rFonts w:ascii="黑体" w:hAnsi="黑体" w:cs="黑体" w:eastAsia="黑体" w:hint="default"/>
                <w:sz w:val="24"/>
                <w:szCs w:val="24"/>
              </w:rPr>
              <w:t>同一控制下企业合并</w:t>
            </w:r>
          </w:p>
        </w:tc>
        <w:tc>
          <w:tcPr>
            <w:tcW w:w="1222"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r>
      <w:tr>
        <w:trPr>
          <w:trHeight w:val="503" w:hRule="exact"/>
        </w:trPr>
        <w:tc>
          <w:tcPr>
            <w:tcW w:w="705" w:type="dxa"/>
            <w:vMerge w:val="restart"/>
            <w:tcBorders>
              <w:top w:val="nil" w:sz="6" w:space="0" w:color="auto"/>
              <w:left w:val="nil" w:sz="6" w:space="0" w:color="auto"/>
              <w:right w:val="nil" w:sz="6" w:space="0" w:color="auto"/>
            </w:tcBorders>
          </w:tcPr>
          <w:p>
            <w:pPr/>
          </w:p>
        </w:tc>
        <w:tc>
          <w:tcPr>
            <w:tcW w:w="1206" w:type="dxa"/>
            <w:vMerge w:val="restart"/>
            <w:tcBorders>
              <w:top w:val="nil" w:sz="6" w:space="0" w:color="auto"/>
              <w:left w:val="nil" w:sz="6" w:space="0" w:color="auto"/>
              <w:right w:val="nil" w:sz="6" w:space="0" w:color="auto"/>
            </w:tcBorders>
          </w:tcPr>
          <w:p>
            <w:pPr/>
          </w:p>
        </w:tc>
        <w:tc>
          <w:tcPr>
            <w:tcW w:w="2700" w:type="dxa"/>
            <w:vMerge w:val="restart"/>
            <w:tcBorders>
              <w:top w:val="nil" w:sz="6" w:space="0" w:color="auto"/>
              <w:left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属于同一控制下企业合并</w:t>
            </w:r>
          </w:p>
          <w:p>
            <w:pPr>
              <w:pStyle w:val="TableParagraph"/>
              <w:spacing w:line="240" w:lineRule="auto" w:before="38"/>
              <w:ind w:left="1567" w:right="0"/>
              <w:jc w:val="left"/>
              <w:rPr>
                <w:rFonts w:ascii="宋体" w:hAnsi="宋体" w:cs="宋体" w:eastAsia="宋体" w:hint="default"/>
                <w:sz w:val="18"/>
                <w:szCs w:val="18"/>
              </w:rPr>
            </w:pPr>
            <w:r>
              <w:rPr>
                <w:rFonts w:ascii="宋体" w:hAnsi="宋体" w:cs="宋体" w:eastAsia="宋体" w:hint="default"/>
                <w:sz w:val="18"/>
                <w:szCs w:val="18"/>
              </w:rPr>
              <w:t>的判断依据</w:t>
            </w:r>
          </w:p>
        </w:tc>
        <w:tc>
          <w:tcPr>
            <w:tcW w:w="1222" w:type="dxa"/>
            <w:vMerge w:val="restart"/>
            <w:tcBorders>
              <w:top w:val="nil" w:sz="6" w:space="0" w:color="auto"/>
              <w:left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32" w:lineRule="exact"/>
              <w:ind w:left="137" w:right="183"/>
              <w:jc w:val="left"/>
              <w:rPr>
                <w:rFonts w:ascii="宋体" w:hAnsi="宋体" w:cs="宋体" w:eastAsia="宋体" w:hint="default"/>
                <w:sz w:val="18"/>
                <w:szCs w:val="18"/>
              </w:rPr>
            </w:pPr>
            <w:r>
              <w:rPr>
                <w:rFonts w:ascii="宋体" w:hAnsi="宋体" w:cs="宋体" w:eastAsia="宋体" w:hint="default"/>
                <w:sz w:val="18"/>
                <w:szCs w:val="18"/>
              </w:rPr>
              <w:t>同一控制的 实际控制人</w:t>
            </w:r>
          </w:p>
        </w:tc>
        <w:tc>
          <w:tcPr>
            <w:tcW w:w="3205"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被合并公司成立日至合并日</w:t>
            </w:r>
          </w:p>
        </w:tc>
      </w:tr>
      <w:tr>
        <w:trPr>
          <w:trHeight w:val="703" w:hRule="exact"/>
        </w:trPr>
        <w:tc>
          <w:tcPr>
            <w:tcW w:w="705" w:type="dxa"/>
            <w:vMerge/>
            <w:tcBorders>
              <w:left w:val="nil" w:sz="6" w:space="0" w:color="auto"/>
              <w:bottom w:val="nil" w:sz="6" w:space="0" w:color="auto"/>
              <w:right w:val="nil" w:sz="6" w:space="0" w:color="auto"/>
            </w:tcBorders>
          </w:tcPr>
          <w:p>
            <w:pPr/>
          </w:p>
        </w:tc>
        <w:tc>
          <w:tcPr>
            <w:tcW w:w="1206" w:type="dxa"/>
            <w:vMerge/>
            <w:tcBorders>
              <w:left w:val="nil" w:sz="6" w:space="0" w:color="auto"/>
              <w:bottom w:val="nil" w:sz="6" w:space="0" w:color="auto"/>
              <w:right w:val="nil" w:sz="6" w:space="0" w:color="auto"/>
            </w:tcBorders>
          </w:tcPr>
          <w:p>
            <w:pPr/>
          </w:p>
        </w:tc>
        <w:tc>
          <w:tcPr>
            <w:tcW w:w="2700" w:type="dxa"/>
            <w:vMerge/>
            <w:tcBorders>
              <w:left w:val="nil" w:sz="6" w:space="0" w:color="auto"/>
              <w:bottom w:val="nil" w:sz="6" w:space="0" w:color="auto"/>
              <w:right w:val="nil" w:sz="6" w:space="0" w:color="auto"/>
            </w:tcBorders>
          </w:tcPr>
          <w:p>
            <w:pPr/>
          </w:p>
        </w:tc>
        <w:tc>
          <w:tcPr>
            <w:tcW w:w="1222" w:type="dxa"/>
            <w:vMerge/>
            <w:tcBorders>
              <w:left w:val="nil" w:sz="6" w:space="0" w:color="auto"/>
              <w:bottom w:val="nil" w:sz="6" w:space="0" w:color="auto"/>
              <w:right w:val="nil" w:sz="6" w:space="0" w:color="auto"/>
            </w:tcBorders>
          </w:tcPr>
          <w:p>
            <w:pPr/>
          </w:p>
        </w:tc>
        <w:tc>
          <w:tcPr>
            <w:tcW w:w="107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39"/>
              <w:jc w:val="right"/>
              <w:rPr>
                <w:rFonts w:ascii="宋体" w:hAnsi="宋体" w:cs="宋体" w:eastAsia="宋体" w:hint="default"/>
                <w:sz w:val="18"/>
                <w:szCs w:val="18"/>
              </w:rPr>
            </w:pPr>
            <w:r>
              <w:rPr>
                <w:rFonts w:ascii="宋体" w:hAnsi="宋体" w:cs="宋体" w:eastAsia="宋体" w:hint="default"/>
                <w:sz w:val="18"/>
                <w:szCs w:val="18"/>
              </w:rPr>
              <w:t>收入</w:t>
            </w:r>
          </w:p>
        </w:tc>
        <w:tc>
          <w:tcPr>
            <w:tcW w:w="99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11"/>
              <w:jc w:val="right"/>
              <w:rPr>
                <w:rFonts w:ascii="宋体" w:hAnsi="宋体" w:cs="宋体" w:eastAsia="宋体" w:hint="default"/>
                <w:sz w:val="18"/>
                <w:szCs w:val="18"/>
              </w:rPr>
            </w:pPr>
            <w:r>
              <w:rPr>
                <w:rFonts w:ascii="宋体" w:hAnsi="宋体" w:cs="宋体" w:eastAsia="宋体" w:hint="default"/>
                <w:sz w:val="18"/>
                <w:szCs w:val="18"/>
              </w:rPr>
              <w:t>净亏损</w:t>
            </w:r>
          </w:p>
        </w:tc>
        <w:tc>
          <w:tcPr>
            <w:tcW w:w="1133" w:type="dxa"/>
            <w:tcBorders>
              <w:top w:val="single" w:sz="4" w:space="0" w:color="000000"/>
              <w:left w:val="nil" w:sz="6" w:space="0" w:color="auto"/>
              <w:bottom w:val="nil" w:sz="6" w:space="0" w:color="auto"/>
              <w:right w:val="nil" w:sz="6" w:space="0" w:color="auto"/>
            </w:tcBorders>
          </w:tcPr>
          <w:p>
            <w:pPr>
              <w:pStyle w:val="TableParagraph"/>
              <w:spacing w:line="232" w:lineRule="exact" w:before="32"/>
              <w:ind w:left="211" w:right="199"/>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1352" w:hRule="exact"/>
        </w:trPr>
        <w:tc>
          <w:tcPr>
            <w:tcW w:w="705"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pacing w:val="27"/>
                <w:sz w:val="18"/>
                <w:szCs w:val="18"/>
              </w:rPr>
              <w:t>江苏昌祺</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before="26"/>
              <w:ind w:left="212" w:right="0"/>
              <w:jc w:val="left"/>
              <w:rPr>
                <w:rFonts w:ascii="Arial" w:hAnsi="Arial" w:cs="Arial" w:eastAsia="Arial" w:hint="default"/>
                <w:sz w:val="18"/>
                <w:szCs w:val="18"/>
              </w:rPr>
            </w:pPr>
            <w:r>
              <w:rPr>
                <w:rFonts w:ascii="Arial"/>
                <w:sz w:val="18"/>
              </w:rPr>
              <w:t>(a)</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32" w:lineRule="auto"/>
              <w:ind w:left="129" w:right="135"/>
              <w:jc w:val="both"/>
              <w:rPr>
                <w:rFonts w:ascii="宋体" w:hAnsi="宋体" w:cs="宋体" w:eastAsia="宋体" w:hint="default"/>
                <w:sz w:val="18"/>
                <w:szCs w:val="18"/>
              </w:rPr>
            </w:pPr>
            <w:r>
              <w:rPr>
                <w:rFonts w:ascii="宋体" w:hAnsi="宋体" w:cs="宋体" w:eastAsia="宋体" w:hint="default"/>
                <w:spacing w:val="7"/>
                <w:sz w:val="18"/>
                <w:szCs w:val="18"/>
              </w:rPr>
              <w:t>江苏昌祺和本公司在合并前后 </w:t>
            </w:r>
            <w:r>
              <w:rPr>
                <w:rFonts w:ascii="宋体" w:hAnsi="宋体" w:cs="宋体" w:eastAsia="宋体" w:hint="default"/>
                <w:spacing w:val="3"/>
                <w:sz w:val="18"/>
                <w:szCs w:val="18"/>
              </w:rPr>
              <w:t>均受张近东先生</w:t>
            </w:r>
            <w:r>
              <w:rPr>
                <w:rFonts w:ascii="Arial" w:hAnsi="Arial" w:cs="Arial" w:eastAsia="Arial" w:hint="default"/>
                <w:spacing w:val="3"/>
                <w:sz w:val="18"/>
                <w:szCs w:val="18"/>
              </w:rPr>
              <w:t>(</w:t>
            </w:r>
            <w:r>
              <w:rPr>
                <w:rFonts w:ascii="宋体" w:hAnsi="宋体" w:cs="宋体" w:eastAsia="宋体" w:hint="default"/>
                <w:spacing w:val="3"/>
                <w:sz w:val="18"/>
                <w:szCs w:val="18"/>
              </w:rPr>
              <w:t>附注六</w:t>
            </w:r>
            <w:r>
              <w:rPr>
                <w:rFonts w:ascii="Arial" w:hAnsi="Arial" w:cs="Arial" w:eastAsia="Arial" w:hint="default"/>
                <w:spacing w:val="3"/>
                <w:sz w:val="18"/>
                <w:szCs w:val="18"/>
              </w:rPr>
              <w:t>(1)(a))</w:t>
            </w:r>
            <w:r>
              <w:rPr>
                <w:rFonts w:ascii="Arial" w:hAnsi="Arial" w:cs="Arial" w:eastAsia="Arial" w:hint="default"/>
                <w:spacing w:val="-41"/>
                <w:sz w:val="18"/>
                <w:szCs w:val="18"/>
              </w:rPr>
              <w:t> </w:t>
            </w:r>
            <w:r>
              <w:rPr>
                <w:rFonts w:ascii="Arial" w:hAnsi="Arial" w:cs="Arial" w:eastAsia="Arial" w:hint="default"/>
                <w:spacing w:val="-41"/>
                <w:sz w:val="18"/>
                <w:szCs w:val="18"/>
              </w:rPr>
            </w:r>
            <w:r>
              <w:rPr>
                <w:rFonts w:ascii="宋体" w:hAnsi="宋体" w:cs="宋体" w:eastAsia="宋体" w:hint="default"/>
                <w:spacing w:val="7"/>
                <w:sz w:val="18"/>
                <w:szCs w:val="18"/>
              </w:rPr>
              <w:t>最终控制且该控制并非暂时性</w:t>
            </w:r>
            <w:r>
              <w:rPr>
                <w:rFonts w:ascii="宋体" w:hAnsi="宋体" w:cs="宋体" w:eastAsia="宋体" w:hint="default"/>
                <w:spacing w:val="7"/>
                <w:w w:val="99"/>
                <w:sz w:val="18"/>
                <w:szCs w:val="18"/>
              </w:rPr>
              <w:t> </w:t>
            </w:r>
            <w:r>
              <w:rPr>
                <w:rFonts w:ascii="宋体" w:hAnsi="宋体" w:cs="宋体" w:eastAsia="宋体" w:hint="default"/>
                <w:sz w:val="18"/>
                <w:szCs w:val="18"/>
              </w:rPr>
              <w:t>的。</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32" w:lineRule="exact"/>
              <w:ind w:left="677" w:right="180" w:hanging="178"/>
              <w:jc w:val="left"/>
              <w:rPr>
                <w:rFonts w:ascii="宋体" w:hAnsi="宋体" w:cs="宋体" w:eastAsia="宋体" w:hint="default"/>
                <w:sz w:val="18"/>
                <w:szCs w:val="18"/>
              </w:rPr>
            </w:pPr>
            <w:r>
              <w:rPr>
                <w:rFonts w:ascii="宋体" w:hAnsi="宋体" w:cs="宋体" w:eastAsia="宋体" w:hint="default"/>
                <w:sz w:val="18"/>
                <w:szCs w:val="18"/>
              </w:rPr>
              <w:t>张近东 先生</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9"/>
              <w:jc w:val="right"/>
              <w:rPr>
                <w:rFonts w:ascii="Arial" w:hAnsi="Arial" w:cs="Arial" w:eastAsia="Arial" w:hint="default"/>
                <w:sz w:val="18"/>
                <w:szCs w:val="18"/>
              </w:rPr>
            </w:pPr>
            <w:r>
              <w:rPr>
                <w:rFonts w:ascii="Arial"/>
                <w:w w:val="99"/>
                <w:sz w:val="18"/>
              </w:rPr>
              <w:t>-</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9"/>
              <w:jc w:val="right"/>
              <w:rPr>
                <w:rFonts w:ascii="Arial" w:hAnsi="Arial" w:cs="Arial" w:eastAsia="Arial" w:hint="default"/>
                <w:sz w:val="18"/>
                <w:szCs w:val="18"/>
              </w:rPr>
            </w:pPr>
            <w:r>
              <w:rPr>
                <w:rFonts w:ascii="Arial"/>
                <w:w w:val="95"/>
                <w:sz w:val="18"/>
              </w:rPr>
              <w:t>(25)</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7"/>
              <w:jc w:val="right"/>
              <w:rPr>
                <w:rFonts w:ascii="Arial" w:hAnsi="Arial" w:cs="Arial" w:eastAsia="Arial" w:hint="default"/>
                <w:sz w:val="18"/>
                <w:szCs w:val="18"/>
              </w:rPr>
            </w:pPr>
            <w:r>
              <w:rPr>
                <w:rFonts w:ascii="Arial"/>
                <w:w w:val="95"/>
                <w:sz w:val="18"/>
              </w:rPr>
              <w:t>(329)</w:t>
            </w:r>
            <w:r>
              <w:rPr>
                <w:rFonts w:ascii="Arial"/>
                <w:sz w:val="18"/>
              </w:rPr>
            </w:r>
          </w:p>
        </w:tc>
      </w:tr>
      <w:tr>
        <w:trPr>
          <w:trHeight w:val="747" w:hRule="exact"/>
        </w:trPr>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216"/>
              <w:ind w:right="10"/>
              <w:jc w:val="center"/>
              <w:rPr>
                <w:rFonts w:ascii="Arial" w:hAnsi="Arial" w:cs="Arial" w:eastAsia="Arial" w:hint="default"/>
                <w:sz w:val="24"/>
                <w:szCs w:val="24"/>
              </w:rPr>
            </w:pPr>
            <w:r>
              <w:rPr>
                <w:rFonts w:ascii="Arial"/>
                <w:sz w:val="24"/>
              </w:rPr>
              <w:t>(a)</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212" w:right="0"/>
              <w:jc w:val="left"/>
              <w:rPr>
                <w:rFonts w:ascii="宋体" w:hAnsi="宋体" w:cs="宋体" w:eastAsia="宋体" w:hint="default"/>
                <w:sz w:val="24"/>
                <w:szCs w:val="24"/>
              </w:rPr>
            </w:pPr>
            <w:r>
              <w:rPr>
                <w:rFonts w:ascii="宋体" w:hAnsi="宋体" w:cs="宋体" w:eastAsia="宋体" w:hint="default"/>
                <w:sz w:val="24"/>
                <w:szCs w:val="24"/>
              </w:rPr>
              <w:t>江苏昌祺</w:t>
            </w:r>
          </w:p>
        </w:tc>
        <w:tc>
          <w:tcPr>
            <w:tcW w:w="270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r>
      <w:tr>
        <w:trPr>
          <w:trHeight w:val="1366" w:hRule="exact"/>
        </w:trPr>
        <w:tc>
          <w:tcPr>
            <w:tcW w:w="9038" w:type="dxa"/>
            <w:gridSpan w:val="7"/>
            <w:tcBorders>
              <w:top w:val="nil" w:sz="6" w:space="0" w:color="auto"/>
              <w:left w:val="nil" w:sz="6" w:space="0" w:color="auto"/>
              <w:bottom w:val="nil" w:sz="6" w:space="0" w:color="auto"/>
              <w:right w:val="nil" w:sz="6" w:space="0" w:color="auto"/>
            </w:tcBorders>
          </w:tcPr>
          <w:p>
            <w:pPr>
              <w:pStyle w:val="TableParagraph"/>
              <w:spacing w:line="322" w:lineRule="exact" w:before="179"/>
              <w:ind w:left="917"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z w:val="24"/>
                <w:szCs w:val="24"/>
              </w:rPr>
              <w:t>2012</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7</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pacing w:val="-3"/>
                <w:sz w:val="24"/>
                <w:szCs w:val="24"/>
              </w:rPr>
              <w:t>日，本公司向苏宁置业集团有限公司</w:t>
            </w:r>
            <w:r>
              <w:rPr>
                <w:rFonts w:ascii="Arial" w:hAnsi="Arial" w:cs="Arial" w:eastAsia="Arial" w:hint="default"/>
                <w:spacing w:val="-3"/>
                <w:sz w:val="24"/>
                <w:szCs w:val="24"/>
              </w:rPr>
              <w:t>(</w:t>
            </w:r>
            <w:r>
              <w:rPr>
                <w:rFonts w:ascii="宋体" w:hAnsi="宋体" w:cs="宋体" w:eastAsia="宋体" w:hint="default"/>
                <w:spacing w:val="-3"/>
                <w:sz w:val="24"/>
                <w:szCs w:val="24"/>
              </w:rPr>
              <w:t>“苏宁置业”</w:t>
            </w:r>
            <w:r>
              <w:rPr>
                <w:rFonts w:ascii="Arial" w:hAnsi="Arial" w:cs="Arial" w:eastAsia="Arial" w:hint="default"/>
                <w:spacing w:val="-3"/>
                <w:sz w:val="24"/>
                <w:szCs w:val="24"/>
              </w:rPr>
              <w:t>)</w:t>
            </w:r>
            <w:r>
              <w:rPr>
                <w:rFonts w:ascii="Arial" w:hAnsi="Arial" w:cs="Arial" w:eastAsia="Arial" w:hint="default"/>
                <w:spacing w:val="53"/>
                <w:sz w:val="24"/>
                <w:szCs w:val="24"/>
              </w:rPr>
              <w:t> </w:t>
            </w:r>
            <w:r>
              <w:rPr>
                <w:rFonts w:ascii="宋体" w:hAnsi="宋体" w:cs="宋体" w:eastAsia="宋体" w:hint="default"/>
                <w:sz w:val="24"/>
                <w:szCs w:val="24"/>
              </w:rPr>
              <w:t>收购</w:t>
            </w:r>
          </w:p>
          <w:p>
            <w:pPr>
              <w:pStyle w:val="TableParagraph"/>
              <w:spacing w:line="310" w:lineRule="exact" w:before="22"/>
              <w:ind w:left="917" w:right="0"/>
              <w:jc w:val="left"/>
              <w:rPr>
                <w:rFonts w:ascii="宋体" w:hAnsi="宋体" w:cs="宋体" w:eastAsia="宋体" w:hint="default"/>
                <w:sz w:val="24"/>
                <w:szCs w:val="24"/>
              </w:rPr>
            </w:pPr>
            <w:r>
              <w:rPr>
                <w:rFonts w:ascii="宋体" w:hAnsi="宋体" w:cs="宋体" w:eastAsia="宋体" w:hint="default"/>
                <w:sz w:val="24"/>
                <w:szCs w:val="24"/>
              </w:rPr>
              <w:t>了其拥有的江苏昌祺</w:t>
            </w:r>
            <w:r>
              <w:rPr>
                <w:rFonts w:ascii="宋体" w:hAnsi="宋体" w:cs="宋体" w:eastAsia="宋体" w:hint="default"/>
                <w:spacing w:val="-60"/>
                <w:sz w:val="24"/>
                <w:szCs w:val="24"/>
              </w:rPr>
              <w:t> </w:t>
            </w:r>
            <w:r>
              <w:rPr>
                <w:rFonts w:ascii="Arial" w:hAnsi="Arial" w:cs="Arial" w:eastAsia="Arial" w:hint="default"/>
                <w:spacing w:val="-6"/>
                <w:sz w:val="24"/>
                <w:szCs w:val="24"/>
              </w:rPr>
              <w:t>100%</w:t>
            </w:r>
            <w:r>
              <w:rPr>
                <w:rFonts w:ascii="宋体" w:hAnsi="宋体" w:cs="宋体" w:eastAsia="宋体" w:hint="default"/>
                <w:spacing w:val="-6"/>
                <w:sz w:val="24"/>
                <w:szCs w:val="24"/>
              </w:rPr>
              <w:t>的股权。本次交易的合并日为</w:t>
            </w:r>
            <w:r>
              <w:rPr>
                <w:rFonts w:ascii="宋体" w:hAnsi="宋体" w:cs="宋体" w:eastAsia="宋体" w:hint="default"/>
                <w:spacing w:val="-60"/>
                <w:sz w:val="24"/>
                <w:szCs w:val="24"/>
              </w:rPr>
              <w:t> </w:t>
            </w: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7</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z w:val="24"/>
                <w:szCs w:val="24"/>
              </w:rPr>
              <w:t>日， 系本公司实际取得江苏昌祺控制权的日期。</w:t>
            </w:r>
          </w:p>
        </w:tc>
      </w:tr>
      <w:tr>
        <w:trPr>
          <w:trHeight w:val="752" w:hRule="exact"/>
        </w:trPr>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1"/>
              <w:jc w:val="center"/>
              <w:rPr>
                <w:rFonts w:ascii="Arial" w:hAnsi="Arial" w:cs="Arial" w:eastAsia="Arial" w:hint="default"/>
                <w:sz w:val="24"/>
                <w:szCs w:val="24"/>
              </w:rPr>
            </w:pPr>
            <w:r>
              <w:rPr>
                <w:rFonts w:ascii="Arial"/>
                <w:sz w:val="24"/>
              </w:rPr>
              <w:t>(i)</w:t>
            </w:r>
          </w:p>
        </w:tc>
        <w:tc>
          <w:tcPr>
            <w:tcW w:w="620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84"/>
              <w:ind w:left="212" w:right="-8"/>
              <w:jc w:val="left"/>
              <w:rPr>
                <w:rFonts w:ascii="宋体" w:hAnsi="宋体" w:cs="宋体" w:eastAsia="宋体" w:hint="default"/>
                <w:sz w:val="24"/>
                <w:szCs w:val="24"/>
              </w:rPr>
            </w:pPr>
            <w:r>
              <w:rPr>
                <w:rFonts w:ascii="宋体" w:hAnsi="宋体" w:cs="宋体" w:eastAsia="宋体" w:hint="default"/>
                <w:sz w:val="24"/>
                <w:szCs w:val="24"/>
              </w:rPr>
              <w:t>上述企业合并的合并成本及取得的净资产账面价值如下：</w:t>
            </w:r>
          </w:p>
        </w:tc>
        <w:tc>
          <w:tcPr>
            <w:tcW w:w="995"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r>
      <w:tr>
        <w:trPr>
          <w:trHeight w:val="583" w:hRule="exact"/>
        </w:trPr>
        <w:tc>
          <w:tcPr>
            <w:tcW w:w="705" w:type="dxa"/>
            <w:tcBorders>
              <w:top w:val="nil" w:sz="6" w:space="0" w:color="auto"/>
              <w:left w:val="nil" w:sz="6" w:space="0" w:color="auto"/>
              <w:bottom w:val="nil" w:sz="6" w:space="0" w:color="auto"/>
              <w:right w:val="nil" w:sz="6" w:space="0" w:color="auto"/>
            </w:tcBorders>
          </w:tcPr>
          <w:p>
            <w:pPr/>
          </w:p>
        </w:tc>
        <w:tc>
          <w:tcPr>
            <w:tcW w:w="39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214" w:right="0"/>
              <w:jc w:val="left"/>
              <w:rPr>
                <w:rFonts w:ascii="宋体" w:hAnsi="宋体" w:cs="宋体" w:eastAsia="宋体" w:hint="default"/>
                <w:sz w:val="24"/>
                <w:szCs w:val="24"/>
              </w:rPr>
            </w:pPr>
            <w:r>
              <w:rPr>
                <w:rFonts w:ascii="宋体" w:hAnsi="宋体" w:cs="宋体" w:eastAsia="宋体" w:hint="default"/>
                <w:sz w:val="24"/>
                <w:szCs w:val="24"/>
              </w:rPr>
              <w:t>合并成本</w:t>
            </w:r>
            <w:r>
              <w:rPr>
                <w:rFonts w:ascii="宋体" w:hAnsi="宋体" w:cs="宋体" w:eastAsia="宋体" w:hint="default"/>
                <w:spacing w:val="-1"/>
                <w:sz w:val="24"/>
                <w:szCs w:val="24"/>
              </w:rPr>
              <w:t> </w:t>
            </w:r>
            <w:r>
              <w:rPr>
                <w:rFonts w:ascii="Arial" w:hAnsi="Arial" w:cs="Arial" w:eastAsia="Arial" w:hint="default"/>
                <w:sz w:val="24"/>
                <w:szCs w:val="24"/>
              </w:rPr>
              <w:t>-</w:t>
            </w:r>
            <w:r>
              <w:rPr>
                <w:rFonts w:ascii="宋体" w:hAnsi="宋体" w:cs="宋体" w:eastAsia="宋体" w:hint="default"/>
                <w:sz w:val="24"/>
                <w:szCs w:val="24"/>
              </w:rPr>
              <w:t>支付的现金</w:t>
            </w:r>
          </w:p>
        </w:tc>
        <w:tc>
          <w:tcPr>
            <w:tcW w:w="1222"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19"/>
              <w:jc w:val="right"/>
              <w:rPr>
                <w:rFonts w:ascii="Arial" w:hAnsi="Arial" w:cs="Arial" w:eastAsia="Arial" w:hint="default"/>
                <w:sz w:val="24"/>
                <w:szCs w:val="24"/>
              </w:rPr>
            </w:pPr>
            <w:r>
              <w:rPr>
                <w:rFonts w:ascii="Arial"/>
                <w:spacing w:val="-1"/>
                <w:sz w:val="24"/>
              </w:rPr>
              <w:t>50,393</w:t>
            </w:r>
          </w:p>
        </w:tc>
      </w:tr>
      <w:tr>
        <w:trPr>
          <w:trHeight w:val="383" w:hRule="exact"/>
        </w:trPr>
        <w:tc>
          <w:tcPr>
            <w:tcW w:w="705" w:type="dxa"/>
            <w:tcBorders>
              <w:top w:val="nil" w:sz="6" w:space="0" w:color="auto"/>
              <w:left w:val="nil" w:sz="6" w:space="0" w:color="auto"/>
              <w:bottom w:val="nil" w:sz="6" w:space="0" w:color="auto"/>
              <w:right w:val="nil" w:sz="6" w:space="0" w:color="auto"/>
            </w:tcBorders>
          </w:tcPr>
          <w:p>
            <w:pPr/>
          </w:p>
        </w:tc>
        <w:tc>
          <w:tcPr>
            <w:tcW w:w="3906" w:type="dxa"/>
            <w:gridSpan w:val="2"/>
            <w:tcBorders>
              <w:top w:val="nil" w:sz="6" w:space="0" w:color="auto"/>
              <w:left w:val="nil" w:sz="6" w:space="0" w:color="auto"/>
              <w:bottom w:val="nil" w:sz="6" w:space="0" w:color="auto"/>
              <w:right w:val="nil" w:sz="6" w:space="0" w:color="auto"/>
            </w:tcBorders>
          </w:tcPr>
          <w:p>
            <w:pPr>
              <w:pStyle w:val="TableParagraph"/>
              <w:spacing w:line="301" w:lineRule="exact"/>
              <w:ind w:left="212" w:right="0"/>
              <w:jc w:val="left"/>
              <w:rPr>
                <w:rFonts w:ascii="宋体" w:hAnsi="宋体" w:cs="宋体" w:eastAsia="宋体" w:hint="default"/>
                <w:sz w:val="24"/>
                <w:szCs w:val="24"/>
              </w:rPr>
            </w:pPr>
            <w:r>
              <w:rPr>
                <w:rFonts w:ascii="宋体" w:hAnsi="宋体" w:cs="宋体" w:eastAsia="宋体" w:hint="default"/>
                <w:sz w:val="24"/>
                <w:szCs w:val="24"/>
              </w:rPr>
              <w:t>减：取得的净资产账面价值</w:t>
            </w:r>
          </w:p>
        </w:tc>
        <w:tc>
          <w:tcPr>
            <w:tcW w:w="1222"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single" w:sz="4" w:space="0" w:color="000000"/>
              <w:right w:val="nil" w:sz="6" w:space="0" w:color="auto"/>
            </w:tcBorders>
          </w:tcPr>
          <w:p>
            <w:pPr/>
          </w:p>
        </w:tc>
        <w:tc>
          <w:tcPr>
            <w:tcW w:w="995" w:type="dxa"/>
            <w:tcBorders>
              <w:top w:val="nil" w:sz="6" w:space="0" w:color="auto"/>
              <w:left w:val="nil" w:sz="6" w:space="0" w:color="auto"/>
              <w:bottom w:val="single" w:sz="4" w:space="0" w:color="000000"/>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19"/>
              <w:jc w:val="right"/>
              <w:rPr>
                <w:rFonts w:ascii="Arial" w:hAnsi="Arial" w:cs="Arial" w:eastAsia="Arial" w:hint="default"/>
                <w:sz w:val="24"/>
                <w:szCs w:val="24"/>
              </w:rPr>
            </w:pPr>
            <w:r>
              <w:rPr>
                <w:rFonts w:ascii="Arial"/>
                <w:spacing w:val="-1"/>
                <w:sz w:val="24"/>
              </w:rPr>
              <w:t>50,393</w:t>
            </w:r>
          </w:p>
        </w:tc>
      </w:tr>
      <w:tr>
        <w:trPr>
          <w:trHeight w:val="413" w:hRule="exact"/>
        </w:trPr>
        <w:tc>
          <w:tcPr>
            <w:tcW w:w="705" w:type="dxa"/>
            <w:tcBorders>
              <w:top w:val="nil" w:sz="6" w:space="0" w:color="auto"/>
              <w:left w:val="nil" w:sz="6" w:space="0" w:color="auto"/>
              <w:bottom w:val="nil" w:sz="6" w:space="0" w:color="auto"/>
              <w:right w:val="nil" w:sz="6" w:space="0" w:color="auto"/>
            </w:tcBorders>
          </w:tcPr>
          <w:p>
            <w:pPr/>
          </w:p>
        </w:tc>
        <w:tc>
          <w:tcPr>
            <w:tcW w:w="39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12" w:right="0"/>
              <w:jc w:val="left"/>
              <w:rPr>
                <w:rFonts w:ascii="宋体" w:hAnsi="宋体" w:cs="宋体" w:eastAsia="宋体" w:hint="default"/>
                <w:sz w:val="24"/>
                <w:szCs w:val="24"/>
              </w:rPr>
            </w:pPr>
            <w:r>
              <w:rPr>
                <w:rFonts w:ascii="宋体" w:hAnsi="宋体" w:cs="宋体" w:eastAsia="宋体" w:hint="default"/>
                <w:sz w:val="24"/>
                <w:szCs w:val="24"/>
              </w:rPr>
              <w:t>调整资本公积金额</w:t>
            </w:r>
          </w:p>
        </w:tc>
        <w:tc>
          <w:tcPr>
            <w:tcW w:w="1222" w:type="dxa"/>
            <w:tcBorders>
              <w:top w:val="nil" w:sz="6" w:space="0" w:color="auto"/>
              <w:left w:val="nil" w:sz="6" w:space="0" w:color="auto"/>
              <w:bottom w:val="nil" w:sz="6" w:space="0" w:color="auto"/>
              <w:right w:val="nil" w:sz="6" w:space="0" w:color="auto"/>
            </w:tcBorders>
          </w:tcPr>
          <w:p>
            <w:pPr/>
          </w:p>
        </w:tc>
        <w:tc>
          <w:tcPr>
            <w:tcW w:w="1076" w:type="dxa"/>
            <w:tcBorders>
              <w:top w:val="single" w:sz="4" w:space="0" w:color="000000"/>
              <w:left w:val="nil" w:sz="6" w:space="0" w:color="auto"/>
              <w:bottom w:val="single" w:sz="12" w:space="0" w:color="000000"/>
              <w:right w:val="nil" w:sz="6" w:space="0" w:color="auto"/>
            </w:tcBorders>
          </w:tcPr>
          <w:p>
            <w:pPr/>
          </w:p>
        </w:tc>
        <w:tc>
          <w:tcPr>
            <w:tcW w:w="995" w:type="dxa"/>
            <w:tcBorders>
              <w:top w:val="single" w:sz="4" w:space="0" w:color="000000"/>
              <w:left w:val="nil" w:sz="6" w:space="0" w:color="auto"/>
              <w:bottom w:val="single" w:sz="12" w:space="0" w:color="000000"/>
              <w:right w:val="nil" w:sz="6" w:space="0" w:color="auto"/>
            </w:tcBorders>
          </w:tcPr>
          <w:p>
            <w:pPr/>
          </w:p>
        </w:tc>
        <w:tc>
          <w:tcPr>
            <w:tcW w:w="1133"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119"/>
              <w:jc w:val="right"/>
              <w:rPr>
                <w:rFonts w:ascii="Arial" w:hAnsi="Arial" w:cs="Arial" w:eastAsia="Arial" w:hint="default"/>
                <w:sz w:val="24"/>
                <w:szCs w:val="24"/>
              </w:rPr>
            </w:pPr>
            <w:r>
              <w:rPr>
                <w:rFonts w:ascii="Arial"/>
                <w:w w:val="99"/>
                <w:sz w:val="24"/>
              </w:rPr>
              <w:t>-</w:t>
            </w:r>
            <w:r>
              <w:rPr>
                <w:rFonts w:ascii="Arial"/>
                <w:sz w:val="24"/>
              </w:rPr>
            </w:r>
          </w:p>
        </w:tc>
      </w:tr>
    </w:tbl>
    <w:p>
      <w:pPr>
        <w:spacing w:after="0" w:line="240" w:lineRule="auto"/>
        <w:jc w:val="right"/>
        <w:rPr>
          <w:rFonts w:ascii="Arial" w:hAnsi="Arial" w:cs="Arial" w:eastAsia="Arial"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14"/>
        <w:gridCol w:w="5787"/>
        <w:gridCol w:w="2523"/>
      </w:tblGrid>
      <w:tr>
        <w:trPr>
          <w:trHeight w:val="497" w:hRule="exact"/>
        </w:trPr>
        <w:tc>
          <w:tcPr>
            <w:tcW w:w="714" w:type="dxa"/>
            <w:tcBorders>
              <w:top w:val="nil" w:sz="6" w:space="0" w:color="auto"/>
              <w:left w:val="nil" w:sz="6" w:space="0" w:color="auto"/>
              <w:bottom w:val="nil" w:sz="6" w:space="0" w:color="auto"/>
              <w:right w:val="nil" w:sz="6" w:space="0" w:color="auto"/>
            </w:tcBorders>
          </w:tcPr>
          <w:p>
            <w:pPr>
              <w:pStyle w:val="TableParagraph"/>
              <w:spacing w:line="240" w:lineRule="exact"/>
              <w:ind w:right="71"/>
              <w:jc w:val="center"/>
              <w:rPr>
                <w:rFonts w:ascii="黑体" w:hAnsi="黑体" w:cs="黑体" w:eastAsia="黑体" w:hint="default"/>
                <w:sz w:val="24"/>
                <w:szCs w:val="24"/>
              </w:rPr>
            </w:pPr>
            <w:r>
              <w:rPr>
                <w:rFonts w:ascii="黑体" w:hAnsi="黑体" w:cs="黑体" w:eastAsia="黑体" w:hint="default"/>
                <w:sz w:val="24"/>
                <w:szCs w:val="24"/>
              </w:rPr>
              <w:t>四</w:t>
            </w:r>
          </w:p>
        </w:tc>
        <w:tc>
          <w:tcPr>
            <w:tcW w:w="5787" w:type="dxa"/>
            <w:tcBorders>
              <w:top w:val="nil" w:sz="6" w:space="0" w:color="auto"/>
              <w:left w:val="nil" w:sz="6" w:space="0" w:color="auto"/>
              <w:bottom w:val="nil" w:sz="6" w:space="0" w:color="auto"/>
              <w:right w:val="nil" w:sz="6" w:space="0" w:color="auto"/>
            </w:tcBorders>
          </w:tcPr>
          <w:p>
            <w:pPr>
              <w:pStyle w:val="TableParagraph"/>
              <w:spacing w:line="257" w:lineRule="exact"/>
              <w:ind w:left="196" w:right="0"/>
              <w:jc w:val="left"/>
              <w:rPr>
                <w:rFonts w:ascii="Arial" w:hAnsi="Arial" w:cs="Arial" w:eastAsia="Arial" w:hint="default"/>
                <w:sz w:val="24"/>
                <w:szCs w:val="24"/>
              </w:rPr>
            </w:pPr>
            <w:r>
              <w:rPr>
                <w:rFonts w:ascii="黑体" w:hAnsi="黑体" w:cs="黑体" w:eastAsia="黑体" w:hint="default"/>
                <w:sz w:val="24"/>
                <w:szCs w:val="24"/>
              </w:rPr>
              <w:t>企业合并及合并财务报表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523" w:type="dxa"/>
            <w:tcBorders>
              <w:top w:val="nil" w:sz="6" w:space="0" w:color="auto"/>
              <w:left w:val="nil" w:sz="6" w:space="0" w:color="auto"/>
              <w:bottom w:val="nil" w:sz="6" w:space="0" w:color="auto"/>
              <w:right w:val="nil" w:sz="6" w:space="0" w:color="auto"/>
            </w:tcBorders>
          </w:tcPr>
          <w:p>
            <w:pPr/>
          </w:p>
        </w:tc>
      </w:tr>
      <w:tr>
        <w:trPr>
          <w:trHeight w:val="748" w:hRule="exact"/>
        </w:trPr>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8"/>
              <w:jc w:val="center"/>
              <w:rPr>
                <w:rFonts w:ascii="Arial" w:hAnsi="Arial" w:cs="Arial" w:eastAsia="Arial" w:hint="default"/>
                <w:sz w:val="24"/>
                <w:szCs w:val="24"/>
              </w:rPr>
            </w:pPr>
            <w:r>
              <w:rPr>
                <w:rFonts w:ascii="Arial"/>
                <w:sz w:val="24"/>
              </w:rPr>
              <w:t>(3)</w:t>
            </w: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96" w:right="0"/>
              <w:jc w:val="left"/>
              <w:rPr>
                <w:rFonts w:ascii="Arial" w:hAnsi="Arial" w:cs="Arial" w:eastAsia="Arial" w:hint="default"/>
                <w:sz w:val="24"/>
                <w:szCs w:val="24"/>
              </w:rPr>
            </w:pPr>
            <w:r>
              <w:rPr>
                <w:rFonts w:ascii="黑体" w:hAnsi="黑体" w:cs="黑体" w:eastAsia="黑体" w:hint="default"/>
                <w:sz w:val="24"/>
                <w:szCs w:val="24"/>
              </w:rPr>
              <w:t>同一控制下企业合并</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523" w:type="dxa"/>
            <w:tcBorders>
              <w:top w:val="nil" w:sz="6" w:space="0" w:color="auto"/>
              <w:left w:val="nil" w:sz="6" w:space="0" w:color="auto"/>
              <w:bottom w:val="nil" w:sz="6" w:space="0" w:color="auto"/>
              <w:right w:val="nil" w:sz="6" w:space="0" w:color="auto"/>
            </w:tcBorders>
          </w:tcPr>
          <w:p>
            <w:pPr/>
          </w:p>
        </w:tc>
      </w:tr>
      <w:tr>
        <w:trPr>
          <w:trHeight w:val="746" w:hRule="exact"/>
        </w:trPr>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8"/>
              <w:jc w:val="center"/>
              <w:rPr>
                <w:rFonts w:ascii="Arial" w:hAnsi="Arial" w:cs="Arial" w:eastAsia="Arial" w:hint="default"/>
                <w:sz w:val="24"/>
                <w:szCs w:val="24"/>
              </w:rPr>
            </w:pPr>
            <w:r>
              <w:rPr>
                <w:rFonts w:ascii="Arial"/>
                <w:sz w:val="24"/>
              </w:rPr>
              <w:t>(a)</w:t>
            </w: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6" w:right="0"/>
              <w:jc w:val="left"/>
              <w:rPr>
                <w:rFonts w:ascii="Arial" w:hAnsi="Arial" w:cs="Arial" w:eastAsia="Arial" w:hint="default"/>
                <w:sz w:val="24"/>
                <w:szCs w:val="24"/>
              </w:rPr>
            </w:pPr>
            <w:r>
              <w:rPr>
                <w:rFonts w:ascii="宋体" w:hAnsi="宋体" w:cs="宋体" w:eastAsia="宋体" w:hint="default"/>
                <w:sz w:val="24"/>
                <w:szCs w:val="24"/>
              </w:rPr>
              <w:t>江苏昌祺</w:t>
            </w:r>
            <w:r>
              <w:rPr>
                <w:rFonts w:ascii="宋体" w:hAnsi="宋体" w:cs="宋体" w:eastAsia="宋体" w:hint="default"/>
                <w:spacing w:val="-1"/>
                <w:sz w:val="24"/>
                <w:szCs w:val="24"/>
              </w:rPr>
              <w:t> </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2523" w:type="dxa"/>
            <w:tcBorders>
              <w:top w:val="nil" w:sz="6" w:space="0" w:color="auto"/>
              <w:left w:val="nil" w:sz="6" w:space="0" w:color="auto"/>
              <w:bottom w:val="nil" w:sz="6" w:space="0" w:color="auto"/>
              <w:right w:val="nil" w:sz="6" w:space="0" w:color="auto"/>
            </w:tcBorders>
          </w:tcPr>
          <w:p>
            <w:pPr/>
          </w:p>
        </w:tc>
      </w:tr>
      <w:tr>
        <w:trPr>
          <w:trHeight w:val="746" w:hRule="exact"/>
        </w:trPr>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46"/>
              <w:jc w:val="center"/>
              <w:rPr>
                <w:rFonts w:ascii="Arial" w:hAnsi="Arial" w:cs="Arial" w:eastAsia="Arial" w:hint="default"/>
                <w:sz w:val="24"/>
                <w:szCs w:val="24"/>
              </w:rPr>
            </w:pPr>
            <w:r>
              <w:rPr>
                <w:rFonts w:ascii="Arial"/>
                <w:sz w:val="24"/>
              </w:rPr>
              <w:t>(ii)</w:t>
            </w:r>
          </w:p>
        </w:tc>
        <w:tc>
          <w:tcPr>
            <w:tcW w:w="83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196" w:right="0"/>
              <w:jc w:val="left"/>
              <w:rPr>
                <w:rFonts w:ascii="宋体" w:hAnsi="宋体" w:cs="宋体" w:eastAsia="宋体" w:hint="default"/>
                <w:sz w:val="24"/>
                <w:szCs w:val="24"/>
              </w:rPr>
            </w:pPr>
            <w:r>
              <w:rPr>
                <w:rFonts w:ascii="宋体" w:hAnsi="宋体" w:cs="宋体" w:eastAsia="宋体" w:hint="default"/>
                <w:sz w:val="24"/>
                <w:szCs w:val="24"/>
              </w:rPr>
              <w:t>江苏昌祺于合并日的资产、负债账面价值列示如下：</w:t>
            </w:r>
          </w:p>
        </w:tc>
      </w:tr>
      <w:tr>
        <w:trPr>
          <w:trHeight w:val="570" w:hRule="exact"/>
        </w:trPr>
        <w:tc>
          <w:tcPr>
            <w:tcW w:w="714"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575" w:right="0"/>
              <w:jc w:val="left"/>
              <w:rPr>
                <w:rFonts w:ascii="宋体" w:hAnsi="宋体" w:cs="宋体" w:eastAsia="宋体" w:hint="default"/>
                <w:sz w:val="24"/>
                <w:szCs w:val="24"/>
              </w:rPr>
            </w:pPr>
            <w:r>
              <w:rPr>
                <w:rFonts w:ascii="宋体" w:hAnsi="宋体" w:cs="宋体" w:eastAsia="宋体" w:hint="default"/>
                <w:sz w:val="24"/>
                <w:szCs w:val="24"/>
              </w:rPr>
              <w:t>合并日</w:t>
            </w:r>
          </w:p>
        </w:tc>
      </w:tr>
      <w:tr>
        <w:trPr>
          <w:trHeight w:val="569" w:hRule="exact"/>
        </w:trPr>
        <w:tc>
          <w:tcPr>
            <w:tcW w:w="714"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
              <w:ind w:left="1335"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583" w:hRule="exact"/>
        </w:trPr>
        <w:tc>
          <w:tcPr>
            <w:tcW w:w="714"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96"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3"/>
              <w:jc w:val="right"/>
              <w:rPr>
                <w:rFonts w:ascii="Arial" w:hAnsi="Arial" w:cs="Arial" w:eastAsia="Arial" w:hint="default"/>
                <w:sz w:val="24"/>
                <w:szCs w:val="24"/>
              </w:rPr>
            </w:pPr>
            <w:r>
              <w:rPr>
                <w:rFonts w:ascii="Arial"/>
                <w:w w:val="95"/>
                <w:sz w:val="24"/>
              </w:rPr>
              <w:t>40</w:t>
            </w:r>
            <w:r>
              <w:rPr>
                <w:rFonts w:ascii="Arial"/>
                <w:sz w:val="24"/>
              </w:rPr>
            </w:r>
          </w:p>
        </w:tc>
      </w:tr>
      <w:tr>
        <w:trPr>
          <w:trHeight w:val="391" w:hRule="exact"/>
        </w:trPr>
        <w:tc>
          <w:tcPr>
            <w:tcW w:w="714"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301" w:lineRule="exact"/>
              <w:ind w:left="196" w:right="0"/>
              <w:jc w:val="left"/>
              <w:rPr>
                <w:rFonts w:ascii="宋体" w:hAnsi="宋体" w:cs="宋体" w:eastAsia="宋体" w:hint="default"/>
                <w:sz w:val="24"/>
                <w:szCs w:val="24"/>
              </w:rPr>
            </w:pPr>
            <w:r>
              <w:rPr>
                <w:rFonts w:ascii="宋体" w:hAnsi="宋体" w:cs="宋体" w:eastAsia="宋体" w:hint="default"/>
                <w:sz w:val="24"/>
                <w:szCs w:val="24"/>
              </w:rPr>
              <w:t>应收款项</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4"/>
              <w:jc w:val="right"/>
              <w:rPr>
                <w:rFonts w:ascii="Arial" w:hAnsi="Arial" w:cs="Arial" w:eastAsia="Arial" w:hint="default"/>
                <w:sz w:val="24"/>
                <w:szCs w:val="24"/>
              </w:rPr>
            </w:pPr>
            <w:r>
              <w:rPr>
                <w:rFonts w:ascii="Arial"/>
                <w:w w:val="95"/>
                <w:sz w:val="24"/>
              </w:rPr>
              <w:t>325</w:t>
            </w:r>
            <w:r>
              <w:rPr>
                <w:rFonts w:ascii="Arial"/>
                <w:sz w:val="24"/>
              </w:rPr>
            </w:r>
          </w:p>
        </w:tc>
      </w:tr>
      <w:tr>
        <w:trPr>
          <w:trHeight w:val="391" w:hRule="exact"/>
        </w:trPr>
        <w:tc>
          <w:tcPr>
            <w:tcW w:w="714"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301" w:lineRule="exact"/>
              <w:ind w:left="196"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60" w:right="0"/>
              <w:jc w:val="left"/>
              <w:rPr>
                <w:rFonts w:ascii="Arial" w:hAnsi="Arial" w:cs="Arial" w:eastAsia="Arial" w:hint="default"/>
                <w:sz w:val="24"/>
                <w:szCs w:val="24"/>
              </w:rPr>
            </w:pPr>
            <w:r>
              <w:rPr>
                <w:rFonts w:ascii="Arial"/>
                <w:sz w:val="24"/>
              </w:rPr>
              <w:t>21,752</w:t>
            </w:r>
          </w:p>
        </w:tc>
      </w:tr>
      <w:tr>
        <w:trPr>
          <w:trHeight w:val="391" w:hRule="exact"/>
        </w:trPr>
        <w:tc>
          <w:tcPr>
            <w:tcW w:w="714"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301" w:lineRule="exact"/>
              <w:ind w:left="196"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60" w:right="0"/>
              <w:jc w:val="left"/>
              <w:rPr>
                <w:rFonts w:ascii="Arial" w:hAnsi="Arial" w:cs="Arial" w:eastAsia="Arial" w:hint="default"/>
                <w:sz w:val="24"/>
                <w:szCs w:val="24"/>
              </w:rPr>
            </w:pPr>
            <w:r>
              <w:rPr>
                <w:rFonts w:ascii="Arial"/>
                <w:sz w:val="24"/>
              </w:rPr>
              <w:t>45,418</w:t>
            </w:r>
          </w:p>
        </w:tc>
      </w:tr>
      <w:tr>
        <w:trPr>
          <w:trHeight w:val="391" w:hRule="exact"/>
        </w:trPr>
        <w:tc>
          <w:tcPr>
            <w:tcW w:w="714"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301" w:lineRule="exact"/>
              <w:ind w:left="196"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6"/>
              <w:jc w:val="right"/>
              <w:rPr>
                <w:rFonts w:ascii="Arial" w:hAnsi="Arial" w:cs="Arial" w:eastAsia="Arial" w:hint="default"/>
                <w:sz w:val="24"/>
                <w:szCs w:val="24"/>
              </w:rPr>
            </w:pPr>
            <w:r>
              <w:rPr>
                <w:rFonts w:ascii="Arial"/>
                <w:w w:val="99"/>
                <w:sz w:val="24"/>
              </w:rPr>
              <w:t>8</w:t>
            </w:r>
            <w:r>
              <w:rPr>
                <w:rFonts w:ascii="Arial"/>
                <w:sz w:val="24"/>
              </w:rPr>
            </w:r>
          </w:p>
        </w:tc>
      </w:tr>
      <w:tr>
        <w:trPr>
          <w:trHeight w:val="383" w:hRule="exact"/>
        </w:trPr>
        <w:tc>
          <w:tcPr>
            <w:tcW w:w="714"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302" w:lineRule="exact"/>
              <w:ind w:left="196" w:right="0"/>
              <w:jc w:val="left"/>
              <w:rPr>
                <w:rFonts w:ascii="宋体" w:hAnsi="宋体" w:cs="宋体" w:eastAsia="宋体" w:hint="default"/>
                <w:sz w:val="24"/>
                <w:szCs w:val="24"/>
              </w:rPr>
            </w:pPr>
            <w:r>
              <w:rPr>
                <w:rFonts w:ascii="宋体" w:hAnsi="宋体" w:cs="宋体" w:eastAsia="宋体" w:hint="default"/>
                <w:sz w:val="24"/>
                <w:szCs w:val="24"/>
              </w:rPr>
              <w:t>减：应付款项</w:t>
            </w:r>
          </w:p>
        </w:tc>
        <w:tc>
          <w:tcPr>
            <w:tcW w:w="252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474" w:right="0"/>
              <w:jc w:val="left"/>
              <w:rPr>
                <w:rFonts w:ascii="Arial" w:hAnsi="Arial" w:cs="Arial" w:eastAsia="Arial" w:hint="default"/>
                <w:sz w:val="24"/>
                <w:szCs w:val="24"/>
              </w:rPr>
            </w:pPr>
            <w:r>
              <w:rPr>
                <w:rFonts w:ascii="Arial"/>
                <w:sz w:val="24"/>
              </w:rPr>
              <w:t>(17,150)</w:t>
            </w:r>
          </w:p>
        </w:tc>
      </w:tr>
      <w:tr>
        <w:trPr>
          <w:trHeight w:val="401" w:hRule="exact"/>
        </w:trPr>
        <w:tc>
          <w:tcPr>
            <w:tcW w:w="714"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96" w:right="0"/>
              <w:jc w:val="left"/>
              <w:rPr>
                <w:rFonts w:ascii="宋体" w:hAnsi="宋体" w:cs="宋体" w:eastAsia="宋体" w:hint="default"/>
                <w:sz w:val="24"/>
                <w:szCs w:val="24"/>
              </w:rPr>
            </w:pPr>
            <w:r>
              <w:rPr>
                <w:rFonts w:ascii="宋体" w:hAnsi="宋体" w:cs="宋体" w:eastAsia="宋体" w:hint="default"/>
                <w:sz w:val="24"/>
                <w:szCs w:val="24"/>
              </w:rPr>
              <w:t>净资产</w:t>
            </w:r>
          </w:p>
        </w:tc>
        <w:tc>
          <w:tcPr>
            <w:tcW w:w="2523"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560" w:right="0"/>
              <w:jc w:val="left"/>
              <w:rPr>
                <w:rFonts w:ascii="Arial" w:hAnsi="Arial" w:cs="Arial" w:eastAsia="Arial" w:hint="default"/>
                <w:sz w:val="24"/>
                <w:szCs w:val="24"/>
              </w:rPr>
            </w:pPr>
            <w:r>
              <w:rPr>
                <w:rFonts w:ascii="Arial"/>
                <w:sz w:val="24"/>
              </w:rPr>
              <w:t>50,393</w:t>
            </w:r>
          </w:p>
        </w:tc>
      </w:tr>
      <w:tr>
        <w:trPr>
          <w:trHeight w:val="410" w:hRule="exact"/>
        </w:trPr>
        <w:tc>
          <w:tcPr>
            <w:tcW w:w="714"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96" w:right="0"/>
              <w:jc w:val="left"/>
              <w:rPr>
                <w:rFonts w:ascii="宋体" w:hAnsi="宋体" w:cs="宋体" w:eastAsia="宋体" w:hint="default"/>
                <w:sz w:val="24"/>
                <w:szCs w:val="24"/>
              </w:rPr>
            </w:pPr>
            <w:r>
              <w:rPr>
                <w:rFonts w:ascii="宋体" w:hAnsi="宋体" w:cs="宋体" w:eastAsia="宋体" w:hint="default"/>
                <w:sz w:val="24"/>
                <w:szCs w:val="24"/>
              </w:rPr>
              <w:t>取得的净资产</w:t>
            </w:r>
          </w:p>
        </w:tc>
        <w:tc>
          <w:tcPr>
            <w:tcW w:w="2523"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left="1560" w:right="0"/>
              <w:jc w:val="left"/>
              <w:rPr>
                <w:rFonts w:ascii="Arial" w:hAnsi="Arial" w:cs="Arial" w:eastAsia="Arial" w:hint="default"/>
                <w:sz w:val="24"/>
                <w:szCs w:val="24"/>
              </w:rPr>
            </w:pPr>
            <w:r>
              <w:rPr>
                <w:rFonts w:ascii="Arial"/>
                <w:sz w:val="24"/>
              </w:rPr>
              <w:t>50,393</w:t>
            </w:r>
          </w:p>
        </w:tc>
      </w:tr>
      <w:tr>
        <w:trPr>
          <w:trHeight w:val="1248" w:hRule="exact"/>
        </w:trPr>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left="3" w:right="0"/>
              <w:jc w:val="center"/>
              <w:rPr>
                <w:rFonts w:ascii="Arial" w:hAnsi="Arial" w:cs="Arial" w:eastAsia="Arial" w:hint="default"/>
                <w:sz w:val="24"/>
                <w:szCs w:val="24"/>
              </w:rPr>
            </w:pPr>
            <w:r>
              <w:rPr>
                <w:rFonts w:ascii="Arial"/>
                <w:sz w:val="24"/>
              </w:rPr>
              <w:t>(iii)</w:t>
            </w:r>
          </w:p>
        </w:tc>
        <w:tc>
          <w:tcPr>
            <w:tcW w:w="83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5"/>
                <w:szCs w:val="35"/>
              </w:rPr>
            </w:pPr>
          </w:p>
          <w:p>
            <w:pPr>
              <w:pStyle w:val="TableParagraph"/>
              <w:spacing w:line="312" w:lineRule="exact"/>
              <w:ind w:left="196" w:right="106"/>
              <w:jc w:val="left"/>
              <w:rPr>
                <w:rFonts w:ascii="宋体" w:hAnsi="宋体" w:cs="宋体" w:eastAsia="宋体" w:hint="default"/>
                <w:sz w:val="24"/>
                <w:szCs w:val="24"/>
              </w:rPr>
            </w:pPr>
            <w:r>
              <w:rPr>
                <w:rFonts w:ascii="宋体" w:hAnsi="宋体" w:cs="宋体" w:eastAsia="宋体" w:hint="default"/>
                <w:sz w:val="24"/>
                <w:szCs w:val="24"/>
              </w:rPr>
              <w:t>江苏昌祺自</w:t>
            </w:r>
            <w:r>
              <w:rPr>
                <w:rFonts w:ascii="宋体" w:hAnsi="宋体" w:cs="宋体" w:eastAsia="宋体" w:hint="default"/>
                <w:spacing w:val="-67"/>
                <w:sz w:val="24"/>
                <w:szCs w:val="24"/>
              </w:rPr>
              <w:t> </w:t>
            </w:r>
            <w:r>
              <w:rPr>
                <w:rFonts w:ascii="Arial" w:hAnsi="Arial" w:cs="Arial" w:eastAsia="Arial" w:hint="default"/>
                <w:sz w:val="24"/>
                <w:szCs w:val="24"/>
              </w:rPr>
              <w:t>2012</w:t>
            </w:r>
            <w:r>
              <w:rPr>
                <w:rFonts w:ascii="Arial" w:hAnsi="Arial" w:cs="Arial" w:eastAsia="Arial" w:hint="default"/>
                <w:spacing w:val="-13"/>
                <w:sz w:val="24"/>
                <w:szCs w:val="24"/>
              </w:rPr>
              <w:t> </w:t>
            </w:r>
            <w:r>
              <w:rPr>
                <w:rFonts w:ascii="宋体" w:hAnsi="宋体" w:cs="宋体" w:eastAsia="宋体" w:hint="default"/>
                <w:sz w:val="24"/>
                <w:szCs w:val="24"/>
              </w:rPr>
              <w:t>年</w:t>
            </w:r>
            <w:r>
              <w:rPr>
                <w:rFonts w:ascii="宋体" w:hAnsi="宋体" w:cs="宋体" w:eastAsia="宋体" w:hint="default"/>
                <w:spacing w:val="-69"/>
                <w:sz w:val="24"/>
                <w:szCs w:val="24"/>
              </w:rPr>
              <w:t> </w:t>
            </w:r>
            <w:r>
              <w:rPr>
                <w:rFonts w:ascii="Arial" w:hAnsi="Arial" w:cs="Arial" w:eastAsia="Arial" w:hint="default"/>
                <w:sz w:val="24"/>
                <w:szCs w:val="24"/>
              </w:rPr>
              <w:t>3</w:t>
            </w:r>
            <w:r>
              <w:rPr>
                <w:rFonts w:ascii="Arial" w:hAnsi="Arial" w:cs="Arial" w:eastAsia="Arial" w:hint="default"/>
                <w:spacing w:val="-15"/>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Arial" w:hAnsi="Arial" w:cs="Arial" w:eastAsia="Arial" w:hint="default"/>
                <w:sz w:val="24"/>
                <w:szCs w:val="24"/>
              </w:rPr>
              <w:t>8</w:t>
            </w:r>
            <w:r>
              <w:rPr>
                <w:rFonts w:ascii="Arial" w:hAnsi="Arial" w:cs="Arial" w:eastAsia="Arial" w:hint="default"/>
                <w:spacing w:val="-13"/>
                <w:sz w:val="24"/>
                <w:szCs w:val="24"/>
              </w:rPr>
              <w:t> </w:t>
            </w:r>
            <w:r>
              <w:rPr>
                <w:rFonts w:ascii="宋体" w:hAnsi="宋体" w:cs="宋体" w:eastAsia="宋体" w:hint="default"/>
                <w:sz w:val="24"/>
                <w:szCs w:val="24"/>
              </w:rPr>
              <w:t>日</w:t>
            </w:r>
            <w:r>
              <w:rPr>
                <w:rFonts w:ascii="Arial" w:hAnsi="Arial" w:cs="Arial" w:eastAsia="Arial" w:hint="default"/>
                <w:sz w:val="24"/>
                <w:szCs w:val="24"/>
              </w:rPr>
              <w:t>(</w:t>
            </w:r>
            <w:r>
              <w:rPr>
                <w:rFonts w:ascii="宋体" w:hAnsi="宋体" w:cs="宋体" w:eastAsia="宋体" w:hint="default"/>
                <w:sz w:val="24"/>
                <w:szCs w:val="24"/>
              </w:rPr>
              <w:t>成立日</w:t>
            </w:r>
            <w:r>
              <w:rPr>
                <w:rFonts w:ascii="Arial" w:hAnsi="Arial" w:cs="Arial" w:eastAsia="Arial" w:hint="default"/>
                <w:sz w:val="24"/>
                <w:szCs w:val="24"/>
              </w:rPr>
              <w:t>)</w:t>
            </w:r>
            <w:r>
              <w:rPr>
                <w:rFonts w:ascii="宋体" w:hAnsi="宋体" w:cs="宋体" w:eastAsia="宋体" w:hint="default"/>
                <w:sz w:val="24"/>
                <w:szCs w:val="24"/>
              </w:rPr>
              <w:t>至合并日止期间的收入、净亏损和现金 流量列示如下：</w:t>
            </w:r>
          </w:p>
        </w:tc>
      </w:tr>
      <w:tr>
        <w:trPr>
          <w:trHeight w:val="569" w:hRule="exact"/>
        </w:trPr>
        <w:tc>
          <w:tcPr>
            <w:tcW w:w="714"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96"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86"/>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714"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96" w:right="0"/>
              <w:jc w:val="left"/>
              <w:rPr>
                <w:rFonts w:ascii="宋体" w:hAnsi="宋体" w:cs="宋体" w:eastAsia="宋体" w:hint="default"/>
                <w:sz w:val="24"/>
                <w:szCs w:val="24"/>
              </w:rPr>
            </w:pPr>
            <w:r>
              <w:rPr>
                <w:rFonts w:ascii="宋体" w:hAnsi="宋体" w:cs="宋体" w:eastAsia="宋体" w:hint="default"/>
                <w:sz w:val="24"/>
                <w:szCs w:val="24"/>
              </w:rPr>
              <w:t>净亏损</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Arial" w:hAnsi="Arial" w:cs="Arial" w:eastAsia="Arial" w:hint="default"/>
                <w:sz w:val="24"/>
                <w:szCs w:val="24"/>
              </w:rPr>
            </w:pPr>
            <w:r>
              <w:rPr>
                <w:rFonts w:ascii="Arial"/>
                <w:w w:val="95"/>
                <w:sz w:val="24"/>
              </w:rPr>
              <w:t>(25)</w:t>
            </w:r>
            <w:r>
              <w:rPr>
                <w:rFonts w:ascii="Arial"/>
                <w:sz w:val="24"/>
              </w:rPr>
            </w:r>
          </w:p>
        </w:tc>
      </w:tr>
      <w:tr>
        <w:trPr>
          <w:trHeight w:val="392" w:hRule="exact"/>
        </w:trPr>
        <w:tc>
          <w:tcPr>
            <w:tcW w:w="714"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96" w:right="0"/>
              <w:jc w:val="left"/>
              <w:rPr>
                <w:rFonts w:ascii="宋体" w:hAnsi="宋体" w:cs="宋体" w:eastAsia="宋体" w:hint="default"/>
                <w:sz w:val="24"/>
                <w:szCs w:val="24"/>
              </w:rPr>
            </w:pPr>
            <w:r>
              <w:rPr>
                <w:rFonts w:ascii="宋体" w:hAnsi="宋体" w:cs="宋体" w:eastAsia="宋体" w:hint="default"/>
                <w:sz w:val="24"/>
                <w:szCs w:val="24"/>
              </w:rPr>
              <w:t>经营活动现金流量</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2"/>
              <w:jc w:val="right"/>
              <w:rPr>
                <w:rFonts w:ascii="Arial" w:hAnsi="Arial" w:cs="Arial" w:eastAsia="Arial" w:hint="default"/>
                <w:sz w:val="24"/>
                <w:szCs w:val="24"/>
              </w:rPr>
            </w:pPr>
            <w:r>
              <w:rPr>
                <w:rFonts w:ascii="Arial"/>
                <w:spacing w:val="-1"/>
                <w:sz w:val="24"/>
              </w:rPr>
              <w:t>(329)</w:t>
            </w:r>
          </w:p>
        </w:tc>
      </w:tr>
      <w:tr>
        <w:trPr>
          <w:trHeight w:val="319" w:hRule="exact"/>
        </w:trPr>
        <w:tc>
          <w:tcPr>
            <w:tcW w:w="714"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96" w:right="0"/>
              <w:jc w:val="left"/>
              <w:rPr>
                <w:rFonts w:ascii="宋体" w:hAnsi="宋体" w:cs="宋体" w:eastAsia="宋体" w:hint="default"/>
                <w:sz w:val="24"/>
                <w:szCs w:val="24"/>
              </w:rPr>
            </w:pPr>
            <w:r>
              <w:rPr>
                <w:rFonts w:ascii="宋体" w:hAnsi="宋体" w:cs="宋体" w:eastAsia="宋体" w:hint="default"/>
                <w:sz w:val="24"/>
                <w:szCs w:val="24"/>
              </w:rPr>
              <w:t>现金流量净额</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3"/>
              <w:jc w:val="right"/>
              <w:rPr>
                <w:rFonts w:ascii="Arial" w:hAnsi="Arial" w:cs="Arial" w:eastAsia="Arial" w:hint="default"/>
                <w:sz w:val="24"/>
                <w:szCs w:val="24"/>
              </w:rPr>
            </w:pPr>
            <w:r>
              <w:rPr>
                <w:rFonts w:ascii="Arial"/>
                <w:sz w:val="24"/>
              </w:rPr>
              <w:t>(4,960)</w:t>
            </w:r>
          </w:p>
        </w:tc>
      </w:tr>
    </w:tbl>
    <w:p>
      <w:pPr>
        <w:spacing w:after="0" w:line="240" w:lineRule="auto"/>
        <w:jc w:val="right"/>
        <w:rPr>
          <w:rFonts w:ascii="Arial" w:hAnsi="Arial" w:cs="Arial" w:eastAsia="Arial"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05"/>
        <w:gridCol w:w="2730"/>
        <w:gridCol w:w="801"/>
        <w:gridCol w:w="2534"/>
        <w:gridCol w:w="2254"/>
      </w:tblGrid>
      <w:tr>
        <w:trPr>
          <w:trHeight w:val="497" w:hRule="exact"/>
        </w:trPr>
        <w:tc>
          <w:tcPr>
            <w:tcW w:w="705" w:type="dxa"/>
            <w:tcBorders>
              <w:top w:val="nil" w:sz="6" w:space="0" w:color="auto"/>
              <w:left w:val="nil" w:sz="6" w:space="0" w:color="auto"/>
              <w:bottom w:val="nil" w:sz="6" w:space="0" w:color="auto"/>
              <w:right w:val="nil" w:sz="6" w:space="0" w:color="auto"/>
            </w:tcBorders>
          </w:tcPr>
          <w:p>
            <w:pPr>
              <w:pStyle w:val="TableParagraph"/>
              <w:spacing w:line="240" w:lineRule="exact"/>
              <w:ind w:right="63"/>
              <w:jc w:val="center"/>
              <w:rPr>
                <w:rFonts w:ascii="黑体" w:hAnsi="黑体" w:cs="黑体" w:eastAsia="黑体" w:hint="default"/>
                <w:sz w:val="24"/>
                <w:szCs w:val="24"/>
              </w:rPr>
            </w:pPr>
            <w:r>
              <w:rPr>
                <w:rFonts w:ascii="黑体" w:hAnsi="黑体" w:cs="黑体" w:eastAsia="黑体" w:hint="default"/>
                <w:sz w:val="24"/>
                <w:szCs w:val="24"/>
              </w:rPr>
              <w:t>四</w:t>
            </w:r>
          </w:p>
        </w:tc>
        <w:tc>
          <w:tcPr>
            <w:tcW w:w="3531"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212" w:right="0"/>
              <w:jc w:val="left"/>
              <w:rPr>
                <w:rFonts w:ascii="Arial" w:hAnsi="Arial" w:cs="Arial" w:eastAsia="Arial" w:hint="default"/>
                <w:sz w:val="24"/>
                <w:szCs w:val="24"/>
              </w:rPr>
            </w:pPr>
            <w:r>
              <w:rPr>
                <w:rFonts w:ascii="黑体" w:hAnsi="黑体" w:cs="黑体" w:eastAsia="黑体" w:hint="default"/>
                <w:sz w:val="24"/>
                <w:szCs w:val="24"/>
              </w:rPr>
              <w:t>企业合并及合并财务报表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534"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
        </w:tc>
      </w:tr>
      <w:tr>
        <w:trPr>
          <w:trHeight w:val="745" w:hRule="exact"/>
        </w:trPr>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
              <w:jc w:val="center"/>
              <w:rPr>
                <w:rFonts w:ascii="Arial" w:hAnsi="Arial" w:cs="Arial" w:eastAsia="Arial" w:hint="default"/>
                <w:sz w:val="24"/>
                <w:szCs w:val="24"/>
              </w:rPr>
            </w:pPr>
            <w:r>
              <w:rPr>
                <w:rFonts w:ascii="Arial"/>
                <w:sz w:val="24"/>
              </w:rPr>
              <w:t>(4)</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12" w:right="0"/>
              <w:jc w:val="left"/>
              <w:rPr>
                <w:rFonts w:ascii="黑体" w:hAnsi="黑体" w:cs="黑体" w:eastAsia="黑体" w:hint="default"/>
                <w:sz w:val="24"/>
                <w:szCs w:val="24"/>
              </w:rPr>
            </w:pPr>
            <w:r>
              <w:rPr>
                <w:rFonts w:ascii="黑体" w:hAnsi="黑体" w:cs="黑体" w:eastAsia="黑体" w:hint="default"/>
                <w:sz w:val="24"/>
                <w:szCs w:val="24"/>
              </w:rPr>
              <w:t>非同一控制下企业合并</w:t>
            </w:r>
          </w:p>
        </w:tc>
        <w:tc>
          <w:tcPr>
            <w:tcW w:w="801" w:type="dxa"/>
            <w:tcBorders>
              <w:top w:val="nil" w:sz="6" w:space="0" w:color="auto"/>
              <w:left w:val="nil" w:sz="6" w:space="0" w:color="auto"/>
              <w:bottom w:val="nil" w:sz="6" w:space="0" w:color="auto"/>
              <w:right w:val="nil" w:sz="6" w:space="0" w:color="auto"/>
            </w:tcBorders>
          </w:tcPr>
          <w:p>
            <w:pPr/>
          </w:p>
        </w:tc>
        <w:tc>
          <w:tcPr>
            <w:tcW w:w="2534"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
        </w:tc>
      </w:tr>
      <w:tr>
        <w:trPr>
          <w:trHeight w:val="743" w:hRule="exact"/>
        </w:trPr>
        <w:tc>
          <w:tcPr>
            <w:tcW w:w="705" w:type="dxa"/>
            <w:tcBorders>
              <w:top w:val="nil" w:sz="6" w:space="0" w:color="auto"/>
              <w:left w:val="nil" w:sz="6" w:space="0" w:color="auto"/>
              <w:bottom w:val="nil" w:sz="6" w:space="0" w:color="auto"/>
              <w:right w:val="nil" w:sz="6" w:space="0" w:color="auto"/>
            </w:tcBorders>
          </w:tcPr>
          <w:p>
            <w:pPr/>
          </w:p>
        </w:tc>
        <w:tc>
          <w:tcPr>
            <w:tcW w:w="35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2276" w:right="0"/>
              <w:jc w:val="left"/>
              <w:rPr>
                <w:rFonts w:ascii="宋体" w:hAnsi="宋体" w:cs="宋体" w:eastAsia="宋体" w:hint="default"/>
                <w:sz w:val="24"/>
                <w:szCs w:val="24"/>
              </w:rPr>
            </w:pPr>
            <w:r>
              <w:rPr>
                <w:rFonts w:ascii="宋体" w:hAnsi="宋体" w:cs="宋体" w:eastAsia="宋体" w:hint="default"/>
                <w:sz w:val="24"/>
                <w:szCs w:val="24"/>
              </w:rPr>
              <w:t>商誉金额</w:t>
            </w:r>
          </w:p>
        </w:tc>
        <w:tc>
          <w:tcPr>
            <w:tcW w:w="2534"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383" w:right="0"/>
              <w:jc w:val="left"/>
              <w:rPr>
                <w:rFonts w:ascii="宋体" w:hAnsi="宋体" w:cs="宋体" w:eastAsia="宋体" w:hint="default"/>
                <w:sz w:val="24"/>
                <w:szCs w:val="24"/>
              </w:rPr>
            </w:pPr>
            <w:r>
              <w:rPr>
                <w:rFonts w:ascii="宋体" w:hAnsi="宋体" w:cs="宋体" w:eastAsia="宋体" w:hint="default"/>
                <w:sz w:val="24"/>
                <w:szCs w:val="24"/>
              </w:rPr>
              <w:t>商誉的计算方法</w:t>
            </w:r>
          </w:p>
        </w:tc>
      </w:tr>
      <w:tr>
        <w:trPr>
          <w:trHeight w:val="1376" w:hRule="exact"/>
        </w:trPr>
        <w:tc>
          <w:tcPr>
            <w:tcW w:w="705"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37" w:lineRule="auto" w:before="185"/>
              <w:ind w:left="512" w:right="831" w:hanging="300"/>
              <w:jc w:val="both"/>
              <w:rPr>
                <w:rFonts w:ascii="Arial" w:hAnsi="Arial" w:cs="Arial" w:eastAsia="Arial" w:hint="default"/>
                <w:sz w:val="24"/>
                <w:szCs w:val="24"/>
              </w:rPr>
            </w:pPr>
            <w:r>
              <w:rPr>
                <w:rFonts w:ascii="宋体" w:hAnsi="宋体" w:cs="宋体" w:eastAsia="宋体" w:hint="default"/>
                <w:spacing w:val="33"/>
                <w:sz w:val="24"/>
                <w:szCs w:val="24"/>
              </w:rPr>
              <w:t>无锡胜利门苏</w:t>
            </w:r>
            <w:r>
              <w:rPr>
                <w:rFonts w:ascii="宋体" w:hAnsi="宋体" w:cs="宋体" w:eastAsia="宋体" w:hint="default"/>
                <w:spacing w:val="-80"/>
                <w:sz w:val="24"/>
                <w:szCs w:val="24"/>
              </w:rPr>
              <w:t> </w:t>
            </w:r>
            <w:r>
              <w:rPr>
                <w:rFonts w:ascii="宋体" w:hAnsi="宋体" w:cs="宋体" w:eastAsia="宋体" w:hint="default"/>
                <w:spacing w:val="28"/>
                <w:sz w:val="24"/>
                <w:szCs w:val="24"/>
              </w:rPr>
              <w:t>宁电器有限</w:t>
            </w:r>
            <w:r>
              <w:rPr>
                <w:rFonts w:ascii="宋体" w:hAnsi="宋体" w:cs="宋体" w:eastAsia="宋体" w:hint="default"/>
                <w:spacing w:val="-84"/>
                <w:sz w:val="24"/>
                <w:szCs w:val="24"/>
              </w:rPr>
              <w:t> </w:t>
            </w:r>
            <w:r>
              <w:rPr>
                <w:rFonts w:ascii="宋体" w:hAnsi="宋体" w:cs="宋体" w:eastAsia="宋体" w:hint="default"/>
                <w:sz w:val="24"/>
                <w:szCs w:val="24"/>
              </w:rPr>
              <w:t>公司</w:t>
            </w:r>
            <w:r>
              <w:rPr>
                <w:rFonts w:ascii="Arial" w:hAnsi="Arial" w:cs="Arial" w:eastAsia="Arial" w:hint="default"/>
                <w:sz w:val="24"/>
                <w:szCs w:val="24"/>
              </w:rPr>
              <w:t>(a)</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56" w:right="0"/>
              <w:jc w:val="left"/>
              <w:rPr>
                <w:rFonts w:ascii="Arial" w:hAnsi="Arial" w:cs="Arial" w:eastAsia="Arial" w:hint="default"/>
                <w:sz w:val="24"/>
                <w:szCs w:val="24"/>
              </w:rPr>
            </w:pPr>
            <w:r>
              <w:rPr>
                <w:rFonts w:ascii="Arial"/>
                <w:sz w:val="24"/>
              </w:rPr>
              <w:t>569</w:t>
            </w:r>
          </w:p>
        </w:tc>
        <w:tc>
          <w:tcPr>
            <w:tcW w:w="4788" w:type="dxa"/>
            <w:gridSpan w:val="2"/>
            <w:tcBorders>
              <w:top w:val="nil" w:sz="6" w:space="0" w:color="auto"/>
              <w:left w:val="nil" w:sz="6" w:space="0" w:color="auto"/>
              <w:bottom w:val="nil" w:sz="6" w:space="0" w:color="auto"/>
              <w:right w:val="nil" w:sz="6" w:space="0" w:color="auto"/>
            </w:tcBorders>
          </w:tcPr>
          <w:p>
            <w:pPr>
              <w:pStyle w:val="TableParagraph"/>
              <w:spacing w:line="237" w:lineRule="auto" w:before="185"/>
              <w:ind w:left="241" w:right="135"/>
              <w:jc w:val="both"/>
              <w:rPr>
                <w:rFonts w:ascii="宋体" w:hAnsi="宋体" w:cs="宋体" w:eastAsia="宋体" w:hint="default"/>
                <w:sz w:val="24"/>
                <w:szCs w:val="24"/>
              </w:rPr>
            </w:pPr>
            <w:r>
              <w:rPr>
                <w:rFonts w:ascii="宋体" w:hAnsi="宋体" w:cs="宋体" w:eastAsia="宋体" w:hint="default"/>
                <w:spacing w:val="4"/>
                <w:sz w:val="24"/>
                <w:szCs w:val="24"/>
              </w:rPr>
              <w:t>合并成本减去合并中取得的被购买方于购 买日可辨认净资产公允价值份额的差额确 </w:t>
            </w:r>
            <w:r>
              <w:rPr>
                <w:rFonts w:ascii="宋体" w:hAnsi="宋体" w:cs="宋体" w:eastAsia="宋体" w:hint="default"/>
                <w:sz w:val="24"/>
                <w:szCs w:val="24"/>
              </w:rPr>
              <w:t>认为商誉，具体计算如附注四</w:t>
            </w:r>
            <w:r>
              <w:rPr>
                <w:rFonts w:ascii="Arial" w:hAnsi="Arial" w:cs="Arial" w:eastAsia="Arial" w:hint="default"/>
                <w:sz w:val="24"/>
                <w:szCs w:val="24"/>
              </w:rPr>
              <w:t>(4)(a)</w:t>
            </w:r>
            <w:r>
              <w:rPr>
                <w:rFonts w:ascii="宋体" w:hAnsi="宋体" w:cs="宋体" w:eastAsia="宋体" w:hint="default"/>
                <w:sz w:val="24"/>
                <w:szCs w:val="24"/>
              </w:rPr>
              <w:t>。</w:t>
            </w:r>
          </w:p>
        </w:tc>
      </w:tr>
      <w:tr>
        <w:trPr>
          <w:trHeight w:val="745" w:hRule="exact"/>
        </w:trPr>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
              <w:jc w:val="center"/>
              <w:rPr>
                <w:rFonts w:ascii="Arial" w:hAnsi="Arial" w:cs="Arial" w:eastAsia="Arial" w:hint="default"/>
                <w:sz w:val="24"/>
                <w:szCs w:val="24"/>
              </w:rPr>
            </w:pPr>
            <w:r>
              <w:rPr>
                <w:rFonts w:ascii="Arial"/>
                <w:sz w:val="24"/>
              </w:rPr>
              <w:t>(a)</w:t>
            </w:r>
          </w:p>
        </w:tc>
        <w:tc>
          <w:tcPr>
            <w:tcW w:w="35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8"/>
              <w:ind w:left="212" w:right="0"/>
              <w:jc w:val="left"/>
              <w:rPr>
                <w:rFonts w:ascii="宋体" w:hAnsi="宋体" w:cs="宋体" w:eastAsia="宋体" w:hint="default"/>
                <w:sz w:val="24"/>
                <w:szCs w:val="24"/>
              </w:rPr>
            </w:pPr>
            <w:r>
              <w:rPr>
                <w:rFonts w:ascii="宋体" w:hAnsi="宋体" w:cs="宋体" w:eastAsia="宋体" w:hint="default"/>
                <w:sz w:val="24"/>
                <w:szCs w:val="24"/>
              </w:rPr>
              <w:t>无锡胜利门苏宁电器有限公司</w:t>
            </w:r>
          </w:p>
        </w:tc>
        <w:tc>
          <w:tcPr>
            <w:tcW w:w="2534"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
        </w:tc>
      </w:tr>
      <w:tr>
        <w:trPr>
          <w:trHeight w:val="1988" w:hRule="exact"/>
        </w:trPr>
        <w:tc>
          <w:tcPr>
            <w:tcW w:w="9024" w:type="dxa"/>
            <w:gridSpan w:val="5"/>
            <w:tcBorders>
              <w:top w:val="nil" w:sz="6" w:space="0" w:color="auto"/>
              <w:left w:val="nil" w:sz="6" w:space="0" w:color="auto"/>
              <w:bottom w:val="nil" w:sz="6" w:space="0" w:color="auto"/>
              <w:right w:val="nil" w:sz="6" w:space="0" w:color="auto"/>
            </w:tcBorders>
          </w:tcPr>
          <w:p>
            <w:pPr>
              <w:pStyle w:val="TableParagraph"/>
              <w:spacing w:line="228" w:lineRule="auto" w:before="193"/>
              <w:ind w:left="917" w:right="106"/>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4"/>
                <w:sz w:val="24"/>
                <w:szCs w:val="24"/>
              </w:rPr>
              <w:t> </w:t>
            </w:r>
            <w:r>
              <w:rPr>
                <w:rFonts w:ascii="Arial" w:hAnsi="Arial" w:cs="Arial" w:eastAsia="Arial" w:hint="default"/>
                <w:sz w:val="24"/>
                <w:szCs w:val="24"/>
              </w:rPr>
              <w:t>2012</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1</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z w:val="24"/>
                <w:szCs w:val="24"/>
              </w:rPr>
              <w:t>日，本公司向无锡产业发展集团有限公司收购了其拥有的 无锡市聚丰园大酒店有限责任公司</w:t>
            </w:r>
            <w:r>
              <w:rPr>
                <w:rFonts w:ascii="宋体" w:hAnsi="宋体" w:cs="宋体" w:eastAsia="宋体" w:hint="default"/>
                <w:spacing w:val="-44"/>
                <w:sz w:val="24"/>
                <w:szCs w:val="24"/>
              </w:rPr>
              <w:t> </w:t>
            </w:r>
            <w:r>
              <w:rPr>
                <w:rFonts w:ascii="Arial" w:hAnsi="Arial" w:cs="Arial" w:eastAsia="Arial" w:hint="default"/>
                <w:spacing w:val="-7"/>
                <w:sz w:val="24"/>
                <w:szCs w:val="24"/>
              </w:rPr>
              <w:t>100%</w:t>
            </w:r>
            <w:r>
              <w:rPr>
                <w:rFonts w:ascii="宋体" w:hAnsi="宋体" w:cs="宋体" w:eastAsia="宋体" w:hint="default"/>
                <w:spacing w:val="-7"/>
                <w:sz w:val="24"/>
                <w:szCs w:val="24"/>
              </w:rPr>
              <w:t>的股权。收购后将“无锡市聚丰园大</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5"/>
                <w:sz w:val="24"/>
                <w:szCs w:val="24"/>
              </w:rPr>
              <w:t>酒店有限责任公司”更名为“无锡胜利门苏宁电器有限公司”。本次交易的购</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买日为</w:t>
            </w:r>
            <w:r>
              <w:rPr>
                <w:rFonts w:ascii="宋体" w:hAnsi="宋体" w:cs="宋体" w:eastAsia="宋体" w:hint="default"/>
                <w:spacing w:val="-64"/>
                <w:sz w:val="24"/>
                <w:szCs w:val="24"/>
              </w:rPr>
              <w:t> </w:t>
            </w:r>
            <w:r>
              <w:rPr>
                <w:rFonts w:ascii="Arial" w:hAnsi="Arial" w:cs="Arial" w:eastAsia="Arial" w:hint="default"/>
                <w:sz w:val="24"/>
                <w:szCs w:val="24"/>
              </w:rPr>
              <w:t>2012</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Arial" w:hAnsi="Arial" w:cs="Arial" w:eastAsia="Arial" w:hint="default"/>
                <w:sz w:val="24"/>
                <w:szCs w:val="24"/>
              </w:rPr>
              <w:t>4</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27</w:t>
            </w:r>
            <w:r>
              <w:rPr>
                <w:rFonts w:ascii="Arial" w:hAnsi="Arial" w:cs="Arial" w:eastAsia="Arial" w:hint="default"/>
                <w:spacing w:val="-10"/>
                <w:sz w:val="24"/>
                <w:szCs w:val="24"/>
              </w:rPr>
              <w:t> </w:t>
            </w:r>
            <w:r>
              <w:rPr>
                <w:rFonts w:ascii="宋体" w:hAnsi="宋体" w:cs="宋体" w:eastAsia="宋体" w:hint="default"/>
                <w:sz w:val="24"/>
                <w:szCs w:val="24"/>
              </w:rPr>
              <w:t>日，系本公司实际取得无锡胜利门苏宁电器有限公司 控制权的日期。</w:t>
            </w:r>
          </w:p>
        </w:tc>
      </w:tr>
      <w:tr>
        <w:trPr>
          <w:trHeight w:val="752" w:hRule="exact"/>
        </w:trPr>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91"/>
              <w:jc w:val="center"/>
              <w:rPr>
                <w:rFonts w:ascii="Arial" w:hAnsi="Arial" w:cs="Arial" w:eastAsia="Arial" w:hint="default"/>
                <w:sz w:val="24"/>
                <w:szCs w:val="24"/>
              </w:rPr>
            </w:pPr>
            <w:r>
              <w:rPr>
                <w:rFonts w:ascii="Arial"/>
                <w:sz w:val="24"/>
              </w:rPr>
              <w:t>(i)</w:t>
            </w:r>
          </w:p>
        </w:tc>
        <w:tc>
          <w:tcPr>
            <w:tcW w:w="606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3"/>
              <w:ind w:left="212" w:right="0"/>
              <w:jc w:val="left"/>
              <w:rPr>
                <w:rFonts w:ascii="宋体" w:hAnsi="宋体" w:cs="宋体" w:eastAsia="宋体" w:hint="default"/>
                <w:sz w:val="24"/>
                <w:szCs w:val="24"/>
              </w:rPr>
            </w:pPr>
            <w:r>
              <w:rPr>
                <w:rFonts w:ascii="宋体" w:hAnsi="宋体" w:cs="宋体" w:eastAsia="宋体" w:hint="default"/>
                <w:sz w:val="24"/>
                <w:szCs w:val="24"/>
              </w:rPr>
              <w:t>合并成本以及商誉的确认情况如下：</w:t>
            </w:r>
          </w:p>
        </w:tc>
        <w:tc>
          <w:tcPr>
            <w:tcW w:w="2254" w:type="dxa"/>
            <w:tcBorders>
              <w:top w:val="nil" w:sz="6" w:space="0" w:color="auto"/>
              <w:left w:val="nil" w:sz="6" w:space="0" w:color="auto"/>
              <w:bottom w:val="nil" w:sz="6" w:space="0" w:color="auto"/>
              <w:right w:val="nil" w:sz="6" w:space="0" w:color="auto"/>
            </w:tcBorders>
          </w:tcPr>
          <w:p>
            <w:pPr/>
          </w:p>
        </w:tc>
      </w:tr>
      <w:tr>
        <w:trPr>
          <w:trHeight w:val="583" w:hRule="exact"/>
        </w:trPr>
        <w:tc>
          <w:tcPr>
            <w:tcW w:w="705"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214" w:right="0"/>
              <w:jc w:val="left"/>
              <w:rPr>
                <w:rFonts w:ascii="宋体" w:hAnsi="宋体" w:cs="宋体" w:eastAsia="宋体" w:hint="default"/>
                <w:sz w:val="24"/>
                <w:szCs w:val="24"/>
              </w:rPr>
            </w:pPr>
            <w:r>
              <w:rPr>
                <w:rFonts w:ascii="宋体" w:hAnsi="宋体" w:cs="宋体" w:eastAsia="宋体" w:hint="default"/>
                <w:sz w:val="24"/>
                <w:szCs w:val="24"/>
              </w:rPr>
              <w:t>合并成本</w:t>
            </w:r>
            <w:r>
              <w:rPr>
                <w:rFonts w:ascii="宋体" w:hAnsi="宋体" w:cs="宋体" w:eastAsia="宋体" w:hint="default"/>
                <w:spacing w:val="-1"/>
                <w:sz w:val="24"/>
                <w:szCs w:val="24"/>
              </w:rPr>
              <w:t> </w:t>
            </w:r>
            <w:r>
              <w:rPr>
                <w:rFonts w:ascii="Arial" w:hAnsi="Arial" w:cs="Arial" w:eastAsia="Arial" w:hint="default"/>
                <w:sz w:val="24"/>
                <w:szCs w:val="24"/>
              </w:rPr>
              <w:t>-</w:t>
            </w:r>
            <w:r>
              <w:rPr>
                <w:rFonts w:ascii="宋体" w:hAnsi="宋体" w:cs="宋体" w:eastAsia="宋体" w:hint="default"/>
                <w:sz w:val="24"/>
                <w:szCs w:val="24"/>
              </w:rPr>
              <w:t>支付的现金</w:t>
            </w:r>
          </w:p>
        </w:tc>
        <w:tc>
          <w:tcPr>
            <w:tcW w:w="801" w:type="dxa"/>
            <w:tcBorders>
              <w:top w:val="nil" w:sz="6" w:space="0" w:color="auto"/>
              <w:left w:val="nil" w:sz="6" w:space="0" w:color="auto"/>
              <w:bottom w:val="nil" w:sz="6" w:space="0" w:color="auto"/>
              <w:right w:val="nil" w:sz="6" w:space="0" w:color="auto"/>
            </w:tcBorders>
          </w:tcPr>
          <w:p>
            <w:pPr/>
          </w:p>
        </w:tc>
        <w:tc>
          <w:tcPr>
            <w:tcW w:w="2534"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24"/>
                <w:szCs w:val="24"/>
              </w:rPr>
            </w:pPr>
            <w:r>
              <w:rPr>
                <w:rFonts w:ascii="Arial"/>
                <w:spacing w:val="-1"/>
                <w:sz w:val="24"/>
              </w:rPr>
              <w:t>50,374</w:t>
            </w:r>
          </w:p>
        </w:tc>
      </w:tr>
      <w:tr>
        <w:trPr>
          <w:trHeight w:val="389" w:hRule="exact"/>
        </w:trPr>
        <w:tc>
          <w:tcPr>
            <w:tcW w:w="705" w:type="dxa"/>
            <w:tcBorders>
              <w:top w:val="nil" w:sz="6" w:space="0" w:color="auto"/>
              <w:left w:val="nil" w:sz="6" w:space="0" w:color="auto"/>
              <w:bottom w:val="nil" w:sz="6" w:space="0" w:color="auto"/>
              <w:right w:val="nil" w:sz="6" w:space="0" w:color="auto"/>
            </w:tcBorders>
          </w:tcPr>
          <w:p>
            <w:pPr/>
          </w:p>
        </w:tc>
        <w:tc>
          <w:tcPr>
            <w:tcW w:w="6064" w:type="dxa"/>
            <w:gridSpan w:val="3"/>
            <w:tcBorders>
              <w:top w:val="nil" w:sz="6" w:space="0" w:color="auto"/>
              <w:left w:val="nil" w:sz="6" w:space="0" w:color="auto"/>
              <w:bottom w:val="nil" w:sz="6" w:space="0" w:color="auto"/>
              <w:right w:val="nil" w:sz="6" w:space="0" w:color="auto"/>
            </w:tcBorders>
          </w:tcPr>
          <w:p>
            <w:pPr>
              <w:pStyle w:val="TableParagraph"/>
              <w:spacing w:line="303" w:lineRule="exact"/>
              <w:ind w:left="212" w:right="0"/>
              <w:jc w:val="left"/>
              <w:rPr>
                <w:rFonts w:ascii="宋体" w:hAnsi="宋体" w:cs="宋体" w:eastAsia="宋体" w:hint="default"/>
                <w:sz w:val="24"/>
                <w:szCs w:val="24"/>
              </w:rPr>
            </w:pPr>
            <w:r>
              <w:rPr>
                <w:rFonts w:ascii="宋体" w:hAnsi="宋体" w:cs="宋体" w:eastAsia="宋体" w:hint="default"/>
                <w:sz w:val="24"/>
                <w:szCs w:val="24"/>
              </w:rPr>
              <w:t>减：购买日取得的可辨认净资产公允价值份额</w:t>
            </w:r>
          </w:p>
        </w:tc>
        <w:tc>
          <w:tcPr>
            <w:tcW w:w="2254" w:type="dxa"/>
            <w:tcBorders>
              <w:top w:val="nil" w:sz="6" w:space="0" w:color="auto"/>
              <w:left w:val="nil" w:sz="6" w:space="0" w:color="auto"/>
              <w:bottom w:val="single" w:sz="8" w:space="0" w:color="000000"/>
              <w:right w:val="nil" w:sz="6" w:space="0" w:color="auto"/>
            </w:tcBorders>
          </w:tcPr>
          <w:p>
            <w:pPr>
              <w:pStyle w:val="TableParagraph"/>
              <w:spacing w:line="240" w:lineRule="auto" w:before="58"/>
              <w:ind w:right="26"/>
              <w:jc w:val="right"/>
              <w:rPr>
                <w:rFonts w:ascii="Arial" w:hAnsi="Arial" w:cs="Arial" w:eastAsia="Arial" w:hint="default"/>
                <w:sz w:val="24"/>
                <w:szCs w:val="24"/>
              </w:rPr>
            </w:pPr>
            <w:r>
              <w:rPr>
                <w:rFonts w:ascii="Arial"/>
                <w:spacing w:val="-1"/>
                <w:sz w:val="24"/>
              </w:rPr>
              <w:t>(49,805)</w:t>
            </w:r>
          </w:p>
        </w:tc>
      </w:tr>
      <w:tr>
        <w:trPr>
          <w:trHeight w:val="415" w:hRule="exact"/>
        </w:trPr>
        <w:tc>
          <w:tcPr>
            <w:tcW w:w="705"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2"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801" w:type="dxa"/>
            <w:tcBorders>
              <w:top w:val="nil" w:sz="6" w:space="0" w:color="auto"/>
              <w:left w:val="nil" w:sz="6" w:space="0" w:color="auto"/>
              <w:bottom w:val="nil" w:sz="6" w:space="0" w:color="auto"/>
              <w:right w:val="nil" w:sz="6" w:space="0" w:color="auto"/>
            </w:tcBorders>
          </w:tcPr>
          <w:p>
            <w:pPr/>
          </w:p>
        </w:tc>
        <w:tc>
          <w:tcPr>
            <w:tcW w:w="2534" w:type="dxa"/>
            <w:tcBorders>
              <w:top w:val="nil" w:sz="6" w:space="0" w:color="auto"/>
              <w:left w:val="nil" w:sz="6" w:space="0" w:color="auto"/>
              <w:bottom w:val="nil" w:sz="6" w:space="0" w:color="auto"/>
              <w:right w:val="nil" w:sz="6" w:space="0" w:color="auto"/>
            </w:tcBorders>
          </w:tcPr>
          <w:p>
            <w:pPr/>
          </w:p>
        </w:tc>
        <w:tc>
          <w:tcPr>
            <w:tcW w:w="2254" w:type="dxa"/>
            <w:tcBorders>
              <w:top w:val="single" w:sz="8" w:space="0" w:color="000000"/>
              <w:left w:val="nil" w:sz="6" w:space="0" w:color="auto"/>
              <w:bottom w:val="single" w:sz="12" w:space="0" w:color="000000"/>
              <w:right w:val="nil" w:sz="6" w:space="0" w:color="auto"/>
            </w:tcBorders>
          </w:tcPr>
          <w:p>
            <w:pPr>
              <w:pStyle w:val="TableParagraph"/>
              <w:spacing w:line="240" w:lineRule="auto" w:before="72"/>
              <w:ind w:right="103"/>
              <w:jc w:val="right"/>
              <w:rPr>
                <w:rFonts w:ascii="Arial" w:hAnsi="Arial" w:cs="Arial" w:eastAsia="Arial" w:hint="default"/>
                <w:sz w:val="24"/>
                <w:szCs w:val="24"/>
              </w:rPr>
            </w:pPr>
            <w:r>
              <w:rPr>
                <w:rFonts w:ascii="Arial"/>
                <w:w w:val="95"/>
                <w:sz w:val="24"/>
              </w:rPr>
              <w:t>569</w:t>
            </w:r>
            <w:r>
              <w:rPr>
                <w:rFonts w:ascii="Arial"/>
                <w:sz w:val="24"/>
              </w:rPr>
            </w:r>
          </w:p>
        </w:tc>
      </w:tr>
    </w:tbl>
    <w:p>
      <w:pPr>
        <w:spacing w:after="0" w:line="240" w:lineRule="auto"/>
        <w:jc w:val="right"/>
        <w:rPr>
          <w:rFonts w:ascii="Arial" w:hAnsi="Arial" w:cs="Arial" w:eastAsia="Arial"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03"/>
        <w:gridCol w:w="3395"/>
        <w:gridCol w:w="1484"/>
        <w:gridCol w:w="238"/>
        <w:gridCol w:w="1450"/>
        <w:gridCol w:w="236"/>
        <w:gridCol w:w="1481"/>
      </w:tblGrid>
      <w:tr>
        <w:trPr>
          <w:trHeight w:val="495"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exact"/>
              <w:ind w:right="62"/>
              <w:jc w:val="center"/>
              <w:rPr>
                <w:rFonts w:ascii="黑体" w:hAnsi="黑体" w:cs="黑体" w:eastAsia="黑体" w:hint="default"/>
                <w:sz w:val="24"/>
                <w:szCs w:val="24"/>
              </w:rPr>
            </w:pPr>
            <w:r>
              <w:rPr>
                <w:rFonts w:ascii="黑体" w:hAnsi="黑体" w:cs="黑体" w:eastAsia="黑体" w:hint="default"/>
                <w:sz w:val="24"/>
                <w:szCs w:val="24"/>
              </w:rPr>
              <w:t>四</w:t>
            </w:r>
          </w:p>
        </w:tc>
        <w:tc>
          <w:tcPr>
            <w:tcW w:w="3395" w:type="dxa"/>
            <w:tcBorders>
              <w:top w:val="nil" w:sz="6" w:space="0" w:color="auto"/>
              <w:left w:val="nil" w:sz="6" w:space="0" w:color="auto"/>
              <w:bottom w:val="nil" w:sz="6" w:space="0" w:color="auto"/>
              <w:right w:val="nil" w:sz="6" w:space="0" w:color="auto"/>
            </w:tcBorders>
          </w:tcPr>
          <w:p>
            <w:pPr>
              <w:pStyle w:val="TableParagraph"/>
              <w:spacing w:line="257" w:lineRule="exact"/>
              <w:ind w:left="209" w:right="0"/>
              <w:jc w:val="left"/>
              <w:rPr>
                <w:rFonts w:ascii="Arial" w:hAnsi="Arial" w:cs="Arial" w:eastAsia="Arial" w:hint="default"/>
                <w:sz w:val="24"/>
                <w:szCs w:val="24"/>
              </w:rPr>
            </w:pPr>
            <w:r>
              <w:rPr>
                <w:rFonts w:ascii="黑体" w:hAnsi="黑体" w:cs="黑体" w:eastAsia="黑体" w:hint="default"/>
                <w:sz w:val="24"/>
                <w:szCs w:val="24"/>
              </w:rPr>
              <w:t>企业合并及合并财务报表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8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748"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7"/>
              <w:jc w:val="center"/>
              <w:rPr>
                <w:rFonts w:ascii="Arial" w:hAnsi="Arial" w:cs="Arial" w:eastAsia="Arial" w:hint="default"/>
                <w:sz w:val="24"/>
                <w:szCs w:val="24"/>
              </w:rPr>
            </w:pPr>
            <w:r>
              <w:rPr>
                <w:rFonts w:ascii="Arial"/>
                <w:sz w:val="24"/>
              </w:rPr>
              <w:t>(4)</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9" w:right="0"/>
              <w:jc w:val="left"/>
              <w:rPr>
                <w:rFonts w:ascii="Arial" w:hAnsi="Arial" w:cs="Arial" w:eastAsia="Arial" w:hint="default"/>
                <w:sz w:val="24"/>
                <w:szCs w:val="24"/>
              </w:rPr>
            </w:pPr>
            <w:r>
              <w:rPr>
                <w:rFonts w:ascii="黑体" w:hAnsi="黑体" w:cs="黑体" w:eastAsia="黑体" w:hint="default"/>
                <w:sz w:val="24"/>
                <w:szCs w:val="24"/>
              </w:rPr>
              <w:t>非同一控制下企业合并</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8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748"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7"/>
              <w:jc w:val="center"/>
              <w:rPr>
                <w:rFonts w:ascii="Arial" w:hAnsi="Arial" w:cs="Arial" w:eastAsia="Arial" w:hint="default"/>
                <w:sz w:val="24"/>
                <w:szCs w:val="24"/>
              </w:rPr>
            </w:pPr>
            <w:r>
              <w:rPr>
                <w:rFonts w:ascii="Arial"/>
                <w:sz w:val="24"/>
              </w:rPr>
              <w:t>(a)</w:t>
            </w:r>
          </w:p>
        </w:tc>
        <w:tc>
          <w:tcPr>
            <w:tcW w:w="48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8"/>
              <w:ind w:left="209" w:right="0"/>
              <w:jc w:val="left"/>
              <w:rPr>
                <w:rFonts w:ascii="Arial" w:hAnsi="Arial" w:cs="Arial" w:eastAsia="Arial" w:hint="default"/>
                <w:sz w:val="24"/>
                <w:szCs w:val="24"/>
              </w:rPr>
            </w:pPr>
            <w:r>
              <w:rPr>
                <w:rFonts w:ascii="宋体" w:hAnsi="宋体" w:cs="宋体" w:eastAsia="宋体" w:hint="default"/>
                <w:sz w:val="24"/>
                <w:szCs w:val="24"/>
              </w:rPr>
              <w:t>无锡胜利门苏宁电器有限公司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1057"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35"/>
              <w:jc w:val="center"/>
              <w:rPr>
                <w:rFonts w:ascii="Arial" w:hAnsi="Arial" w:cs="Arial" w:eastAsia="Arial" w:hint="default"/>
                <w:sz w:val="24"/>
                <w:szCs w:val="24"/>
              </w:rPr>
            </w:pPr>
            <w:r>
              <w:rPr>
                <w:rFonts w:ascii="Arial"/>
                <w:sz w:val="24"/>
              </w:rPr>
              <w:t>(ii)</w:t>
            </w:r>
          </w:p>
        </w:tc>
        <w:tc>
          <w:tcPr>
            <w:tcW w:w="8283" w:type="dxa"/>
            <w:gridSpan w:val="6"/>
            <w:tcBorders>
              <w:top w:val="nil" w:sz="6" w:space="0" w:color="auto"/>
              <w:left w:val="nil" w:sz="6" w:space="0" w:color="auto"/>
              <w:bottom w:val="nil" w:sz="6" w:space="0" w:color="auto"/>
              <w:right w:val="nil" w:sz="6" w:space="0" w:color="auto"/>
            </w:tcBorders>
          </w:tcPr>
          <w:p>
            <w:pPr>
              <w:pStyle w:val="TableParagraph"/>
              <w:spacing w:line="312" w:lineRule="exact" w:before="208"/>
              <w:ind w:left="209" w:right="105"/>
              <w:jc w:val="left"/>
              <w:rPr>
                <w:rFonts w:ascii="宋体" w:hAnsi="宋体" w:cs="宋体" w:eastAsia="宋体" w:hint="default"/>
                <w:sz w:val="24"/>
                <w:szCs w:val="24"/>
              </w:rPr>
            </w:pPr>
            <w:r>
              <w:rPr>
                <w:rFonts w:ascii="宋体" w:hAnsi="宋体" w:cs="宋体" w:eastAsia="宋体" w:hint="default"/>
                <w:sz w:val="24"/>
                <w:szCs w:val="24"/>
              </w:rPr>
              <w:t>无锡胜利门苏宁电器有限公司于购买日的资产、负债及与收购相关的现金流</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量情况列示如下：</w:t>
            </w:r>
          </w:p>
        </w:tc>
      </w:tr>
      <w:tr>
        <w:trPr>
          <w:trHeight w:val="926" w:hRule="exact"/>
        </w:trPr>
        <w:tc>
          <w:tcPr>
            <w:tcW w:w="703" w:type="dxa"/>
            <w:tcBorders>
              <w:top w:val="nil" w:sz="6" w:space="0" w:color="auto"/>
              <w:left w:val="nil" w:sz="6" w:space="0" w:color="auto"/>
              <w:bottom w:val="nil" w:sz="6" w:space="0" w:color="auto"/>
              <w:right w:val="nil" w:sz="6" w:space="0" w:color="auto"/>
            </w:tcBorders>
          </w:tcPr>
          <w:p>
            <w:pPr/>
          </w:p>
        </w:tc>
        <w:tc>
          <w:tcPr>
            <w:tcW w:w="3395"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4"/>
              <w:jc w:val="right"/>
              <w:rPr>
                <w:rFonts w:ascii="宋体" w:hAnsi="宋体" w:cs="宋体" w:eastAsia="宋体" w:hint="default"/>
                <w:sz w:val="24"/>
                <w:szCs w:val="24"/>
              </w:rPr>
            </w:pPr>
            <w:r>
              <w:rPr>
                <w:rFonts w:ascii="宋体" w:hAnsi="宋体" w:cs="宋体" w:eastAsia="宋体" w:hint="default"/>
                <w:sz w:val="24"/>
                <w:szCs w:val="24"/>
              </w:rPr>
              <w:t>购买日</w:t>
            </w: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501" w:right="0"/>
              <w:jc w:val="left"/>
              <w:rPr>
                <w:rFonts w:ascii="宋体" w:hAnsi="宋体" w:cs="宋体" w:eastAsia="宋体" w:hint="default"/>
                <w:sz w:val="24"/>
                <w:szCs w:val="24"/>
              </w:rPr>
            </w:pPr>
            <w:r>
              <w:rPr>
                <w:rFonts w:ascii="宋体" w:hAnsi="宋体" w:cs="宋体" w:eastAsia="宋体" w:hint="default"/>
                <w:sz w:val="24"/>
                <w:szCs w:val="24"/>
              </w:rPr>
              <w:t>购买日</w:t>
            </w: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559"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240" w:lineRule="auto" w:before="19"/>
              <w:ind w:left="120" w:right="0"/>
              <w:jc w:val="left"/>
              <w:rPr>
                <w:rFonts w:ascii="宋体" w:hAnsi="宋体" w:cs="宋体" w:eastAsia="宋体" w:hint="default"/>
                <w:sz w:val="24"/>
                <w:szCs w:val="24"/>
              </w:rPr>
            </w:pPr>
            <w:r>
              <w:rPr>
                <w:rFonts w:ascii="Arial" w:hAnsi="Arial" w:cs="Arial" w:eastAsia="Arial" w:hint="default"/>
                <w:sz w:val="24"/>
                <w:szCs w:val="24"/>
              </w:rPr>
              <w:t>12 </w:t>
            </w:r>
            <w:r>
              <w:rPr>
                <w:rFonts w:ascii="宋体" w:hAnsi="宋体" w:cs="宋体" w:eastAsia="宋体" w:hint="default"/>
                <w:sz w:val="24"/>
                <w:szCs w:val="24"/>
              </w:rPr>
              <w:t>月 </w:t>
            </w:r>
            <w:r>
              <w:rPr>
                <w:rFonts w:ascii="Arial" w:hAnsi="Arial" w:cs="Arial" w:eastAsia="Arial" w:hint="default"/>
                <w:sz w:val="24"/>
                <w:szCs w:val="24"/>
              </w:rPr>
              <w:t>31</w:t>
            </w:r>
            <w:r>
              <w:rPr>
                <w:rFonts w:ascii="Arial" w:hAnsi="Arial" w:cs="Arial" w:eastAsia="Arial" w:hint="default"/>
                <w:spacing w:val="-15"/>
                <w:sz w:val="24"/>
                <w:szCs w:val="24"/>
              </w:rPr>
              <w:t> </w:t>
            </w:r>
            <w:r>
              <w:rPr>
                <w:rFonts w:ascii="宋体" w:hAnsi="宋体" w:cs="宋体" w:eastAsia="宋体" w:hint="default"/>
                <w:sz w:val="24"/>
                <w:szCs w:val="24"/>
              </w:rPr>
              <w:t>日</w:t>
            </w:r>
          </w:p>
        </w:tc>
      </w:tr>
      <w:tr>
        <w:trPr>
          <w:trHeight w:val="564" w:hRule="exact"/>
        </w:trPr>
        <w:tc>
          <w:tcPr>
            <w:tcW w:w="703" w:type="dxa"/>
            <w:tcBorders>
              <w:top w:val="nil" w:sz="6" w:space="0" w:color="auto"/>
              <w:left w:val="nil" w:sz="6" w:space="0" w:color="auto"/>
              <w:bottom w:val="nil" w:sz="6" w:space="0" w:color="auto"/>
              <w:right w:val="nil" w:sz="6" w:space="0" w:color="auto"/>
            </w:tcBorders>
          </w:tcPr>
          <w:p>
            <w:pPr/>
          </w:p>
        </w:tc>
        <w:tc>
          <w:tcPr>
            <w:tcW w:w="3395"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311" w:lineRule="exact"/>
              <w:ind w:right="104"/>
              <w:jc w:val="right"/>
              <w:rPr>
                <w:rFonts w:ascii="宋体" w:hAnsi="宋体" w:cs="宋体" w:eastAsia="宋体" w:hint="default"/>
                <w:sz w:val="24"/>
                <w:szCs w:val="24"/>
              </w:rPr>
            </w:pPr>
            <w:r>
              <w:rPr>
                <w:rFonts w:ascii="宋体" w:hAnsi="宋体" w:cs="宋体" w:eastAsia="宋体" w:hint="default"/>
                <w:sz w:val="24"/>
                <w:szCs w:val="24"/>
              </w:rPr>
              <w:t>公允价值</w:t>
            </w: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311" w:lineRule="exact"/>
              <w:ind w:left="261"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311" w:lineRule="exact"/>
              <w:ind w:right="103"/>
              <w:jc w:val="right"/>
              <w:rPr>
                <w:rFonts w:ascii="宋体" w:hAnsi="宋体" w:cs="宋体" w:eastAsia="宋体" w:hint="default"/>
                <w:sz w:val="24"/>
                <w:szCs w:val="24"/>
              </w:rPr>
            </w:pPr>
            <w:r>
              <w:rPr>
                <w:rFonts w:ascii="宋体" w:hAnsi="宋体" w:cs="宋体" w:eastAsia="宋体" w:hint="default"/>
                <w:sz w:val="24"/>
                <w:szCs w:val="24"/>
              </w:rPr>
              <w:t>账面价值</w:t>
            </w:r>
          </w:p>
        </w:tc>
      </w:tr>
      <w:tr>
        <w:trPr>
          <w:trHeight w:val="583" w:hRule="exact"/>
        </w:trPr>
        <w:tc>
          <w:tcPr>
            <w:tcW w:w="703" w:type="dxa"/>
            <w:tcBorders>
              <w:top w:val="nil" w:sz="6" w:space="0" w:color="auto"/>
              <w:left w:val="nil" w:sz="6" w:space="0" w:color="auto"/>
              <w:bottom w:val="nil" w:sz="6" w:space="0" w:color="auto"/>
              <w:right w:val="nil" w:sz="6" w:space="0" w:color="auto"/>
            </w:tcBorders>
          </w:tcPr>
          <w:p>
            <w:pP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09"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24"/>
                <w:szCs w:val="24"/>
              </w:rPr>
            </w:pPr>
            <w:r>
              <w:rPr>
                <w:rFonts w:ascii="Arial"/>
                <w:spacing w:val="-1"/>
                <w:sz w:val="24"/>
              </w:rPr>
              <w:t>1,665</w:t>
            </w: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41" w:right="0"/>
              <w:jc w:val="left"/>
              <w:rPr>
                <w:rFonts w:ascii="Arial" w:hAnsi="Arial" w:cs="Arial" w:eastAsia="Arial" w:hint="default"/>
                <w:sz w:val="24"/>
                <w:szCs w:val="24"/>
              </w:rPr>
            </w:pPr>
            <w:r>
              <w:rPr>
                <w:rFonts w:ascii="Arial"/>
                <w:sz w:val="24"/>
              </w:rPr>
              <w:t>1,665</w:t>
            </w: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24"/>
                <w:szCs w:val="24"/>
              </w:rPr>
            </w:pPr>
            <w:r>
              <w:rPr>
                <w:rFonts w:ascii="Arial"/>
                <w:w w:val="95"/>
                <w:sz w:val="24"/>
              </w:rPr>
              <w:t>951</w:t>
            </w:r>
            <w:r>
              <w:rPr>
                <w:rFonts w:ascii="Arial"/>
                <w:sz w:val="24"/>
              </w:rPr>
            </w:r>
          </w:p>
        </w:tc>
      </w:tr>
      <w:tr>
        <w:trPr>
          <w:trHeight w:val="391" w:hRule="exact"/>
        </w:trPr>
        <w:tc>
          <w:tcPr>
            <w:tcW w:w="703" w:type="dxa"/>
            <w:tcBorders>
              <w:top w:val="nil" w:sz="6" w:space="0" w:color="auto"/>
              <w:left w:val="nil" w:sz="6" w:space="0" w:color="auto"/>
              <w:bottom w:val="nil" w:sz="6" w:space="0" w:color="auto"/>
              <w:right w:val="nil" w:sz="6" w:space="0" w:color="auto"/>
            </w:tcBorders>
          </w:tcPr>
          <w:p>
            <w:pPr/>
          </w:p>
        </w:tc>
        <w:tc>
          <w:tcPr>
            <w:tcW w:w="3395" w:type="dxa"/>
            <w:tcBorders>
              <w:top w:val="nil" w:sz="6" w:space="0" w:color="auto"/>
              <w:left w:val="nil" w:sz="6" w:space="0" w:color="auto"/>
              <w:bottom w:val="nil" w:sz="6" w:space="0" w:color="auto"/>
              <w:right w:val="nil" w:sz="6" w:space="0" w:color="auto"/>
            </w:tcBorders>
          </w:tcPr>
          <w:p>
            <w:pPr>
              <w:pStyle w:val="TableParagraph"/>
              <w:spacing w:line="301" w:lineRule="exact"/>
              <w:ind w:left="209"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Arial" w:hAnsi="Arial" w:cs="Arial" w:eastAsia="Arial" w:hint="default"/>
                <w:sz w:val="24"/>
                <w:szCs w:val="24"/>
              </w:rPr>
            </w:pPr>
            <w:r>
              <w:rPr>
                <w:rFonts w:ascii="Arial"/>
                <w:spacing w:val="-1"/>
                <w:sz w:val="24"/>
              </w:rPr>
              <w:t>260,035</w:t>
            </w: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72" w:right="0"/>
              <w:jc w:val="left"/>
              <w:rPr>
                <w:rFonts w:ascii="Arial" w:hAnsi="Arial" w:cs="Arial" w:eastAsia="Arial" w:hint="default"/>
                <w:sz w:val="24"/>
                <w:szCs w:val="24"/>
              </w:rPr>
            </w:pPr>
            <w:r>
              <w:rPr>
                <w:rFonts w:ascii="Arial"/>
                <w:sz w:val="24"/>
              </w:rPr>
              <w:t>197,619</w:t>
            </w: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Arial" w:hAnsi="Arial" w:cs="Arial" w:eastAsia="Arial" w:hint="default"/>
                <w:sz w:val="24"/>
                <w:szCs w:val="24"/>
              </w:rPr>
            </w:pPr>
            <w:r>
              <w:rPr>
                <w:rFonts w:ascii="Arial"/>
                <w:spacing w:val="-1"/>
                <w:sz w:val="24"/>
              </w:rPr>
              <w:t>198,199</w:t>
            </w:r>
          </w:p>
        </w:tc>
      </w:tr>
      <w:tr>
        <w:trPr>
          <w:trHeight w:val="391" w:hRule="exact"/>
        </w:trPr>
        <w:tc>
          <w:tcPr>
            <w:tcW w:w="703" w:type="dxa"/>
            <w:tcBorders>
              <w:top w:val="nil" w:sz="6" w:space="0" w:color="auto"/>
              <w:left w:val="nil" w:sz="6" w:space="0" w:color="auto"/>
              <w:bottom w:val="nil" w:sz="6" w:space="0" w:color="auto"/>
              <w:right w:val="nil" w:sz="6" w:space="0" w:color="auto"/>
            </w:tcBorders>
          </w:tcPr>
          <w:p>
            <w:pPr/>
          </w:p>
        </w:tc>
        <w:tc>
          <w:tcPr>
            <w:tcW w:w="3395" w:type="dxa"/>
            <w:tcBorders>
              <w:top w:val="nil" w:sz="6" w:space="0" w:color="auto"/>
              <w:left w:val="nil" w:sz="6" w:space="0" w:color="auto"/>
              <w:bottom w:val="nil" w:sz="6" w:space="0" w:color="auto"/>
              <w:right w:val="nil" w:sz="6" w:space="0" w:color="auto"/>
            </w:tcBorders>
          </w:tcPr>
          <w:p>
            <w:pPr>
              <w:pStyle w:val="TableParagraph"/>
              <w:spacing w:line="302" w:lineRule="exact"/>
              <w:ind w:left="209" w:right="0"/>
              <w:jc w:val="left"/>
              <w:rPr>
                <w:rFonts w:ascii="宋体" w:hAnsi="宋体" w:cs="宋体" w:eastAsia="宋体" w:hint="default"/>
                <w:sz w:val="24"/>
                <w:szCs w:val="24"/>
              </w:rPr>
            </w:pPr>
            <w:r>
              <w:rPr>
                <w:rFonts w:ascii="宋体" w:hAnsi="宋体" w:cs="宋体" w:eastAsia="宋体" w:hint="default"/>
                <w:sz w:val="24"/>
                <w:szCs w:val="24"/>
              </w:rPr>
              <w:t>减：应交税费</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6"/>
              <w:jc w:val="right"/>
              <w:rPr>
                <w:rFonts w:ascii="Arial" w:hAnsi="Arial" w:cs="Arial" w:eastAsia="Arial" w:hint="default"/>
                <w:sz w:val="24"/>
                <w:szCs w:val="24"/>
              </w:rPr>
            </w:pPr>
            <w:r>
              <w:rPr>
                <w:rFonts w:ascii="Arial"/>
                <w:spacing w:val="-4"/>
                <w:sz w:val="24"/>
              </w:rPr>
              <w:t>(112)</w:t>
            </w: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
              <w:jc w:val="right"/>
              <w:rPr>
                <w:rFonts w:ascii="Arial" w:hAnsi="Arial" w:cs="Arial" w:eastAsia="Arial" w:hint="default"/>
                <w:sz w:val="24"/>
                <w:szCs w:val="24"/>
              </w:rPr>
            </w:pPr>
            <w:r>
              <w:rPr>
                <w:rFonts w:ascii="Arial"/>
                <w:spacing w:val="-4"/>
                <w:sz w:val="24"/>
              </w:rPr>
              <w:t>(112)</w:t>
            </w: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Arial" w:hAnsi="Arial" w:cs="Arial" w:eastAsia="Arial" w:hint="default"/>
                <w:sz w:val="24"/>
                <w:szCs w:val="24"/>
              </w:rPr>
            </w:pPr>
            <w:r>
              <w:rPr>
                <w:rFonts w:ascii="Arial"/>
                <w:w w:val="95"/>
                <w:sz w:val="24"/>
              </w:rPr>
              <w:t>(5)</w:t>
            </w:r>
            <w:r>
              <w:rPr>
                <w:rFonts w:ascii="Arial"/>
                <w:sz w:val="24"/>
              </w:rPr>
            </w:r>
          </w:p>
        </w:tc>
      </w:tr>
      <w:tr>
        <w:trPr>
          <w:trHeight w:val="391" w:hRule="exact"/>
        </w:trPr>
        <w:tc>
          <w:tcPr>
            <w:tcW w:w="703" w:type="dxa"/>
            <w:tcBorders>
              <w:top w:val="nil" w:sz="6" w:space="0" w:color="auto"/>
              <w:left w:val="nil" w:sz="6" w:space="0" w:color="auto"/>
              <w:bottom w:val="nil" w:sz="6" w:space="0" w:color="auto"/>
              <w:right w:val="nil" w:sz="6" w:space="0" w:color="auto"/>
            </w:tcBorders>
          </w:tcPr>
          <w:p>
            <w:pPr/>
          </w:p>
        </w:tc>
        <w:tc>
          <w:tcPr>
            <w:tcW w:w="3395" w:type="dxa"/>
            <w:tcBorders>
              <w:top w:val="nil" w:sz="6" w:space="0" w:color="auto"/>
              <w:left w:val="nil" w:sz="6" w:space="0" w:color="auto"/>
              <w:bottom w:val="nil" w:sz="6" w:space="0" w:color="auto"/>
              <w:right w:val="nil" w:sz="6" w:space="0" w:color="auto"/>
            </w:tcBorders>
          </w:tcPr>
          <w:p>
            <w:pPr>
              <w:pStyle w:val="TableParagraph"/>
              <w:spacing w:line="301" w:lineRule="exact"/>
              <w:ind w:left="653" w:right="0"/>
              <w:jc w:val="left"/>
              <w:rPr>
                <w:rFonts w:ascii="宋体" w:hAnsi="宋体" w:cs="宋体" w:eastAsia="宋体" w:hint="default"/>
                <w:sz w:val="24"/>
                <w:szCs w:val="24"/>
              </w:rPr>
            </w:pPr>
            <w:r>
              <w:rPr>
                <w:rFonts w:ascii="宋体" w:hAnsi="宋体" w:cs="宋体" w:eastAsia="宋体" w:hint="default"/>
                <w:sz w:val="24"/>
                <w:szCs w:val="24"/>
              </w:rPr>
              <w:t>应付款项</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
              <w:jc w:val="right"/>
              <w:rPr>
                <w:rFonts w:ascii="Arial" w:hAnsi="Arial" w:cs="Arial" w:eastAsia="Arial" w:hint="default"/>
                <w:sz w:val="24"/>
                <w:szCs w:val="24"/>
              </w:rPr>
            </w:pPr>
            <w:r>
              <w:rPr>
                <w:rFonts w:ascii="Arial"/>
                <w:spacing w:val="-1"/>
                <w:sz w:val="24"/>
              </w:rPr>
              <w:t>(196,179)</w:t>
            </w: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
              <w:jc w:val="right"/>
              <w:rPr>
                <w:rFonts w:ascii="Arial" w:hAnsi="Arial" w:cs="Arial" w:eastAsia="Arial" w:hint="default"/>
                <w:sz w:val="24"/>
                <w:szCs w:val="24"/>
              </w:rPr>
            </w:pPr>
            <w:r>
              <w:rPr>
                <w:rFonts w:ascii="Arial"/>
                <w:spacing w:val="-1"/>
                <w:sz w:val="24"/>
              </w:rPr>
              <w:t>(196,179)</w:t>
            </w: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
              <w:jc w:val="right"/>
              <w:rPr>
                <w:rFonts w:ascii="Arial" w:hAnsi="Arial" w:cs="Arial" w:eastAsia="Arial" w:hint="default"/>
                <w:sz w:val="24"/>
                <w:szCs w:val="24"/>
              </w:rPr>
            </w:pPr>
            <w:r>
              <w:rPr>
                <w:rFonts w:ascii="Arial"/>
                <w:spacing w:val="-1"/>
                <w:sz w:val="24"/>
              </w:rPr>
              <w:t>(195,809)</w:t>
            </w:r>
          </w:p>
        </w:tc>
      </w:tr>
      <w:tr>
        <w:trPr>
          <w:trHeight w:val="383" w:hRule="exact"/>
        </w:trPr>
        <w:tc>
          <w:tcPr>
            <w:tcW w:w="703" w:type="dxa"/>
            <w:tcBorders>
              <w:top w:val="nil" w:sz="6" w:space="0" w:color="auto"/>
              <w:left w:val="nil" w:sz="6" w:space="0" w:color="auto"/>
              <w:bottom w:val="nil" w:sz="6" w:space="0" w:color="auto"/>
              <w:right w:val="nil" w:sz="6" w:space="0" w:color="auto"/>
            </w:tcBorders>
          </w:tcPr>
          <w:p>
            <w:pPr/>
          </w:p>
        </w:tc>
        <w:tc>
          <w:tcPr>
            <w:tcW w:w="3395" w:type="dxa"/>
            <w:tcBorders>
              <w:top w:val="nil" w:sz="6" w:space="0" w:color="auto"/>
              <w:left w:val="nil" w:sz="6" w:space="0" w:color="auto"/>
              <w:bottom w:val="nil" w:sz="6" w:space="0" w:color="auto"/>
              <w:right w:val="nil" w:sz="6" w:space="0" w:color="auto"/>
            </w:tcBorders>
          </w:tcPr>
          <w:p>
            <w:pPr>
              <w:pStyle w:val="TableParagraph"/>
              <w:spacing w:line="301" w:lineRule="exact"/>
              <w:ind w:left="653"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148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9"/>
              <w:jc w:val="right"/>
              <w:rPr>
                <w:rFonts w:ascii="Arial" w:hAnsi="Arial" w:cs="Arial" w:eastAsia="Arial" w:hint="default"/>
                <w:sz w:val="24"/>
                <w:szCs w:val="24"/>
              </w:rPr>
            </w:pPr>
            <w:r>
              <w:rPr>
                <w:rFonts w:ascii="Arial"/>
                <w:spacing w:val="-1"/>
                <w:sz w:val="24"/>
              </w:rPr>
              <w:t>(15,604)</w:t>
            </w: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50"/>
              <w:jc w:val="right"/>
              <w:rPr>
                <w:rFonts w:ascii="Arial" w:hAnsi="Arial" w:cs="Arial" w:eastAsia="Arial" w:hint="default"/>
                <w:sz w:val="24"/>
                <w:szCs w:val="24"/>
              </w:rPr>
            </w:pPr>
            <w:r>
              <w:rPr>
                <w:rFonts w:ascii="Arial"/>
                <w:w w:val="99"/>
                <w:sz w:val="24"/>
              </w:rPr>
              <w:t>-</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22"/>
              <w:jc w:val="right"/>
              <w:rPr>
                <w:rFonts w:ascii="Arial" w:hAnsi="Arial" w:cs="Arial" w:eastAsia="Arial" w:hint="default"/>
                <w:sz w:val="24"/>
                <w:szCs w:val="24"/>
              </w:rPr>
            </w:pPr>
            <w:r>
              <w:rPr>
                <w:rFonts w:ascii="Arial"/>
                <w:w w:val="99"/>
                <w:sz w:val="24"/>
              </w:rPr>
              <w:t>-</w:t>
            </w:r>
            <w:r>
              <w:rPr>
                <w:rFonts w:ascii="Arial"/>
                <w:sz w:val="24"/>
              </w:rPr>
            </w:r>
          </w:p>
        </w:tc>
      </w:tr>
      <w:tr>
        <w:trPr>
          <w:trHeight w:val="401" w:hRule="exact"/>
        </w:trPr>
        <w:tc>
          <w:tcPr>
            <w:tcW w:w="703" w:type="dxa"/>
            <w:tcBorders>
              <w:top w:val="nil" w:sz="6" w:space="0" w:color="auto"/>
              <w:left w:val="nil" w:sz="6" w:space="0" w:color="auto"/>
              <w:bottom w:val="nil" w:sz="6" w:space="0" w:color="auto"/>
              <w:right w:val="nil" w:sz="6" w:space="0" w:color="auto"/>
            </w:tcBorders>
          </w:tcPr>
          <w:p>
            <w:pP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5"/>
              <w:ind w:left="209" w:right="0"/>
              <w:jc w:val="left"/>
              <w:rPr>
                <w:rFonts w:ascii="宋体" w:hAnsi="宋体" w:cs="宋体" w:eastAsia="宋体" w:hint="default"/>
                <w:sz w:val="24"/>
                <w:szCs w:val="24"/>
              </w:rPr>
            </w:pPr>
            <w:r>
              <w:rPr>
                <w:rFonts w:ascii="宋体" w:hAnsi="宋体" w:cs="宋体" w:eastAsia="宋体" w:hint="default"/>
                <w:sz w:val="24"/>
                <w:szCs w:val="24"/>
              </w:rPr>
              <w:t>净资产</w:t>
            </w:r>
          </w:p>
        </w:tc>
        <w:tc>
          <w:tcPr>
            <w:tcW w:w="1484"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84"/>
              <w:jc w:val="right"/>
              <w:rPr>
                <w:rFonts w:ascii="Arial" w:hAnsi="Arial" w:cs="Arial" w:eastAsia="Arial" w:hint="default"/>
                <w:sz w:val="24"/>
                <w:szCs w:val="24"/>
              </w:rPr>
            </w:pPr>
            <w:r>
              <w:rPr>
                <w:rFonts w:ascii="Arial"/>
                <w:spacing w:val="-1"/>
                <w:sz w:val="24"/>
              </w:rPr>
              <w:t>49,805</w:t>
            </w: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741" w:right="0"/>
              <w:jc w:val="left"/>
              <w:rPr>
                <w:rFonts w:ascii="Arial" w:hAnsi="Arial" w:cs="Arial" w:eastAsia="Arial" w:hint="default"/>
                <w:sz w:val="24"/>
                <w:szCs w:val="24"/>
              </w:rPr>
            </w:pPr>
            <w:r>
              <w:rPr>
                <w:rFonts w:ascii="Arial"/>
                <w:sz w:val="24"/>
              </w:rPr>
              <w:t>2,993</w:t>
            </w: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121"/>
              <w:jc w:val="right"/>
              <w:rPr>
                <w:rFonts w:ascii="Arial" w:hAnsi="Arial" w:cs="Arial" w:eastAsia="Arial" w:hint="default"/>
                <w:sz w:val="24"/>
                <w:szCs w:val="24"/>
              </w:rPr>
            </w:pPr>
            <w:r>
              <w:rPr>
                <w:rFonts w:ascii="Arial"/>
                <w:spacing w:val="-1"/>
                <w:sz w:val="24"/>
              </w:rPr>
              <w:t>3,336</w:t>
            </w:r>
          </w:p>
        </w:tc>
      </w:tr>
      <w:tr>
        <w:trPr>
          <w:trHeight w:val="410" w:hRule="exact"/>
        </w:trPr>
        <w:tc>
          <w:tcPr>
            <w:tcW w:w="703" w:type="dxa"/>
            <w:tcBorders>
              <w:top w:val="nil" w:sz="6" w:space="0" w:color="auto"/>
              <w:left w:val="nil" w:sz="6" w:space="0" w:color="auto"/>
              <w:bottom w:val="nil" w:sz="6" w:space="0" w:color="auto"/>
              <w:right w:val="nil" w:sz="6" w:space="0" w:color="auto"/>
            </w:tcBorders>
          </w:tcPr>
          <w:p>
            <w:pP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5"/>
              <w:ind w:left="209" w:right="0"/>
              <w:jc w:val="left"/>
              <w:rPr>
                <w:rFonts w:ascii="宋体" w:hAnsi="宋体" w:cs="宋体" w:eastAsia="宋体" w:hint="default"/>
                <w:sz w:val="24"/>
                <w:szCs w:val="24"/>
              </w:rPr>
            </w:pPr>
            <w:r>
              <w:rPr>
                <w:rFonts w:ascii="宋体" w:hAnsi="宋体" w:cs="宋体" w:eastAsia="宋体" w:hint="default"/>
                <w:sz w:val="24"/>
                <w:szCs w:val="24"/>
              </w:rPr>
              <w:t>取得的净资产</w:t>
            </w:r>
          </w:p>
        </w:tc>
        <w:tc>
          <w:tcPr>
            <w:tcW w:w="1484"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84"/>
              <w:jc w:val="right"/>
              <w:rPr>
                <w:rFonts w:ascii="Arial" w:hAnsi="Arial" w:cs="Arial" w:eastAsia="Arial" w:hint="default"/>
                <w:sz w:val="24"/>
                <w:szCs w:val="24"/>
              </w:rPr>
            </w:pPr>
            <w:r>
              <w:rPr>
                <w:rFonts w:ascii="Arial"/>
                <w:spacing w:val="-1"/>
                <w:sz w:val="24"/>
              </w:rPr>
              <w:t>49,805</w:t>
            </w: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left="741" w:right="0"/>
              <w:jc w:val="left"/>
              <w:rPr>
                <w:rFonts w:ascii="Arial" w:hAnsi="Arial" w:cs="Arial" w:eastAsia="Arial" w:hint="default"/>
                <w:sz w:val="24"/>
                <w:szCs w:val="24"/>
              </w:rPr>
            </w:pPr>
            <w:r>
              <w:rPr>
                <w:rFonts w:ascii="Arial"/>
                <w:sz w:val="24"/>
              </w:rPr>
              <w:t>2,993</w:t>
            </w: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102"/>
              <w:jc w:val="right"/>
              <w:rPr>
                <w:rFonts w:ascii="Arial" w:hAnsi="Arial" w:cs="Arial" w:eastAsia="Arial" w:hint="default"/>
                <w:sz w:val="24"/>
                <w:szCs w:val="24"/>
              </w:rPr>
            </w:pPr>
            <w:r>
              <w:rPr>
                <w:rFonts w:ascii="Arial"/>
                <w:spacing w:val="-1"/>
                <w:sz w:val="24"/>
              </w:rPr>
              <w:t>3,336</w:t>
            </w:r>
          </w:p>
        </w:tc>
      </w:tr>
      <w:tr>
        <w:trPr>
          <w:trHeight w:val="776" w:hRule="exact"/>
        </w:trPr>
        <w:tc>
          <w:tcPr>
            <w:tcW w:w="703" w:type="dxa"/>
            <w:tcBorders>
              <w:top w:val="nil" w:sz="6" w:space="0" w:color="auto"/>
              <w:left w:val="nil" w:sz="6" w:space="0" w:color="auto"/>
              <w:bottom w:val="nil" w:sz="6" w:space="0" w:color="auto"/>
              <w:right w:val="nil" w:sz="6" w:space="0" w:color="auto"/>
            </w:tcBorders>
          </w:tcPr>
          <w:p>
            <w:pP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209" w:right="0"/>
              <w:jc w:val="left"/>
              <w:rPr>
                <w:rFonts w:ascii="宋体" w:hAnsi="宋体" w:cs="宋体" w:eastAsia="宋体" w:hint="default"/>
                <w:sz w:val="24"/>
                <w:szCs w:val="24"/>
              </w:rPr>
            </w:pPr>
            <w:r>
              <w:rPr>
                <w:rFonts w:ascii="宋体" w:hAnsi="宋体" w:cs="宋体" w:eastAsia="宋体" w:hint="default"/>
                <w:sz w:val="24"/>
                <w:szCs w:val="24"/>
              </w:rPr>
              <w:t>以现金支付的对价</w:t>
            </w:r>
          </w:p>
        </w:tc>
        <w:tc>
          <w:tcPr>
            <w:tcW w:w="1484"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4"/>
              <w:ind w:right="103"/>
              <w:jc w:val="right"/>
              <w:rPr>
                <w:rFonts w:ascii="Arial" w:hAnsi="Arial" w:cs="Arial" w:eastAsia="Arial" w:hint="default"/>
                <w:sz w:val="24"/>
                <w:szCs w:val="24"/>
              </w:rPr>
            </w:pPr>
            <w:r>
              <w:rPr>
                <w:rFonts w:ascii="Arial"/>
                <w:spacing w:val="-1"/>
                <w:sz w:val="24"/>
              </w:rPr>
              <w:t>50,374</w:t>
            </w: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single" w:sz="12"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single" w:sz="12" w:space="0" w:color="000000"/>
              <w:left w:val="nil" w:sz="6" w:space="0" w:color="auto"/>
              <w:bottom w:val="nil" w:sz="6" w:space="0" w:color="auto"/>
              <w:right w:val="nil" w:sz="6" w:space="0" w:color="auto"/>
            </w:tcBorders>
          </w:tcPr>
          <w:p>
            <w:pPr/>
          </w:p>
        </w:tc>
      </w:tr>
      <w:tr>
        <w:trPr>
          <w:trHeight w:val="695" w:hRule="exact"/>
        </w:trPr>
        <w:tc>
          <w:tcPr>
            <w:tcW w:w="703" w:type="dxa"/>
            <w:tcBorders>
              <w:top w:val="nil" w:sz="6" w:space="0" w:color="auto"/>
              <w:left w:val="nil" w:sz="6" w:space="0" w:color="auto"/>
              <w:bottom w:val="nil" w:sz="6" w:space="0" w:color="auto"/>
              <w:right w:val="nil" w:sz="6" w:space="0" w:color="auto"/>
            </w:tcBorders>
          </w:tcPr>
          <w:p>
            <w:pPr/>
          </w:p>
        </w:tc>
        <w:tc>
          <w:tcPr>
            <w:tcW w:w="3395" w:type="dxa"/>
            <w:tcBorders>
              <w:top w:val="nil" w:sz="6" w:space="0" w:color="auto"/>
              <w:left w:val="nil" w:sz="6" w:space="0" w:color="auto"/>
              <w:bottom w:val="nil" w:sz="6" w:space="0" w:color="auto"/>
              <w:right w:val="nil" w:sz="6" w:space="0" w:color="auto"/>
            </w:tcBorders>
          </w:tcPr>
          <w:p>
            <w:pPr>
              <w:pStyle w:val="TableParagraph"/>
              <w:spacing w:line="312" w:lineRule="exact" w:before="18"/>
              <w:ind w:left="716" w:right="104" w:hanging="507"/>
              <w:jc w:val="left"/>
              <w:rPr>
                <w:rFonts w:ascii="宋体" w:hAnsi="宋体" w:cs="宋体" w:eastAsia="宋体" w:hint="default"/>
                <w:sz w:val="24"/>
                <w:szCs w:val="24"/>
              </w:rPr>
            </w:pPr>
            <w:r>
              <w:rPr>
                <w:rFonts w:ascii="宋体" w:hAnsi="宋体" w:cs="宋体" w:eastAsia="宋体" w:hint="default"/>
                <w:spacing w:val="-4"/>
                <w:sz w:val="24"/>
                <w:szCs w:val="24"/>
              </w:rPr>
              <w:t>减：取得的被收购子公司的现</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金及现金等价物</w:t>
            </w:r>
          </w:p>
        </w:tc>
        <w:tc>
          <w:tcPr>
            <w:tcW w:w="148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right="29"/>
              <w:jc w:val="right"/>
              <w:rPr>
                <w:rFonts w:ascii="Arial" w:hAnsi="Arial" w:cs="Arial" w:eastAsia="Arial" w:hint="default"/>
                <w:sz w:val="24"/>
                <w:szCs w:val="24"/>
              </w:rPr>
            </w:pPr>
            <w:r>
              <w:rPr>
                <w:rFonts w:ascii="Arial"/>
                <w:sz w:val="24"/>
              </w:rPr>
              <w:t>(1,665)</w:t>
            </w: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411" w:hRule="exact"/>
        </w:trPr>
        <w:tc>
          <w:tcPr>
            <w:tcW w:w="703" w:type="dxa"/>
            <w:tcBorders>
              <w:top w:val="nil" w:sz="6" w:space="0" w:color="auto"/>
              <w:left w:val="nil" w:sz="6" w:space="0" w:color="auto"/>
              <w:bottom w:val="nil" w:sz="6" w:space="0" w:color="auto"/>
              <w:right w:val="nil" w:sz="6" w:space="0" w:color="auto"/>
            </w:tcBorders>
          </w:tcPr>
          <w:p>
            <w:pP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9" w:right="0"/>
              <w:jc w:val="left"/>
              <w:rPr>
                <w:rFonts w:ascii="宋体" w:hAnsi="宋体" w:cs="宋体" w:eastAsia="宋体" w:hint="default"/>
                <w:sz w:val="24"/>
                <w:szCs w:val="24"/>
              </w:rPr>
            </w:pPr>
            <w:r>
              <w:rPr>
                <w:rFonts w:ascii="宋体" w:hAnsi="宋体" w:cs="宋体" w:eastAsia="宋体" w:hint="default"/>
                <w:sz w:val="24"/>
                <w:szCs w:val="24"/>
              </w:rPr>
              <w:t>取得子公司支付的现金净额</w:t>
            </w:r>
          </w:p>
        </w:tc>
        <w:tc>
          <w:tcPr>
            <w:tcW w:w="1484"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110"/>
              <w:jc w:val="right"/>
              <w:rPr>
                <w:rFonts w:ascii="Arial" w:hAnsi="Arial" w:cs="Arial" w:eastAsia="Arial" w:hint="default"/>
                <w:sz w:val="24"/>
                <w:szCs w:val="24"/>
              </w:rPr>
            </w:pPr>
            <w:r>
              <w:rPr>
                <w:rFonts w:ascii="Arial"/>
                <w:spacing w:val="-1"/>
                <w:sz w:val="24"/>
              </w:rPr>
              <w:t>48,709</w:t>
            </w: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bl>
    <w:p>
      <w:pPr>
        <w:spacing w:after="0"/>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14"/>
        <w:gridCol w:w="3833"/>
        <w:gridCol w:w="4713"/>
      </w:tblGrid>
      <w:tr>
        <w:trPr>
          <w:trHeight w:val="497" w:hRule="exact"/>
        </w:trPr>
        <w:tc>
          <w:tcPr>
            <w:tcW w:w="714" w:type="dxa"/>
            <w:tcBorders>
              <w:top w:val="nil" w:sz="6" w:space="0" w:color="auto"/>
              <w:left w:val="nil" w:sz="6" w:space="0" w:color="auto"/>
              <w:bottom w:val="nil" w:sz="6" w:space="0" w:color="auto"/>
              <w:right w:val="nil" w:sz="6" w:space="0" w:color="auto"/>
            </w:tcBorders>
          </w:tcPr>
          <w:p>
            <w:pPr>
              <w:pStyle w:val="TableParagraph"/>
              <w:spacing w:line="240" w:lineRule="exact"/>
              <w:ind w:right="71"/>
              <w:jc w:val="center"/>
              <w:rPr>
                <w:rFonts w:ascii="黑体" w:hAnsi="黑体" w:cs="黑体" w:eastAsia="黑体" w:hint="default"/>
                <w:sz w:val="24"/>
                <w:szCs w:val="24"/>
              </w:rPr>
            </w:pPr>
            <w:r>
              <w:rPr>
                <w:rFonts w:ascii="黑体" w:hAnsi="黑体" w:cs="黑体" w:eastAsia="黑体" w:hint="default"/>
                <w:sz w:val="24"/>
                <w:szCs w:val="24"/>
              </w:rPr>
              <w:t>四</w:t>
            </w:r>
          </w:p>
        </w:tc>
        <w:tc>
          <w:tcPr>
            <w:tcW w:w="3833" w:type="dxa"/>
            <w:tcBorders>
              <w:top w:val="nil" w:sz="6" w:space="0" w:color="auto"/>
              <w:left w:val="nil" w:sz="6" w:space="0" w:color="auto"/>
              <w:bottom w:val="nil" w:sz="6" w:space="0" w:color="auto"/>
              <w:right w:val="nil" w:sz="6" w:space="0" w:color="auto"/>
            </w:tcBorders>
          </w:tcPr>
          <w:p>
            <w:pPr>
              <w:pStyle w:val="TableParagraph"/>
              <w:spacing w:line="257" w:lineRule="exact"/>
              <w:ind w:left="196" w:right="0"/>
              <w:jc w:val="left"/>
              <w:rPr>
                <w:rFonts w:ascii="Arial" w:hAnsi="Arial" w:cs="Arial" w:eastAsia="Arial" w:hint="default"/>
                <w:sz w:val="24"/>
                <w:szCs w:val="24"/>
              </w:rPr>
            </w:pPr>
            <w:r>
              <w:rPr>
                <w:rFonts w:ascii="黑体" w:hAnsi="黑体" w:cs="黑体" w:eastAsia="黑体" w:hint="default"/>
                <w:sz w:val="24"/>
                <w:szCs w:val="24"/>
              </w:rPr>
              <w:t>企业合并及合并财务报表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4713" w:type="dxa"/>
            <w:tcBorders>
              <w:top w:val="nil" w:sz="6" w:space="0" w:color="auto"/>
              <w:left w:val="nil" w:sz="6" w:space="0" w:color="auto"/>
              <w:bottom w:val="nil" w:sz="6" w:space="0" w:color="auto"/>
              <w:right w:val="nil" w:sz="6" w:space="0" w:color="auto"/>
            </w:tcBorders>
          </w:tcPr>
          <w:p>
            <w:pPr/>
          </w:p>
        </w:tc>
      </w:tr>
      <w:tr>
        <w:trPr>
          <w:trHeight w:val="748" w:hRule="exact"/>
        </w:trPr>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8"/>
              <w:jc w:val="center"/>
              <w:rPr>
                <w:rFonts w:ascii="Arial" w:hAnsi="Arial" w:cs="Arial" w:eastAsia="Arial" w:hint="default"/>
                <w:sz w:val="24"/>
                <w:szCs w:val="24"/>
              </w:rPr>
            </w:pPr>
            <w:r>
              <w:rPr>
                <w:rFonts w:ascii="Arial"/>
                <w:sz w:val="24"/>
              </w:rPr>
              <w:t>(4)</w:t>
            </w:r>
          </w:p>
        </w:tc>
        <w:tc>
          <w:tcPr>
            <w:tcW w:w="3833"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96" w:right="0"/>
              <w:jc w:val="left"/>
              <w:rPr>
                <w:rFonts w:ascii="Arial" w:hAnsi="Arial" w:cs="Arial" w:eastAsia="Arial" w:hint="default"/>
                <w:sz w:val="24"/>
                <w:szCs w:val="24"/>
              </w:rPr>
            </w:pPr>
            <w:r>
              <w:rPr>
                <w:rFonts w:ascii="黑体" w:hAnsi="黑体" w:cs="黑体" w:eastAsia="黑体" w:hint="default"/>
                <w:sz w:val="24"/>
                <w:szCs w:val="24"/>
              </w:rPr>
              <w:t>非同一控制下企业合并</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4713" w:type="dxa"/>
            <w:tcBorders>
              <w:top w:val="nil" w:sz="6" w:space="0" w:color="auto"/>
              <w:left w:val="nil" w:sz="6" w:space="0" w:color="auto"/>
              <w:bottom w:val="nil" w:sz="6" w:space="0" w:color="auto"/>
              <w:right w:val="nil" w:sz="6" w:space="0" w:color="auto"/>
            </w:tcBorders>
          </w:tcPr>
          <w:p>
            <w:pPr/>
          </w:p>
        </w:tc>
      </w:tr>
      <w:tr>
        <w:trPr>
          <w:trHeight w:val="750" w:hRule="exact"/>
        </w:trPr>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8"/>
              <w:jc w:val="center"/>
              <w:rPr>
                <w:rFonts w:ascii="Arial" w:hAnsi="Arial" w:cs="Arial" w:eastAsia="Arial" w:hint="default"/>
                <w:sz w:val="24"/>
                <w:szCs w:val="24"/>
              </w:rPr>
            </w:pPr>
            <w:r>
              <w:rPr>
                <w:rFonts w:ascii="Arial"/>
                <w:sz w:val="24"/>
              </w:rPr>
              <w:t>(a)</w:t>
            </w:r>
          </w:p>
        </w:tc>
        <w:tc>
          <w:tcPr>
            <w:tcW w:w="383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6" w:right="0"/>
              <w:jc w:val="left"/>
              <w:rPr>
                <w:rFonts w:ascii="Arial" w:hAnsi="Arial" w:cs="Arial" w:eastAsia="Arial" w:hint="default"/>
                <w:sz w:val="24"/>
                <w:szCs w:val="24"/>
              </w:rPr>
            </w:pPr>
            <w:r>
              <w:rPr>
                <w:rFonts w:ascii="宋体" w:hAnsi="宋体" w:cs="宋体" w:eastAsia="宋体" w:hint="default"/>
                <w:sz w:val="24"/>
                <w:szCs w:val="24"/>
              </w:rPr>
              <w:t>无锡胜利门苏宁电器有限公司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4713" w:type="dxa"/>
            <w:tcBorders>
              <w:top w:val="nil" w:sz="6" w:space="0" w:color="auto"/>
              <w:left w:val="nil" w:sz="6" w:space="0" w:color="auto"/>
              <w:bottom w:val="nil" w:sz="6" w:space="0" w:color="auto"/>
              <w:right w:val="nil" w:sz="6" w:space="0" w:color="auto"/>
            </w:tcBorders>
          </w:tcPr>
          <w:p>
            <w:pPr/>
          </w:p>
        </w:tc>
      </w:tr>
      <w:tr>
        <w:trPr>
          <w:trHeight w:val="1033" w:hRule="exact"/>
        </w:trPr>
        <w:tc>
          <w:tcPr>
            <w:tcW w:w="925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3"/>
              <w:ind w:left="910" w:right="302"/>
              <w:jc w:val="left"/>
              <w:rPr>
                <w:rFonts w:ascii="宋体" w:hAnsi="宋体" w:cs="宋体" w:eastAsia="宋体" w:hint="default"/>
                <w:sz w:val="24"/>
                <w:szCs w:val="24"/>
              </w:rPr>
            </w:pPr>
            <w:r>
              <w:rPr>
                <w:rFonts w:ascii="宋体" w:hAnsi="宋体" w:cs="宋体" w:eastAsia="宋体" w:hint="default"/>
                <w:spacing w:val="3"/>
                <w:sz w:val="24"/>
                <w:szCs w:val="24"/>
              </w:rPr>
              <w:t>本集团采用估值技术来确定无锡胜利门苏宁电器有限公司的资产负债于购买</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日的公允价值。主要资产的评估方法及其关键假设列示如下：</w:t>
            </w:r>
          </w:p>
        </w:tc>
      </w:tr>
      <w:tr>
        <w:trPr>
          <w:trHeight w:val="4750" w:hRule="exact"/>
        </w:trPr>
        <w:tc>
          <w:tcPr>
            <w:tcW w:w="9259" w:type="dxa"/>
            <w:gridSpan w:val="3"/>
            <w:tcBorders>
              <w:top w:val="nil" w:sz="6" w:space="0" w:color="auto"/>
              <w:left w:val="nil" w:sz="6" w:space="0" w:color="auto"/>
              <w:bottom w:val="nil" w:sz="6" w:space="0" w:color="auto"/>
              <w:right w:val="nil" w:sz="6" w:space="0" w:color="auto"/>
            </w:tcBorders>
          </w:tcPr>
          <w:p>
            <w:pPr>
              <w:pStyle w:val="TableParagraph"/>
              <w:spacing w:line="312" w:lineRule="exact" w:before="189"/>
              <w:ind w:left="1217" w:right="305" w:hanging="267"/>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16"/>
                <w:sz w:val="24"/>
                <w:szCs w:val="24"/>
              </w:rPr>
              <w:t></w:t>
            </w:r>
            <w:r>
              <w:rPr>
                <w:rFonts w:ascii="Times New Roman" w:hAnsi="Times New Roman" w:cs="Times New Roman" w:eastAsia="Times New Roman" w:hint="default"/>
                <w:spacing w:val="16"/>
                <w:sz w:val="24"/>
                <w:szCs w:val="24"/>
              </w:rPr>
            </w:r>
            <w:r>
              <w:rPr>
                <w:rFonts w:ascii="宋体" w:hAnsi="宋体" w:cs="宋体" w:eastAsia="宋体" w:hint="default"/>
                <w:sz w:val="24"/>
                <w:szCs w:val="24"/>
              </w:rPr>
              <w:t>评估资产属于酒店物业，在同一供求范围内没有足够的可比交易案例，亦</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不存在活跃的租赁市场，因此固定资产的评估方法采用重置成本法进行评</w:t>
            </w:r>
            <w:r>
              <w:rPr>
                <w:rFonts w:ascii="宋体" w:hAnsi="宋体" w:cs="宋体" w:eastAsia="宋体" w:hint="default"/>
                <w:w w:val="100"/>
                <w:sz w:val="24"/>
                <w:szCs w:val="24"/>
              </w:rPr>
              <w:t> </w:t>
            </w:r>
            <w:r>
              <w:rPr>
                <w:rFonts w:ascii="宋体" w:hAnsi="宋体" w:cs="宋体" w:eastAsia="宋体" w:hint="default"/>
                <w:sz w:val="24"/>
                <w:szCs w:val="24"/>
              </w:rPr>
              <w:t>估；</w:t>
            </w:r>
          </w:p>
          <w:p>
            <w:pPr>
              <w:pStyle w:val="TableParagraph"/>
              <w:spacing w:line="289" w:lineRule="exact"/>
              <w:ind w:left="951"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36"/>
                <w:sz w:val="24"/>
                <w:szCs w:val="24"/>
              </w:rPr>
              <w:t></w:t>
            </w:r>
            <w:r>
              <w:rPr>
                <w:rFonts w:ascii="Times New Roman" w:hAnsi="Times New Roman" w:cs="Times New Roman" w:eastAsia="Times New Roman" w:hint="default"/>
                <w:spacing w:val="36"/>
                <w:sz w:val="24"/>
                <w:szCs w:val="24"/>
              </w:rPr>
            </w:r>
            <w:r>
              <w:rPr>
                <w:rFonts w:ascii="宋体" w:hAnsi="宋体" w:cs="宋体" w:eastAsia="宋体" w:hint="default"/>
                <w:sz w:val="24"/>
                <w:szCs w:val="24"/>
              </w:rPr>
              <w:t>货币资金及流动负债以核实无误的账面值作为评估值；</w:t>
            </w:r>
          </w:p>
          <w:p>
            <w:pPr>
              <w:pStyle w:val="TableParagraph"/>
              <w:spacing w:line="230" w:lineRule="auto"/>
              <w:ind w:left="1217" w:right="312" w:hanging="267"/>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18"/>
                <w:sz w:val="24"/>
                <w:szCs w:val="24"/>
              </w:rPr>
              <w:t></w:t>
            </w:r>
            <w:r>
              <w:rPr>
                <w:rFonts w:ascii="Times New Roman" w:hAnsi="Times New Roman" w:cs="Times New Roman" w:eastAsia="Times New Roman" w:hint="default"/>
                <w:spacing w:val="18"/>
                <w:sz w:val="24"/>
                <w:szCs w:val="24"/>
              </w:rPr>
            </w:r>
            <w:r>
              <w:rPr>
                <w:rFonts w:ascii="宋体" w:hAnsi="宋体" w:cs="宋体" w:eastAsia="宋体" w:hint="default"/>
                <w:sz w:val="24"/>
                <w:szCs w:val="24"/>
              </w:rPr>
              <w:t>企业整体资产作为评估对象而做出的评估假定，在所处外部环境下，按照</w:t>
            </w:r>
            <w:r>
              <w:rPr>
                <w:rFonts w:ascii="宋体" w:hAnsi="宋体" w:cs="宋体" w:eastAsia="宋体" w:hint="default"/>
                <w:w w:val="100"/>
                <w:sz w:val="24"/>
                <w:szCs w:val="24"/>
              </w:rPr>
              <w:t> </w:t>
            </w:r>
            <w:r>
              <w:rPr>
                <w:rFonts w:ascii="宋体" w:hAnsi="宋体" w:cs="宋体" w:eastAsia="宋体" w:hint="default"/>
                <w:sz w:val="24"/>
                <w:szCs w:val="24"/>
              </w:rPr>
              <w:t>经营目标，持续经营下去。企业经营者负责并有能力担当负责；企业合法</w:t>
            </w:r>
            <w:r>
              <w:rPr>
                <w:rFonts w:ascii="宋体" w:hAnsi="宋体" w:cs="宋体" w:eastAsia="宋体" w:hint="default"/>
                <w:w w:val="100"/>
                <w:sz w:val="24"/>
                <w:szCs w:val="24"/>
              </w:rPr>
              <w:t> </w:t>
            </w:r>
            <w:r>
              <w:rPr>
                <w:rFonts w:ascii="宋体" w:hAnsi="宋体" w:cs="宋体" w:eastAsia="宋体" w:hint="default"/>
                <w:sz w:val="24"/>
                <w:szCs w:val="24"/>
              </w:rPr>
              <w:t>经营，并能够获取适当的利润，以维持持续经营；</w:t>
            </w:r>
          </w:p>
          <w:p>
            <w:pPr>
              <w:pStyle w:val="TableParagraph"/>
              <w:spacing w:line="230" w:lineRule="auto" w:before="10"/>
              <w:ind w:left="1217" w:right="312" w:hanging="267"/>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18"/>
                <w:sz w:val="24"/>
                <w:szCs w:val="24"/>
              </w:rPr>
              <w:t></w:t>
            </w:r>
            <w:r>
              <w:rPr>
                <w:rFonts w:ascii="Times New Roman" w:hAnsi="Times New Roman" w:cs="Times New Roman" w:eastAsia="Times New Roman" w:hint="default"/>
                <w:spacing w:val="18"/>
                <w:sz w:val="24"/>
                <w:szCs w:val="24"/>
              </w:rPr>
            </w:r>
            <w:r>
              <w:rPr>
                <w:rFonts w:ascii="宋体" w:hAnsi="宋体" w:cs="宋体" w:eastAsia="宋体" w:hint="default"/>
                <w:sz w:val="24"/>
                <w:szCs w:val="24"/>
              </w:rPr>
              <w:t>国家现行的有关法律、法规及政策，国家宏观经济形势无重大变化；本次</w:t>
            </w:r>
            <w:r>
              <w:rPr>
                <w:rFonts w:ascii="宋体" w:hAnsi="宋体" w:cs="宋体" w:eastAsia="宋体" w:hint="default"/>
                <w:w w:val="100"/>
                <w:sz w:val="24"/>
                <w:szCs w:val="24"/>
              </w:rPr>
              <w:t> </w:t>
            </w:r>
            <w:r>
              <w:rPr>
                <w:rFonts w:ascii="宋体" w:hAnsi="宋体" w:cs="宋体" w:eastAsia="宋体" w:hint="default"/>
                <w:sz w:val="24"/>
                <w:szCs w:val="24"/>
              </w:rPr>
              <w:t>交易各方所处地区的政治、经济和社会环境无重大变化；无其他不可预测</w:t>
            </w:r>
            <w:r>
              <w:rPr>
                <w:rFonts w:ascii="宋体" w:hAnsi="宋体" w:cs="宋体" w:eastAsia="宋体" w:hint="default"/>
                <w:w w:val="100"/>
                <w:sz w:val="24"/>
                <w:szCs w:val="24"/>
              </w:rPr>
              <w:t> </w:t>
            </w:r>
            <w:r>
              <w:rPr>
                <w:rFonts w:ascii="宋体" w:hAnsi="宋体" w:cs="宋体" w:eastAsia="宋体" w:hint="default"/>
                <w:sz w:val="24"/>
                <w:szCs w:val="24"/>
              </w:rPr>
              <w:t>和不可抗力因素造成的重大不利影响；</w:t>
            </w:r>
          </w:p>
          <w:p>
            <w:pPr>
              <w:pStyle w:val="TableParagraph"/>
              <w:spacing w:line="312" w:lineRule="exact" w:before="30"/>
              <w:ind w:left="1217" w:right="312" w:hanging="267"/>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18"/>
                <w:sz w:val="24"/>
                <w:szCs w:val="24"/>
              </w:rPr>
              <w:t></w:t>
            </w:r>
            <w:r>
              <w:rPr>
                <w:rFonts w:ascii="Times New Roman" w:hAnsi="Times New Roman" w:cs="Times New Roman" w:eastAsia="Times New Roman" w:hint="default"/>
                <w:spacing w:val="18"/>
                <w:sz w:val="24"/>
                <w:szCs w:val="24"/>
              </w:rPr>
            </w:r>
            <w:r>
              <w:rPr>
                <w:rFonts w:ascii="宋体" w:hAnsi="宋体" w:cs="宋体" w:eastAsia="宋体" w:hint="default"/>
                <w:sz w:val="24"/>
                <w:szCs w:val="24"/>
              </w:rPr>
              <w:t>假定所有待评估资产已经处在交易过程中，根据待评估资产的交易条件等</w:t>
            </w:r>
            <w:r>
              <w:rPr>
                <w:rFonts w:ascii="宋体" w:hAnsi="宋体" w:cs="宋体" w:eastAsia="宋体" w:hint="default"/>
                <w:w w:val="100"/>
                <w:sz w:val="24"/>
                <w:szCs w:val="24"/>
              </w:rPr>
              <w:t> </w:t>
            </w:r>
            <w:r>
              <w:rPr>
                <w:rFonts w:ascii="宋体" w:hAnsi="宋体" w:cs="宋体" w:eastAsia="宋体" w:hint="default"/>
                <w:sz w:val="24"/>
                <w:szCs w:val="24"/>
              </w:rPr>
              <w:t>模拟市场进行估价；</w:t>
            </w:r>
          </w:p>
          <w:p>
            <w:pPr>
              <w:pStyle w:val="TableParagraph"/>
              <w:spacing w:line="310" w:lineRule="exact" w:before="1"/>
              <w:ind w:left="1217" w:right="312" w:hanging="267"/>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18"/>
                <w:sz w:val="24"/>
                <w:szCs w:val="24"/>
              </w:rPr>
              <w:t></w:t>
            </w:r>
            <w:r>
              <w:rPr>
                <w:rFonts w:ascii="Times New Roman" w:hAnsi="Times New Roman" w:cs="Times New Roman" w:eastAsia="Times New Roman" w:hint="default"/>
                <w:spacing w:val="18"/>
                <w:sz w:val="24"/>
                <w:szCs w:val="24"/>
              </w:rPr>
            </w:r>
            <w:r>
              <w:rPr>
                <w:rFonts w:ascii="宋体" w:hAnsi="宋体" w:cs="宋体" w:eastAsia="宋体" w:hint="default"/>
                <w:sz w:val="24"/>
                <w:szCs w:val="24"/>
              </w:rPr>
              <w:t>评估以评估结果将用于在企业会计准则下对企业合并的会计处理和报告为</w:t>
            </w:r>
            <w:r>
              <w:rPr>
                <w:rFonts w:ascii="宋体" w:hAnsi="宋体" w:cs="宋体" w:eastAsia="宋体" w:hint="default"/>
                <w:w w:val="100"/>
                <w:sz w:val="24"/>
                <w:szCs w:val="24"/>
              </w:rPr>
              <w:t> </w:t>
            </w:r>
            <w:r>
              <w:rPr>
                <w:rFonts w:ascii="宋体" w:hAnsi="宋体" w:cs="宋体" w:eastAsia="宋体" w:hint="default"/>
                <w:sz w:val="24"/>
                <w:szCs w:val="24"/>
              </w:rPr>
              <w:t>基本假设前提。</w:t>
            </w:r>
          </w:p>
        </w:tc>
      </w:tr>
      <w:tr>
        <w:trPr>
          <w:trHeight w:val="1043" w:hRule="exact"/>
        </w:trPr>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99"/>
              <w:ind w:left="3" w:right="0"/>
              <w:jc w:val="center"/>
              <w:rPr>
                <w:rFonts w:ascii="Arial" w:hAnsi="Arial" w:cs="Arial" w:eastAsia="Arial" w:hint="default"/>
                <w:sz w:val="24"/>
                <w:szCs w:val="24"/>
              </w:rPr>
            </w:pPr>
            <w:r>
              <w:rPr>
                <w:rFonts w:ascii="Arial"/>
                <w:sz w:val="24"/>
              </w:rPr>
              <w:t>(iii)</w:t>
            </w:r>
          </w:p>
        </w:tc>
        <w:tc>
          <w:tcPr>
            <w:tcW w:w="8545" w:type="dxa"/>
            <w:gridSpan w:val="2"/>
            <w:tcBorders>
              <w:top w:val="nil" w:sz="6" w:space="0" w:color="auto"/>
              <w:left w:val="nil" w:sz="6" w:space="0" w:color="auto"/>
              <w:bottom w:val="nil" w:sz="6" w:space="0" w:color="auto"/>
              <w:right w:val="nil" w:sz="6" w:space="0" w:color="auto"/>
            </w:tcBorders>
          </w:tcPr>
          <w:p>
            <w:pPr>
              <w:pStyle w:val="TableParagraph"/>
              <w:spacing w:line="312" w:lineRule="exact" w:before="194"/>
              <w:ind w:left="196" w:right="198"/>
              <w:jc w:val="left"/>
              <w:rPr>
                <w:rFonts w:ascii="宋体" w:hAnsi="宋体" w:cs="宋体" w:eastAsia="宋体" w:hint="default"/>
                <w:sz w:val="24"/>
                <w:szCs w:val="24"/>
              </w:rPr>
            </w:pPr>
            <w:r>
              <w:rPr>
                <w:rFonts w:ascii="宋体" w:hAnsi="宋体" w:cs="宋体" w:eastAsia="宋体" w:hint="default"/>
                <w:sz w:val="24"/>
                <w:szCs w:val="24"/>
              </w:rPr>
              <w:t>无锡胜利门苏宁电器有限公司自购买日至</w:t>
            </w:r>
            <w:r>
              <w:rPr>
                <w:rFonts w:ascii="宋体" w:hAnsi="宋体" w:cs="宋体" w:eastAsia="宋体" w:hint="default"/>
                <w:spacing w:val="-62"/>
                <w:sz w:val="24"/>
                <w:szCs w:val="24"/>
              </w:rPr>
              <w:t> </w:t>
            </w:r>
            <w:r>
              <w:rPr>
                <w:rFonts w:ascii="Arial" w:hAnsi="Arial" w:cs="Arial" w:eastAsia="Arial" w:hint="default"/>
                <w:sz w:val="24"/>
                <w:szCs w:val="24"/>
              </w:rPr>
              <w:t>2012</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日止期间的收入、 净利润和现金流量列示如下：</w:t>
            </w:r>
          </w:p>
        </w:tc>
      </w:tr>
      <w:tr>
        <w:trPr>
          <w:trHeight w:val="583" w:hRule="exact"/>
        </w:trPr>
        <w:tc>
          <w:tcPr>
            <w:tcW w:w="714"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96"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47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94"/>
              <w:jc w:val="right"/>
              <w:rPr>
                <w:rFonts w:ascii="Arial" w:hAnsi="Arial" w:cs="Arial" w:eastAsia="Arial" w:hint="default"/>
                <w:sz w:val="24"/>
                <w:szCs w:val="24"/>
              </w:rPr>
            </w:pPr>
            <w:r>
              <w:rPr>
                <w:rFonts w:ascii="Arial"/>
                <w:spacing w:val="-1"/>
                <w:sz w:val="24"/>
              </w:rPr>
              <w:t>1,650</w:t>
            </w:r>
          </w:p>
        </w:tc>
      </w:tr>
      <w:tr>
        <w:trPr>
          <w:trHeight w:val="391" w:hRule="exact"/>
        </w:trPr>
        <w:tc>
          <w:tcPr>
            <w:tcW w:w="714"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302" w:lineRule="exact"/>
              <w:ind w:left="196" w:right="0"/>
              <w:jc w:val="left"/>
              <w:rPr>
                <w:rFonts w:ascii="宋体" w:hAnsi="宋体" w:cs="宋体" w:eastAsia="宋体" w:hint="default"/>
                <w:sz w:val="24"/>
                <w:szCs w:val="24"/>
              </w:rPr>
            </w:pPr>
            <w:r>
              <w:rPr>
                <w:rFonts w:ascii="宋体" w:hAnsi="宋体" w:cs="宋体" w:eastAsia="宋体" w:hint="default"/>
                <w:sz w:val="24"/>
                <w:szCs w:val="24"/>
              </w:rPr>
              <w:t>净亏损</w:t>
            </w:r>
          </w:p>
        </w:tc>
        <w:tc>
          <w:tcPr>
            <w:tcW w:w="471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30"/>
              <w:jc w:val="right"/>
              <w:rPr>
                <w:rFonts w:ascii="Arial" w:hAnsi="Arial" w:cs="Arial" w:eastAsia="Arial" w:hint="default"/>
                <w:sz w:val="24"/>
                <w:szCs w:val="24"/>
              </w:rPr>
            </w:pPr>
            <w:r>
              <w:rPr>
                <w:rFonts w:ascii="Arial"/>
                <w:sz w:val="24"/>
              </w:rPr>
              <w:t>(5,350)</w:t>
            </w:r>
          </w:p>
        </w:tc>
      </w:tr>
      <w:tr>
        <w:trPr>
          <w:trHeight w:val="391" w:hRule="exact"/>
        </w:trPr>
        <w:tc>
          <w:tcPr>
            <w:tcW w:w="714"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301" w:lineRule="exact"/>
              <w:ind w:left="196" w:right="0"/>
              <w:jc w:val="left"/>
              <w:rPr>
                <w:rFonts w:ascii="宋体" w:hAnsi="宋体" w:cs="宋体" w:eastAsia="宋体" w:hint="default"/>
                <w:sz w:val="24"/>
                <w:szCs w:val="24"/>
              </w:rPr>
            </w:pPr>
            <w:r>
              <w:rPr>
                <w:rFonts w:ascii="宋体" w:hAnsi="宋体" w:cs="宋体" w:eastAsia="宋体" w:hint="default"/>
                <w:sz w:val="24"/>
                <w:szCs w:val="24"/>
              </w:rPr>
              <w:t>经营活动现金流量</w:t>
            </w:r>
          </w:p>
        </w:tc>
        <w:tc>
          <w:tcPr>
            <w:tcW w:w="471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94"/>
              <w:jc w:val="right"/>
              <w:rPr>
                <w:rFonts w:ascii="Arial" w:hAnsi="Arial" w:cs="Arial" w:eastAsia="Arial" w:hint="default"/>
                <w:sz w:val="24"/>
                <w:szCs w:val="24"/>
              </w:rPr>
            </w:pPr>
            <w:r>
              <w:rPr>
                <w:rFonts w:ascii="Arial"/>
                <w:spacing w:val="-1"/>
                <w:sz w:val="24"/>
              </w:rPr>
              <w:t>4,003</w:t>
            </w:r>
          </w:p>
        </w:tc>
      </w:tr>
      <w:tr>
        <w:trPr>
          <w:trHeight w:val="330" w:hRule="exact"/>
        </w:trPr>
        <w:tc>
          <w:tcPr>
            <w:tcW w:w="714"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301" w:lineRule="exact"/>
              <w:ind w:left="196" w:right="0"/>
              <w:jc w:val="left"/>
              <w:rPr>
                <w:rFonts w:ascii="宋体" w:hAnsi="宋体" w:cs="宋体" w:eastAsia="宋体" w:hint="default"/>
                <w:sz w:val="24"/>
                <w:szCs w:val="24"/>
              </w:rPr>
            </w:pPr>
            <w:r>
              <w:rPr>
                <w:rFonts w:ascii="宋体" w:hAnsi="宋体" w:cs="宋体" w:eastAsia="宋体" w:hint="default"/>
                <w:sz w:val="24"/>
                <w:szCs w:val="24"/>
              </w:rPr>
              <w:t>现金流量净额</w:t>
            </w:r>
          </w:p>
        </w:tc>
        <w:tc>
          <w:tcPr>
            <w:tcW w:w="471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93"/>
              <w:jc w:val="right"/>
              <w:rPr>
                <w:rFonts w:ascii="Arial" w:hAnsi="Arial" w:cs="Arial" w:eastAsia="Arial" w:hint="default"/>
                <w:sz w:val="24"/>
                <w:szCs w:val="24"/>
              </w:rPr>
            </w:pPr>
            <w:r>
              <w:rPr>
                <w:rFonts w:ascii="Arial"/>
                <w:w w:val="95"/>
                <w:sz w:val="24"/>
              </w:rPr>
              <w:t>437</w:t>
            </w:r>
            <w:r>
              <w:rPr>
                <w:rFonts w:ascii="Arial"/>
                <w:sz w:val="24"/>
              </w:rPr>
            </w:r>
          </w:p>
        </w:tc>
      </w:tr>
    </w:tbl>
    <w:p>
      <w:pPr>
        <w:spacing w:after="0" w:line="240" w:lineRule="auto"/>
        <w:jc w:val="right"/>
        <w:rPr>
          <w:rFonts w:ascii="Arial" w:hAnsi="Arial" w:cs="Arial" w:eastAsia="Arial"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676"/>
        <w:gridCol w:w="3476"/>
      </w:tblGrid>
      <w:tr>
        <w:trPr>
          <w:trHeight w:val="252" w:hRule="exact"/>
        </w:trPr>
        <w:tc>
          <w:tcPr>
            <w:tcW w:w="67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476" w:type="dxa"/>
            <w:tcBorders>
              <w:top w:val="nil" w:sz="6" w:space="0" w:color="auto"/>
              <w:left w:val="nil" w:sz="6" w:space="0" w:color="auto"/>
              <w:bottom w:val="nil" w:sz="6" w:space="0" w:color="auto"/>
              <w:right w:val="nil" w:sz="6" w:space="0" w:color="auto"/>
            </w:tcBorders>
          </w:tcPr>
          <w:p>
            <w:pPr>
              <w:pStyle w:val="TableParagraph"/>
              <w:spacing w:line="257" w:lineRule="exact"/>
              <w:ind w:left="236" w:right="0"/>
              <w:jc w:val="left"/>
              <w:rPr>
                <w:rFonts w:ascii="Arial" w:hAnsi="Arial" w:cs="Arial" w:eastAsia="Arial" w:hint="default"/>
                <w:sz w:val="24"/>
                <w:szCs w:val="24"/>
              </w:rPr>
            </w:pPr>
            <w:r>
              <w:rPr>
                <w:rFonts w:ascii="黑体" w:hAnsi="黑体" w:cs="黑体" w:eastAsia="黑体" w:hint="default"/>
                <w:sz w:val="24"/>
                <w:szCs w:val="24"/>
              </w:rPr>
              <w:t>企业合并及合并财务报表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04"/>
        <w:gridCol w:w="2736"/>
        <w:gridCol w:w="2570"/>
        <w:gridCol w:w="3602"/>
      </w:tblGrid>
      <w:tr>
        <w:trPr>
          <w:trHeight w:val="495"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(5)</w:t>
            </w:r>
          </w:p>
        </w:tc>
        <w:tc>
          <w:tcPr>
            <w:tcW w:w="5306"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210" w:right="0"/>
              <w:jc w:val="left"/>
              <w:rPr>
                <w:rFonts w:ascii="黑体" w:hAnsi="黑体" w:cs="黑体" w:eastAsia="黑体" w:hint="default"/>
                <w:sz w:val="24"/>
                <w:szCs w:val="24"/>
              </w:rPr>
            </w:pPr>
            <w:r>
              <w:rPr>
                <w:rFonts w:ascii="黑体" w:hAnsi="黑体" w:cs="黑体" w:eastAsia="黑体" w:hint="default"/>
                <w:sz w:val="24"/>
                <w:szCs w:val="24"/>
              </w:rPr>
              <w:t>境外经营实体主要报表项目的折算汇率</w:t>
            </w:r>
          </w:p>
        </w:tc>
        <w:tc>
          <w:tcPr>
            <w:tcW w:w="3602" w:type="dxa"/>
            <w:tcBorders>
              <w:top w:val="nil" w:sz="6" w:space="0" w:color="auto"/>
              <w:left w:val="nil" w:sz="6" w:space="0" w:color="auto"/>
              <w:bottom w:val="nil" w:sz="6" w:space="0" w:color="auto"/>
              <w:right w:val="nil" w:sz="6" w:space="0" w:color="auto"/>
            </w:tcBorders>
          </w:tcPr>
          <w:p>
            <w:pPr/>
          </w:p>
        </w:tc>
      </w:tr>
      <w:tr>
        <w:trPr>
          <w:trHeight w:val="546" w:hRule="exact"/>
        </w:trPr>
        <w:tc>
          <w:tcPr>
            <w:tcW w:w="704"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
        </w:tc>
        <w:tc>
          <w:tcPr>
            <w:tcW w:w="61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790" w:right="0"/>
              <w:jc w:val="left"/>
              <w:rPr>
                <w:rFonts w:ascii="宋体" w:hAnsi="宋体" w:cs="宋体" w:eastAsia="宋体" w:hint="default"/>
                <w:sz w:val="18"/>
                <w:szCs w:val="18"/>
              </w:rPr>
            </w:pPr>
            <w:r>
              <w:rPr>
                <w:rFonts w:ascii="宋体" w:hAnsi="宋体" w:cs="宋体" w:eastAsia="宋体" w:hint="default"/>
                <w:sz w:val="18"/>
                <w:szCs w:val="18"/>
              </w:rPr>
              <w:t>资产和负债项目</w:t>
            </w:r>
          </w:p>
        </w:tc>
      </w:tr>
      <w:tr>
        <w:trPr>
          <w:trHeight w:val="518" w:hRule="exact"/>
        </w:trPr>
        <w:tc>
          <w:tcPr>
            <w:tcW w:w="704"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
        </w:tc>
        <w:tc>
          <w:tcPr>
            <w:tcW w:w="257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50"/>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360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382"/>
              <w:jc w:val="righ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534" w:hRule="exact"/>
        </w:trPr>
        <w:tc>
          <w:tcPr>
            <w:tcW w:w="704"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香港苏宁电器有限公司</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8"/>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港元 </w:t>
            </w:r>
            <w:r>
              <w:rPr>
                <w:rFonts w:ascii="Arial" w:hAnsi="Arial" w:cs="Arial" w:eastAsia="Arial" w:hint="default"/>
                <w:sz w:val="18"/>
                <w:szCs w:val="18"/>
              </w:rPr>
              <w:t>=</w:t>
            </w: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Arial" w:hAnsi="Arial" w:cs="Arial" w:eastAsia="Arial" w:hint="default"/>
                <w:sz w:val="18"/>
                <w:szCs w:val="18"/>
              </w:rPr>
              <w:t>0.8108</w:t>
            </w:r>
            <w:r>
              <w:rPr>
                <w:rFonts w:ascii="Arial" w:hAnsi="Arial" w:cs="Arial" w:eastAsia="Arial" w:hint="default"/>
                <w:spacing w:val="-5"/>
                <w:sz w:val="18"/>
                <w:szCs w:val="18"/>
              </w:rPr>
              <w:t> </w:t>
            </w:r>
            <w:r>
              <w:rPr>
                <w:rFonts w:ascii="宋体" w:hAnsi="宋体" w:cs="宋体" w:eastAsia="宋体" w:hint="default"/>
                <w:sz w:val="18"/>
                <w:szCs w:val="18"/>
              </w:rPr>
              <w:t>元</w:t>
            </w: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82"/>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港元 </w:t>
            </w:r>
            <w:r>
              <w:rPr>
                <w:rFonts w:ascii="Arial" w:hAnsi="Arial" w:cs="Arial" w:eastAsia="Arial" w:hint="default"/>
                <w:sz w:val="18"/>
                <w:szCs w:val="18"/>
              </w:rPr>
              <w:t>=</w:t>
            </w: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Arial" w:hAnsi="Arial" w:cs="Arial" w:eastAsia="Arial" w:hint="default"/>
                <w:sz w:val="18"/>
                <w:szCs w:val="18"/>
              </w:rPr>
              <w:t>0.8107</w:t>
            </w:r>
            <w:r>
              <w:rPr>
                <w:rFonts w:ascii="Arial" w:hAnsi="Arial" w:cs="Arial" w:eastAsia="Arial" w:hint="default"/>
                <w:spacing w:val="-5"/>
                <w:sz w:val="18"/>
                <w:szCs w:val="18"/>
              </w:rPr>
              <w:t> </w:t>
            </w:r>
            <w:r>
              <w:rPr>
                <w:rFonts w:ascii="宋体" w:hAnsi="宋体" w:cs="宋体" w:eastAsia="宋体" w:hint="default"/>
                <w:sz w:val="18"/>
                <w:szCs w:val="18"/>
              </w:rPr>
              <w:t>元</w:t>
            </w:r>
          </w:p>
        </w:tc>
      </w:tr>
      <w:tr>
        <w:trPr>
          <w:trHeight w:val="356" w:hRule="exact"/>
        </w:trPr>
        <w:tc>
          <w:tcPr>
            <w:tcW w:w="704"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香港苏宁采购中心有限公司</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8"/>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港元 </w:t>
            </w:r>
            <w:r>
              <w:rPr>
                <w:rFonts w:ascii="Arial" w:hAnsi="Arial" w:cs="Arial" w:eastAsia="Arial" w:hint="default"/>
                <w:sz w:val="18"/>
                <w:szCs w:val="18"/>
              </w:rPr>
              <w:t>=</w:t>
            </w: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Arial" w:hAnsi="Arial" w:cs="Arial" w:eastAsia="Arial" w:hint="default"/>
                <w:sz w:val="18"/>
                <w:szCs w:val="18"/>
              </w:rPr>
              <w:t>0.8108</w:t>
            </w:r>
            <w:r>
              <w:rPr>
                <w:rFonts w:ascii="Arial" w:hAnsi="Arial" w:cs="Arial" w:eastAsia="Arial" w:hint="default"/>
                <w:spacing w:val="-5"/>
                <w:sz w:val="18"/>
                <w:szCs w:val="18"/>
              </w:rPr>
              <w:t> </w:t>
            </w:r>
            <w:r>
              <w:rPr>
                <w:rFonts w:ascii="宋体" w:hAnsi="宋体" w:cs="宋体" w:eastAsia="宋体" w:hint="default"/>
                <w:sz w:val="18"/>
                <w:szCs w:val="18"/>
              </w:rPr>
              <w:t>元</w:t>
            </w: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82"/>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港元 </w:t>
            </w:r>
            <w:r>
              <w:rPr>
                <w:rFonts w:ascii="Arial" w:hAnsi="Arial" w:cs="Arial" w:eastAsia="Arial" w:hint="default"/>
                <w:sz w:val="18"/>
                <w:szCs w:val="18"/>
              </w:rPr>
              <w:t>=</w:t>
            </w: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Arial" w:hAnsi="Arial" w:cs="Arial" w:eastAsia="Arial" w:hint="default"/>
                <w:sz w:val="18"/>
                <w:szCs w:val="18"/>
              </w:rPr>
              <w:t>0.8107</w:t>
            </w:r>
            <w:r>
              <w:rPr>
                <w:rFonts w:ascii="Arial" w:hAnsi="Arial" w:cs="Arial" w:eastAsia="Arial" w:hint="default"/>
                <w:spacing w:val="-5"/>
                <w:sz w:val="18"/>
                <w:szCs w:val="18"/>
              </w:rPr>
              <w:t> </w:t>
            </w:r>
            <w:r>
              <w:rPr>
                <w:rFonts w:ascii="宋体" w:hAnsi="宋体" w:cs="宋体" w:eastAsia="宋体" w:hint="default"/>
                <w:sz w:val="18"/>
                <w:szCs w:val="18"/>
              </w:rPr>
              <w:t>元</w:t>
            </w:r>
          </w:p>
        </w:tc>
      </w:tr>
      <w:tr>
        <w:trPr>
          <w:trHeight w:val="355" w:hRule="exact"/>
        </w:trPr>
        <w:tc>
          <w:tcPr>
            <w:tcW w:w="704"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10" w:right="0"/>
              <w:jc w:val="left"/>
              <w:rPr>
                <w:rFonts w:ascii="宋体" w:hAnsi="宋体" w:cs="宋体" w:eastAsia="宋体" w:hint="default"/>
                <w:sz w:val="18"/>
                <w:szCs w:val="18"/>
              </w:rPr>
            </w:pPr>
            <w:r>
              <w:rPr>
                <w:rFonts w:ascii="宋体" w:hAnsi="宋体" w:cs="宋体" w:eastAsia="宋体" w:hint="default"/>
                <w:sz w:val="18"/>
                <w:szCs w:val="18"/>
              </w:rPr>
              <w:t>香港苏宁超霸有限公司</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8"/>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港元 </w:t>
            </w:r>
            <w:r>
              <w:rPr>
                <w:rFonts w:ascii="Arial" w:hAnsi="Arial" w:cs="Arial" w:eastAsia="Arial" w:hint="default"/>
                <w:sz w:val="18"/>
                <w:szCs w:val="18"/>
              </w:rPr>
              <w:t>=</w:t>
            </w: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Arial" w:hAnsi="Arial" w:cs="Arial" w:eastAsia="Arial" w:hint="default"/>
                <w:sz w:val="18"/>
                <w:szCs w:val="18"/>
              </w:rPr>
              <w:t>0.8108</w:t>
            </w:r>
            <w:r>
              <w:rPr>
                <w:rFonts w:ascii="Arial" w:hAnsi="Arial" w:cs="Arial" w:eastAsia="Arial" w:hint="default"/>
                <w:spacing w:val="-5"/>
                <w:sz w:val="18"/>
                <w:szCs w:val="18"/>
              </w:rPr>
              <w:t> </w:t>
            </w:r>
            <w:r>
              <w:rPr>
                <w:rFonts w:ascii="宋体" w:hAnsi="宋体" w:cs="宋体" w:eastAsia="宋体" w:hint="default"/>
                <w:sz w:val="18"/>
                <w:szCs w:val="18"/>
              </w:rPr>
              <w:t>元</w:t>
            </w: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382"/>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港元 </w:t>
            </w:r>
            <w:r>
              <w:rPr>
                <w:rFonts w:ascii="Arial" w:hAnsi="Arial" w:cs="Arial" w:eastAsia="Arial" w:hint="default"/>
                <w:sz w:val="18"/>
                <w:szCs w:val="18"/>
              </w:rPr>
              <w:t>=</w:t>
            </w: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Arial" w:hAnsi="Arial" w:cs="Arial" w:eastAsia="Arial" w:hint="default"/>
                <w:sz w:val="18"/>
                <w:szCs w:val="18"/>
              </w:rPr>
              <w:t>0.8107</w:t>
            </w:r>
            <w:r>
              <w:rPr>
                <w:rFonts w:ascii="Arial" w:hAnsi="Arial" w:cs="Arial" w:eastAsia="Arial" w:hint="default"/>
                <w:spacing w:val="-5"/>
                <w:sz w:val="18"/>
                <w:szCs w:val="18"/>
              </w:rPr>
              <w:t> </w:t>
            </w:r>
            <w:r>
              <w:rPr>
                <w:rFonts w:ascii="宋体" w:hAnsi="宋体" w:cs="宋体" w:eastAsia="宋体" w:hint="default"/>
                <w:sz w:val="18"/>
                <w:szCs w:val="18"/>
              </w:rPr>
              <w:t>元</w:t>
            </w:r>
          </w:p>
        </w:tc>
      </w:tr>
      <w:tr>
        <w:trPr>
          <w:trHeight w:val="356" w:hRule="exact"/>
        </w:trPr>
        <w:tc>
          <w:tcPr>
            <w:tcW w:w="704"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10" w:right="0"/>
              <w:jc w:val="left"/>
              <w:rPr>
                <w:rFonts w:ascii="宋体" w:hAnsi="宋体" w:cs="宋体" w:eastAsia="宋体" w:hint="default"/>
                <w:sz w:val="18"/>
                <w:szCs w:val="18"/>
              </w:rPr>
            </w:pPr>
            <w:r>
              <w:rPr>
                <w:rFonts w:ascii="宋体" w:hAnsi="宋体" w:cs="宋体" w:eastAsia="宋体" w:hint="default"/>
                <w:sz w:val="18"/>
                <w:szCs w:val="18"/>
              </w:rPr>
              <w:t>香港苏宁镭射有限公司</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8"/>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港元 </w:t>
            </w:r>
            <w:r>
              <w:rPr>
                <w:rFonts w:ascii="Arial" w:hAnsi="Arial" w:cs="Arial" w:eastAsia="Arial" w:hint="default"/>
                <w:sz w:val="18"/>
                <w:szCs w:val="18"/>
              </w:rPr>
              <w:t>=</w:t>
            </w: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Arial" w:hAnsi="Arial" w:cs="Arial" w:eastAsia="Arial" w:hint="default"/>
                <w:sz w:val="18"/>
                <w:szCs w:val="18"/>
              </w:rPr>
              <w:t>0.8108</w:t>
            </w:r>
            <w:r>
              <w:rPr>
                <w:rFonts w:ascii="Arial" w:hAnsi="Arial" w:cs="Arial" w:eastAsia="Arial" w:hint="default"/>
                <w:spacing w:val="-5"/>
                <w:sz w:val="18"/>
                <w:szCs w:val="18"/>
              </w:rPr>
              <w:t> </w:t>
            </w:r>
            <w:r>
              <w:rPr>
                <w:rFonts w:ascii="宋体" w:hAnsi="宋体" w:cs="宋体" w:eastAsia="宋体" w:hint="default"/>
                <w:sz w:val="18"/>
                <w:szCs w:val="18"/>
              </w:rPr>
              <w:t>元</w:t>
            </w: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382"/>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港元 </w:t>
            </w:r>
            <w:r>
              <w:rPr>
                <w:rFonts w:ascii="Arial" w:hAnsi="Arial" w:cs="Arial" w:eastAsia="Arial" w:hint="default"/>
                <w:sz w:val="18"/>
                <w:szCs w:val="18"/>
              </w:rPr>
              <w:t>=</w:t>
            </w: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Arial" w:hAnsi="Arial" w:cs="Arial" w:eastAsia="Arial" w:hint="default"/>
                <w:sz w:val="18"/>
                <w:szCs w:val="18"/>
              </w:rPr>
              <w:t>0.8107</w:t>
            </w:r>
            <w:r>
              <w:rPr>
                <w:rFonts w:ascii="Arial" w:hAnsi="Arial" w:cs="Arial" w:eastAsia="Arial" w:hint="default"/>
                <w:spacing w:val="-5"/>
                <w:sz w:val="18"/>
                <w:szCs w:val="18"/>
              </w:rPr>
              <w:t> </w:t>
            </w:r>
            <w:r>
              <w:rPr>
                <w:rFonts w:ascii="宋体" w:hAnsi="宋体" w:cs="宋体" w:eastAsia="宋体" w:hint="default"/>
                <w:sz w:val="18"/>
                <w:szCs w:val="18"/>
              </w:rPr>
              <w:t>元</w:t>
            </w:r>
          </w:p>
        </w:tc>
      </w:tr>
      <w:tr>
        <w:trPr>
          <w:trHeight w:val="355" w:hRule="exact"/>
        </w:trPr>
        <w:tc>
          <w:tcPr>
            <w:tcW w:w="704"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香港港宁广告有限公司</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8"/>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港元 </w:t>
            </w:r>
            <w:r>
              <w:rPr>
                <w:rFonts w:ascii="Arial" w:hAnsi="Arial" w:cs="Arial" w:eastAsia="Arial" w:hint="default"/>
                <w:sz w:val="18"/>
                <w:szCs w:val="18"/>
              </w:rPr>
              <w:t>=</w:t>
            </w: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Arial" w:hAnsi="Arial" w:cs="Arial" w:eastAsia="Arial" w:hint="default"/>
                <w:sz w:val="18"/>
                <w:szCs w:val="18"/>
              </w:rPr>
              <w:t>0.8108</w:t>
            </w:r>
            <w:r>
              <w:rPr>
                <w:rFonts w:ascii="Arial" w:hAnsi="Arial" w:cs="Arial" w:eastAsia="Arial" w:hint="default"/>
                <w:spacing w:val="-5"/>
                <w:sz w:val="18"/>
                <w:szCs w:val="18"/>
              </w:rPr>
              <w:t> </w:t>
            </w:r>
            <w:r>
              <w:rPr>
                <w:rFonts w:ascii="宋体" w:hAnsi="宋体" w:cs="宋体" w:eastAsia="宋体" w:hint="default"/>
                <w:sz w:val="18"/>
                <w:szCs w:val="18"/>
              </w:rPr>
              <w:t>元</w:t>
            </w: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82"/>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港元 </w:t>
            </w:r>
            <w:r>
              <w:rPr>
                <w:rFonts w:ascii="Arial" w:hAnsi="Arial" w:cs="Arial" w:eastAsia="Arial" w:hint="default"/>
                <w:sz w:val="18"/>
                <w:szCs w:val="18"/>
              </w:rPr>
              <w:t>=</w:t>
            </w: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Arial" w:hAnsi="Arial" w:cs="Arial" w:eastAsia="Arial" w:hint="default"/>
                <w:sz w:val="18"/>
                <w:szCs w:val="18"/>
              </w:rPr>
              <w:t>0.8107</w:t>
            </w:r>
            <w:r>
              <w:rPr>
                <w:rFonts w:ascii="Arial" w:hAnsi="Arial" w:cs="Arial" w:eastAsia="Arial" w:hint="default"/>
                <w:spacing w:val="-5"/>
                <w:sz w:val="18"/>
                <w:szCs w:val="18"/>
              </w:rPr>
              <w:t> </w:t>
            </w:r>
            <w:r>
              <w:rPr>
                <w:rFonts w:ascii="宋体" w:hAnsi="宋体" w:cs="宋体" w:eastAsia="宋体" w:hint="default"/>
                <w:sz w:val="18"/>
                <w:szCs w:val="18"/>
              </w:rPr>
              <w:t>元</w:t>
            </w:r>
          </w:p>
        </w:tc>
      </w:tr>
      <w:tr>
        <w:trPr>
          <w:trHeight w:val="355" w:hRule="exact"/>
        </w:trPr>
        <w:tc>
          <w:tcPr>
            <w:tcW w:w="704"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10" w:right="0"/>
              <w:jc w:val="left"/>
              <w:rPr>
                <w:rFonts w:ascii="Arial" w:hAnsi="Arial" w:cs="Arial" w:eastAsia="Arial" w:hint="default"/>
                <w:sz w:val="18"/>
                <w:szCs w:val="18"/>
              </w:rPr>
            </w:pPr>
            <w:r>
              <w:rPr>
                <w:rFonts w:ascii="Arial"/>
                <w:sz w:val="18"/>
              </w:rPr>
              <w:t>Granda Magic</w:t>
            </w:r>
            <w:r>
              <w:rPr>
                <w:rFonts w:ascii="Arial"/>
                <w:spacing w:val="-9"/>
                <w:sz w:val="18"/>
              </w:rPr>
              <w:t> </w:t>
            </w:r>
            <w:r>
              <w:rPr>
                <w:rFonts w:ascii="Arial"/>
                <w:sz w:val="18"/>
              </w:rPr>
              <w:t>Limited</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8"/>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美元 </w:t>
            </w:r>
            <w:r>
              <w:rPr>
                <w:rFonts w:ascii="Arial" w:hAnsi="Arial" w:cs="Arial" w:eastAsia="Arial" w:hint="default"/>
                <w:sz w:val="18"/>
                <w:szCs w:val="18"/>
              </w:rPr>
              <w:t>=</w:t>
            </w: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Arial" w:hAnsi="Arial" w:cs="Arial" w:eastAsia="Arial" w:hint="default"/>
                <w:sz w:val="18"/>
                <w:szCs w:val="18"/>
              </w:rPr>
              <w:t>6.2855</w:t>
            </w:r>
            <w:r>
              <w:rPr>
                <w:rFonts w:ascii="Arial" w:hAnsi="Arial" w:cs="Arial" w:eastAsia="Arial" w:hint="default"/>
                <w:spacing w:val="-5"/>
                <w:sz w:val="18"/>
                <w:szCs w:val="18"/>
              </w:rPr>
              <w:t> </w:t>
            </w:r>
            <w:r>
              <w:rPr>
                <w:rFonts w:ascii="宋体" w:hAnsi="宋体" w:cs="宋体" w:eastAsia="宋体" w:hint="default"/>
                <w:sz w:val="18"/>
                <w:szCs w:val="18"/>
              </w:rPr>
              <w:t>元</w:t>
            </w: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82"/>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美元 </w:t>
            </w:r>
            <w:r>
              <w:rPr>
                <w:rFonts w:ascii="Arial" w:hAnsi="Arial" w:cs="Arial" w:eastAsia="Arial" w:hint="default"/>
                <w:sz w:val="18"/>
                <w:szCs w:val="18"/>
              </w:rPr>
              <w:t>=</w:t>
            </w: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Arial" w:hAnsi="Arial" w:cs="Arial" w:eastAsia="Arial" w:hint="default"/>
                <w:sz w:val="18"/>
                <w:szCs w:val="18"/>
              </w:rPr>
              <w:t>6.3009</w:t>
            </w:r>
            <w:r>
              <w:rPr>
                <w:rFonts w:ascii="Arial" w:hAnsi="Arial" w:cs="Arial" w:eastAsia="Arial" w:hint="default"/>
                <w:spacing w:val="-5"/>
                <w:sz w:val="18"/>
                <w:szCs w:val="18"/>
              </w:rPr>
              <w:t> </w:t>
            </w:r>
            <w:r>
              <w:rPr>
                <w:rFonts w:ascii="宋体" w:hAnsi="宋体" w:cs="宋体" w:eastAsia="宋体" w:hint="default"/>
                <w:sz w:val="18"/>
                <w:szCs w:val="18"/>
              </w:rPr>
              <w:t>元</w:t>
            </w:r>
          </w:p>
        </w:tc>
      </w:tr>
      <w:tr>
        <w:trPr>
          <w:trHeight w:val="358" w:hRule="exact"/>
        </w:trPr>
        <w:tc>
          <w:tcPr>
            <w:tcW w:w="704"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10" w:right="0"/>
              <w:jc w:val="left"/>
              <w:rPr>
                <w:rFonts w:ascii="Arial" w:hAnsi="Arial" w:cs="Arial" w:eastAsia="Arial" w:hint="default"/>
                <w:sz w:val="18"/>
                <w:szCs w:val="18"/>
              </w:rPr>
            </w:pPr>
            <w:r>
              <w:rPr>
                <w:rFonts w:ascii="Arial"/>
                <w:sz w:val="18"/>
              </w:rPr>
              <w:t>Great Elite</w:t>
            </w:r>
            <w:r>
              <w:rPr>
                <w:rFonts w:ascii="Arial"/>
                <w:spacing w:val="-7"/>
                <w:sz w:val="18"/>
              </w:rPr>
              <w:t> </w:t>
            </w:r>
            <w:r>
              <w:rPr>
                <w:rFonts w:ascii="Arial"/>
                <w:sz w:val="18"/>
              </w:rPr>
              <w:t>Limited</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8"/>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美元 </w:t>
            </w:r>
            <w:r>
              <w:rPr>
                <w:rFonts w:ascii="Arial" w:hAnsi="Arial" w:cs="Arial" w:eastAsia="Arial" w:hint="default"/>
                <w:sz w:val="18"/>
                <w:szCs w:val="18"/>
              </w:rPr>
              <w:t>=</w:t>
            </w: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Arial" w:hAnsi="Arial" w:cs="Arial" w:eastAsia="Arial" w:hint="default"/>
                <w:sz w:val="18"/>
                <w:szCs w:val="18"/>
              </w:rPr>
              <w:t>6.2855</w:t>
            </w:r>
            <w:r>
              <w:rPr>
                <w:rFonts w:ascii="Arial" w:hAnsi="Arial" w:cs="Arial" w:eastAsia="Arial" w:hint="default"/>
                <w:spacing w:val="-5"/>
                <w:sz w:val="18"/>
                <w:szCs w:val="18"/>
              </w:rPr>
              <w:t> </w:t>
            </w:r>
            <w:r>
              <w:rPr>
                <w:rFonts w:ascii="宋体" w:hAnsi="宋体" w:cs="宋体" w:eastAsia="宋体" w:hint="default"/>
                <w:sz w:val="18"/>
                <w:szCs w:val="18"/>
              </w:rPr>
              <w:t>元</w:t>
            </w: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82"/>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美元 </w:t>
            </w:r>
            <w:r>
              <w:rPr>
                <w:rFonts w:ascii="Arial" w:hAnsi="Arial" w:cs="Arial" w:eastAsia="Arial" w:hint="default"/>
                <w:sz w:val="18"/>
                <w:szCs w:val="18"/>
              </w:rPr>
              <w:t>=</w:t>
            </w: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Arial" w:hAnsi="Arial" w:cs="Arial" w:eastAsia="Arial" w:hint="default"/>
                <w:sz w:val="18"/>
                <w:szCs w:val="18"/>
              </w:rPr>
              <w:t>6.3009</w:t>
            </w:r>
            <w:r>
              <w:rPr>
                <w:rFonts w:ascii="Arial" w:hAnsi="Arial" w:cs="Arial" w:eastAsia="Arial" w:hint="default"/>
                <w:spacing w:val="-5"/>
                <w:sz w:val="18"/>
                <w:szCs w:val="18"/>
              </w:rPr>
              <w:t> </w:t>
            </w:r>
            <w:r>
              <w:rPr>
                <w:rFonts w:ascii="宋体" w:hAnsi="宋体" w:cs="宋体" w:eastAsia="宋体" w:hint="default"/>
                <w:sz w:val="18"/>
                <w:szCs w:val="18"/>
              </w:rPr>
              <w:t>元</w:t>
            </w:r>
          </w:p>
        </w:tc>
      </w:tr>
      <w:tr>
        <w:trPr>
          <w:trHeight w:val="539" w:hRule="exact"/>
        </w:trPr>
        <w:tc>
          <w:tcPr>
            <w:tcW w:w="704"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w:hAnsi="Arial" w:cs="Arial" w:eastAsia="Arial" w:hint="default"/>
                <w:sz w:val="18"/>
                <w:szCs w:val="18"/>
              </w:rPr>
              <w:t>LAOX</w:t>
            </w:r>
            <w:r>
              <w:rPr>
                <w:rFonts w:ascii="Arial" w:hAnsi="Arial" w:cs="Arial" w:eastAsia="Arial" w:hint="default"/>
                <w:spacing w:val="-8"/>
                <w:sz w:val="18"/>
                <w:szCs w:val="18"/>
              </w:rPr>
              <w:t> </w:t>
            </w:r>
            <w:r>
              <w:rPr>
                <w:rFonts w:ascii="宋体" w:hAnsi="宋体" w:cs="宋体" w:eastAsia="宋体" w:hint="default"/>
                <w:sz w:val="18"/>
                <w:szCs w:val="18"/>
              </w:rPr>
              <w:t>株式会社</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8"/>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日元 </w:t>
            </w:r>
            <w:r>
              <w:rPr>
                <w:rFonts w:ascii="Arial" w:hAnsi="Arial" w:cs="Arial" w:eastAsia="Arial" w:hint="default"/>
                <w:sz w:val="18"/>
                <w:szCs w:val="18"/>
              </w:rPr>
              <w:t>=</w:t>
            </w: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Arial" w:hAnsi="Arial" w:cs="Arial" w:eastAsia="Arial" w:hint="default"/>
                <w:sz w:val="18"/>
                <w:szCs w:val="18"/>
              </w:rPr>
              <w:t>0.0730</w:t>
            </w:r>
            <w:r>
              <w:rPr>
                <w:rFonts w:ascii="Arial" w:hAnsi="Arial" w:cs="Arial" w:eastAsia="Arial" w:hint="default"/>
                <w:spacing w:val="-5"/>
                <w:sz w:val="18"/>
                <w:szCs w:val="18"/>
              </w:rPr>
              <w:t> </w:t>
            </w:r>
            <w:r>
              <w:rPr>
                <w:rFonts w:ascii="宋体" w:hAnsi="宋体" w:cs="宋体" w:eastAsia="宋体" w:hint="default"/>
                <w:sz w:val="18"/>
                <w:szCs w:val="18"/>
              </w:rPr>
              <w:t>元</w:t>
            </w: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82"/>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日元</w:t>
            </w:r>
            <w:r>
              <w:rPr>
                <w:rFonts w:ascii="宋体" w:hAnsi="宋体" w:cs="宋体" w:eastAsia="宋体" w:hint="default"/>
                <w:spacing w:val="1"/>
                <w:sz w:val="18"/>
                <w:szCs w:val="18"/>
              </w:rPr>
              <w:t> </w:t>
            </w:r>
            <w:r>
              <w:rPr>
                <w:rFonts w:ascii="Arial" w:hAnsi="Arial" w:cs="Arial" w:eastAsia="Arial" w:hint="default"/>
                <w:sz w:val="18"/>
                <w:szCs w:val="18"/>
              </w:rPr>
              <w:t>=</w:t>
            </w: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Arial" w:hAnsi="Arial" w:cs="Arial" w:eastAsia="Arial" w:hint="default"/>
                <w:spacing w:val="-3"/>
                <w:sz w:val="18"/>
                <w:szCs w:val="18"/>
              </w:rPr>
              <w:t>0.0811</w:t>
            </w:r>
            <w:r>
              <w:rPr>
                <w:rFonts w:ascii="Arial" w:hAnsi="Arial" w:cs="Arial" w:eastAsia="Arial" w:hint="default"/>
                <w:spacing w:val="-4"/>
                <w:sz w:val="18"/>
                <w:szCs w:val="18"/>
              </w:rPr>
              <w:t> </w:t>
            </w:r>
            <w:r>
              <w:rPr>
                <w:rFonts w:ascii="宋体" w:hAnsi="宋体" w:cs="宋体" w:eastAsia="宋体" w:hint="default"/>
                <w:sz w:val="18"/>
                <w:szCs w:val="18"/>
              </w:rPr>
              <w:t>元</w:t>
            </w:r>
          </w:p>
        </w:tc>
      </w:tr>
      <w:tr>
        <w:trPr>
          <w:trHeight w:val="819" w:hRule="exact"/>
        </w:trPr>
        <w:tc>
          <w:tcPr>
            <w:tcW w:w="704" w:type="dxa"/>
            <w:tcBorders>
              <w:top w:val="nil" w:sz="6" w:space="0" w:color="auto"/>
              <w:left w:val="nil" w:sz="6" w:space="0" w:color="auto"/>
              <w:bottom w:val="nil" w:sz="6" w:space="0" w:color="auto"/>
              <w:right w:val="nil" w:sz="6" w:space="0" w:color="auto"/>
            </w:tcBorders>
          </w:tcPr>
          <w:p>
            <w:pPr/>
          </w:p>
        </w:tc>
        <w:tc>
          <w:tcPr>
            <w:tcW w:w="89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92"/>
              <w:ind w:left="210" w:right="198"/>
              <w:jc w:val="left"/>
              <w:rPr>
                <w:rFonts w:ascii="宋体" w:hAnsi="宋体" w:cs="宋体" w:eastAsia="宋体" w:hint="default"/>
                <w:sz w:val="24"/>
                <w:szCs w:val="24"/>
              </w:rPr>
            </w:pPr>
            <w:r>
              <w:rPr>
                <w:rFonts w:ascii="宋体" w:hAnsi="宋体" w:cs="宋体" w:eastAsia="宋体" w:hint="default"/>
                <w:spacing w:val="2"/>
                <w:sz w:val="24"/>
                <w:szCs w:val="24"/>
              </w:rPr>
              <w:t>除未分配利润外的其他股东权益项目、收入、费用及现金流量项目采用交易发生</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日的即期汇率折算。</w:t>
            </w:r>
          </w:p>
        </w:tc>
      </w:tr>
    </w:tbl>
    <w:p>
      <w:pPr>
        <w:spacing w:after="0" w:line="240" w:lineRule="auto"/>
        <w:jc w:val="left"/>
        <w:rPr>
          <w:rFonts w:ascii="宋体" w:hAnsi="宋体" w:cs="宋体" w:eastAsia="宋体"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1595992" type="#_x0000_t75" stroked="false">
            <v:imagedata r:id="rId10" o:title=""/>
          </v:shape>
        </w:pict>
      </w:r>
    </w:p>
    <w:p>
      <w:pPr>
        <w:spacing w:line="240" w:lineRule="auto" w:before="4"/>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692"/>
        <w:gridCol w:w="1385"/>
        <w:gridCol w:w="1509"/>
        <w:gridCol w:w="923"/>
        <w:gridCol w:w="1241"/>
        <w:gridCol w:w="1315"/>
        <w:gridCol w:w="980"/>
        <w:gridCol w:w="1284"/>
      </w:tblGrid>
      <w:tr>
        <w:trPr>
          <w:trHeight w:val="489"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exact"/>
              <w:ind w:right="50"/>
              <w:jc w:val="center"/>
              <w:rPr>
                <w:rFonts w:ascii="黑体" w:hAnsi="黑体" w:cs="黑体" w:eastAsia="黑体" w:hint="default"/>
                <w:sz w:val="24"/>
                <w:szCs w:val="24"/>
              </w:rPr>
            </w:pPr>
            <w:r>
              <w:rPr>
                <w:rFonts w:ascii="黑体" w:hAnsi="黑体" w:cs="黑体" w:eastAsia="黑体" w:hint="default"/>
                <w:sz w:val="24"/>
                <w:szCs w:val="24"/>
              </w:rPr>
              <w:t>五</w:t>
            </w:r>
          </w:p>
        </w:tc>
        <w:tc>
          <w:tcPr>
            <w:tcW w:w="2893"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98" w:right="0"/>
              <w:jc w:val="left"/>
              <w:rPr>
                <w:rFonts w:ascii="黑体" w:hAnsi="黑体" w:cs="黑体" w:eastAsia="黑体" w:hint="default"/>
                <w:sz w:val="24"/>
                <w:szCs w:val="24"/>
              </w:rPr>
            </w:pPr>
            <w:r>
              <w:rPr>
                <w:rFonts w:ascii="黑体" w:hAnsi="黑体" w:cs="黑体" w:eastAsia="黑体" w:hint="default"/>
                <w:sz w:val="24"/>
                <w:szCs w:val="24"/>
              </w:rPr>
              <w:t>合并财务报表项目附注</w:t>
            </w:r>
          </w:p>
        </w:tc>
        <w:tc>
          <w:tcPr>
            <w:tcW w:w="923"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r>
      <w:tr>
        <w:trPr>
          <w:trHeight w:val="745"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Arial" w:hAnsi="Arial" w:cs="Arial" w:eastAsia="Arial" w:hint="default"/>
                <w:sz w:val="24"/>
                <w:szCs w:val="24"/>
              </w:rPr>
            </w:pPr>
            <w:r>
              <w:rPr>
                <w:rFonts w:ascii="Arial"/>
                <w:sz w:val="24"/>
              </w:rPr>
              <w:t>(1)</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98" w:right="0"/>
              <w:jc w:val="left"/>
              <w:rPr>
                <w:rFonts w:ascii="黑体" w:hAnsi="黑体" w:cs="黑体" w:eastAsia="黑体" w:hint="default"/>
                <w:sz w:val="24"/>
                <w:szCs w:val="24"/>
              </w:rPr>
            </w:pPr>
            <w:r>
              <w:rPr>
                <w:rFonts w:ascii="黑体" w:hAnsi="黑体" w:cs="黑体" w:eastAsia="黑体" w:hint="default"/>
                <w:sz w:val="24"/>
                <w:szCs w:val="24"/>
              </w:rPr>
              <w:t>货币资金</w:t>
            </w:r>
          </w:p>
        </w:tc>
        <w:tc>
          <w:tcPr>
            <w:tcW w:w="1509"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r>
      <w:tr>
        <w:trPr>
          <w:trHeight w:val="504" w:hRule="exact"/>
        </w:trPr>
        <w:tc>
          <w:tcPr>
            <w:tcW w:w="69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367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197"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357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77"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68" w:hRule="exact"/>
        </w:trPr>
        <w:tc>
          <w:tcPr>
            <w:tcW w:w="69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7"/>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3"/>
              <w:jc w:val="right"/>
              <w:rPr>
                <w:rFonts w:ascii="宋体" w:hAnsi="宋体" w:cs="宋体" w:eastAsia="宋体" w:hint="default"/>
                <w:sz w:val="18"/>
                <w:szCs w:val="18"/>
              </w:rPr>
            </w:pPr>
            <w:r>
              <w:rPr>
                <w:rFonts w:ascii="宋体" w:hAnsi="宋体" w:cs="宋体" w:eastAsia="宋体" w:hint="default"/>
                <w:sz w:val="18"/>
                <w:szCs w:val="18"/>
              </w:rPr>
              <w:t>汇率</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8"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3"/>
              <w:jc w:val="right"/>
              <w:rPr>
                <w:rFonts w:ascii="宋体" w:hAnsi="宋体" w:cs="宋体" w:eastAsia="宋体" w:hint="default"/>
                <w:sz w:val="18"/>
                <w:szCs w:val="18"/>
              </w:rPr>
            </w:pPr>
            <w:r>
              <w:rPr>
                <w:rFonts w:ascii="宋体" w:hAnsi="宋体" w:cs="宋体" w:eastAsia="宋体" w:hint="default"/>
                <w:sz w:val="18"/>
                <w:szCs w:val="18"/>
              </w:rPr>
              <w:t>汇率</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0"/>
              <w:jc w:val="righ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76" w:hRule="exact"/>
        </w:trPr>
        <w:tc>
          <w:tcPr>
            <w:tcW w:w="69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5" w:right="0"/>
              <w:jc w:val="left"/>
              <w:rPr>
                <w:rFonts w:ascii="Arial" w:hAnsi="Arial" w:cs="Arial" w:eastAsia="Arial" w:hint="default"/>
                <w:sz w:val="18"/>
                <w:szCs w:val="18"/>
              </w:rPr>
            </w:pPr>
            <w:r>
              <w:rPr>
                <w:rFonts w:ascii="宋体" w:hAnsi="宋体" w:cs="宋体" w:eastAsia="宋体" w:hint="default"/>
                <w:sz w:val="18"/>
                <w:szCs w:val="18"/>
              </w:rPr>
              <w:t>库存现金 </w:t>
            </w:r>
            <w:r>
              <w:rPr>
                <w:rFonts w:ascii="Arial" w:hAnsi="Arial" w:cs="Arial" w:eastAsia="Arial" w:hint="default"/>
                <w:sz w:val="18"/>
                <w:szCs w:val="18"/>
              </w:rPr>
              <w:t>–</w:t>
            </w:r>
          </w:p>
        </w:tc>
        <w:tc>
          <w:tcPr>
            <w:tcW w:w="1509"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r>
      <w:tr>
        <w:trPr>
          <w:trHeight w:val="325" w:hRule="exact"/>
        </w:trPr>
        <w:tc>
          <w:tcPr>
            <w:tcW w:w="69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9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53"/>
              <w:jc w:val="right"/>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30"/>
              <w:jc w:val="right"/>
              <w:rPr>
                <w:rFonts w:ascii="Arial" w:hAnsi="Arial" w:cs="Arial" w:eastAsia="Arial" w:hint="default"/>
                <w:sz w:val="18"/>
                <w:szCs w:val="18"/>
              </w:rPr>
            </w:pPr>
            <w:r>
              <w:rPr>
                <w:rFonts w:ascii="Arial"/>
                <w:w w:val="99"/>
                <w:sz w:val="18"/>
              </w:rPr>
              <w:t>-</w:t>
            </w:r>
            <w:r>
              <w:rPr>
                <w:rFonts w:ascii="Arial"/>
                <w:sz w:val="18"/>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5"/>
              <w:jc w:val="right"/>
              <w:rPr>
                <w:rFonts w:ascii="Arial" w:hAnsi="Arial" w:cs="Arial" w:eastAsia="Arial" w:hint="default"/>
                <w:sz w:val="18"/>
                <w:szCs w:val="18"/>
              </w:rPr>
            </w:pPr>
            <w:r>
              <w:rPr>
                <w:rFonts w:ascii="Arial"/>
                <w:spacing w:val="-1"/>
                <w:sz w:val="18"/>
              </w:rPr>
              <w:t>10,513</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38"/>
              <w:jc w:val="right"/>
              <w:rPr>
                <w:rFonts w:ascii="Arial" w:hAnsi="Arial" w:cs="Arial" w:eastAsia="Arial" w:hint="default"/>
                <w:sz w:val="18"/>
                <w:szCs w:val="18"/>
              </w:rPr>
            </w:pPr>
            <w:r>
              <w:rPr>
                <w:rFonts w:ascii="Arial"/>
                <w:w w:val="99"/>
                <w:sz w:val="18"/>
              </w:rPr>
              <w:t>-</w:t>
            </w:r>
            <w:r>
              <w:rPr>
                <w:rFonts w:ascii="Arial"/>
                <w:sz w:val="18"/>
              </w:rPr>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90"/>
              <w:jc w:val="right"/>
              <w:rPr>
                <w:rFonts w:ascii="Arial" w:hAnsi="Arial" w:cs="Arial" w:eastAsia="Arial" w:hint="default"/>
                <w:sz w:val="18"/>
                <w:szCs w:val="18"/>
              </w:rPr>
            </w:pPr>
            <w:r>
              <w:rPr>
                <w:rFonts w:ascii="Arial"/>
                <w:w w:val="99"/>
                <w:sz w:val="18"/>
              </w:rPr>
              <w:t>-</w:t>
            </w:r>
            <w:r>
              <w:rPr>
                <w:rFonts w:ascii="Arial"/>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24"/>
              <w:jc w:val="right"/>
              <w:rPr>
                <w:rFonts w:ascii="Arial" w:hAnsi="Arial" w:cs="Arial" w:eastAsia="Arial" w:hint="default"/>
                <w:sz w:val="18"/>
                <w:szCs w:val="18"/>
              </w:rPr>
            </w:pPr>
            <w:r>
              <w:rPr>
                <w:rFonts w:ascii="Arial"/>
                <w:spacing w:val="-3"/>
                <w:sz w:val="18"/>
              </w:rPr>
              <w:t>11,748</w:t>
            </w:r>
          </w:p>
        </w:tc>
      </w:tr>
      <w:tr>
        <w:trPr>
          <w:trHeight w:val="313" w:hRule="exact"/>
        </w:trPr>
        <w:tc>
          <w:tcPr>
            <w:tcW w:w="69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51"/>
              <w:jc w:val="right"/>
              <w:rPr>
                <w:rFonts w:ascii="Arial" w:hAnsi="Arial" w:cs="Arial" w:eastAsia="Arial" w:hint="default"/>
                <w:sz w:val="18"/>
                <w:szCs w:val="18"/>
              </w:rPr>
            </w:pPr>
            <w:r>
              <w:rPr>
                <w:rFonts w:ascii="Arial"/>
                <w:w w:val="95"/>
                <w:sz w:val="18"/>
              </w:rPr>
              <w:t>124</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3"/>
              <w:jc w:val="right"/>
              <w:rPr>
                <w:rFonts w:ascii="Arial" w:hAnsi="Arial" w:cs="Arial" w:eastAsia="Arial" w:hint="default"/>
                <w:sz w:val="18"/>
                <w:szCs w:val="18"/>
              </w:rPr>
            </w:pPr>
            <w:r>
              <w:rPr>
                <w:rFonts w:ascii="Arial"/>
                <w:spacing w:val="-1"/>
                <w:sz w:val="18"/>
              </w:rPr>
              <w:t>0.8108</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4"/>
              <w:jc w:val="right"/>
              <w:rPr>
                <w:rFonts w:ascii="Arial" w:hAnsi="Arial" w:cs="Arial" w:eastAsia="Arial" w:hint="default"/>
                <w:sz w:val="18"/>
                <w:szCs w:val="18"/>
              </w:rPr>
            </w:pPr>
            <w:r>
              <w:rPr>
                <w:rFonts w:ascii="Arial"/>
                <w:w w:val="95"/>
                <w:sz w:val="18"/>
              </w:rPr>
              <w:t>101</w:t>
            </w:r>
            <w:r>
              <w:rPr>
                <w:rFonts w:ascii="Arial"/>
                <w:sz w:val="18"/>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24"/>
              <w:jc w:val="right"/>
              <w:rPr>
                <w:rFonts w:ascii="Arial" w:hAnsi="Arial" w:cs="Arial" w:eastAsia="Arial" w:hint="default"/>
                <w:sz w:val="18"/>
                <w:szCs w:val="18"/>
              </w:rPr>
            </w:pPr>
            <w:r>
              <w:rPr>
                <w:rFonts w:ascii="Arial"/>
                <w:w w:val="95"/>
                <w:sz w:val="18"/>
              </w:rPr>
              <w:t>162</w:t>
            </w:r>
            <w:r>
              <w:rPr>
                <w:rFonts w:ascii="Arial"/>
                <w:sz w:val="18"/>
              </w:rPr>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51" w:right="0"/>
              <w:jc w:val="left"/>
              <w:rPr>
                <w:rFonts w:ascii="Arial" w:hAnsi="Arial" w:cs="Arial" w:eastAsia="Arial" w:hint="default"/>
                <w:sz w:val="18"/>
                <w:szCs w:val="18"/>
              </w:rPr>
            </w:pPr>
            <w:r>
              <w:rPr>
                <w:rFonts w:ascii="Arial"/>
                <w:sz w:val="18"/>
              </w:rPr>
              <w:t>0.8107</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25"/>
              <w:jc w:val="right"/>
              <w:rPr>
                <w:rFonts w:ascii="Arial" w:hAnsi="Arial" w:cs="Arial" w:eastAsia="Arial" w:hint="default"/>
                <w:sz w:val="18"/>
                <w:szCs w:val="18"/>
              </w:rPr>
            </w:pPr>
            <w:r>
              <w:rPr>
                <w:rFonts w:ascii="Arial"/>
                <w:w w:val="95"/>
                <w:sz w:val="18"/>
              </w:rPr>
              <w:t>131</w:t>
            </w:r>
            <w:r>
              <w:rPr>
                <w:rFonts w:ascii="Arial"/>
                <w:sz w:val="18"/>
              </w:rPr>
            </w:r>
          </w:p>
        </w:tc>
      </w:tr>
      <w:tr>
        <w:trPr>
          <w:trHeight w:val="310" w:hRule="exact"/>
        </w:trPr>
        <w:tc>
          <w:tcPr>
            <w:tcW w:w="69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34" w:lineRule="exact"/>
              <w:ind w:left="39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51"/>
              <w:jc w:val="right"/>
              <w:rPr>
                <w:rFonts w:ascii="Arial" w:hAnsi="Arial" w:cs="Arial" w:eastAsia="Arial" w:hint="default"/>
                <w:sz w:val="18"/>
                <w:szCs w:val="18"/>
              </w:rPr>
            </w:pPr>
            <w:r>
              <w:rPr>
                <w:rFonts w:ascii="Arial"/>
                <w:sz w:val="18"/>
              </w:rPr>
              <w:t>1,720</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3"/>
              <w:jc w:val="right"/>
              <w:rPr>
                <w:rFonts w:ascii="Arial" w:hAnsi="Arial" w:cs="Arial" w:eastAsia="Arial" w:hint="default"/>
                <w:sz w:val="18"/>
                <w:szCs w:val="18"/>
              </w:rPr>
            </w:pPr>
            <w:r>
              <w:rPr>
                <w:rFonts w:ascii="Arial"/>
                <w:spacing w:val="-1"/>
                <w:sz w:val="18"/>
              </w:rPr>
              <w:t>0.0730</w:t>
            </w: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74"/>
              <w:jc w:val="right"/>
              <w:rPr>
                <w:rFonts w:ascii="Arial" w:hAnsi="Arial" w:cs="Arial" w:eastAsia="Arial" w:hint="default"/>
                <w:sz w:val="18"/>
                <w:szCs w:val="18"/>
              </w:rPr>
            </w:pPr>
            <w:r>
              <w:rPr>
                <w:rFonts w:ascii="Arial"/>
                <w:w w:val="95"/>
                <w:sz w:val="18"/>
              </w:rPr>
              <w:t>126</w:t>
            </w:r>
            <w:r>
              <w:rPr>
                <w:rFonts w:ascii="Arial"/>
                <w:sz w:val="18"/>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22"/>
              <w:jc w:val="right"/>
              <w:rPr>
                <w:rFonts w:ascii="Arial" w:hAnsi="Arial" w:cs="Arial" w:eastAsia="Arial" w:hint="default"/>
                <w:sz w:val="18"/>
                <w:szCs w:val="18"/>
              </w:rPr>
            </w:pPr>
            <w:r>
              <w:rPr>
                <w:rFonts w:ascii="Arial"/>
                <w:spacing w:val="-1"/>
                <w:sz w:val="18"/>
              </w:rPr>
              <w:t>31,486</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Arial" w:hAnsi="Arial" w:cs="Arial" w:eastAsia="Arial" w:hint="default"/>
                <w:sz w:val="18"/>
                <w:szCs w:val="18"/>
              </w:rPr>
            </w:pPr>
            <w:r>
              <w:rPr>
                <w:rFonts w:ascii="Arial"/>
                <w:spacing w:val="-3"/>
                <w:sz w:val="18"/>
              </w:rPr>
              <w:t>0.0811</w:t>
            </w: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24"/>
              <w:jc w:val="right"/>
              <w:rPr>
                <w:rFonts w:ascii="Arial" w:hAnsi="Arial" w:cs="Arial" w:eastAsia="Arial" w:hint="default"/>
                <w:sz w:val="18"/>
                <w:szCs w:val="18"/>
              </w:rPr>
            </w:pPr>
            <w:r>
              <w:rPr>
                <w:rFonts w:ascii="Arial"/>
                <w:w w:val="95"/>
                <w:sz w:val="18"/>
              </w:rPr>
              <w:t>2,554</w:t>
            </w:r>
            <w:r>
              <w:rPr>
                <w:rFonts w:ascii="Arial"/>
                <w:sz w:val="18"/>
              </w:rPr>
            </w:r>
          </w:p>
        </w:tc>
      </w:tr>
      <w:tr>
        <w:trPr>
          <w:trHeight w:val="298" w:hRule="exact"/>
        </w:trPr>
        <w:tc>
          <w:tcPr>
            <w:tcW w:w="69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76"/>
              <w:jc w:val="right"/>
              <w:rPr>
                <w:rFonts w:ascii="Arial" w:hAnsi="Arial" w:cs="Arial" w:eastAsia="Arial" w:hint="default"/>
                <w:sz w:val="18"/>
                <w:szCs w:val="18"/>
              </w:rPr>
            </w:pPr>
            <w:r>
              <w:rPr>
                <w:rFonts w:ascii="Arial"/>
                <w:spacing w:val="-1"/>
                <w:sz w:val="18"/>
              </w:rPr>
              <w:t>10,740</w:t>
            </w:r>
          </w:p>
        </w:tc>
        <w:tc>
          <w:tcPr>
            <w:tcW w:w="1315"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125"/>
              <w:jc w:val="right"/>
              <w:rPr>
                <w:rFonts w:ascii="Arial" w:hAnsi="Arial" w:cs="Arial" w:eastAsia="Arial" w:hint="default"/>
                <w:sz w:val="18"/>
                <w:szCs w:val="18"/>
              </w:rPr>
            </w:pPr>
            <w:r>
              <w:rPr>
                <w:rFonts w:ascii="Arial"/>
                <w:spacing w:val="-1"/>
                <w:sz w:val="18"/>
              </w:rPr>
              <w:t>14,433</w:t>
            </w:r>
          </w:p>
        </w:tc>
      </w:tr>
      <w:tr>
        <w:trPr>
          <w:trHeight w:val="320" w:hRule="exact"/>
        </w:trPr>
        <w:tc>
          <w:tcPr>
            <w:tcW w:w="69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5" w:right="0"/>
              <w:jc w:val="left"/>
              <w:rPr>
                <w:rFonts w:ascii="Arial" w:hAnsi="Arial" w:cs="Arial" w:eastAsia="Arial" w:hint="default"/>
                <w:sz w:val="18"/>
                <w:szCs w:val="18"/>
              </w:rPr>
            </w:pPr>
            <w:r>
              <w:rPr>
                <w:rFonts w:ascii="宋体" w:hAnsi="宋体" w:cs="宋体" w:eastAsia="宋体" w:hint="default"/>
                <w:sz w:val="18"/>
                <w:szCs w:val="18"/>
              </w:rPr>
              <w:t>银行存款 </w:t>
            </w:r>
            <w:r>
              <w:rPr>
                <w:rFonts w:ascii="Arial" w:hAnsi="Arial" w:cs="Arial" w:eastAsia="Arial" w:hint="default"/>
                <w:sz w:val="18"/>
                <w:szCs w:val="18"/>
              </w:rPr>
              <w:t>–</w:t>
            </w:r>
          </w:p>
        </w:tc>
        <w:tc>
          <w:tcPr>
            <w:tcW w:w="1509"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nil" w:sz="6" w:space="0" w:color="auto"/>
              <w:right w:val="nil" w:sz="6" w:space="0" w:color="auto"/>
            </w:tcBorders>
          </w:tcPr>
          <w:p>
            <w:pPr/>
          </w:p>
        </w:tc>
      </w:tr>
      <w:tr>
        <w:trPr>
          <w:trHeight w:val="320" w:hRule="exact"/>
        </w:trPr>
        <w:tc>
          <w:tcPr>
            <w:tcW w:w="69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7"/>
              <w:ind w:left="39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3"/>
              <w:jc w:val="right"/>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30"/>
              <w:jc w:val="right"/>
              <w:rPr>
                <w:rFonts w:ascii="Arial" w:hAnsi="Arial" w:cs="Arial" w:eastAsia="Arial" w:hint="default"/>
                <w:sz w:val="18"/>
                <w:szCs w:val="18"/>
              </w:rPr>
            </w:pPr>
            <w:r>
              <w:rPr>
                <w:rFonts w:ascii="Arial"/>
                <w:w w:val="99"/>
                <w:sz w:val="18"/>
              </w:rPr>
              <w:t>-</w:t>
            </w:r>
            <w:r>
              <w:rPr>
                <w:rFonts w:ascii="Arial"/>
                <w:sz w:val="18"/>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Arial" w:hAnsi="Arial" w:cs="Arial" w:eastAsia="Arial" w:hint="default"/>
                <w:sz w:val="18"/>
                <w:szCs w:val="18"/>
              </w:rPr>
            </w:pPr>
            <w:r>
              <w:rPr>
                <w:rFonts w:ascii="Arial"/>
                <w:spacing w:val="-1"/>
                <w:sz w:val="18"/>
              </w:rPr>
              <w:t>19,582,266</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38"/>
              <w:jc w:val="right"/>
              <w:rPr>
                <w:rFonts w:ascii="Arial" w:hAnsi="Arial" w:cs="Arial" w:eastAsia="Arial" w:hint="default"/>
                <w:sz w:val="18"/>
                <w:szCs w:val="18"/>
              </w:rPr>
            </w:pPr>
            <w:r>
              <w:rPr>
                <w:rFonts w:ascii="Arial"/>
                <w:w w:val="99"/>
                <w:sz w:val="18"/>
              </w:rPr>
              <w:t>-</w:t>
            </w:r>
            <w:r>
              <w:rPr>
                <w:rFonts w:ascii="Arial"/>
                <w:sz w:val="18"/>
              </w:rPr>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6"/>
              <w:jc w:val="right"/>
              <w:rPr>
                <w:rFonts w:ascii="Arial" w:hAnsi="Arial" w:cs="Arial" w:eastAsia="Arial" w:hint="default"/>
                <w:sz w:val="18"/>
                <w:szCs w:val="18"/>
              </w:rPr>
            </w:pPr>
            <w:r>
              <w:rPr>
                <w:rFonts w:ascii="Arial"/>
                <w:w w:val="99"/>
                <w:sz w:val="18"/>
              </w:rPr>
              <w:t>-</w:t>
            </w:r>
            <w:r>
              <w:rPr>
                <w:rFonts w:ascii="Arial"/>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56" w:right="0"/>
              <w:jc w:val="left"/>
              <w:rPr>
                <w:rFonts w:ascii="Arial" w:hAnsi="Arial" w:cs="Arial" w:eastAsia="Arial" w:hint="default"/>
                <w:sz w:val="18"/>
                <w:szCs w:val="18"/>
              </w:rPr>
            </w:pPr>
            <w:r>
              <w:rPr>
                <w:rFonts w:ascii="Arial"/>
                <w:sz w:val="18"/>
              </w:rPr>
              <w:t>12,143,707</w:t>
            </w:r>
          </w:p>
        </w:tc>
      </w:tr>
      <w:tr>
        <w:trPr>
          <w:trHeight w:val="313" w:hRule="exact"/>
        </w:trPr>
        <w:tc>
          <w:tcPr>
            <w:tcW w:w="69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34" w:lineRule="exact"/>
              <w:ind w:left="39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3"/>
              <w:jc w:val="right"/>
              <w:rPr>
                <w:rFonts w:ascii="Arial" w:hAnsi="Arial" w:cs="Arial" w:eastAsia="Arial" w:hint="default"/>
                <w:sz w:val="18"/>
                <w:szCs w:val="18"/>
              </w:rPr>
            </w:pPr>
            <w:r>
              <w:rPr>
                <w:rFonts w:ascii="Arial"/>
                <w:w w:val="95"/>
                <w:sz w:val="18"/>
              </w:rPr>
              <w:t>807</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3"/>
              <w:jc w:val="right"/>
              <w:rPr>
                <w:rFonts w:ascii="Arial" w:hAnsi="Arial" w:cs="Arial" w:eastAsia="Arial" w:hint="default"/>
                <w:sz w:val="18"/>
                <w:szCs w:val="18"/>
              </w:rPr>
            </w:pPr>
            <w:r>
              <w:rPr>
                <w:rFonts w:ascii="Arial"/>
                <w:spacing w:val="-1"/>
                <w:sz w:val="18"/>
              </w:rPr>
              <w:t>6.2855</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6"/>
              <w:jc w:val="right"/>
              <w:rPr>
                <w:rFonts w:ascii="Arial" w:hAnsi="Arial" w:cs="Arial" w:eastAsia="Arial" w:hint="default"/>
                <w:sz w:val="18"/>
                <w:szCs w:val="18"/>
              </w:rPr>
            </w:pPr>
            <w:r>
              <w:rPr>
                <w:rFonts w:ascii="Arial"/>
                <w:w w:val="95"/>
                <w:sz w:val="18"/>
              </w:rPr>
              <w:t>5,072</w:t>
            </w:r>
            <w:r>
              <w:rPr>
                <w:rFonts w:ascii="Arial"/>
                <w:sz w:val="18"/>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1"/>
              <w:jc w:val="right"/>
              <w:rPr>
                <w:rFonts w:ascii="Arial" w:hAnsi="Arial" w:cs="Arial" w:eastAsia="Arial" w:hint="default"/>
                <w:sz w:val="18"/>
                <w:szCs w:val="18"/>
              </w:rPr>
            </w:pPr>
            <w:r>
              <w:rPr>
                <w:rFonts w:ascii="Arial"/>
                <w:w w:val="95"/>
                <w:sz w:val="18"/>
              </w:rPr>
              <w:t>2,563</w:t>
            </w:r>
            <w:r>
              <w:rPr>
                <w:rFonts w:ascii="Arial"/>
                <w:sz w:val="18"/>
              </w:rPr>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08" w:right="0"/>
              <w:jc w:val="left"/>
              <w:rPr>
                <w:rFonts w:ascii="Arial" w:hAnsi="Arial" w:cs="Arial" w:eastAsia="Arial" w:hint="default"/>
                <w:sz w:val="18"/>
                <w:szCs w:val="18"/>
              </w:rPr>
            </w:pPr>
            <w:r>
              <w:rPr>
                <w:rFonts w:ascii="Arial"/>
                <w:sz w:val="18"/>
              </w:rPr>
              <w:t>6.3009</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6"/>
              <w:jc w:val="right"/>
              <w:rPr>
                <w:rFonts w:ascii="Arial" w:hAnsi="Arial" w:cs="Arial" w:eastAsia="Arial" w:hint="default"/>
                <w:sz w:val="18"/>
                <w:szCs w:val="18"/>
              </w:rPr>
            </w:pPr>
            <w:r>
              <w:rPr>
                <w:rFonts w:ascii="Arial"/>
                <w:spacing w:val="-1"/>
                <w:sz w:val="18"/>
              </w:rPr>
              <w:t>16,149</w:t>
            </w:r>
          </w:p>
        </w:tc>
      </w:tr>
      <w:tr>
        <w:trPr>
          <w:trHeight w:val="313" w:hRule="exact"/>
        </w:trPr>
        <w:tc>
          <w:tcPr>
            <w:tcW w:w="69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54"/>
              <w:jc w:val="right"/>
              <w:rPr>
                <w:rFonts w:ascii="Arial" w:hAnsi="Arial" w:cs="Arial" w:eastAsia="Arial" w:hint="default"/>
                <w:sz w:val="18"/>
                <w:szCs w:val="18"/>
              </w:rPr>
            </w:pPr>
            <w:r>
              <w:rPr>
                <w:rFonts w:ascii="Arial"/>
                <w:spacing w:val="-1"/>
                <w:sz w:val="18"/>
              </w:rPr>
              <w:t>523,491</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3"/>
              <w:jc w:val="right"/>
              <w:rPr>
                <w:rFonts w:ascii="Arial" w:hAnsi="Arial" w:cs="Arial" w:eastAsia="Arial" w:hint="default"/>
                <w:sz w:val="18"/>
                <w:szCs w:val="18"/>
              </w:rPr>
            </w:pPr>
            <w:r>
              <w:rPr>
                <w:rFonts w:ascii="Arial"/>
                <w:spacing w:val="-1"/>
                <w:sz w:val="18"/>
              </w:rPr>
              <w:t>0.8108</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8"/>
              <w:jc w:val="right"/>
              <w:rPr>
                <w:rFonts w:ascii="Arial" w:hAnsi="Arial" w:cs="Arial" w:eastAsia="Arial" w:hint="default"/>
                <w:sz w:val="18"/>
                <w:szCs w:val="18"/>
              </w:rPr>
            </w:pPr>
            <w:r>
              <w:rPr>
                <w:rFonts w:ascii="Arial"/>
                <w:spacing w:val="-1"/>
                <w:sz w:val="18"/>
              </w:rPr>
              <w:t>424,447</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93"/>
              <w:jc w:val="right"/>
              <w:rPr>
                <w:rFonts w:ascii="Arial" w:hAnsi="Arial" w:cs="Arial" w:eastAsia="Arial" w:hint="default"/>
                <w:sz w:val="18"/>
                <w:szCs w:val="18"/>
              </w:rPr>
            </w:pPr>
            <w:r>
              <w:rPr>
                <w:rFonts w:ascii="Arial"/>
                <w:spacing w:val="-1"/>
                <w:sz w:val="18"/>
              </w:rPr>
              <w:t>94,338</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8" w:right="0"/>
              <w:jc w:val="left"/>
              <w:rPr>
                <w:rFonts w:ascii="Arial" w:hAnsi="Arial" w:cs="Arial" w:eastAsia="Arial" w:hint="default"/>
                <w:sz w:val="18"/>
                <w:szCs w:val="18"/>
              </w:rPr>
            </w:pPr>
            <w:r>
              <w:rPr>
                <w:rFonts w:ascii="Arial"/>
                <w:sz w:val="18"/>
              </w:rPr>
              <w:t>0.8107</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26"/>
              <w:jc w:val="right"/>
              <w:rPr>
                <w:rFonts w:ascii="Arial" w:hAnsi="Arial" w:cs="Arial" w:eastAsia="Arial" w:hint="default"/>
                <w:sz w:val="18"/>
                <w:szCs w:val="18"/>
              </w:rPr>
            </w:pPr>
            <w:r>
              <w:rPr>
                <w:rFonts w:ascii="Arial"/>
                <w:spacing w:val="-1"/>
                <w:sz w:val="18"/>
              </w:rPr>
              <w:t>76,480</w:t>
            </w:r>
          </w:p>
        </w:tc>
      </w:tr>
      <w:tr>
        <w:trPr>
          <w:trHeight w:val="310" w:hRule="exact"/>
        </w:trPr>
        <w:tc>
          <w:tcPr>
            <w:tcW w:w="69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34" w:lineRule="exact"/>
              <w:ind w:left="39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2"/>
              <w:jc w:val="right"/>
              <w:rPr>
                <w:rFonts w:ascii="Arial" w:hAnsi="Arial" w:cs="Arial" w:eastAsia="Arial" w:hint="default"/>
                <w:sz w:val="18"/>
                <w:szCs w:val="18"/>
              </w:rPr>
            </w:pPr>
            <w:r>
              <w:rPr>
                <w:rFonts w:ascii="Arial"/>
                <w:spacing w:val="-1"/>
                <w:sz w:val="18"/>
              </w:rPr>
              <w:t>2,354,474</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3"/>
              <w:jc w:val="right"/>
              <w:rPr>
                <w:rFonts w:ascii="Arial" w:hAnsi="Arial" w:cs="Arial" w:eastAsia="Arial" w:hint="default"/>
                <w:sz w:val="18"/>
                <w:szCs w:val="18"/>
              </w:rPr>
            </w:pPr>
            <w:r>
              <w:rPr>
                <w:rFonts w:ascii="Arial"/>
                <w:spacing w:val="-1"/>
                <w:sz w:val="18"/>
              </w:rPr>
              <w:t>0.0730</w:t>
            </w: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78"/>
              <w:jc w:val="right"/>
              <w:rPr>
                <w:rFonts w:ascii="Arial" w:hAnsi="Arial" w:cs="Arial" w:eastAsia="Arial" w:hint="default"/>
                <w:sz w:val="18"/>
                <w:szCs w:val="18"/>
              </w:rPr>
            </w:pPr>
            <w:r>
              <w:rPr>
                <w:rFonts w:ascii="Arial"/>
                <w:spacing w:val="-1"/>
                <w:sz w:val="18"/>
              </w:rPr>
              <w:t>171,877</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19" w:right="0"/>
              <w:jc w:val="left"/>
              <w:rPr>
                <w:rFonts w:ascii="Arial" w:hAnsi="Arial" w:cs="Arial" w:eastAsia="Arial" w:hint="default"/>
                <w:sz w:val="18"/>
                <w:szCs w:val="18"/>
              </w:rPr>
            </w:pPr>
            <w:r>
              <w:rPr>
                <w:rFonts w:ascii="Arial"/>
                <w:sz w:val="18"/>
              </w:rPr>
              <w:t>7,544,060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20" w:right="0"/>
              <w:jc w:val="left"/>
              <w:rPr>
                <w:rFonts w:ascii="Arial" w:hAnsi="Arial" w:cs="Arial" w:eastAsia="Arial" w:hint="default"/>
                <w:sz w:val="18"/>
                <w:szCs w:val="18"/>
              </w:rPr>
            </w:pPr>
            <w:r>
              <w:rPr>
                <w:rFonts w:ascii="Arial"/>
                <w:spacing w:val="-3"/>
                <w:sz w:val="18"/>
              </w:rPr>
              <w:t>0.0811</w:t>
            </w: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24"/>
              <w:jc w:val="right"/>
              <w:rPr>
                <w:rFonts w:ascii="Arial" w:hAnsi="Arial" w:cs="Arial" w:eastAsia="Arial" w:hint="default"/>
                <w:sz w:val="18"/>
                <w:szCs w:val="18"/>
              </w:rPr>
            </w:pPr>
            <w:r>
              <w:rPr>
                <w:rFonts w:ascii="Arial"/>
                <w:spacing w:val="-2"/>
                <w:w w:val="95"/>
                <w:sz w:val="18"/>
              </w:rPr>
              <w:t>611,823</w:t>
            </w:r>
            <w:r>
              <w:rPr>
                <w:rFonts w:ascii="Arial"/>
                <w:spacing w:val="-2"/>
                <w:sz w:val="18"/>
              </w:rPr>
            </w:r>
          </w:p>
        </w:tc>
      </w:tr>
      <w:tr>
        <w:trPr>
          <w:trHeight w:val="298" w:hRule="exact"/>
        </w:trPr>
        <w:tc>
          <w:tcPr>
            <w:tcW w:w="69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86"/>
              <w:jc w:val="right"/>
              <w:rPr>
                <w:rFonts w:ascii="Arial" w:hAnsi="Arial" w:cs="Arial" w:eastAsia="Arial" w:hint="default"/>
                <w:sz w:val="18"/>
                <w:szCs w:val="18"/>
              </w:rPr>
            </w:pPr>
            <w:r>
              <w:rPr>
                <w:rFonts w:ascii="Arial"/>
                <w:spacing w:val="-1"/>
                <w:sz w:val="18"/>
              </w:rPr>
              <w:t>20,183,662</w:t>
            </w:r>
          </w:p>
        </w:tc>
        <w:tc>
          <w:tcPr>
            <w:tcW w:w="1315"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256" w:right="0"/>
              <w:jc w:val="left"/>
              <w:rPr>
                <w:rFonts w:ascii="Arial" w:hAnsi="Arial" w:cs="Arial" w:eastAsia="Arial" w:hint="default"/>
                <w:sz w:val="18"/>
                <w:szCs w:val="18"/>
              </w:rPr>
            </w:pPr>
            <w:r>
              <w:rPr>
                <w:rFonts w:ascii="Arial"/>
                <w:sz w:val="18"/>
              </w:rPr>
              <w:t>12,848,159</w:t>
            </w:r>
          </w:p>
        </w:tc>
      </w:tr>
      <w:tr>
        <w:trPr>
          <w:trHeight w:val="321" w:hRule="exact"/>
        </w:trPr>
        <w:tc>
          <w:tcPr>
            <w:tcW w:w="692" w:type="dxa"/>
            <w:tcBorders>
              <w:top w:val="nil" w:sz="6" w:space="0" w:color="auto"/>
              <w:left w:val="nil" w:sz="6" w:space="0" w:color="auto"/>
              <w:bottom w:val="nil" w:sz="6" w:space="0" w:color="auto"/>
              <w:right w:val="nil" w:sz="6" w:space="0" w:color="auto"/>
            </w:tcBorders>
          </w:tcPr>
          <w:p>
            <w:pPr/>
          </w:p>
        </w:tc>
        <w:tc>
          <w:tcPr>
            <w:tcW w:w="28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215" w:right="0"/>
              <w:jc w:val="left"/>
              <w:rPr>
                <w:rFonts w:ascii="Arial" w:hAnsi="Arial" w:cs="Arial" w:eastAsia="Arial" w:hint="default"/>
                <w:sz w:val="18"/>
                <w:szCs w:val="18"/>
              </w:rPr>
            </w:pPr>
            <w:r>
              <w:rPr>
                <w:rFonts w:ascii="宋体" w:hAnsi="宋体" w:cs="宋体" w:eastAsia="宋体" w:hint="default"/>
                <w:sz w:val="18"/>
                <w:szCs w:val="18"/>
              </w:rPr>
              <w:t>其他货币资金 </w:t>
            </w:r>
            <w:r>
              <w:rPr>
                <w:rFonts w:ascii="Arial" w:hAnsi="Arial" w:cs="Arial" w:eastAsia="Arial" w:hint="default"/>
                <w:sz w:val="18"/>
                <w:szCs w:val="18"/>
              </w:rPr>
              <w:t>–</w:t>
            </w:r>
          </w:p>
        </w:tc>
        <w:tc>
          <w:tcPr>
            <w:tcW w:w="923"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nil" w:sz="6" w:space="0" w:color="auto"/>
              <w:right w:val="nil" w:sz="6" w:space="0" w:color="auto"/>
            </w:tcBorders>
          </w:tcPr>
          <w:p>
            <w:pPr/>
          </w:p>
        </w:tc>
      </w:tr>
      <w:tr>
        <w:trPr>
          <w:trHeight w:val="320" w:hRule="exact"/>
        </w:trPr>
        <w:tc>
          <w:tcPr>
            <w:tcW w:w="69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7"/>
              <w:ind w:left="39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3"/>
              <w:jc w:val="right"/>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3"/>
              <w:jc w:val="right"/>
              <w:rPr>
                <w:rFonts w:ascii="Arial" w:hAnsi="Arial" w:cs="Arial" w:eastAsia="Arial" w:hint="default"/>
                <w:sz w:val="18"/>
                <w:szCs w:val="18"/>
              </w:rPr>
            </w:pPr>
            <w:r>
              <w:rPr>
                <w:rFonts w:ascii="Arial"/>
                <w:w w:val="99"/>
                <w:sz w:val="18"/>
              </w:rPr>
              <w:t>-</w:t>
            </w:r>
            <w:r>
              <w:rPr>
                <w:rFonts w:ascii="Arial"/>
                <w:sz w:val="18"/>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6"/>
              <w:jc w:val="right"/>
              <w:rPr>
                <w:rFonts w:ascii="Arial" w:hAnsi="Arial" w:cs="Arial" w:eastAsia="Arial" w:hint="default"/>
                <w:sz w:val="18"/>
                <w:szCs w:val="18"/>
              </w:rPr>
            </w:pPr>
            <w:r>
              <w:rPr>
                <w:rFonts w:ascii="Arial"/>
                <w:spacing w:val="-1"/>
                <w:sz w:val="18"/>
              </w:rPr>
              <w:t>9,784,862</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23"/>
              <w:jc w:val="right"/>
              <w:rPr>
                <w:rFonts w:ascii="Arial" w:hAnsi="Arial" w:cs="Arial" w:eastAsia="Arial" w:hint="default"/>
                <w:sz w:val="18"/>
                <w:szCs w:val="18"/>
              </w:rPr>
            </w:pPr>
            <w:r>
              <w:rPr>
                <w:rFonts w:ascii="Arial"/>
                <w:w w:val="99"/>
                <w:sz w:val="18"/>
              </w:rPr>
              <w:t>-</w:t>
            </w:r>
            <w:r>
              <w:rPr>
                <w:rFonts w:ascii="Arial"/>
                <w:sz w:val="18"/>
              </w:rPr>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6"/>
              <w:jc w:val="right"/>
              <w:rPr>
                <w:rFonts w:ascii="Arial" w:hAnsi="Arial" w:cs="Arial" w:eastAsia="Arial" w:hint="default"/>
                <w:sz w:val="18"/>
                <w:szCs w:val="18"/>
              </w:rPr>
            </w:pPr>
            <w:r>
              <w:rPr>
                <w:rFonts w:ascii="Arial"/>
                <w:w w:val="99"/>
                <w:sz w:val="18"/>
              </w:rPr>
              <w:t>-</w:t>
            </w:r>
            <w:r>
              <w:rPr>
                <w:rFonts w:ascii="Arial"/>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5" w:right="0"/>
              <w:jc w:val="left"/>
              <w:rPr>
                <w:rFonts w:ascii="Arial" w:hAnsi="Arial" w:cs="Arial" w:eastAsia="Arial" w:hint="default"/>
                <w:sz w:val="18"/>
                <w:szCs w:val="18"/>
              </w:rPr>
            </w:pPr>
            <w:r>
              <w:rPr>
                <w:rFonts w:ascii="Arial"/>
                <w:sz w:val="18"/>
              </w:rPr>
              <w:t>9,850,268</w:t>
            </w:r>
          </w:p>
        </w:tc>
      </w:tr>
      <w:tr>
        <w:trPr>
          <w:trHeight w:val="313" w:hRule="exact"/>
        </w:trPr>
        <w:tc>
          <w:tcPr>
            <w:tcW w:w="69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34" w:lineRule="exact"/>
              <w:ind w:left="39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3"/>
              <w:jc w:val="right"/>
              <w:rPr>
                <w:rFonts w:ascii="Arial" w:hAnsi="Arial" w:cs="Arial" w:eastAsia="Arial" w:hint="default"/>
                <w:sz w:val="18"/>
                <w:szCs w:val="18"/>
              </w:rPr>
            </w:pPr>
            <w:r>
              <w:rPr>
                <w:rFonts w:ascii="Arial"/>
                <w:spacing w:val="-1"/>
                <w:sz w:val="18"/>
              </w:rPr>
              <w:t>72,145</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3"/>
              <w:jc w:val="right"/>
              <w:rPr>
                <w:rFonts w:ascii="Arial" w:hAnsi="Arial" w:cs="Arial" w:eastAsia="Arial" w:hint="default"/>
                <w:sz w:val="18"/>
                <w:szCs w:val="18"/>
              </w:rPr>
            </w:pPr>
            <w:r>
              <w:rPr>
                <w:rFonts w:ascii="Arial"/>
                <w:spacing w:val="-1"/>
                <w:sz w:val="18"/>
              </w:rPr>
              <w:t>0.8108</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Arial" w:hAnsi="Arial" w:cs="Arial" w:eastAsia="Arial" w:hint="default"/>
                <w:sz w:val="18"/>
                <w:szCs w:val="18"/>
              </w:rPr>
            </w:pPr>
            <w:r>
              <w:rPr>
                <w:rFonts w:ascii="Arial"/>
                <w:spacing w:val="-1"/>
                <w:sz w:val="18"/>
              </w:rPr>
              <w:t>58,495</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2"/>
              <w:jc w:val="right"/>
              <w:rPr>
                <w:rFonts w:ascii="Arial" w:hAnsi="Arial" w:cs="Arial" w:eastAsia="Arial" w:hint="default"/>
                <w:sz w:val="18"/>
                <w:szCs w:val="18"/>
              </w:rPr>
            </w:pPr>
            <w:r>
              <w:rPr>
                <w:rFonts w:ascii="Arial"/>
                <w:w w:val="95"/>
                <w:sz w:val="18"/>
              </w:rPr>
              <w:t>8,544</w:t>
            </w:r>
            <w:r>
              <w:rPr>
                <w:rFonts w:ascii="Arial"/>
                <w:sz w:val="18"/>
              </w:rPr>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1" w:right="0"/>
              <w:jc w:val="left"/>
              <w:rPr>
                <w:rFonts w:ascii="Arial" w:hAnsi="Arial" w:cs="Arial" w:eastAsia="Arial" w:hint="default"/>
                <w:sz w:val="18"/>
                <w:szCs w:val="18"/>
              </w:rPr>
            </w:pPr>
            <w:r>
              <w:rPr>
                <w:rFonts w:ascii="Arial"/>
                <w:sz w:val="18"/>
              </w:rPr>
              <w:t>0.8107</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4"/>
              <w:jc w:val="right"/>
              <w:rPr>
                <w:rFonts w:ascii="Arial" w:hAnsi="Arial" w:cs="Arial" w:eastAsia="Arial" w:hint="default"/>
                <w:sz w:val="18"/>
                <w:szCs w:val="18"/>
              </w:rPr>
            </w:pPr>
            <w:r>
              <w:rPr>
                <w:rFonts w:ascii="Arial"/>
                <w:w w:val="95"/>
                <w:sz w:val="18"/>
              </w:rPr>
              <w:t>6,927</w:t>
            </w:r>
            <w:r>
              <w:rPr>
                <w:rFonts w:ascii="Arial"/>
                <w:sz w:val="18"/>
              </w:rPr>
            </w:r>
          </w:p>
        </w:tc>
      </w:tr>
      <w:tr>
        <w:trPr>
          <w:trHeight w:val="309" w:hRule="exact"/>
        </w:trPr>
        <w:tc>
          <w:tcPr>
            <w:tcW w:w="69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33"/>
              <w:jc w:val="right"/>
              <w:rPr>
                <w:rFonts w:ascii="Arial" w:hAnsi="Arial" w:cs="Arial" w:eastAsia="Arial" w:hint="default"/>
                <w:sz w:val="18"/>
                <w:szCs w:val="18"/>
              </w:rPr>
            </w:pPr>
            <w:r>
              <w:rPr>
                <w:rFonts w:ascii="Arial"/>
                <w:spacing w:val="-1"/>
                <w:sz w:val="18"/>
              </w:rPr>
              <w:t>405,559</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3"/>
              <w:jc w:val="right"/>
              <w:rPr>
                <w:rFonts w:ascii="Arial" w:hAnsi="Arial" w:cs="Arial" w:eastAsia="Arial" w:hint="default"/>
                <w:sz w:val="18"/>
                <w:szCs w:val="18"/>
              </w:rPr>
            </w:pPr>
            <w:r>
              <w:rPr>
                <w:rFonts w:ascii="Arial"/>
                <w:spacing w:val="-1"/>
                <w:sz w:val="18"/>
              </w:rPr>
              <w:t>0.0730</w:t>
            </w: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85"/>
              <w:jc w:val="right"/>
              <w:rPr>
                <w:rFonts w:ascii="Arial" w:hAnsi="Arial" w:cs="Arial" w:eastAsia="Arial" w:hint="default"/>
                <w:sz w:val="18"/>
                <w:szCs w:val="18"/>
              </w:rPr>
            </w:pPr>
            <w:r>
              <w:rPr>
                <w:rFonts w:ascii="Arial"/>
                <w:spacing w:val="-1"/>
                <w:sz w:val="18"/>
              </w:rPr>
              <w:t>29,606</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39" w:right="0"/>
              <w:jc w:val="left"/>
              <w:rPr>
                <w:rFonts w:ascii="Arial" w:hAnsi="Arial" w:cs="Arial" w:eastAsia="Arial" w:hint="default"/>
                <w:sz w:val="18"/>
                <w:szCs w:val="18"/>
              </w:rPr>
            </w:pPr>
            <w:r>
              <w:rPr>
                <w:rFonts w:ascii="Arial"/>
                <w:sz w:val="18"/>
              </w:rPr>
              <w:t>250,272</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63" w:right="0"/>
              <w:jc w:val="left"/>
              <w:rPr>
                <w:rFonts w:ascii="Arial" w:hAnsi="Arial" w:cs="Arial" w:eastAsia="Arial" w:hint="default"/>
                <w:sz w:val="18"/>
                <w:szCs w:val="18"/>
              </w:rPr>
            </w:pPr>
            <w:r>
              <w:rPr>
                <w:rFonts w:ascii="Arial"/>
                <w:spacing w:val="-3"/>
                <w:sz w:val="18"/>
              </w:rPr>
              <w:t>0.0811</w:t>
            </w: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23"/>
              <w:jc w:val="right"/>
              <w:rPr>
                <w:rFonts w:ascii="Arial" w:hAnsi="Arial" w:cs="Arial" w:eastAsia="Arial" w:hint="default"/>
                <w:sz w:val="18"/>
                <w:szCs w:val="18"/>
              </w:rPr>
            </w:pPr>
            <w:r>
              <w:rPr>
                <w:rFonts w:ascii="Arial"/>
                <w:spacing w:val="-1"/>
                <w:sz w:val="18"/>
              </w:rPr>
              <w:t>20,297</w:t>
            </w:r>
          </w:p>
        </w:tc>
      </w:tr>
      <w:tr>
        <w:trPr>
          <w:trHeight w:val="298" w:hRule="exact"/>
        </w:trPr>
        <w:tc>
          <w:tcPr>
            <w:tcW w:w="69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86"/>
              <w:jc w:val="right"/>
              <w:rPr>
                <w:rFonts w:ascii="Arial" w:hAnsi="Arial" w:cs="Arial" w:eastAsia="Arial" w:hint="default"/>
                <w:sz w:val="18"/>
                <w:szCs w:val="18"/>
              </w:rPr>
            </w:pPr>
            <w:r>
              <w:rPr>
                <w:rFonts w:ascii="Arial"/>
                <w:spacing w:val="-1"/>
                <w:sz w:val="18"/>
              </w:rPr>
              <w:t>9,872,963</w:t>
            </w:r>
          </w:p>
        </w:tc>
        <w:tc>
          <w:tcPr>
            <w:tcW w:w="1315"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355" w:right="0"/>
              <w:jc w:val="left"/>
              <w:rPr>
                <w:rFonts w:ascii="Arial" w:hAnsi="Arial" w:cs="Arial" w:eastAsia="Arial" w:hint="default"/>
                <w:sz w:val="18"/>
                <w:szCs w:val="18"/>
              </w:rPr>
            </w:pPr>
            <w:r>
              <w:rPr>
                <w:rFonts w:ascii="Arial"/>
                <w:sz w:val="18"/>
              </w:rPr>
              <w:t>9,877,492</w:t>
            </w:r>
          </w:p>
        </w:tc>
      </w:tr>
      <w:tr>
        <w:trPr>
          <w:trHeight w:val="307" w:hRule="exact"/>
        </w:trPr>
        <w:tc>
          <w:tcPr>
            <w:tcW w:w="69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single" w:sz="12" w:space="0" w:color="000000"/>
              <w:right w:val="nil" w:sz="6" w:space="0" w:color="auto"/>
            </w:tcBorders>
          </w:tcPr>
          <w:p>
            <w:pPr>
              <w:pStyle w:val="TableParagraph"/>
              <w:spacing w:line="20" w:lineRule="exact"/>
              <w:ind w:left="-5" w:right="-55"/>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2.55pt;height:.5pt;mso-position-horizontal-relative:char;mso-position-vertical-relative:line" coordorigin="0,0" coordsize="1251,10">
                  <v:group style="position:absolute;left:5;top:5;width:1242;height:2" coordorigin="5,5" coordsize="1242,2">
                    <v:shape style="position:absolute;left:5;top:5;width:1242;height:2" coordorigin="5,5" coordsize="1242,0" path="m5,5l1246,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
              <w:ind w:right="0"/>
              <w:jc w:val="left"/>
              <w:rPr>
                <w:rFonts w:ascii="Times New Roman" w:hAnsi="Times New Roman" w:cs="Times New Roman" w:eastAsia="Times New Roman" w:hint="default"/>
                <w:sz w:val="24"/>
                <w:szCs w:val="24"/>
              </w:rPr>
            </w:pPr>
          </w:p>
        </w:tc>
        <w:tc>
          <w:tcPr>
            <w:tcW w:w="1315"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single" w:sz="12" w:space="0" w:color="000000"/>
              <w:right w:val="nil" w:sz="6" w:space="0" w:color="auto"/>
            </w:tcBorders>
          </w:tcPr>
          <w:p>
            <w:pPr/>
          </w:p>
        </w:tc>
      </w:tr>
      <w:tr>
        <w:trPr>
          <w:trHeight w:val="317" w:hRule="exact"/>
        </w:trPr>
        <w:tc>
          <w:tcPr>
            <w:tcW w:w="692"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
        </w:tc>
        <w:tc>
          <w:tcPr>
            <w:tcW w:w="12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right="86"/>
              <w:jc w:val="right"/>
              <w:rPr>
                <w:rFonts w:ascii="Arial" w:hAnsi="Arial" w:cs="Arial" w:eastAsia="Arial" w:hint="default"/>
                <w:sz w:val="18"/>
                <w:szCs w:val="18"/>
              </w:rPr>
            </w:pPr>
            <w:r>
              <w:rPr>
                <w:rFonts w:ascii="Arial"/>
                <w:spacing w:val="-1"/>
                <w:sz w:val="18"/>
              </w:rPr>
              <w:t>30,067,365</w:t>
            </w:r>
          </w:p>
        </w:tc>
        <w:tc>
          <w:tcPr>
            <w:tcW w:w="1315"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256" w:right="0"/>
              <w:jc w:val="left"/>
              <w:rPr>
                <w:rFonts w:ascii="Arial" w:hAnsi="Arial" w:cs="Arial" w:eastAsia="Arial" w:hint="default"/>
                <w:sz w:val="18"/>
                <w:szCs w:val="18"/>
              </w:rPr>
            </w:pPr>
            <w:r>
              <w:rPr>
                <w:rFonts w:ascii="Arial"/>
                <w:sz w:val="18"/>
              </w:rPr>
              <w:t>22,740,084</w:t>
            </w:r>
          </w:p>
        </w:tc>
      </w:tr>
      <w:tr>
        <w:trPr>
          <w:trHeight w:val="1078" w:hRule="exact"/>
        </w:trPr>
        <w:tc>
          <w:tcPr>
            <w:tcW w:w="692" w:type="dxa"/>
            <w:tcBorders>
              <w:top w:val="nil" w:sz="6" w:space="0" w:color="auto"/>
              <w:left w:val="nil" w:sz="6" w:space="0" w:color="auto"/>
              <w:bottom w:val="nil" w:sz="6" w:space="0" w:color="auto"/>
              <w:right w:val="nil" w:sz="6" w:space="0" w:color="auto"/>
            </w:tcBorders>
          </w:tcPr>
          <w:p>
            <w:pPr/>
          </w:p>
        </w:tc>
        <w:tc>
          <w:tcPr>
            <w:tcW w:w="8636"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320" w:lineRule="exact"/>
              <w:ind w:left="198"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pacing w:val="-3"/>
                <w:sz w:val="24"/>
                <w:szCs w:val="24"/>
              </w:rPr>
              <w:t>日，</w:t>
            </w:r>
            <w:r>
              <w:rPr>
                <w:rFonts w:ascii="Arial" w:hAnsi="Arial" w:cs="Arial" w:eastAsia="Arial" w:hint="default"/>
                <w:spacing w:val="-3"/>
                <w:sz w:val="24"/>
                <w:szCs w:val="24"/>
              </w:rPr>
              <w:t>1.27</w:t>
            </w:r>
            <w:r>
              <w:rPr>
                <w:rFonts w:ascii="Arial" w:hAnsi="Arial" w:cs="Arial" w:eastAsia="Arial" w:hint="default"/>
                <w:spacing w:val="-7"/>
                <w:sz w:val="24"/>
                <w:szCs w:val="24"/>
              </w:rPr>
              <w:t> </w:t>
            </w:r>
            <w:r>
              <w:rPr>
                <w:rFonts w:ascii="宋体" w:hAnsi="宋体" w:cs="宋体" w:eastAsia="宋体" w:hint="default"/>
                <w:sz w:val="24"/>
                <w:szCs w:val="24"/>
              </w:rPr>
              <w:t>亿日元</w:t>
            </w:r>
            <w:r>
              <w:rPr>
                <w:rFonts w:ascii="Arial" w:hAnsi="Arial" w:cs="Arial" w:eastAsia="Arial" w:hint="default"/>
                <w:sz w:val="24"/>
                <w:szCs w:val="24"/>
              </w:rPr>
              <w:t>(</w:t>
            </w:r>
            <w:r>
              <w:rPr>
                <w:rFonts w:ascii="宋体" w:hAnsi="宋体" w:cs="宋体" w:eastAsia="宋体" w:hint="default"/>
                <w:sz w:val="24"/>
                <w:szCs w:val="24"/>
              </w:rPr>
              <w:t>折合人民币</w:t>
            </w:r>
            <w:r>
              <w:rPr>
                <w:rFonts w:ascii="宋体" w:hAnsi="宋体" w:cs="宋体" w:eastAsia="宋体" w:hint="default"/>
                <w:spacing w:val="-61"/>
                <w:sz w:val="24"/>
                <w:szCs w:val="24"/>
              </w:rPr>
              <w:t> </w:t>
            </w:r>
            <w:r>
              <w:rPr>
                <w:rFonts w:ascii="Arial" w:hAnsi="Arial" w:cs="Arial" w:eastAsia="Arial" w:hint="default"/>
                <w:sz w:val="24"/>
                <w:szCs w:val="24"/>
              </w:rPr>
              <w:t>931</w:t>
            </w:r>
            <w:r>
              <w:rPr>
                <w:rFonts w:ascii="Arial" w:hAnsi="Arial" w:cs="Arial" w:eastAsia="Arial" w:hint="default"/>
                <w:spacing w:val="-7"/>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的定期存款质押给银</w:t>
            </w:r>
          </w:p>
          <w:p>
            <w:pPr>
              <w:pStyle w:val="TableParagraph"/>
              <w:spacing w:line="320" w:lineRule="exact"/>
              <w:ind w:left="215" w:right="0"/>
              <w:jc w:val="left"/>
              <w:rPr>
                <w:rFonts w:ascii="宋体" w:hAnsi="宋体" w:cs="宋体" w:eastAsia="宋体" w:hint="default"/>
                <w:sz w:val="24"/>
                <w:szCs w:val="24"/>
              </w:rPr>
            </w:pPr>
            <w:r>
              <w:rPr>
                <w:rFonts w:ascii="宋体" w:hAnsi="宋体" w:cs="宋体" w:eastAsia="宋体" w:hint="default"/>
                <w:sz w:val="24"/>
                <w:szCs w:val="24"/>
              </w:rPr>
              <w:t>行作为</w:t>
            </w:r>
            <w:r>
              <w:rPr>
                <w:rFonts w:ascii="宋体" w:hAnsi="宋体" w:cs="宋体" w:eastAsia="宋体" w:hint="default"/>
                <w:spacing w:val="-63"/>
                <w:sz w:val="24"/>
                <w:szCs w:val="24"/>
              </w:rPr>
              <w:t> </w:t>
            </w:r>
            <w:r>
              <w:rPr>
                <w:rFonts w:ascii="Arial" w:hAnsi="Arial" w:cs="Arial" w:eastAsia="Arial" w:hint="default"/>
                <w:sz w:val="24"/>
                <w:szCs w:val="24"/>
              </w:rPr>
              <w:t>1</w:t>
            </w:r>
            <w:r>
              <w:rPr>
                <w:rFonts w:ascii="Arial" w:hAnsi="Arial" w:cs="Arial" w:eastAsia="Arial" w:hint="default"/>
                <w:spacing w:val="-9"/>
                <w:sz w:val="24"/>
                <w:szCs w:val="24"/>
              </w:rPr>
              <w:t> </w:t>
            </w:r>
            <w:r>
              <w:rPr>
                <w:rFonts w:ascii="宋体" w:hAnsi="宋体" w:cs="宋体" w:eastAsia="宋体" w:hint="default"/>
                <w:sz w:val="24"/>
                <w:szCs w:val="24"/>
              </w:rPr>
              <w:t>亿日元</w:t>
            </w:r>
            <w:r>
              <w:rPr>
                <w:rFonts w:ascii="Arial" w:hAnsi="Arial" w:cs="Arial" w:eastAsia="Arial" w:hint="default"/>
                <w:sz w:val="24"/>
                <w:szCs w:val="24"/>
              </w:rPr>
              <w:t>(</w:t>
            </w:r>
            <w:r>
              <w:rPr>
                <w:rFonts w:ascii="宋体" w:hAnsi="宋体" w:cs="宋体" w:eastAsia="宋体" w:hint="default"/>
                <w:sz w:val="24"/>
                <w:szCs w:val="24"/>
              </w:rPr>
              <w:t>折合人民币</w:t>
            </w:r>
            <w:r>
              <w:rPr>
                <w:rFonts w:ascii="宋体" w:hAnsi="宋体" w:cs="宋体" w:eastAsia="宋体" w:hint="default"/>
                <w:spacing w:val="-63"/>
                <w:sz w:val="24"/>
                <w:szCs w:val="24"/>
              </w:rPr>
              <w:t> </w:t>
            </w:r>
            <w:r>
              <w:rPr>
                <w:rFonts w:ascii="Arial" w:hAnsi="Arial" w:cs="Arial" w:eastAsia="Arial" w:hint="default"/>
                <w:sz w:val="24"/>
                <w:szCs w:val="24"/>
              </w:rPr>
              <w:t>731</w:t>
            </w:r>
            <w:r>
              <w:rPr>
                <w:rFonts w:ascii="Arial" w:hAnsi="Arial" w:cs="Arial" w:eastAsia="Arial" w:hint="default"/>
                <w:spacing w:val="-9"/>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短期借款的担保</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(20))</w:t>
            </w:r>
            <w:r>
              <w:rPr>
                <w:rFonts w:ascii="宋体" w:hAnsi="宋体" w:cs="宋体" w:eastAsia="宋体" w:hint="default"/>
                <w:sz w:val="24"/>
                <w:szCs w:val="24"/>
              </w:rPr>
              <w:t>。</w:t>
            </w:r>
          </w:p>
        </w:tc>
      </w:tr>
      <w:tr>
        <w:trPr>
          <w:trHeight w:val="1015" w:hRule="exact"/>
        </w:trPr>
        <w:tc>
          <w:tcPr>
            <w:tcW w:w="692" w:type="dxa"/>
            <w:tcBorders>
              <w:top w:val="nil" w:sz="6" w:space="0" w:color="auto"/>
              <w:left w:val="nil" w:sz="6" w:space="0" w:color="auto"/>
              <w:bottom w:val="nil" w:sz="6" w:space="0" w:color="auto"/>
              <w:right w:val="nil" w:sz="6" w:space="0" w:color="auto"/>
            </w:tcBorders>
          </w:tcPr>
          <w:p>
            <w:pPr/>
          </w:p>
        </w:tc>
        <w:tc>
          <w:tcPr>
            <w:tcW w:w="8636" w:type="dxa"/>
            <w:gridSpan w:val="7"/>
            <w:tcBorders>
              <w:top w:val="nil" w:sz="6" w:space="0" w:color="auto"/>
              <w:left w:val="nil" w:sz="6" w:space="0" w:color="auto"/>
              <w:bottom w:val="nil" w:sz="6" w:space="0" w:color="auto"/>
              <w:right w:val="nil" w:sz="6" w:space="0" w:color="auto"/>
            </w:tcBorders>
          </w:tcPr>
          <w:p>
            <w:pPr>
              <w:pStyle w:val="TableParagraph"/>
              <w:spacing w:line="318" w:lineRule="exact"/>
              <w:ind w:left="198"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pacing w:val="-6"/>
                <w:sz w:val="24"/>
                <w:szCs w:val="24"/>
              </w:rPr>
              <w:t>日，本集团约人民币</w:t>
            </w:r>
            <w:r>
              <w:rPr>
                <w:rFonts w:ascii="宋体" w:hAnsi="宋体" w:cs="宋体" w:eastAsia="宋体" w:hint="default"/>
                <w:spacing w:val="-61"/>
                <w:sz w:val="24"/>
                <w:szCs w:val="24"/>
              </w:rPr>
              <w:t> </w:t>
            </w:r>
            <w:r>
              <w:rPr>
                <w:rFonts w:ascii="Arial" w:hAnsi="Arial" w:cs="Arial" w:eastAsia="Arial" w:hint="default"/>
                <w:sz w:val="24"/>
                <w:szCs w:val="24"/>
              </w:rPr>
              <w:t>83.1</w:t>
            </w:r>
            <w:r>
              <w:rPr>
                <w:rFonts w:ascii="Arial" w:hAnsi="Arial" w:cs="Arial" w:eastAsia="Arial" w:hint="default"/>
                <w:spacing w:val="-7"/>
                <w:sz w:val="24"/>
                <w:szCs w:val="24"/>
              </w:rPr>
              <w:t> </w:t>
            </w:r>
            <w:r>
              <w:rPr>
                <w:rFonts w:ascii="宋体" w:hAnsi="宋体" w:cs="宋体" w:eastAsia="宋体" w:hint="default"/>
                <w:spacing w:val="-3"/>
                <w:sz w:val="24"/>
                <w:szCs w:val="24"/>
              </w:rPr>
              <w:t>亿元</w:t>
            </w:r>
            <w:r>
              <w:rPr>
                <w:rFonts w:ascii="Arial" w:hAnsi="Arial" w:cs="Arial" w:eastAsia="Arial" w:hint="default"/>
                <w:spacing w:val="-3"/>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pacing w:val="-11"/>
                <w:sz w:val="24"/>
                <w:szCs w:val="24"/>
              </w:rPr>
              <w:t>日：约人民</w:t>
            </w:r>
          </w:p>
          <w:p>
            <w:pPr>
              <w:pStyle w:val="TableParagraph"/>
              <w:spacing w:line="311" w:lineRule="exact"/>
              <w:ind w:left="215" w:right="0"/>
              <w:jc w:val="left"/>
              <w:rPr>
                <w:rFonts w:ascii="宋体" w:hAnsi="宋体" w:cs="宋体" w:eastAsia="宋体" w:hint="default"/>
                <w:sz w:val="24"/>
                <w:szCs w:val="24"/>
              </w:rPr>
            </w:pPr>
            <w:r>
              <w:rPr>
                <w:rFonts w:ascii="宋体" w:hAnsi="宋体" w:cs="宋体" w:eastAsia="宋体" w:hint="default"/>
                <w:sz w:val="24"/>
                <w:szCs w:val="24"/>
              </w:rPr>
              <w:t>币</w:t>
            </w:r>
            <w:r>
              <w:rPr>
                <w:rFonts w:ascii="宋体" w:hAnsi="宋体" w:cs="宋体" w:eastAsia="宋体" w:hint="default"/>
                <w:spacing w:val="-53"/>
                <w:sz w:val="24"/>
                <w:szCs w:val="24"/>
              </w:rPr>
              <w:t> </w:t>
            </w:r>
            <w:r>
              <w:rPr>
                <w:rFonts w:ascii="Arial" w:hAnsi="Arial" w:cs="Arial" w:eastAsia="Arial" w:hint="default"/>
                <w:sz w:val="24"/>
                <w:szCs w:val="24"/>
              </w:rPr>
              <w:t>86.4</w:t>
            </w:r>
            <w:r>
              <w:rPr>
                <w:rFonts w:ascii="Arial" w:hAnsi="Arial" w:cs="Arial" w:eastAsia="Arial" w:hint="default"/>
                <w:spacing w:val="1"/>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的其他货币资金为质押给银行用于开立银行承兑汇票的票据保证金</w:t>
            </w:r>
          </w:p>
          <w:p>
            <w:pPr>
              <w:pStyle w:val="TableParagraph"/>
              <w:spacing w:line="320" w:lineRule="exact"/>
              <w:ind w:left="215" w:right="0"/>
              <w:jc w:val="left"/>
              <w:rPr>
                <w:rFonts w:ascii="宋体" w:hAnsi="宋体" w:cs="宋体" w:eastAsia="宋体" w:hint="default"/>
                <w:sz w:val="24"/>
                <w:szCs w:val="24"/>
              </w:rPr>
            </w:pP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(21))</w:t>
            </w:r>
            <w:r>
              <w:rPr>
                <w:rFonts w:ascii="宋体" w:hAnsi="宋体" w:cs="宋体" w:eastAsia="宋体" w:hint="default"/>
                <w:sz w:val="24"/>
                <w:szCs w:val="24"/>
              </w:rPr>
              <w:t>。</w:t>
            </w:r>
          </w:p>
        </w:tc>
      </w:tr>
      <w:tr>
        <w:trPr>
          <w:trHeight w:val="1326" w:hRule="exact"/>
        </w:trPr>
        <w:tc>
          <w:tcPr>
            <w:tcW w:w="692" w:type="dxa"/>
            <w:tcBorders>
              <w:top w:val="nil" w:sz="6" w:space="0" w:color="auto"/>
              <w:left w:val="nil" w:sz="6" w:space="0" w:color="auto"/>
              <w:bottom w:val="nil" w:sz="6" w:space="0" w:color="auto"/>
              <w:right w:val="nil" w:sz="6" w:space="0" w:color="auto"/>
            </w:tcBorders>
          </w:tcPr>
          <w:p>
            <w:pPr/>
          </w:p>
        </w:tc>
        <w:tc>
          <w:tcPr>
            <w:tcW w:w="8636" w:type="dxa"/>
            <w:gridSpan w:val="7"/>
            <w:tcBorders>
              <w:top w:val="nil" w:sz="6" w:space="0" w:color="auto"/>
              <w:left w:val="nil" w:sz="6" w:space="0" w:color="auto"/>
              <w:bottom w:val="nil" w:sz="6" w:space="0" w:color="auto"/>
              <w:right w:val="nil" w:sz="6" w:space="0" w:color="auto"/>
            </w:tcBorders>
          </w:tcPr>
          <w:p>
            <w:pPr>
              <w:pStyle w:val="TableParagraph"/>
              <w:spacing w:line="317" w:lineRule="exact"/>
              <w:ind w:left="198"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4"/>
                <w:sz w:val="24"/>
                <w:szCs w:val="24"/>
              </w:rPr>
              <w:t> </w:t>
            </w:r>
            <w:r>
              <w:rPr>
                <w:rFonts w:ascii="Arial" w:hAnsi="Arial" w:cs="Arial" w:eastAsia="Arial" w:hint="default"/>
                <w:sz w:val="24"/>
                <w:szCs w:val="24"/>
              </w:rPr>
              <w:t>2012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31 </w:t>
            </w:r>
            <w:r>
              <w:rPr>
                <w:rFonts w:ascii="宋体" w:hAnsi="宋体" w:cs="宋体" w:eastAsia="宋体" w:hint="default"/>
                <w:sz w:val="24"/>
                <w:szCs w:val="24"/>
              </w:rPr>
              <w:t>日，本集团将约人民币</w:t>
            </w:r>
            <w:r>
              <w:rPr>
                <w:rFonts w:ascii="宋体" w:hAnsi="宋体" w:cs="宋体" w:eastAsia="宋体" w:hint="default"/>
                <w:spacing w:val="-54"/>
                <w:sz w:val="24"/>
                <w:szCs w:val="24"/>
              </w:rPr>
              <w:t> </w:t>
            </w:r>
            <w:r>
              <w:rPr>
                <w:rFonts w:ascii="Arial" w:hAnsi="Arial" w:cs="Arial" w:eastAsia="Arial" w:hint="default"/>
                <w:sz w:val="24"/>
                <w:szCs w:val="24"/>
              </w:rPr>
              <w:t>13 </w:t>
            </w:r>
            <w:r>
              <w:rPr>
                <w:rFonts w:ascii="宋体" w:hAnsi="宋体" w:cs="宋体" w:eastAsia="宋体" w:hint="default"/>
                <w:spacing w:val="-3"/>
                <w:sz w:val="24"/>
                <w:szCs w:val="24"/>
              </w:rPr>
              <w:t>亿元</w:t>
            </w:r>
            <w:r>
              <w:rPr>
                <w:rFonts w:ascii="Arial" w:hAnsi="Arial" w:cs="Arial" w:eastAsia="Arial" w:hint="default"/>
                <w:spacing w:val="-3"/>
                <w:sz w:val="24"/>
                <w:szCs w:val="24"/>
              </w:rPr>
              <w:t>(2011</w:t>
            </w:r>
            <w:r>
              <w:rPr>
                <w:rFonts w:ascii="Arial" w:hAnsi="Arial" w:cs="Arial" w:eastAsia="Arial" w:hint="default"/>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12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31 </w:t>
            </w:r>
            <w:r>
              <w:rPr>
                <w:rFonts w:ascii="宋体" w:hAnsi="宋体" w:cs="宋体" w:eastAsia="宋体" w:hint="default"/>
                <w:sz w:val="24"/>
                <w:szCs w:val="24"/>
              </w:rPr>
              <w:t>日：约人</w:t>
            </w:r>
          </w:p>
          <w:p>
            <w:pPr>
              <w:pStyle w:val="TableParagraph"/>
              <w:spacing w:line="311" w:lineRule="exact"/>
              <w:ind w:left="215" w:right="0"/>
              <w:jc w:val="left"/>
              <w:rPr>
                <w:rFonts w:ascii="宋体" w:hAnsi="宋体" w:cs="宋体" w:eastAsia="宋体" w:hint="default"/>
                <w:sz w:val="24"/>
                <w:szCs w:val="24"/>
              </w:rPr>
            </w:pPr>
            <w:r>
              <w:rPr>
                <w:rFonts w:ascii="宋体" w:hAnsi="宋体" w:cs="宋体" w:eastAsia="宋体" w:hint="default"/>
                <w:sz w:val="24"/>
                <w:szCs w:val="24"/>
              </w:rPr>
              <w:t>民币</w:t>
            </w:r>
            <w:r>
              <w:rPr>
                <w:rFonts w:ascii="宋体" w:hAnsi="宋体" w:cs="宋体" w:eastAsia="宋体" w:hint="default"/>
                <w:spacing w:val="-64"/>
                <w:sz w:val="24"/>
                <w:szCs w:val="24"/>
              </w:rPr>
              <w:t> </w:t>
            </w:r>
            <w:r>
              <w:rPr>
                <w:rFonts w:ascii="Arial" w:hAnsi="Arial" w:cs="Arial" w:eastAsia="Arial" w:hint="default"/>
                <w:spacing w:val="-8"/>
                <w:sz w:val="24"/>
                <w:szCs w:val="24"/>
              </w:rPr>
              <w:t>11</w:t>
            </w:r>
            <w:r>
              <w:rPr>
                <w:rFonts w:ascii="Arial" w:hAnsi="Arial" w:cs="Arial" w:eastAsia="Arial" w:hint="default"/>
                <w:spacing w:val="-10"/>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的其他货币资金质押给银行作为银行备用信用证保证金用于质押银</w:t>
            </w:r>
          </w:p>
          <w:p>
            <w:pPr>
              <w:pStyle w:val="TableParagraph"/>
              <w:spacing w:line="312" w:lineRule="exact"/>
              <w:ind w:left="215" w:right="0"/>
              <w:jc w:val="left"/>
              <w:rPr>
                <w:rFonts w:ascii="宋体" w:hAnsi="宋体" w:cs="宋体" w:eastAsia="宋体" w:hint="default"/>
                <w:sz w:val="24"/>
                <w:szCs w:val="24"/>
              </w:rPr>
            </w:pPr>
            <w:r>
              <w:rPr>
                <w:rFonts w:ascii="宋体" w:hAnsi="宋体" w:cs="宋体" w:eastAsia="宋体" w:hint="default"/>
                <w:sz w:val="24"/>
                <w:szCs w:val="24"/>
              </w:rPr>
              <w:t>行借款</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(20)(a))</w:t>
            </w:r>
            <w:r>
              <w:rPr>
                <w:rFonts w:ascii="宋体" w:hAnsi="宋体" w:cs="宋体" w:eastAsia="宋体" w:hint="default"/>
                <w:sz w:val="24"/>
                <w:szCs w:val="24"/>
              </w:rPr>
              <w:t>，人民币</w:t>
            </w:r>
            <w:r>
              <w:rPr>
                <w:rFonts w:ascii="宋体" w:hAnsi="宋体" w:cs="宋体" w:eastAsia="宋体" w:hint="default"/>
                <w:spacing w:val="-64"/>
                <w:sz w:val="24"/>
                <w:szCs w:val="24"/>
              </w:rPr>
              <w:t> </w:t>
            </w:r>
            <w:r>
              <w:rPr>
                <w:rFonts w:ascii="Arial" w:hAnsi="Arial" w:cs="Arial" w:eastAsia="Arial" w:hint="default"/>
                <w:sz w:val="24"/>
                <w:szCs w:val="24"/>
              </w:rPr>
              <w:t>1.28</w:t>
            </w:r>
            <w:r>
              <w:rPr>
                <w:rFonts w:ascii="Arial" w:hAnsi="Arial" w:cs="Arial" w:eastAsia="Arial" w:hint="default"/>
                <w:spacing w:val="-10"/>
                <w:sz w:val="24"/>
                <w:szCs w:val="24"/>
              </w:rPr>
              <w:t> </w:t>
            </w:r>
            <w:r>
              <w:rPr>
                <w:rFonts w:ascii="宋体" w:hAnsi="宋体" w:cs="宋体" w:eastAsia="宋体" w:hint="default"/>
                <w:sz w:val="24"/>
                <w:szCs w:val="24"/>
              </w:rPr>
              <w:t>亿元作为保函保证金</w:t>
            </w:r>
            <w:r>
              <w:rPr>
                <w:rFonts w:ascii="Arial" w:hAnsi="Arial" w:cs="Arial" w:eastAsia="Arial" w:hint="default"/>
                <w:sz w:val="24"/>
                <w:szCs w:val="24"/>
              </w:rPr>
              <w:t>(2011</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Arial" w:hAnsi="Arial" w:cs="Arial" w:eastAsia="Arial" w:hint="default"/>
                <w:sz w:val="24"/>
                <w:szCs w:val="24"/>
              </w:rPr>
              <w:t>12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z w:val="24"/>
                <w:szCs w:val="24"/>
              </w:rPr>
              <w:t>日：</w:t>
            </w:r>
          </w:p>
          <w:p>
            <w:pPr>
              <w:pStyle w:val="TableParagraph"/>
              <w:spacing w:line="322" w:lineRule="exact"/>
              <w:ind w:left="215" w:right="0"/>
              <w:jc w:val="left"/>
              <w:rPr>
                <w:rFonts w:ascii="宋体" w:hAnsi="宋体" w:cs="宋体" w:eastAsia="宋体" w:hint="default"/>
                <w:sz w:val="24"/>
                <w:szCs w:val="24"/>
              </w:rPr>
            </w:pPr>
            <w:r>
              <w:rPr>
                <w:rFonts w:ascii="宋体" w:hAnsi="宋体" w:cs="宋体" w:eastAsia="宋体" w:hint="default"/>
                <w:sz w:val="24"/>
                <w:szCs w:val="24"/>
              </w:rPr>
              <w:t>约人民币</w:t>
            </w:r>
            <w:r>
              <w:rPr>
                <w:rFonts w:ascii="宋体" w:hAnsi="宋体" w:cs="宋体" w:eastAsia="宋体" w:hint="default"/>
                <w:spacing w:val="-61"/>
                <w:sz w:val="24"/>
                <w:szCs w:val="24"/>
              </w:rPr>
              <w:t> </w:t>
            </w:r>
            <w:r>
              <w:rPr>
                <w:rFonts w:ascii="Arial" w:hAnsi="Arial" w:cs="Arial" w:eastAsia="Arial" w:hint="default"/>
                <w:sz w:val="24"/>
                <w:szCs w:val="24"/>
              </w:rPr>
              <w:t>0.51</w:t>
            </w:r>
            <w:r>
              <w:rPr>
                <w:rFonts w:ascii="Arial" w:hAnsi="Arial" w:cs="Arial" w:eastAsia="Arial" w:hint="default"/>
                <w:spacing w:val="-6"/>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1013" w:hRule="exact"/>
        </w:trPr>
        <w:tc>
          <w:tcPr>
            <w:tcW w:w="692" w:type="dxa"/>
            <w:tcBorders>
              <w:top w:val="nil" w:sz="6" w:space="0" w:color="auto"/>
              <w:left w:val="nil" w:sz="6" w:space="0" w:color="auto"/>
              <w:bottom w:val="nil" w:sz="6" w:space="0" w:color="auto"/>
              <w:right w:val="nil" w:sz="6" w:space="0" w:color="auto"/>
            </w:tcBorders>
          </w:tcPr>
          <w:p>
            <w:pPr/>
          </w:p>
        </w:tc>
        <w:tc>
          <w:tcPr>
            <w:tcW w:w="8636" w:type="dxa"/>
            <w:gridSpan w:val="7"/>
            <w:tcBorders>
              <w:top w:val="nil" w:sz="6" w:space="0" w:color="auto"/>
              <w:left w:val="nil" w:sz="6" w:space="0" w:color="auto"/>
              <w:bottom w:val="nil" w:sz="6" w:space="0" w:color="auto"/>
              <w:right w:val="nil" w:sz="6" w:space="0" w:color="auto"/>
            </w:tcBorders>
          </w:tcPr>
          <w:p>
            <w:pPr>
              <w:pStyle w:val="TableParagraph"/>
              <w:spacing w:line="225" w:lineRule="auto" w:before="12"/>
              <w:ind w:left="215" w:right="71" w:hanging="17"/>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89"/>
                <w:sz w:val="24"/>
                <w:szCs w:val="24"/>
              </w:rPr>
              <w:t> </w:t>
            </w:r>
            <w:r>
              <w:rPr>
                <w:rFonts w:ascii="Arial" w:hAnsi="Arial" w:cs="Arial" w:eastAsia="Arial" w:hint="default"/>
                <w:w w:val="99"/>
                <w:sz w:val="24"/>
                <w:szCs w:val="24"/>
              </w:rPr>
              <w:t>2012</w:t>
            </w:r>
            <w:r>
              <w:rPr>
                <w:rFonts w:ascii="Arial" w:hAnsi="Arial" w:cs="Arial" w:eastAsia="Arial" w:hint="default"/>
                <w:spacing w:val="-35"/>
                <w:w w:val="99"/>
                <w:sz w:val="24"/>
                <w:szCs w:val="24"/>
              </w:rPr>
              <w:t> </w:t>
            </w:r>
            <w:r>
              <w:rPr>
                <w:rFonts w:ascii="宋体" w:hAnsi="宋体" w:cs="宋体" w:eastAsia="宋体" w:hint="default"/>
                <w:sz w:val="24"/>
                <w:szCs w:val="24"/>
              </w:rPr>
              <w:t>年</w:t>
            </w:r>
            <w:r>
              <w:rPr>
                <w:rFonts w:ascii="宋体" w:hAnsi="宋体" w:cs="宋体" w:eastAsia="宋体" w:hint="default"/>
                <w:spacing w:val="-89"/>
                <w:sz w:val="24"/>
                <w:szCs w:val="24"/>
              </w:rPr>
              <w:t> </w:t>
            </w:r>
            <w:r>
              <w:rPr>
                <w:rFonts w:ascii="Arial" w:hAnsi="Arial" w:cs="Arial" w:eastAsia="Arial" w:hint="default"/>
                <w:w w:val="99"/>
                <w:sz w:val="24"/>
                <w:szCs w:val="24"/>
              </w:rPr>
              <w:t>12</w:t>
            </w:r>
            <w:r>
              <w:rPr>
                <w:rFonts w:ascii="Arial" w:hAnsi="Arial" w:cs="Arial" w:eastAsia="Arial" w:hint="default"/>
                <w:spacing w:val="-34"/>
                <w:w w:val="99"/>
                <w:sz w:val="24"/>
                <w:szCs w:val="24"/>
              </w:rPr>
              <w:t> </w:t>
            </w:r>
            <w:r>
              <w:rPr>
                <w:rFonts w:ascii="宋体" w:hAnsi="宋体" w:cs="宋体" w:eastAsia="宋体" w:hint="default"/>
                <w:sz w:val="24"/>
                <w:szCs w:val="24"/>
              </w:rPr>
              <w:t>月</w:t>
            </w:r>
            <w:r>
              <w:rPr>
                <w:rFonts w:ascii="宋体" w:hAnsi="宋体" w:cs="宋体" w:eastAsia="宋体" w:hint="default"/>
                <w:spacing w:val="-89"/>
                <w:sz w:val="24"/>
                <w:szCs w:val="24"/>
              </w:rPr>
              <w:t> </w:t>
            </w:r>
            <w:r>
              <w:rPr>
                <w:rFonts w:ascii="Arial" w:hAnsi="Arial" w:cs="Arial" w:eastAsia="Arial" w:hint="default"/>
                <w:w w:val="99"/>
                <w:sz w:val="24"/>
                <w:szCs w:val="24"/>
              </w:rPr>
              <w:t>31</w:t>
            </w:r>
            <w:r>
              <w:rPr>
                <w:rFonts w:ascii="Arial" w:hAnsi="Arial" w:cs="Arial" w:eastAsia="Arial" w:hint="default"/>
                <w:spacing w:val="-35"/>
                <w:w w:val="99"/>
                <w:sz w:val="24"/>
                <w:szCs w:val="24"/>
              </w:rPr>
              <w:t> </w:t>
            </w:r>
            <w:r>
              <w:rPr>
                <w:rFonts w:ascii="宋体" w:hAnsi="宋体" w:cs="宋体" w:eastAsia="宋体" w:hint="default"/>
                <w:spacing w:val="-5"/>
                <w:sz w:val="24"/>
                <w:szCs w:val="24"/>
              </w:rPr>
              <w:t>日，本集团受中国人民银行监管的备付金账户有约人民币</w:t>
            </w:r>
            <w:r>
              <w:rPr>
                <w:rFonts w:ascii="宋体" w:hAnsi="宋体" w:cs="宋体" w:eastAsia="宋体" w:hint="default"/>
                <w:spacing w:val="-88"/>
                <w:sz w:val="24"/>
                <w:szCs w:val="24"/>
              </w:rPr>
              <w:t> </w:t>
            </w:r>
            <w:r>
              <w:rPr>
                <w:rFonts w:ascii="Arial" w:hAnsi="Arial" w:cs="Arial" w:eastAsia="Arial" w:hint="default"/>
                <w:w w:val="99"/>
                <w:sz w:val="24"/>
                <w:szCs w:val="24"/>
              </w:rPr>
              <w:t>0.77</w:t>
            </w:r>
            <w:r>
              <w:rPr>
                <w:rFonts w:ascii="Arial" w:hAnsi="Arial" w:cs="Arial" w:eastAsia="Arial" w:hint="default"/>
                <w:w w:val="99"/>
                <w:sz w:val="24"/>
                <w:szCs w:val="24"/>
              </w:rPr>
              <w:t> </w:t>
            </w:r>
            <w:r>
              <w:rPr>
                <w:rFonts w:ascii="宋体" w:hAnsi="宋体" w:cs="宋体" w:eastAsia="宋体" w:hint="default"/>
                <w:sz w:val="24"/>
                <w:szCs w:val="24"/>
              </w:rPr>
              <w:t>亿元易付宝账户充值余额</w:t>
            </w:r>
            <w:r>
              <w:rPr>
                <w:rFonts w:ascii="Arial" w:hAnsi="Arial" w:cs="Arial" w:eastAsia="Arial" w:hint="default"/>
                <w:sz w:val="24"/>
                <w:szCs w:val="24"/>
              </w:rPr>
              <w:t>(</w:t>
            </w:r>
            <w:r>
              <w:rPr>
                <w:rFonts w:ascii="宋体" w:hAnsi="宋体" w:cs="宋体" w:eastAsia="宋体" w:hint="default"/>
                <w:sz w:val="24"/>
                <w:szCs w:val="24"/>
              </w:rPr>
              <w:t>含相应的从备付金银行账户利息中计提的</w:t>
            </w:r>
            <w:r>
              <w:rPr>
                <w:rFonts w:ascii="宋体" w:hAnsi="宋体" w:cs="宋体" w:eastAsia="宋体" w:hint="default"/>
                <w:spacing w:val="-18"/>
                <w:sz w:val="24"/>
                <w:szCs w:val="24"/>
              </w:rPr>
              <w:t> </w:t>
            </w:r>
            <w:r>
              <w:rPr>
                <w:rFonts w:ascii="Arial" w:hAnsi="Arial" w:cs="Arial" w:eastAsia="Arial" w:hint="default"/>
                <w:sz w:val="24"/>
                <w:szCs w:val="24"/>
              </w:rPr>
              <w:t>10%</w:t>
            </w:r>
            <w:r>
              <w:rPr>
                <w:rFonts w:ascii="宋体" w:hAnsi="宋体" w:cs="宋体" w:eastAsia="宋体" w:hint="default"/>
                <w:sz w:val="24"/>
                <w:szCs w:val="24"/>
              </w:rPr>
              <w:t>风险准 备金</w:t>
            </w:r>
            <w:r>
              <w:rPr>
                <w:rFonts w:ascii="Arial" w:hAnsi="Arial" w:cs="Arial" w:eastAsia="Arial" w:hint="default"/>
                <w:sz w:val="24"/>
                <w:szCs w:val="24"/>
              </w:rPr>
              <w:t>)</w:t>
            </w:r>
            <w:r>
              <w:rPr>
                <w:rFonts w:ascii="Arial" w:hAnsi="Arial" w:cs="Arial" w:eastAsia="Arial" w:hint="default"/>
                <w:spacing w:val="-2"/>
                <w:sz w:val="24"/>
                <w:szCs w:val="24"/>
              </w:rPr>
              <w:t> </w:t>
            </w:r>
            <w:r>
              <w:rPr>
                <w:rFonts w:ascii="Arial" w:hAnsi="Arial" w:cs="Arial" w:eastAsia="Arial" w:hint="default"/>
                <w:spacing w:val="-4"/>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r>
        <w:trPr>
          <w:trHeight w:val="634" w:hRule="exact"/>
        </w:trPr>
        <w:tc>
          <w:tcPr>
            <w:tcW w:w="692" w:type="dxa"/>
            <w:tcBorders>
              <w:top w:val="nil" w:sz="6" w:space="0" w:color="auto"/>
              <w:left w:val="nil" w:sz="6" w:space="0" w:color="auto"/>
              <w:bottom w:val="nil" w:sz="6" w:space="0" w:color="auto"/>
              <w:right w:val="nil" w:sz="6" w:space="0" w:color="auto"/>
            </w:tcBorders>
          </w:tcPr>
          <w:p>
            <w:pPr/>
          </w:p>
        </w:tc>
        <w:tc>
          <w:tcPr>
            <w:tcW w:w="8636" w:type="dxa"/>
            <w:gridSpan w:val="7"/>
            <w:tcBorders>
              <w:top w:val="nil" w:sz="6" w:space="0" w:color="auto"/>
              <w:left w:val="nil" w:sz="6" w:space="0" w:color="auto"/>
              <w:bottom w:val="nil" w:sz="6" w:space="0" w:color="auto"/>
              <w:right w:val="nil" w:sz="6" w:space="0" w:color="auto"/>
            </w:tcBorders>
          </w:tcPr>
          <w:p>
            <w:pPr>
              <w:pStyle w:val="TableParagraph"/>
              <w:spacing w:line="317" w:lineRule="exact"/>
              <w:ind w:left="198"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z w:val="24"/>
                <w:szCs w:val="24"/>
              </w:rPr>
              <w:t>2012</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日，其他货币资金包含银行卡跨行交易的在途货款约人民币</w:t>
            </w:r>
          </w:p>
          <w:p>
            <w:pPr>
              <w:pStyle w:val="TableParagraph"/>
              <w:spacing w:line="322" w:lineRule="exact"/>
              <w:ind w:left="215" w:right="0"/>
              <w:jc w:val="left"/>
              <w:rPr>
                <w:rFonts w:ascii="宋体" w:hAnsi="宋体" w:cs="宋体" w:eastAsia="宋体" w:hint="default"/>
                <w:sz w:val="24"/>
                <w:szCs w:val="24"/>
              </w:rPr>
            </w:pPr>
            <w:r>
              <w:rPr>
                <w:rFonts w:ascii="Arial" w:hAnsi="Arial" w:cs="Arial" w:eastAsia="Arial" w:hint="default"/>
                <w:sz w:val="24"/>
                <w:szCs w:val="24"/>
              </w:rPr>
              <w:t>0.50</w:t>
            </w:r>
            <w:r>
              <w:rPr>
                <w:rFonts w:ascii="Arial" w:hAnsi="Arial" w:cs="Arial" w:eastAsia="Arial" w:hint="default"/>
                <w:spacing w:val="-7"/>
                <w:sz w:val="24"/>
                <w:szCs w:val="24"/>
              </w:rPr>
              <w:t> </w:t>
            </w:r>
            <w:r>
              <w:rPr>
                <w:rFonts w:ascii="宋体" w:hAnsi="宋体" w:cs="宋体" w:eastAsia="宋体" w:hint="default"/>
                <w:spacing w:val="-3"/>
                <w:sz w:val="24"/>
                <w:szCs w:val="24"/>
              </w:rPr>
              <w:t>亿元</w:t>
            </w:r>
            <w:r>
              <w:rPr>
                <w:rFonts w:ascii="Arial" w:hAnsi="Arial" w:cs="Arial" w:eastAsia="Arial" w:hint="default"/>
                <w:spacing w:val="-3"/>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0.86</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322" w:lineRule="exact"/>
        <w:jc w:val="left"/>
        <w:rPr>
          <w:rFonts w:ascii="宋体" w:hAnsi="宋体" w:cs="宋体" w:eastAsia="宋体" w:hint="default"/>
          <w:sz w:val="24"/>
          <w:szCs w:val="24"/>
        </w:rPr>
        <w:sectPr>
          <w:footerReference w:type="default" r:id="rId71"/>
          <w:pgSz w:w="11910" w:h="16850"/>
          <w:pgMar w:footer="708" w:header="795" w:top="2020" w:bottom="900" w:left="1420" w:right="0"/>
          <w:pgNumType w:start="141"/>
        </w:sectPr>
      </w:pPr>
    </w:p>
    <w:p>
      <w:pPr>
        <w:spacing w:line="240" w:lineRule="auto" w:before="0"/>
        <w:rPr>
          <w:rFonts w:ascii="Times New Roman" w:hAnsi="Times New Roman" w:cs="Times New Roman" w:eastAsia="Times New Roman" w:hint="default"/>
          <w:sz w:val="20"/>
          <w:szCs w:val="20"/>
        </w:rPr>
      </w:pPr>
      <w:r>
        <w:rPr/>
        <w:pict>
          <v:group style="position:absolute;margin-left:381.309998pt;margin-top:760.799988pt;width:60.75pt;height:.1pt;mso-position-horizontal-relative:page;mso-position-vertical-relative:page;z-index:-1595944" coordorigin="7626,15216" coordsize="1215,2">
            <v:shape style="position:absolute;left:7626;top:15216;width:1215;height:2" coordorigin="7626,15216" coordsize="1215,0" path="m7626,15216l8841,15216e" filled="false" stroked="true" strokeweight="1.44pt" strokecolor="#000000">
              <v:path arrowok="t"/>
            </v:shape>
            <w10:wrap type="none"/>
          </v:group>
        </w:pict>
      </w:r>
      <w:r>
        <w:rPr/>
        <w:pict>
          <v:shape style="position:absolute;margin-left:460.320007pt;margin-top:765.039978pt;width:135.0pt;height:77pt;mso-position-horizontal-relative:page;mso-position-vertical-relative:page;z-index:3256" type="#_x0000_t75" stroked="false">
            <v:imagedata r:id="rId10" o:title=""/>
          </v:shape>
        </w:pict>
      </w:r>
    </w:p>
    <w:p>
      <w:pPr>
        <w:spacing w:line="240" w:lineRule="auto" w:before="9"/>
        <w:rPr>
          <w:rFonts w:ascii="Times New Roman" w:hAnsi="Times New Roman" w:cs="Times New Roman" w:eastAsia="Times New Roman"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692"/>
        <w:gridCol w:w="2345"/>
        <w:gridCol w:w="1486"/>
        <w:gridCol w:w="242"/>
        <w:gridCol w:w="1332"/>
        <w:gridCol w:w="517"/>
        <w:gridCol w:w="1139"/>
        <w:gridCol w:w="1329"/>
      </w:tblGrid>
      <w:tr>
        <w:trPr>
          <w:trHeight w:val="475"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exact"/>
              <w:ind w:right="50"/>
              <w:jc w:val="center"/>
              <w:rPr>
                <w:rFonts w:ascii="黑体" w:hAnsi="黑体" w:cs="黑体" w:eastAsia="黑体" w:hint="default"/>
                <w:sz w:val="24"/>
                <w:szCs w:val="24"/>
              </w:rPr>
            </w:pPr>
            <w:r>
              <w:rPr>
                <w:rFonts w:ascii="黑体" w:hAnsi="黑体" w:cs="黑体" w:eastAsia="黑体" w:hint="default"/>
                <w:sz w:val="24"/>
                <w:szCs w:val="24"/>
              </w:rPr>
              <w:t>五</w:t>
            </w:r>
          </w:p>
        </w:tc>
        <w:tc>
          <w:tcPr>
            <w:tcW w:w="3831"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9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2"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517"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
        </w:tc>
      </w:tr>
      <w:tr>
        <w:trPr>
          <w:trHeight w:val="645"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92"/>
              <w:ind w:left="1" w:right="0"/>
              <w:jc w:val="center"/>
              <w:rPr>
                <w:rFonts w:ascii="Arial" w:hAnsi="Arial" w:cs="Arial" w:eastAsia="Arial" w:hint="default"/>
                <w:sz w:val="24"/>
                <w:szCs w:val="24"/>
              </w:rPr>
            </w:pPr>
            <w:r>
              <w:rPr>
                <w:rFonts w:ascii="Arial"/>
                <w:sz w:val="24"/>
              </w:rPr>
              <w:t>(2)</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215" w:right="0"/>
              <w:jc w:val="left"/>
              <w:rPr>
                <w:rFonts w:ascii="黑体" w:hAnsi="黑体" w:cs="黑体" w:eastAsia="黑体" w:hint="default"/>
                <w:sz w:val="24"/>
                <w:szCs w:val="24"/>
              </w:rPr>
            </w:pPr>
            <w:r>
              <w:rPr>
                <w:rFonts w:ascii="黑体" w:hAnsi="黑体" w:cs="黑体" w:eastAsia="黑体" w:hint="default"/>
                <w:sz w:val="24"/>
                <w:szCs w:val="24"/>
              </w:rPr>
              <w:t>应收票据</w:t>
            </w:r>
          </w:p>
        </w:tc>
        <w:tc>
          <w:tcPr>
            <w:tcW w:w="1486"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517"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
        </w:tc>
      </w:tr>
      <w:tr>
        <w:trPr>
          <w:trHeight w:val="456" w:hRule="exact"/>
        </w:trPr>
        <w:tc>
          <w:tcPr>
            <w:tcW w:w="692"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
        </w:tc>
        <w:tc>
          <w:tcPr>
            <w:tcW w:w="357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0"/>
              <w:ind w:left="1252"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4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233"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72" w:hRule="exact"/>
        </w:trPr>
        <w:tc>
          <w:tcPr>
            <w:tcW w:w="692"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spacing w:line="270" w:lineRule="exact"/>
              <w:ind w:left="215"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578" w:type="dxa"/>
            <w:gridSpan w:val="4"/>
            <w:tcBorders>
              <w:top w:val="nil" w:sz="6" w:space="0" w:color="auto"/>
              <w:left w:val="nil" w:sz="6" w:space="0" w:color="auto"/>
              <w:bottom w:val="nil" w:sz="6" w:space="0" w:color="auto"/>
              <w:right w:val="nil" w:sz="6" w:space="0" w:color="auto"/>
            </w:tcBorders>
          </w:tcPr>
          <w:p>
            <w:pPr>
              <w:pStyle w:val="TableParagraph"/>
              <w:tabs>
                <w:tab w:pos="2714" w:val="left" w:leader="none"/>
                <w:tab w:pos="3396" w:val="left" w:leader="none"/>
              </w:tabs>
              <w:spacing w:line="240" w:lineRule="auto" w:before="25"/>
              <w:ind w:left="92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2,987</w:t>
              <w:tab/>
            </w:r>
            <w:r>
              <w:rPr>
                <w:rFonts w:ascii="Arial"/>
                <w:sz w:val="24"/>
              </w:rPr>
            </w:r>
          </w:p>
        </w:tc>
        <w:tc>
          <w:tcPr>
            <w:tcW w:w="2468" w:type="dxa"/>
            <w:gridSpan w:val="2"/>
            <w:tcBorders>
              <w:top w:val="nil" w:sz="6" w:space="0" w:color="auto"/>
              <w:left w:val="nil" w:sz="6" w:space="0" w:color="auto"/>
              <w:bottom w:val="nil" w:sz="6" w:space="0" w:color="auto"/>
              <w:right w:val="nil" w:sz="6" w:space="0" w:color="auto"/>
            </w:tcBorders>
          </w:tcPr>
          <w:p>
            <w:pPr>
              <w:pStyle w:val="TableParagraph"/>
              <w:tabs>
                <w:tab w:pos="1672" w:val="left" w:leader="none"/>
                <w:tab w:pos="2360" w:val="left" w:leader="none"/>
              </w:tabs>
              <w:spacing w:line="240" w:lineRule="auto" w:before="25"/>
              <w:ind w:left="6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7,265</w:t>
              <w:tab/>
            </w:r>
            <w:r>
              <w:rPr>
                <w:rFonts w:ascii="Arial"/>
                <w:sz w:val="24"/>
              </w:rPr>
            </w:r>
          </w:p>
        </w:tc>
      </w:tr>
      <w:tr>
        <w:trPr>
          <w:trHeight w:val="596" w:hRule="exact"/>
        </w:trPr>
        <w:tc>
          <w:tcPr>
            <w:tcW w:w="9083"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01"/>
              <w:ind w:left="907"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5"/>
                <w:sz w:val="24"/>
                <w:szCs w:val="24"/>
              </w:rPr>
              <w:t> </w:t>
            </w:r>
            <w:r>
              <w:rPr>
                <w:rFonts w:ascii="Arial" w:hAnsi="Arial" w:cs="Arial" w:eastAsia="Arial" w:hint="default"/>
                <w:w w:val="99"/>
                <w:sz w:val="24"/>
                <w:szCs w:val="24"/>
              </w:rPr>
              <w:t>20</w:t>
            </w:r>
            <w:r>
              <w:rPr>
                <w:rFonts w:ascii="Arial" w:hAnsi="Arial" w:cs="Arial" w:eastAsia="Arial" w:hint="default"/>
                <w:spacing w:val="-2"/>
                <w:w w:val="99"/>
                <w:sz w:val="24"/>
                <w:szCs w:val="24"/>
              </w:rPr>
              <w:t>1</w:t>
            </w:r>
            <w:r>
              <w:rPr>
                <w:rFonts w:ascii="Arial" w:hAnsi="Arial" w:cs="Arial" w:eastAsia="Arial" w:hint="default"/>
                <w:w w:val="99"/>
                <w:sz w:val="24"/>
                <w:szCs w:val="24"/>
              </w:rPr>
              <w:t>2</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pacing w:val="-2"/>
                <w:w w:val="99"/>
                <w:sz w:val="24"/>
                <w:szCs w:val="24"/>
              </w:rPr>
              <w:t>1</w:t>
            </w:r>
            <w:r>
              <w:rPr>
                <w:rFonts w:ascii="Arial" w:hAnsi="Arial" w:cs="Arial" w:eastAsia="Arial" w:hint="default"/>
                <w:w w:val="99"/>
                <w:sz w:val="24"/>
                <w:szCs w:val="24"/>
              </w:rPr>
              <w:t>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8"/>
                <w:sz w:val="24"/>
                <w:szCs w:val="24"/>
              </w:rPr>
              <w:t> </w:t>
            </w:r>
            <w:r>
              <w:rPr>
                <w:rFonts w:ascii="Arial" w:hAnsi="Arial" w:cs="Arial" w:eastAsia="Arial" w:hint="default"/>
                <w:w w:val="99"/>
                <w:sz w:val="24"/>
                <w:szCs w:val="24"/>
              </w:rPr>
              <w:t>31</w:t>
            </w:r>
            <w:r>
              <w:rPr>
                <w:rFonts w:ascii="Arial" w:hAnsi="Arial" w:cs="Arial" w:eastAsia="Arial" w:hint="default"/>
                <w:spacing w:val="-11"/>
                <w:sz w:val="24"/>
                <w:szCs w:val="24"/>
              </w:rPr>
              <w:t> </w:t>
            </w:r>
            <w:r>
              <w:rPr>
                <w:rFonts w:ascii="宋体" w:hAnsi="宋体" w:cs="宋体" w:eastAsia="宋体" w:hint="default"/>
                <w:spacing w:val="-3"/>
                <w:sz w:val="24"/>
                <w:szCs w:val="24"/>
              </w:rPr>
              <w:t>日</w:t>
            </w:r>
            <w:r>
              <w:rPr>
                <w:rFonts w:ascii="宋体" w:hAnsi="宋体" w:cs="宋体" w:eastAsia="宋体" w:hint="default"/>
                <w:sz w:val="24"/>
                <w:szCs w:val="24"/>
              </w:rPr>
              <w:t>和</w:t>
            </w:r>
            <w:r>
              <w:rPr>
                <w:rFonts w:ascii="宋体" w:hAnsi="宋体" w:cs="宋体" w:eastAsia="宋体" w:hint="default"/>
                <w:spacing w:val="-65"/>
                <w:sz w:val="24"/>
                <w:szCs w:val="24"/>
              </w:rPr>
              <w:t> </w:t>
            </w:r>
            <w:r>
              <w:rPr>
                <w:rFonts w:ascii="Arial" w:hAnsi="Arial" w:cs="Arial" w:eastAsia="Arial" w:hint="default"/>
                <w:w w:val="99"/>
                <w:sz w:val="24"/>
                <w:szCs w:val="24"/>
              </w:rPr>
              <w:t>2</w:t>
            </w:r>
            <w:r>
              <w:rPr>
                <w:rFonts w:ascii="Arial" w:hAnsi="Arial" w:cs="Arial" w:eastAsia="Arial" w:hint="default"/>
                <w:spacing w:val="-2"/>
                <w:w w:val="99"/>
                <w:sz w:val="24"/>
                <w:szCs w:val="24"/>
              </w:rPr>
              <w:t>0</w:t>
            </w:r>
            <w:r>
              <w:rPr>
                <w:rFonts w:ascii="Arial" w:hAnsi="Arial" w:cs="Arial" w:eastAsia="Arial" w:hint="default"/>
                <w:spacing w:val="-16"/>
                <w:w w:val="99"/>
                <w:sz w:val="24"/>
                <w:szCs w:val="24"/>
              </w:rPr>
              <w:t>1</w:t>
            </w:r>
            <w:r>
              <w:rPr>
                <w:rFonts w:ascii="Arial" w:hAnsi="Arial" w:cs="Arial" w:eastAsia="Arial" w:hint="default"/>
                <w:w w:val="99"/>
                <w:sz w:val="24"/>
                <w:szCs w:val="24"/>
              </w:rPr>
              <w:t>1</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Arial" w:hAnsi="Arial" w:cs="Arial" w:eastAsia="Arial" w:hint="default"/>
                <w:w w:val="99"/>
                <w:sz w:val="24"/>
                <w:szCs w:val="24"/>
              </w:rPr>
              <w:t>12</w:t>
            </w:r>
            <w:r>
              <w:rPr>
                <w:rFonts w:ascii="Arial" w:hAnsi="Arial" w:cs="Arial" w:eastAsia="Arial" w:hint="default"/>
                <w:spacing w:val="-13"/>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pacing w:val="-2"/>
                <w:w w:val="99"/>
                <w:sz w:val="24"/>
                <w:szCs w:val="24"/>
              </w:rPr>
              <w:t>3</w:t>
            </w:r>
            <w:r>
              <w:rPr>
                <w:rFonts w:ascii="Arial" w:hAnsi="Arial" w:cs="Arial" w:eastAsia="Arial" w:hint="default"/>
                <w:w w:val="99"/>
                <w:sz w:val="24"/>
                <w:szCs w:val="24"/>
              </w:rPr>
              <w:t>1</w:t>
            </w:r>
            <w:r>
              <w:rPr>
                <w:rFonts w:ascii="Arial" w:hAnsi="Arial" w:cs="Arial" w:eastAsia="Arial" w:hint="default"/>
                <w:spacing w:val="-11"/>
                <w:sz w:val="24"/>
                <w:szCs w:val="24"/>
              </w:rPr>
              <w:t> </w:t>
            </w:r>
            <w:r>
              <w:rPr>
                <w:rFonts w:ascii="宋体" w:hAnsi="宋体" w:cs="宋体" w:eastAsia="宋体" w:hint="default"/>
                <w:spacing w:val="-3"/>
                <w:sz w:val="24"/>
                <w:szCs w:val="24"/>
              </w:rPr>
              <w:t>日</w:t>
            </w:r>
            <w:r>
              <w:rPr>
                <w:rFonts w:ascii="宋体" w:hAnsi="宋体" w:cs="宋体" w:eastAsia="宋体" w:hint="default"/>
                <w:spacing w:val="-120"/>
                <w:sz w:val="24"/>
                <w:szCs w:val="24"/>
              </w:rPr>
              <w:t>，</w:t>
            </w:r>
            <w:r>
              <w:rPr>
                <w:rFonts w:ascii="宋体" w:hAnsi="宋体" w:cs="宋体" w:eastAsia="宋体" w:hint="default"/>
                <w:sz w:val="24"/>
                <w:szCs w:val="24"/>
              </w:rPr>
              <w:t>本集团无用于质押的应收票据。</w:t>
            </w:r>
          </w:p>
        </w:tc>
      </w:tr>
      <w:tr>
        <w:trPr>
          <w:trHeight w:val="898" w:hRule="exact"/>
        </w:trPr>
        <w:tc>
          <w:tcPr>
            <w:tcW w:w="9083" w:type="dxa"/>
            <w:gridSpan w:val="8"/>
            <w:tcBorders>
              <w:top w:val="nil" w:sz="6" w:space="0" w:color="auto"/>
              <w:left w:val="nil" w:sz="6" w:space="0" w:color="auto"/>
              <w:bottom w:val="nil" w:sz="6" w:space="0" w:color="auto"/>
              <w:right w:val="nil" w:sz="6" w:space="0" w:color="auto"/>
            </w:tcBorders>
          </w:tcPr>
          <w:p>
            <w:pPr>
              <w:pStyle w:val="TableParagraph"/>
              <w:spacing w:line="320" w:lineRule="exact" w:before="94"/>
              <w:ind w:left="907"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pacing w:val="-4"/>
                <w:sz w:val="24"/>
                <w:szCs w:val="24"/>
              </w:rPr>
              <w:t>日，本集团已背书但尚未到期的由第三方开具的银行承兑</w:t>
            </w:r>
          </w:p>
          <w:p>
            <w:pPr>
              <w:pStyle w:val="TableParagraph"/>
              <w:spacing w:line="320" w:lineRule="exact"/>
              <w:ind w:left="907" w:right="0"/>
              <w:jc w:val="left"/>
              <w:rPr>
                <w:rFonts w:ascii="宋体" w:hAnsi="宋体" w:cs="宋体" w:eastAsia="宋体" w:hint="default"/>
                <w:sz w:val="24"/>
                <w:szCs w:val="24"/>
              </w:rPr>
            </w:pPr>
            <w:r>
              <w:rPr>
                <w:rFonts w:ascii="宋体" w:hAnsi="宋体" w:cs="宋体" w:eastAsia="宋体" w:hint="default"/>
                <w:sz w:val="24"/>
                <w:szCs w:val="24"/>
              </w:rPr>
              <w:t>汇票金额为人民币</w:t>
            </w:r>
            <w:r>
              <w:rPr>
                <w:rFonts w:ascii="宋体" w:hAnsi="宋体" w:cs="宋体" w:eastAsia="宋体" w:hint="default"/>
                <w:spacing w:val="-61"/>
                <w:sz w:val="24"/>
                <w:szCs w:val="24"/>
              </w:rPr>
              <w:t> </w:t>
            </w:r>
            <w:r>
              <w:rPr>
                <w:rFonts w:ascii="Arial" w:hAnsi="Arial" w:cs="Arial" w:eastAsia="Arial" w:hint="default"/>
                <w:sz w:val="24"/>
                <w:szCs w:val="24"/>
              </w:rPr>
              <w:t>4,658</w:t>
            </w:r>
            <w:r>
              <w:rPr>
                <w:rFonts w:ascii="Arial" w:hAnsi="Arial" w:cs="Arial" w:eastAsia="Arial" w:hint="default"/>
                <w:spacing w:val="-7"/>
                <w:sz w:val="24"/>
                <w:szCs w:val="24"/>
              </w:rPr>
              <w:t> </w:t>
            </w:r>
            <w:r>
              <w:rPr>
                <w:rFonts w:ascii="宋体" w:hAnsi="宋体" w:cs="宋体" w:eastAsia="宋体" w:hint="default"/>
                <w:spacing w:val="-3"/>
                <w:sz w:val="24"/>
                <w:szCs w:val="24"/>
              </w:rPr>
              <w:t>万元</w:t>
            </w:r>
            <w:r>
              <w:rPr>
                <w:rFonts w:ascii="Arial" w:hAnsi="Arial" w:cs="Arial" w:eastAsia="Arial" w:hint="default"/>
                <w:spacing w:val="-3"/>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日：人民币</w:t>
            </w:r>
            <w:r>
              <w:rPr>
                <w:rFonts w:ascii="宋体" w:hAnsi="宋体" w:cs="宋体" w:eastAsia="宋体" w:hint="default"/>
                <w:spacing w:val="-61"/>
                <w:sz w:val="24"/>
                <w:szCs w:val="24"/>
              </w:rPr>
              <w:t> </w:t>
            </w:r>
            <w:r>
              <w:rPr>
                <w:rFonts w:ascii="Arial" w:hAnsi="Arial" w:cs="Arial" w:eastAsia="Arial" w:hint="default"/>
                <w:sz w:val="24"/>
                <w:szCs w:val="24"/>
              </w:rPr>
              <w:t>2,155</w:t>
            </w:r>
            <w:r>
              <w:rPr>
                <w:rFonts w:ascii="Arial" w:hAnsi="Arial" w:cs="Arial" w:eastAsia="Arial" w:hint="default"/>
                <w:spacing w:val="-6"/>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r>
        <w:trPr>
          <w:trHeight w:val="582" w:hRule="exact"/>
        </w:trPr>
        <w:tc>
          <w:tcPr>
            <w:tcW w:w="9083"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94"/>
              <w:ind w:left="907" w:right="0"/>
              <w:jc w:val="left"/>
              <w:rPr>
                <w:rFonts w:ascii="宋体" w:hAnsi="宋体" w:cs="宋体" w:eastAsia="宋体" w:hint="default"/>
                <w:sz w:val="24"/>
                <w:szCs w:val="24"/>
              </w:rPr>
            </w:pPr>
            <w:r>
              <w:rPr>
                <w:rFonts w:ascii="宋体" w:hAnsi="宋体" w:cs="宋体" w:eastAsia="宋体" w:hint="default"/>
                <w:sz w:val="24"/>
                <w:szCs w:val="24"/>
              </w:rPr>
              <w:t>已背书但尚未到期的银行承兑汇票前五大公司如下：</w:t>
            </w:r>
          </w:p>
        </w:tc>
      </w:tr>
      <w:tr>
        <w:trPr>
          <w:trHeight w:val="587" w:hRule="exact"/>
        </w:trPr>
        <w:tc>
          <w:tcPr>
            <w:tcW w:w="692"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15" w:right="0"/>
              <w:jc w:val="left"/>
              <w:rPr>
                <w:rFonts w:ascii="宋体" w:hAnsi="宋体" w:cs="宋体" w:eastAsia="宋体" w:hint="default"/>
                <w:sz w:val="24"/>
                <w:szCs w:val="24"/>
              </w:rPr>
            </w:pPr>
            <w:r>
              <w:rPr>
                <w:rFonts w:ascii="宋体" w:hAnsi="宋体" w:cs="宋体" w:eastAsia="宋体" w:hint="default"/>
                <w:sz w:val="24"/>
                <w:szCs w:val="24"/>
              </w:rPr>
              <w:t>出票单位</w:t>
            </w:r>
          </w:p>
        </w:tc>
        <w:tc>
          <w:tcPr>
            <w:tcW w:w="1486"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62" w:right="0"/>
              <w:jc w:val="left"/>
              <w:rPr>
                <w:rFonts w:ascii="宋体" w:hAnsi="宋体" w:cs="宋体" w:eastAsia="宋体" w:hint="default"/>
                <w:sz w:val="24"/>
                <w:szCs w:val="24"/>
              </w:rPr>
            </w:pPr>
            <w:r>
              <w:rPr>
                <w:rFonts w:ascii="宋体" w:hAnsi="宋体" w:cs="宋体" w:eastAsia="宋体" w:hint="default"/>
                <w:sz w:val="24"/>
                <w:szCs w:val="24"/>
              </w:rPr>
              <w:t>出票日期</w:t>
            </w:r>
          </w:p>
        </w:tc>
        <w:tc>
          <w:tcPr>
            <w:tcW w:w="517"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99" w:right="0"/>
              <w:jc w:val="left"/>
              <w:rPr>
                <w:rFonts w:ascii="宋体" w:hAnsi="宋体" w:cs="宋体" w:eastAsia="宋体" w:hint="default"/>
                <w:sz w:val="24"/>
                <w:szCs w:val="24"/>
              </w:rPr>
            </w:pPr>
            <w:r>
              <w:rPr>
                <w:rFonts w:ascii="宋体" w:hAnsi="宋体" w:cs="宋体" w:eastAsia="宋体" w:hint="default"/>
                <w:sz w:val="24"/>
                <w:szCs w:val="24"/>
              </w:rPr>
              <w:t>到期日</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75"/>
              <w:jc w:val="right"/>
              <w:rPr>
                <w:rFonts w:ascii="宋体" w:hAnsi="宋体" w:cs="宋体" w:eastAsia="宋体" w:hint="default"/>
                <w:sz w:val="24"/>
                <w:szCs w:val="24"/>
              </w:rPr>
            </w:pPr>
            <w:r>
              <w:rPr>
                <w:rFonts w:ascii="宋体" w:hAnsi="宋体" w:cs="宋体" w:eastAsia="宋体" w:hint="default"/>
                <w:sz w:val="24"/>
                <w:szCs w:val="24"/>
              </w:rPr>
              <w:t>金额</w:t>
            </w:r>
          </w:p>
        </w:tc>
      </w:tr>
      <w:tr>
        <w:trPr>
          <w:trHeight w:val="913" w:hRule="exact"/>
        </w:trPr>
        <w:tc>
          <w:tcPr>
            <w:tcW w:w="692" w:type="dxa"/>
            <w:tcBorders>
              <w:top w:val="nil" w:sz="6" w:space="0" w:color="auto"/>
              <w:left w:val="nil" w:sz="6" w:space="0" w:color="auto"/>
              <w:bottom w:val="nil" w:sz="6" w:space="0" w:color="auto"/>
              <w:right w:val="nil" w:sz="6" w:space="0" w:color="auto"/>
            </w:tcBorders>
          </w:tcPr>
          <w:p>
            <w:pPr/>
          </w:p>
        </w:tc>
        <w:tc>
          <w:tcPr>
            <w:tcW w:w="3831" w:type="dxa"/>
            <w:gridSpan w:val="2"/>
            <w:tcBorders>
              <w:top w:val="nil" w:sz="6" w:space="0" w:color="auto"/>
              <w:left w:val="nil" w:sz="6" w:space="0" w:color="auto"/>
              <w:bottom w:val="nil" w:sz="6" w:space="0" w:color="auto"/>
              <w:right w:val="nil" w:sz="6" w:space="0" w:color="auto"/>
            </w:tcBorders>
          </w:tcPr>
          <w:p>
            <w:pPr>
              <w:pStyle w:val="TableParagraph"/>
              <w:spacing w:line="312" w:lineRule="exact" w:before="129"/>
              <w:ind w:left="455" w:right="10" w:hanging="240"/>
              <w:jc w:val="left"/>
              <w:rPr>
                <w:rFonts w:ascii="宋体" w:hAnsi="宋体" w:cs="宋体" w:eastAsia="宋体" w:hint="default"/>
                <w:sz w:val="24"/>
                <w:szCs w:val="24"/>
              </w:rPr>
            </w:pPr>
            <w:r>
              <w:rPr>
                <w:rFonts w:ascii="宋体" w:hAnsi="宋体" w:cs="宋体" w:eastAsia="宋体" w:hint="default"/>
                <w:sz w:val="24"/>
                <w:szCs w:val="24"/>
              </w:rPr>
              <w:t>江苏南大苏富特计算机设备有限公 司</w:t>
            </w:r>
          </w:p>
        </w:tc>
        <w:tc>
          <w:tcPr>
            <w:tcW w:w="242"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322" w:lineRule="exact" w:before="98"/>
              <w:ind w:left="490"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left="146" w:right="0"/>
              <w:jc w:val="left"/>
              <w:rPr>
                <w:rFonts w:ascii="宋体" w:hAnsi="宋体" w:cs="宋体" w:eastAsia="宋体" w:hint="default"/>
                <w:sz w:val="24"/>
                <w:szCs w:val="24"/>
              </w:rPr>
            </w:pPr>
            <w:r>
              <w:rPr>
                <w:rFonts w:ascii="Arial" w:hAnsi="Arial" w:cs="Arial" w:eastAsia="Arial" w:hint="default"/>
                <w:spacing w:val="-8"/>
                <w:sz w:val="24"/>
                <w:szCs w:val="24"/>
              </w:rPr>
              <w:t>11</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21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517"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322" w:lineRule="exact" w:before="98"/>
              <w:ind w:left="286"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w:t>
            </w:r>
          </w:p>
          <w:p>
            <w:pPr>
              <w:pStyle w:val="TableParagraph"/>
              <w:spacing w:line="322" w:lineRule="exact"/>
              <w:ind w:left="58" w:right="0"/>
              <w:jc w:val="lef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6"/>
              <w:ind w:right="116"/>
              <w:jc w:val="right"/>
              <w:rPr>
                <w:rFonts w:ascii="Arial" w:hAnsi="Arial" w:cs="Arial" w:eastAsia="Arial" w:hint="default"/>
                <w:sz w:val="24"/>
                <w:szCs w:val="24"/>
              </w:rPr>
            </w:pPr>
            <w:r>
              <w:rPr>
                <w:rFonts w:ascii="Arial"/>
                <w:spacing w:val="-1"/>
                <w:sz w:val="24"/>
              </w:rPr>
              <w:t>41,288</w:t>
            </w:r>
          </w:p>
        </w:tc>
      </w:tr>
      <w:tr>
        <w:trPr>
          <w:trHeight w:val="898" w:hRule="exact"/>
        </w:trPr>
        <w:tc>
          <w:tcPr>
            <w:tcW w:w="692" w:type="dxa"/>
            <w:tcBorders>
              <w:top w:val="nil" w:sz="6" w:space="0" w:color="auto"/>
              <w:left w:val="nil" w:sz="6" w:space="0" w:color="auto"/>
              <w:bottom w:val="nil" w:sz="6" w:space="0" w:color="auto"/>
              <w:right w:val="nil" w:sz="6" w:space="0" w:color="auto"/>
            </w:tcBorders>
          </w:tcPr>
          <w:p>
            <w:pPr/>
          </w:p>
        </w:tc>
        <w:tc>
          <w:tcPr>
            <w:tcW w:w="3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4"/>
                <w:szCs w:val="34"/>
              </w:rPr>
            </w:pPr>
          </w:p>
          <w:p>
            <w:pPr>
              <w:pStyle w:val="TableParagraph"/>
              <w:spacing w:line="240" w:lineRule="auto"/>
              <w:ind w:left="215" w:right="0"/>
              <w:jc w:val="left"/>
              <w:rPr>
                <w:rFonts w:ascii="宋体" w:hAnsi="宋体" w:cs="宋体" w:eastAsia="宋体" w:hint="default"/>
                <w:sz w:val="24"/>
                <w:szCs w:val="24"/>
              </w:rPr>
            </w:pPr>
            <w:r>
              <w:rPr>
                <w:rFonts w:ascii="宋体" w:hAnsi="宋体" w:cs="宋体" w:eastAsia="宋体" w:hint="default"/>
                <w:sz w:val="24"/>
                <w:szCs w:val="24"/>
              </w:rPr>
              <w:t>宁波市海曙鸿升工贸有限公司</w:t>
            </w:r>
          </w:p>
        </w:tc>
        <w:tc>
          <w:tcPr>
            <w:tcW w:w="242"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320" w:lineRule="exact" w:before="86"/>
              <w:ind w:left="490"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0" w:lineRule="exact"/>
              <w:ind w:left="281" w:right="0"/>
              <w:jc w:val="left"/>
              <w:rPr>
                <w:rFonts w:ascii="宋体" w:hAnsi="宋体" w:cs="宋体" w:eastAsia="宋体" w:hint="default"/>
                <w:sz w:val="24"/>
                <w:szCs w:val="24"/>
              </w:rPr>
            </w:pPr>
            <w:r>
              <w:rPr>
                <w:rFonts w:ascii="Arial" w:hAnsi="Arial" w:cs="Arial" w:eastAsia="Arial" w:hint="default"/>
                <w:sz w:val="24"/>
                <w:szCs w:val="24"/>
              </w:rPr>
              <w:t>7</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pacing w:val="-10"/>
                <w:sz w:val="24"/>
                <w:szCs w:val="24"/>
              </w:rPr>
              <w:t>11</w:t>
            </w:r>
            <w:r>
              <w:rPr>
                <w:rFonts w:ascii="Arial" w:hAnsi="Arial" w:cs="Arial" w:eastAsia="Arial" w:hint="default"/>
                <w:spacing w:val="-6"/>
                <w:sz w:val="24"/>
                <w:szCs w:val="24"/>
              </w:rPr>
              <w:t> </w:t>
            </w:r>
            <w:r>
              <w:rPr>
                <w:rFonts w:ascii="宋体" w:hAnsi="宋体" w:cs="宋体" w:eastAsia="宋体" w:hint="default"/>
                <w:sz w:val="24"/>
                <w:szCs w:val="24"/>
              </w:rPr>
              <w:t>日</w:t>
            </w:r>
          </w:p>
        </w:tc>
        <w:tc>
          <w:tcPr>
            <w:tcW w:w="517"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320" w:lineRule="exact" w:before="86"/>
              <w:ind w:left="286"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w:t>
            </w:r>
          </w:p>
          <w:p>
            <w:pPr>
              <w:pStyle w:val="TableParagraph"/>
              <w:spacing w:line="320" w:lineRule="exact"/>
              <w:ind w:left="77" w:right="0"/>
              <w:jc w:val="left"/>
              <w:rPr>
                <w:rFonts w:ascii="宋体" w:hAnsi="宋体" w:cs="宋体" w:eastAsia="宋体" w:hint="default"/>
                <w:sz w:val="24"/>
                <w:szCs w:val="24"/>
              </w:rPr>
            </w:pPr>
            <w:r>
              <w:rPr>
                <w:rFonts w:ascii="Arial" w:hAnsi="Arial" w:cs="Arial" w:eastAsia="Arial" w:hint="default"/>
                <w:sz w:val="24"/>
                <w:szCs w:val="24"/>
              </w:rPr>
              <w:t>1</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pacing w:val="-10"/>
                <w:sz w:val="24"/>
                <w:szCs w:val="24"/>
              </w:rPr>
              <w:t>11</w:t>
            </w:r>
            <w:r>
              <w:rPr>
                <w:rFonts w:ascii="Arial" w:hAnsi="Arial" w:cs="Arial" w:eastAsia="Arial" w:hint="default"/>
                <w:spacing w:val="-6"/>
                <w:sz w:val="24"/>
                <w:szCs w:val="24"/>
              </w:rPr>
              <w:t> </w:t>
            </w:r>
            <w:r>
              <w:rPr>
                <w:rFonts w:ascii="宋体" w:hAnsi="宋体" w:cs="宋体" w:eastAsia="宋体" w:hint="default"/>
                <w:sz w:val="24"/>
                <w:szCs w:val="24"/>
              </w:rPr>
              <w:t>日</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1"/>
              <w:ind w:right="116"/>
              <w:jc w:val="right"/>
              <w:rPr>
                <w:rFonts w:ascii="Arial" w:hAnsi="Arial" w:cs="Arial" w:eastAsia="Arial" w:hint="default"/>
                <w:sz w:val="24"/>
                <w:szCs w:val="24"/>
              </w:rPr>
            </w:pPr>
            <w:r>
              <w:rPr>
                <w:rFonts w:ascii="Arial"/>
                <w:spacing w:val="-1"/>
                <w:sz w:val="24"/>
              </w:rPr>
              <w:t>1,000</w:t>
            </w:r>
          </w:p>
        </w:tc>
      </w:tr>
      <w:tr>
        <w:trPr>
          <w:trHeight w:val="898" w:hRule="exact"/>
        </w:trPr>
        <w:tc>
          <w:tcPr>
            <w:tcW w:w="692" w:type="dxa"/>
            <w:tcBorders>
              <w:top w:val="nil" w:sz="6" w:space="0" w:color="auto"/>
              <w:left w:val="nil" w:sz="6" w:space="0" w:color="auto"/>
              <w:bottom w:val="nil" w:sz="6" w:space="0" w:color="auto"/>
              <w:right w:val="nil" w:sz="6" w:space="0" w:color="auto"/>
            </w:tcBorders>
          </w:tcPr>
          <w:p>
            <w:pPr/>
          </w:p>
        </w:tc>
        <w:tc>
          <w:tcPr>
            <w:tcW w:w="3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4"/>
                <w:szCs w:val="34"/>
              </w:rPr>
            </w:pPr>
          </w:p>
          <w:p>
            <w:pPr>
              <w:pStyle w:val="TableParagraph"/>
              <w:spacing w:line="240" w:lineRule="auto"/>
              <w:ind w:left="215" w:right="0"/>
              <w:jc w:val="left"/>
              <w:rPr>
                <w:rFonts w:ascii="宋体" w:hAnsi="宋体" w:cs="宋体" w:eastAsia="宋体" w:hint="default"/>
                <w:sz w:val="24"/>
                <w:szCs w:val="24"/>
              </w:rPr>
            </w:pPr>
            <w:r>
              <w:rPr>
                <w:rFonts w:ascii="宋体" w:hAnsi="宋体" w:cs="宋体" w:eastAsia="宋体" w:hint="default"/>
                <w:sz w:val="24"/>
                <w:szCs w:val="24"/>
              </w:rPr>
              <w:t>赣州市和美电器有限公司</w:t>
            </w:r>
          </w:p>
        </w:tc>
        <w:tc>
          <w:tcPr>
            <w:tcW w:w="242"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322" w:lineRule="exact" w:before="85"/>
              <w:ind w:left="490"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left="130"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27</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517"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322" w:lineRule="exact" w:before="85"/>
              <w:ind w:left="286"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w:t>
            </w:r>
          </w:p>
          <w:p>
            <w:pPr>
              <w:pStyle w:val="TableParagraph"/>
              <w:spacing w:line="322" w:lineRule="exact"/>
              <w:ind w:left="58" w:right="0"/>
              <w:jc w:val="left"/>
              <w:rPr>
                <w:rFonts w:ascii="宋体" w:hAnsi="宋体" w:cs="宋体" w:eastAsia="宋体" w:hint="default"/>
                <w:sz w:val="24"/>
                <w:szCs w:val="24"/>
              </w:rPr>
            </w:pPr>
            <w:r>
              <w:rPr>
                <w:rFonts w:ascii="Arial" w:hAnsi="Arial" w:cs="Arial" w:eastAsia="Arial" w:hint="default"/>
                <w:sz w:val="24"/>
                <w:szCs w:val="24"/>
              </w:rPr>
              <w:t>6</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27</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1"/>
              <w:ind w:right="115"/>
              <w:jc w:val="right"/>
              <w:rPr>
                <w:rFonts w:ascii="Arial" w:hAnsi="Arial" w:cs="Arial" w:eastAsia="Arial" w:hint="default"/>
                <w:sz w:val="24"/>
                <w:szCs w:val="24"/>
              </w:rPr>
            </w:pPr>
            <w:r>
              <w:rPr>
                <w:rFonts w:ascii="Arial"/>
                <w:w w:val="95"/>
                <w:sz w:val="24"/>
              </w:rPr>
              <w:t>600</w:t>
            </w:r>
            <w:r>
              <w:rPr>
                <w:rFonts w:ascii="Arial"/>
                <w:sz w:val="24"/>
              </w:rPr>
            </w:r>
          </w:p>
        </w:tc>
      </w:tr>
      <w:tr>
        <w:trPr>
          <w:trHeight w:val="900" w:hRule="exact"/>
        </w:trPr>
        <w:tc>
          <w:tcPr>
            <w:tcW w:w="692" w:type="dxa"/>
            <w:tcBorders>
              <w:top w:val="nil" w:sz="6" w:space="0" w:color="auto"/>
              <w:left w:val="nil" w:sz="6" w:space="0" w:color="auto"/>
              <w:bottom w:val="nil" w:sz="6" w:space="0" w:color="auto"/>
              <w:right w:val="nil" w:sz="6" w:space="0" w:color="auto"/>
            </w:tcBorders>
          </w:tcPr>
          <w:p>
            <w:pPr/>
          </w:p>
        </w:tc>
        <w:tc>
          <w:tcPr>
            <w:tcW w:w="3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4"/>
                <w:szCs w:val="34"/>
              </w:rPr>
            </w:pPr>
          </w:p>
          <w:p>
            <w:pPr>
              <w:pStyle w:val="TableParagraph"/>
              <w:spacing w:line="240" w:lineRule="auto"/>
              <w:ind w:left="215" w:right="0"/>
              <w:jc w:val="left"/>
              <w:rPr>
                <w:rFonts w:ascii="宋体" w:hAnsi="宋体" w:cs="宋体" w:eastAsia="宋体" w:hint="default"/>
                <w:sz w:val="24"/>
                <w:szCs w:val="24"/>
              </w:rPr>
            </w:pPr>
            <w:r>
              <w:rPr>
                <w:rFonts w:ascii="宋体" w:hAnsi="宋体" w:cs="宋体" w:eastAsia="宋体" w:hint="default"/>
                <w:sz w:val="24"/>
                <w:szCs w:val="24"/>
              </w:rPr>
              <w:t>吉安市吉州区锐航电器营销中心</w:t>
            </w:r>
          </w:p>
        </w:tc>
        <w:tc>
          <w:tcPr>
            <w:tcW w:w="242"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322" w:lineRule="exact" w:before="85"/>
              <w:ind w:left="490"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left="130"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19</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517"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322" w:lineRule="exact" w:before="85"/>
              <w:ind w:left="286"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w:t>
            </w:r>
          </w:p>
          <w:p>
            <w:pPr>
              <w:pStyle w:val="TableParagraph"/>
              <w:spacing w:line="322" w:lineRule="exact"/>
              <w:ind w:left="58" w:right="0"/>
              <w:jc w:val="left"/>
              <w:rPr>
                <w:rFonts w:ascii="宋体" w:hAnsi="宋体" w:cs="宋体" w:eastAsia="宋体" w:hint="default"/>
                <w:sz w:val="24"/>
                <w:szCs w:val="24"/>
              </w:rPr>
            </w:pPr>
            <w:r>
              <w:rPr>
                <w:rFonts w:ascii="Arial" w:hAnsi="Arial" w:cs="Arial" w:eastAsia="Arial" w:hint="default"/>
                <w:sz w:val="24"/>
                <w:szCs w:val="24"/>
              </w:rPr>
              <w:t>6</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19</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115"/>
              <w:jc w:val="right"/>
              <w:rPr>
                <w:rFonts w:ascii="Arial" w:hAnsi="Arial" w:cs="Arial" w:eastAsia="Arial" w:hint="default"/>
                <w:sz w:val="24"/>
                <w:szCs w:val="24"/>
              </w:rPr>
            </w:pPr>
            <w:r>
              <w:rPr>
                <w:rFonts w:ascii="Arial"/>
                <w:w w:val="95"/>
                <w:sz w:val="24"/>
              </w:rPr>
              <w:t>400</w:t>
            </w:r>
            <w:r>
              <w:rPr>
                <w:rFonts w:ascii="Arial"/>
                <w:sz w:val="24"/>
              </w:rPr>
            </w:r>
          </w:p>
        </w:tc>
      </w:tr>
      <w:tr>
        <w:trPr>
          <w:trHeight w:val="759" w:hRule="exact"/>
        </w:trPr>
        <w:tc>
          <w:tcPr>
            <w:tcW w:w="692"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4"/>
                <w:szCs w:val="34"/>
              </w:rPr>
            </w:pPr>
          </w:p>
          <w:p>
            <w:pPr>
              <w:pStyle w:val="TableParagraph"/>
              <w:spacing w:line="240" w:lineRule="auto"/>
              <w:ind w:left="215" w:right="-31"/>
              <w:jc w:val="left"/>
              <w:rPr>
                <w:rFonts w:ascii="宋体" w:hAnsi="宋体" w:cs="宋体" w:eastAsia="宋体" w:hint="default"/>
                <w:sz w:val="24"/>
                <w:szCs w:val="24"/>
              </w:rPr>
            </w:pPr>
            <w:r>
              <w:rPr>
                <w:rFonts w:ascii="宋体" w:hAnsi="宋体" w:cs="宋体" w:eastAsia="宋体" w:hint="default"/>
                <w:sz w:val="24"/>
                <w:szCs w:val="24"/>
              </w:rPr>
              <w:t>江苏虎豹集团有限公</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4"/>
                <w:szCs w:val="34"/>
              </w:rPr>
            </w:pPr>
          </w:p>
          <w:p>
            <w:pPr>
              <w:pStyle w:val="TableParagraph"/>
              <w:spacing w:line="240" w:lineRule="auto"/>
              <w:ind w:left="3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242"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320" w:lineRule="exact" w:before="85"/>
              <w:ind w:left="490"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0" w:lineRule="exact"/>
              <w:ind w:left="262" w:right="0"/>
              <w:jc w:val="left"/>
              <w:rPr>
                <w:rFonts w:ascii="宋体" w:hAnsi="宋体" w:cs="宋体" w:eastAsia="宋体" w:hint="default"/>
                <w:sz w:val="24"/>
                <w:szCs w:val="24"/>
              </w:rPr>
            </w:pPr>
            <w:r>
              <w:rPr>
                <w:rFonts w:ascii="Arial" w:hAnsi="Arial" w:cs="Arial" w:eastAsia="Arial" w:hint="default"/>
                <w:sz w:val="24"/>
                <w:szCs w:val="24"/>
              </w:rPr>
              <w:t>9</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28</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517"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320" w:lineRule="exact" w:before="85"/>
              <w:ind w:left="286"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w:t>
            </w:r>
          </w:p>
          <w:p>
            <w:pPr>
              <w:pStyle w:val="TableParagraph"/>
              <w:spacing w:line="320" w:lineRule="exact"/>
              <w:ind w:left="58" w:right="0"/>
              <w:jc w:val="left"/>
              <w:rPr>
                <w:rFonts w:ascii="宋体" w:hAnsi="宋体" w:cs="宋体" w:eastAsia="宋体" w:hint="default"/>
                <w:sz w:val="24"/>
                <w:szCs w:val="24"/>
              </w:rPr>
            </w:pP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28</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tabs>
                <w:tab w:pos="772" w:val="left" w:leader="none"/>
              </w:tabs>
              <w:spacing w:line="240" w:lineRule="auto" w:before="191"/>
              <w:ind w:right="115"/>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400</w:t>
            </w:r>
            <w:r>
              <w:rPr>
                <w:rFonts w:ascii="Arial"/>
                <w:w w:val="95"/>
                <w:sz w:val="24"/>
              </w:rPr>
            </w:r>
            <w:r>
              <w:rPr>
                <w:rFonts w:ascii="Arial"/>
                <w:sz w:val="24"/>
              </w:rPr>
            </w:r>
          </w:p>
        </w:tc>
      </w:tr>
      <w:tr>
        <w:trPr>
          <w:trHeight w:val="285" w:hRule="exact"/>
        </w:trPr>
        <w:tc>
          <w:tcPr>
            <w:tcW w:w="692"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517"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single" w:sz="12" w:space="0" w:color="000000"/>
              <w:right w:val="nil" w:sz="6" w:space="0" w:color="auto"/>
            </w:tcBorders>
          </w:tcPr>
          <w:p>
            <w:pPr>
              <w:pStyle w:val="TableParagraph"/>
              <w:spacing w:line="266" w:lineRule="exact"/>
              <w:ind w:right="116"/>
              <w:jc w:val="right"/>
              <w:rPr>
                <w:rFonts w:ascii="Arial" w:hAnsi="Arial" w:cs="Arial" w:eastAsia="Arial" w:hint="default"/>
                <w:sz w:val="24"/>
                <w:szCs w:val="24"/>
              </w:rPr>
            </w:pPr>
            <w:r>
              <w:rPr>
                <w:rFonts w:ascii="Arial"/>
                <w:spacing w:val="-1"/>
                <w:sz w:val="24"/>
              </w:rPr>
              <w:t>43,688</w:t>
            </w:r>
          </w:p>
        </w:tc>
      </w:tr>
      <w:tr>
        <w:trPr>
          <w:trHeight w:val="940"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left="1" w:right="0"/>
              <w:jc w:val="center"/>
              <w:rPr>
                <w:rFonts w:ascii="Arial" w:hAnsi="Arial" w:cs="Arial" w:eastAsia="Arial" w:hint="default"/>
                <w:sz w:val="24"/>
                <w:szCs w:val="24"/>
              </w:rPr>
            </w:pPr>
            <w:r>
              <w:rPr>
                <w:rFonts w:ascii="Arial"/>
                <w:sz w:val="24"/>
              </w:rPr>
              <w:t>(3)</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215" w:right="0"/>
              <w:jc w:val="left"/>
              <w:rPr>
                <w:rFonts w:ascii="黑体" w:hAnsi="黑体" w:cs="黑体" w:eastAsia="黑体" w:hint="default"/>
                <w:sz w:val="24"/>
                <w:szCs w:val="24"/>
              </w:rPr>
            </w:pPr>
            <w:r>
              <w:rPr>
                <w:rFonts w:ascii="黑体" w:hAnsi="黑体" w:cs="黑体" w:eastAsia="黑体" w:hint="default"/>
                <w:sz w:val="24"/>
                <w:szCs w:val="24"/>
              </w:rPr>
              <w:t>应收利息</w:t>
            </w:r>
          </w:p>
        </w:tc>
        <w:tc>
          <w:tcPr>
            <w:tcW w:w="1486"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517"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1329" w:type="dxa"/>
            <w:tcBorders>
              <w:top w:val="single" w:sz="12" w:space="0" w:color="000000"/>
              <w:left w:val="nil" w:sz="6" w:space="0" w:color="auto"/>
              <w:bottom w:val="nil" w:sz="6" w:space="0" w:color="auto"/>
              <w:right w:val="nil" w:sz="6" w:space="0" w:color="auto"/>
            </w:tcBorders>
          </w:tcPr>
          <w:p>
            <w:pPr/>
          </w:p>
        </w:tc>
      </w:tr>
      <w:tr>
        <w:trPr>
          <w:trHeight w:val="926" w:hRule="exact"/>
        </w:trPr>
        <w:tc>
          <w:tcPr>
            <w:tcW w:w="692" w:type="dxa"/>
            <w:tcBorders>
              <w:top w:val="nil" w:sz="6" w:space="0" w:color="auto"/>
              <w:left w:val="nil" w:sz="6" w:space="0" w:color="auto"/>
              <w:bottom w:val="nil" w:sz="6" w:space="0" w:color="auto"/>
              <w:right w:val="nil" w:sz="6" w:space="0" w:color="auto"/>
            </w:tcBorders>
          </w:tcPr>
          <w:p>
            <w:pPr/>
          </w:p>
        </w:tc>
        <w:tc>
          <w:tcPr>
            <w:tcW w:w="3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right="5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240" w:lineRule="auto" w:before="19"/>
              <w:ind w:right="53"/>
              <w:jc w:val="righ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42"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25" w:right="0"/>
              <w:jc w:val="left"/>
              <w:rPr>
                <w:rFonts w:ascii="宋体" w:hAnsi="宋体" w:cs="宋体" w:eastAsia="宋体" w:hint="default"/>
                <w:sz w:val="24"/>
                <w:szCs w:val="24"/>
              </w:rPr>
            </w:pPr>
            <w:r>
              <w:rPr>
                <w:rFonts w:ascii="宋体" w:hAnsi="宋体" w:cs="宋体" w:eastAsia="宋体" w:hint="default"/>
                <w:sz w:val="24"/>
                <w:szCs w:val="24"/>
              </w:rPr>
              <w:t>本年增加</w:t>
            </w:r>
          </w:p>
        </w:tc>
        <w:tc>
          <w:tcPr>
            <w:tcW w:w="1657"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61" w:right="0"/>
              <w:jc w:val="left"/>
              <w:rPr>
                <w:rFonts w:ascii="宋体" w:hAnsi="宋体" w:cs="宋体" w:eastAsia="宋体" w:hint="default"/>
                <w:sz w:val="24"/>
                <w:szCs w:val="24"/>
              </w:rPr>
            </w:pPr>
            <w:r>
              <w:rPr>
                <w:rFonts w:ascii="宋体" w:hAnsi="宋体" w:cs="宋体" w:eastAsia="宋体" w:hint="default"/>
                <w:sz w:val="24"/>
                <w:szCs w:val="24"/>
              </w:rPr>
              <w:t>本年减少</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376"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240" w:lineRule="auto" w:before="19"/>
              <w:ind w:left="16"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710" w:hRule="exact"/>
        </w:trPr>
        <w:tc>
          <w:tcPr>
            <w:tcW w:w="692"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spacing w:line="310" w:lineRule="exact" w:before="29"/>
              <w:ind w:left="481" w:right="34" w:hanging="267"/>
              <w:jc w:val="left"/>
              <w:rPr>
                <w:rFonts w:ascii="宋体" w:hAnsi="宋体" w:cs="宋体" w:eastAsia="宋体" w:hint="default"/>
                <w:sz w:val="24"/>
                <w:szCs w:val="24"/>
              </w:rPr>
            </w:pPr>
            <w:r>
              <w:rPr>
                <w:rFonts w:ascii="宋体" w:hAnsi="宋体" w:cs="宋体" w:eastAsia="宋体" w:hint="default"/>
                <w:spacing w:val="18"/>
                <w:sz w:val="24"/>
                <w:szCs w:val="24"/>
              </w:rPr>
              <w:t>银行承兑汇票保证</w:t>
            </w:r>
            <w:r>
              <w:rPr>
                <w:rFonts w:ascii="宋体" w:hAnsi="宋体" w:cs="宋体" w:eastAsia="宋体" w:hint="default"/>
                <w:spacing w:val="-118"/>
                <w:sz w:val="24"/>
                <w:szCs w:val="24"/>
              </w:rPr>
              <w:t> </w:t>
            </w:r>
            <w:r>
              <w:rPr>
                <w:rFonts w:ascii="宋体" w:hAnsi="宋体" w:cs="宋体" w:eastAsia="宋体" w:hint="default"/>
                <w:sz w:val="24"/>
                <w:szCs w:val="24"/>
              </w:rPr>
              <w:t>金利息</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32"/>
                <w:szCs w:val="32"/>
              </w:rPr>
            </w:pPr>
          </w:p>
          <w:p>
            <w:pPr>
              <w:pStyle w:val="TableParagraph"/>
              <w:spacing w:line="240" w:lineRule="auto"/>
              <w:ind w:right="54"/>
              <w:jc w:val="right"/>
              <w:rPr>
                <w:rFonts w:ascii="Arial" w:hAnsi="Arial" w:cs="Arial" w:eastAsia="Arial" w:hint="default"/>
                <w:sz w:val="24"/>
                <w:szCs w:val="24"/>
              </w:rPr>
            </w:pPr>
            <w:r>
              <w:rPr>
                <w:rFonts w:ascii="Arial"/>
                <w:spacing w:val="-1"/>
                <w:sz w:val="24"/>
              </w:rPr>
              <w:t>74,821</w:t>
            </w:r>
          </w:p>
        </w:tc>
        <w:tc>
          <w:tcPr>
            <w:tcW w:w="242"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32"/>
                <w:szCs w:val="32"/>
              </w:rPr>
            </w:pPr>
          </w:p>
          <w:p>
            <w:pPr>
              <w:pStyle w:val="TableParagraph"/>
              <w:spacing w:line="240" w:lineRule="auto"/>
              <w:ind w:left="170" w:right="0"/>
              <w:jc w:val="left"/>
              <w:rPr>
                <w:rFonts w:ascii="Arial" w:hAnsi="Arial" w:cs="Arial" w:eastAsia="Arial" w:hint="default"/>
                <w:sz w:val="24"/>
                <w:szCs w:val="24"/>
              </w:rPr>
            </w:pPr>
            <w:r>
              <w:rPr>
                <w:rFonts w:ascii="Arial"/>
                <w:sz w:val="24"/>
              </w:rPr>
              <w:t>278,558</w:t>
            </w:r>
          </w:p>
        </w:tc>
        <w:tc>
          <w:tcPr>
            <w:tcW w:w="16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32"/>
                <w:szCs w:val="32"/>
              </w:rPr>
            </w:pPr>
          </w:p>
          <w:p>
            <w:pPr>
              <w:pStyle w:val="TableParagraph"/>
              <w:spacing w:line="240" w:lineRule="auto"/>
              <w:ind w:left="143" w:right="0"/>
              <w:jc w:val="left"/>
              <w:rPr>
                <w:rFonts w:ascii="Arial" w:hAnsi="Arial" w:cs="Arial" w:eastAsia="Arial" w:hint="default"/>
                <w:sz w:val="24"/>
                <w:szCs w:val="24"/>
              </w:rPr>
            </w:pPr>
            <w:r>
              <w:rPr>
                <w:rFonts w:ascii="Arial"/>
                <w:sz w:val="24"/>
              </w:rPr>
              <w:t>(279,032)</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32"/>
                <w:szCs w:val="32"/>
              </w:rPr>
            </w:pPr>
          </w:p>
          <w:p>
            <w:pPr>
              <w:pStyle w:val="TableParagraph"/>
              <w:spacing w:line="240" w:lineRule="auto"/>
              <w:ind w:right="116"/>
              <w:jc w:val="right"/>
              <w:rPr>
                <w:rFonts w:ascii="Arial" w:hAnsi="Arial" w:cs="Arial" w:eastAsia="Arial" w:hint="default"/>
                <w:sz w:val="24"/>
                <w:szCs w:val="24"/>
              </w:rPr>
            </w:pPr>
            <w:r>
              <w:rPr>
                <w:rFonts w:ascii="Arial"/>
                <w:spacing w:val="-1"/>
                <w:sz w:val="24"/>
              </w:rPr>
              <w:t>74,347</w:t>
            </w:r>
          </w:p>
        </w:tc>
      </w:tr>
      <w:tr>
        <w:trPr>
          <w:trHeight w:val="383" w:hRule="exact"/>
        </w:trPr>
        <w:tc>
          <w:tcPr>
            <w:tcW w:w="692"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spacing w:line="301" w:lineRule="exact"/>
              <w:ind w:left="215" w:right="0"/>
              <w:jc w:val="left"/>
              <w:rPr>
                <w:rFonts w:ascii="宋体" w:hAnsi="宋体" w:cs="宋体" w:eastAsia="宋体" w:hint="default"/>
                <w:sz w:val="24"/>
                <w:szCs w:val="24"/>
              </w:rPr>
            </w:pPr>
            <w:r>
              <w:rPr>
                <w:rFonts w:ascii="宋体" w:hAnsi="宋体" w:cs="宋体" w:eastAsia="宋体" w:hint="default"/>
                <w:sz w:val="24"/>
                <w:szCs w:val="24"/>
              </w:rPr>
              <w:t>定期存款利息</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81"/>
              <w:jc w:val="right"/>
              <w:rPr>
                <w:rFonts w:ascii="Arial" w:hAnsi="Arial" w:cs="Arial" w:eastAsia="Arial" w:hint="default"/>
                <w:sz w:val="24"/>
                <w:szCs w:val="24"/>
              </w:rPr>
            </w:pPr>
            <w:r>
              <w:rPr>
                <w:rFonts w:ascii="Arial"/>
                <w:w w:val="99"/>
                <w:sz w:val="24"/>
              </w:rPr>
              <w:t>-</w:t>
            </w:r>
            <w:r>
              <w:rPr>
                <w:rFonts w:ascii="Arial"/>
                <w:sz w:val="24"/>
              </w:rPr>
            </w:r>
          </w:p>
        </w:tc>
        <w:tc>
          <w:tcPr>
            <w:tcW w:w="242"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70" w:right="0"/>
              <w:jc w:val="left"/>
              <w:rPr>
                <w:rFonts w:ascii="Arial" w:hAnsi="Arial" w:cs="Arial" w:eastAsia="Arial" w:hint="default"/>
                <w:sz w:val="24"/>
                <w:szCs w:val="24"/>
              </w:rPr>
            </w:pPr>
            <w:r>
              <w:rPr>
                <w:rFonts w:ascii="Arial"/>
                <w:sz w:val="24"/>
              </w:rPr>
              <w:t>241,748</w:t>
            </w:r>
          </w:p>
        </w:tc>
        <w:tc>
          <w:tcPr>
            <w:tcW w:w="16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143" w:right="0"/>
              <w:jc w:val="left"/>
              <w:rPr>
                <w:rFonts w:ascii="Arial" w:hAnsi="Arial" w:cs="Arial" w:eastAsia="Arial" w:hint="default"/>
                <w:sz w:val="24"/>
                <w:szCs w:val="24"/>
              </w:rPr>
            </w:pPr>
            <w:r>
              <w:rPr>
                <w:rFonts w:ascii="Arial"/>
                <w:sz w:val="24"/>
              </w:rPr>
              <w:t>(228,366)</w:t>
            </w:r>
          </w:p>
        </w:tc>
        <w:tc>
          <w:tcPr>
            <w:tcW w:w="132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16"/>
              <w:jc w:val="right"/>
              <w:rPr>
                <w:rFonts w:ascii="Arial" w:hAnsi="Arial" w:cs="Arial" w:eastAsia="Arial" w:hint="default"/>
                <w:sz w:val="24"/>
                <w:szCs w:val="24"/>
              </w:rPr>
            </w:pPr>
            <w:r>
              <w:rPr>
                <w:rFonts w:ascii="Arial"/>
                <w:spacing w:val="-1"/>
                <w:sz w:val="24"/>
              </w:rPr>
              <w:t>13,382</w:t>
            </w:r>
          </w:p>
        </w:tc>
      </w:tr>
      <w:tr>
        <w:trPr>
          <w:trHeight w:val="377" w:hRule="exact"/>
        </w:trPr>
        <w:tc>
          <w:tcPr>
            <w:tcW w:w="692"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54"/>
              <w:jc w:val="right"/>
              <w:rPr>
                <w:rFonts w:ascii="Arial" w:hAnsi="Arial" w:cs="Arial" w:eastAsia="Arial" w:hint="default"/>
                <w:sz w:val="24"/>
                <w:szCs w:val="24"/>
              </w:rPr>
            </w:pPr>
            <w:r>
              <w:rPr>
                <w:rFonts w:ascii="Arial"/>
                <w:spacing w:val="-1"/>
                <w:sz w:val="24"/>
              </w:rPr>
              <w:t>74,821</w:t>
            </w:r>
          </w:p>
        </w:tc>
        <w:tc>
          <w:tcPr>
            <w:tcW w:w="242" w:type="dxa"/>
            <w:tcBorders>
              <w:top w:val="nil" w:sz="6" w:space="0" w:color="auto"/>
              <w:left w:val="nil" w:sz="6" w:space="0" w:color="auto"/>
              <w:bottom w:val="nil" w:sz="6" w:space="0" w:color="auto"/>
              <w:right w:val="nil" w:sz="6" w:space="0" w:color="auto"/>
            </w:tcBorders>
          </w:tcPr>
          <w:p>
            <w:pPr/>
          </w:p>
        </w:tc>
        <w:tc>
          <w:tcPr>
            <w:tcW w:w="1332"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left="170" w:right="0"/>
              <w:jc w:val="left"/>
              <w:rPr>
                <w:rFonts w:ascii="Arial" w:hAnsi="Arial" w:cs="Arial" w:eastAsia="Arial" w:hint="default"/>
                <w:sz w:val="24"/>
                <w:szCs w:val="24"/>
              </w:rPr>
            </w:pPr>
            <w:r>
              <w:rPr>
                <w:rFonts w:ascii="Arial"/>
                <w:sz w:val="24"/>
              </w:rPr>
              <w:t>520,306</w:t>
            </w:r>
          </w:p>
        </w:tc>
        <w:tc>
          <w:tcPr>
            <w:tcW w:w="1657"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1.25pt;height:.5pt;mso-position-horizontal-relative:char;mso-position-vertical-relative:line" coordorigin="0,0" coordsize="1225,10">
                  <v:group style="position:absolute;left:5;top:5;width:1215;height:2" coordorigin="5,5" coordsize="1215,2">
                    <v:shape style="position:absolute;left:5;top:5;width:1215;height:2" coordorigin="5,5" coordsize="1215,0" path="m5,5l1220,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8"/>
              <w:ind w:left="143" w:right="0"/>
              <w:jc w:val="left"/>
              <w:rPr>
                <w:rFonts w:ascii="Arial" w:hAnsi="Arial" w:cs="Arial" w:eastAsia="Arial" w:hint="default"/>
                <w:sz w:val="24"/>
                <w:szCs w:val="24"/>
              </w:rPr>
            </w:pPr>
            <w:r>
              <w:rPr>
                <w:rFonts w:ascii="Arial"/>
                <w:sz w:val="24"/>
              </w:rPr>
              <w:t>(507,398)</w:t>
            </w:r>
          </w:p>
        </w:tc>
        <w:tc>
          <w:tcPr>
            <w:tcW w:w="1329"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16"/>
              <w:jc w:val="right"/>
              <w:rPr>
                <w:rFonts w:ascii="Arial" w:hAnsi="Arial" w:cs="Arial" w:eastAsia="Arial" w:hint="default"/>
                <w:sz w:val="24"/>
                <w:szCs w:val="24"/>
              </w:rPr>
            </w:pPr>
            <w:r>
              <w:rPr>
                <w:rFonts w:ascii="Arial"/>
                <w:spacing w:val="-1"/>
                <w:sz w:val="24"/>
              </w:rPr>
              <w:t>87,729</w:t>
            </w:r>
          </w:p>
        </w:tc>
      </w:tr>
    </w:tbl>
    <w:p>
      <w:pPr>
        <w:spacing w:after="0" w:line="240" w:lineRule="auto"/>
        <w:jc w:val="right"/>
        <w:rPr>
          <w:rFonts w:ascii="Arial" w:hAnsi="Arial" w:cs="Arial" w:eastAsia="Arial"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483"/>
        <w:gridCol w:w="3304"/>
        <w:gridCol w:w="2364"/>
        <w:gridCol w:w="564"/>
        <w:gridCol w:w="2412"/>
      </w:tblGrid>
      <w:tr>
        <w:trPr>
          <w:trHeight w:val="1341" w:hRule="exact"/>
        </w:trPr>
        <w:tc>
          <w:tcPr>
            <w:tcW w:w="48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sz w:val="24"/>
                <w:szCs w:val="24"/>
              </w:rPr>
              <w:t>五</w:t>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2"/>
              <w:ind w:left="35" w:right="0"/>
              <w:jc w:val="left"/>
              <w:rPr>
                <w:rFonts w:ascii="Arial" w:hAnsi="Arial" w:cs="Arial" w:eastAsia="Arial" w:hint="default"/>
                <w:sz w:val="24"/>
                <w:szCs w:val="24"/>
              </w:rPr>
            </w:pPr>
            <w:r>
              <w:rPr>
                <w:rFonts w:ascii="Arial"/>
                <w:sz w:val="24"/>
              </w:rPr>
              <w:t>(4)</w:t>
            </w:r>
          </w:p>
        </w:tc>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5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39"/>
              <w:ind w:left="154" w:right="0"/>
              <w:jc w:val="left"/>
              <w:rPr>
                <w:rFonts w:ascii="黑体" w:hAnsi="黑体" w:cs="黑体" w:eastAsia="黑体" w:hint="default"/>
                <w:sz w:val="24"/>
                <w:szCs w:val="24"/>
              </w:rPr>
            </w:pPr>
            <w:r>
              <w:rPr>
                <w:rFonts w:ascii="黑体" w:hAnsi="黑体" w:cs="黑体" w:eastAsia="黑体" w:hint="default"/>
                <w:sz w:val="24"/>
                <w:szCs w:val="24"/>
              </w:rPr>
              <w:t>应收账款</w:t>
            </w:r>
          </w:p>
        </w:tc>
        <w:tc>
          <w:tcPr>
            <w:tcW w:w="5341" w:type="dxa"/>
            <w:gridSpan w:val="3"/>
            <w:tcBorders>
              <w:top w:val="nil" w:sz="6" w:space="0" w:color="auto"/>
              <w:left w:val="nil" w:sz="6" w:space="0" w:color="auto"/>
              <w:bottom w:val="nil" w:sz="6" w:space="0" w:color="auto"/>
              <w:right w:val="nil" w:sz="6" w:space="0" w:color="auto"/>
            </w:tcBorders>
          </w:tcPr>
          <w:p>
            <w:pPr/>
          </w:p>
        </w:tc>
      </w:tr>
      <w:tr>
        <w:trPr>
          <w:trHeight w:val="763" w:hRule="exact"/>
        </w:trPr>
        <w:tc>
          <w:tcPr>
            <w:tcW w:w="483" w:type="dxa"/>
            <w:tcBorders>
              <w:top w:val="nil" w:sz="6" w:space="0" w:color="auto"/>
              <w:left w:val="nil" w:sz="6" w:space="0" w:color="auto"/>
              <w:bottom w:val="nil" w:sz="6" w:space="0" w:color="auto"/>
              <w:right w:val="nil" w:sz="6" w:space="0" w:color="auto"/>
            </w:tcBorders>
          </w:tcPr>
          <w:p>
            <w:pPr/>
          </w:p>
        </w:tc>
        <w:tc>
          <w:tcPr>
            <w:tcW w:w="3304"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101"/>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564"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232"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87" w:hRule="exact"/>
        </w:trPr>
        <w:tc>
          <w:tcPr>
            <w:tcW w:w="483" w:type="dxa"/>
            <w:tcBorders>
              <w:top w:val="nil" w:sz="6" w:space="0" w:color="auto"/>
              <w:left w:val="nil" w:sz="6" w:space="0" w:color="auto"/>
              <w:bottom w:val="nil" w:sz="6" w:space="0" w:color="auto"/>
              <w:right w:val="nil" w:sz="6" w:space="0" w:color="auto"/>
            </w:tcBorders>
          </w:tcPr>
          <w:p>
            <w:pPr/>
          </w:p>
        </w:tc>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4"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Arial" w:hAnsi="Arial" w:cs="Arial" w:eastAsia="Arial" w:hint="default"/>
                <w:sz w:val="24"/>
                <w:szCs w:val="24"/>
              </w:rPr>
            </w:pPr>
            <w:r>
              <w:rPr>
                <w:rFonts w:ascii="Arial"/>
                <w:spacing w:val="-1"/>
                <w:sz w:val="24"/>
              </w:rPr>
              <w:t>1,306,067</w:t>
            </w:r>
          </w:p>
        </w:tc>
        <w:tc>
          <w:tcPr>
            <w:tcW w:w="564"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07"/>
              <w:jc w:val="right"/>
              <w:rPr>
                <w:rFonts w:ascii="Arial" w:hAnsi="Arial" w:cs="Arial" w:eastAsia="Arial" w:hint="default"/>
                <w:sz w:val="24"/>
                <w:szCs w:val="24"/>
              </w:rPr>
            </w:pPr>
            <w:r>
              <w:rPr>
                <w:rFonts w:ascii="Arial"/>
                <w:spacing w:val="-1"/>
                <w:sz w:val="24"/>
              </w:rPr>
              <w:t>1,873,334</w:t>
            </w:r>
          </w:p>
        </w:tc>
      </w:tr>
      <w:tr>
        <w:trPr>
          <w:trHeight w:val="383" w:hRule="exact"/>
        </w:trPr>
        <w:tc>
          <w:tcPr>
            <w:tcW w:w="483" w:type="dxa"/>
            <w:tcBorders>
              <w:top w:val="nil" w:sz="6" w:space="0" w:color="auto"/>
              <w:left w:val="nil" w:sz="6" w:space="0" w:color="auto"/>
              <w:bottom w:val="nil" w:sz="6" w:space="0" w:color="auto"/>
              <w:right w:val="nil" w:sz="6" w:space="0" w:color="auto"/>
            </w:tcBorders>
          </w:tcPr>
          <w:p>
            <w:pPr/>
          </w:p>
        </w:tc>
        <w:tc>
          <w:tcPr>
            <w:tcW w:w="3304" w:type="dxa"/>
            <w:tcBorders>
              <w:top w:val="nil" w:sz="6" w:space="0" w:color="auto"/>
              <w:left w:val="nil" w:sz="6" w:space="0" w:color="auto"/>
              <w:bottom w:val="nil" w:sz="6" w:space="0" w:color="auto"/>
              <w:right w:val="nil" w:sz="6" w:space="0" w:color="auto"/>
            </w:tcBorders>
          </w:tcPr>
          <w:p>
            <w:pPr>
              <w:pStyle w:val="TableParagraph"/>
              <w:spacing w:line="302" w:lineRule="exact"/>
              <w:ind w:left="154"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236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53"/>
              <w:jc w:val="right"/>
              <w:rPr>
                <w:rFonts w:ascii="Arial" w:hAnsi="Arial" w:cs="Arial" w:eastAsia="Arial" w:hint="default"/>
                <w:sz w:val="24"/>
                <w:szCs w:val="24"/>
              </w:rPr>
            </w:pPr>
            <w:r>
              <w:rPr>
                <w:rFonts w:ascii="Arial"/>
                <w:spacing w:val="-1"/>
                <w:sz w:val="24"/>
              </w:rPr>
              <w:t>(35,565)</w:t>
            </w:r>
          </w:p>
        </w:tc>
        <w:tc>
          <w:tcPr>
            <w:tcW w:w="564"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33"/>
              <w:jc w:val="right"/>
              <w:rPr>
                <w:rFonts w:ascii="Arial" w:hAnsi="Arial" w:cs="Arial" w:eastAsia="Arial" w:hint="default"/>
                <w:sz w:val="24"/>
                <w:szCs w:val="24"/>
              </w:rPr>
            </w:pPr>
            <w:r>
              <w:rPr>
                <w:rFonts w:ascii="Arial"/>
                <w:spacing w:val="-1"/>
                <w:sz w:val="24"/>
              </w:rPr>
              <w:t>(31,556)</w:t>
            </w:r>
          </w:p>
        </w:tc>
      </w:tr>
      <w:tr>
        <w:trPr>
          <w:trHeight w:val="377" w:hRule="exact"/>
        </w:trPr>
        <w:tc>
          <w:tcPr>
            <w:tcW w:w="483" w:type="dxa"/>
            <w:tcBorders>
              <w:top w:val="nil" w:sz="6" w:space="0" w:color="auto"/>
              <w:left w:val="nil" w:sz="6" w:space="0" w:color="auto"/>
              <w:bottom w:val="nil" w:sz="6" w:space="0" w:color="auto"/>
              <w:right w:val="nil" w:sz="6" w:space="0" w:color="auto"/>
            </w:tcBorders>
          </w:tcPr>
          <w:p>
            <w:pPr/>
          </w:p>
        </w:tc>
        <w:tc>
          <w:tcPr>
            <w:tcW w:w="3304" w:type="dxa"/>
            <w:tcBorders>
              <w:top w:val="nil" w:sz="6" w:space="0" w:color="auto"/>
              <w:left w:val="nil" w:sz="6" w:space="0" w:color="auto"/>
              <w:bottom w:val="nil" w:sz="6" w:space="0" w:color="auto"/>
              <w:right w:val="nil" w:sz="6" w:space="0" w:color="auto"/>
            </w:tcBorders>
          </w:tcPr>
          <w:p>
            <w:pPr/>
          </w:p>
        </w:tc>
        <w:tc>
          <w:tcPr>
            <w:tcW w:w="2364"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2"/>
              <w:jc w:val="right"/>
              <w:rPr>
                <w:rFonts w:ascii="Arial" w:hAnsi="Arial" w:cs="Arial" w:eastAsia="Arial" w:hint="default"/>
                <w:sz w:val="24"/>
                <w:szCs w:val="24"/>
              </w:rPr>
            </w:pPr>
            <w:r>
              <w:rPr>
                <w:rFonts w:ascii="Arial"/>
                <w:spacing w:val="-1"/>
                <w:sz w:val="24"/>
              </w:rPr>
              <w:t>1,270,502</w:t>
            </w:r>
          </w:p>
        </w:tc>
        <w:tc>
          <w:tcPr>
            <w:tcW w:w="564" w:type="dxa"/>
            <w:tcBorders>
              <w:top w:val="nil" w:sz="6" w:space="0" w:color="auto"/>
              <w:left w:val="nil" w:sz="6" w:space="0" w:color="auto"/>
              <w:bottom w:val="nil" w:sz="6" w:space="0" w:color="auto"/>
              <w:right w:val="nil" w:sz="6" w:space="0" w:color="auto"/>
            </w:tcBorders>
          </w:tcPr>
          <w:p>
            <w:pPr/>
          </w:p>
        </w:tc>
        <w:tc>
          <w:tcPr>
            <w:tcW w:w="2412"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5"/>
              <w:jc w:val="right"/>
              <w:rPr>
                <w:rFonts w:ascii="Arial" w:hAnsi="Arial" w:cs="Arial" w:eastAsia="Arial" w:hint="default"/>
                <w:sz w:val="24"/>
                <w:szCs w:val="24"/>
              </w:rPr>
            </w:pPr>
            <w:r>
              <w:rPr>
                <w:rFonts w:ascii="Arial"/>
                <w:spacing w:val="-1"/>
                <w:sz w:val="24"/>
              </w:rPr>
              <w:t>1,841,778</w:t>
            </w:r>
          </w:p>
        </w:tc>
      </w:tr>
      <w:tr>
        <w:trPr>
          <w:trHeight w:val="940" w:hRule="exact"/>
        </w:trPr>
        <w:tc>
          <w:tcPr>
            <w:tcW w:w="4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left="35" w:right="0"/>
              <w:jc w:val="left"/>
              <w:rPr>
                <w:rFonts w:ascii="Arial" w:hAnsi="Arial" w:cs="Arial" w:eastAsia="Arial" w:hint="default"/>
                <w:sz w:val="24"/>
                <w:szCs w:val="24"/>
              </w:rPr>
            </w:pPr>
            <w:r>
              <w:rPr>
                <w:rFonts w:ascii="Arial"/>
                <w:sz w:val="24"/>
              </w:rPr>
              <w:t>(a)</w:t>
            </w:r>
          </w:p>
        </w:tc>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54" w:right="0"/>
              <w:jc w:val="left"/>
              <w:rPr>
                <w:rFonts w:ascii="宋体" w:hAnsi="宋体" w:cs="宋体" w:eastAsia="宋体" w:hint="default"/>
                <w:sz w:val="24"/>
                <w:szCs w:val="24"/>
              </w:rPr>
            </w:pPr>
            <w:r>
              <w:rPr>
                <w:rFonts w:ascii="宋体" w:hAnsi="宋体" w:cs="宋体" w:eastAsia="宋体" w:hint="default"/>
                <w:sz w:val="24"/>
                <w:szCs w:val="24"/>
              </w:rPr>
              <w:t>应收账款账龄分析如下：</w:t>
            </w:r>
          </w:p>
        </w:tc>
        <w:tc>
          <w:tcPr>
            <w:tcW w:w="2364" w:type="dxa"/>
            <w:tcBorders>
              <w:top w:val="single" w:sz="12" w:space="0" w:color="000000"/>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412" w:type="dxa"/>
            <w:tcBorders>
              <w:top w:val="single" w:sz="12" w:space="0" w:color="000000"/>
              <w:left w:val="nil" w:sz="6" w:space="0" w:color="auto"/>
              <w:bottom w:val="nil" w:sz="6" w:space="0" w:color="auto"/>
              <w:right w:val="nil" w:sz="6" w:space="0" w:color="auto"/>
            </w:tcBorders>
          </w:tcPr>
          <w:p>
            <w:pPr/>
          </w:p>
        </w:tc>
      </w:tr>
      <w:tr>
        <w:trPr>
          <w:trHeight w:val="752" w:hRule="exact"/>
        </w:trPr>
        <w:tc>
          <w:tcPr>
            <w:tcW w:w="483" w:type="dxa"/>
            <w:tcBorders>
              <w:top w:val="nil" w:sz="6" w:space="0" w:color="auto"/>
              <w:left w:val="nil" w:sz="6" w:space="0" w:color="auto"/>
              <w:bottom w:val="nil" w:sz="6" w:space="0" w:color="auto"/>
              <w:right w:val="nil" w:sz="6" w:space="0" w:color="auto"/>
            </w:tcBorders>
          </w:tcPr>
          <w:p>
            <w:pPr/>
          </w:p>
        </w:tc>
        <w:tc>
          <w:tcPr>
            <w:tcW w:w="3304"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1"/>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564"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32"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77" w:hRule="exact"/>
        </w:trPr>
        <w:tc>
          <w:tcPr>
            <w:tcW w:w="483" w:type="dxa"/>
            <w:tcBorders>
              <w:top w:val="nil" w:sz="6" w:space="0" w:color="auto"/>
              <w:left w:val="nil" w:sz="6" w:space="0" w:color="auto"/>
              <w:bottom w:val="nil" w:sz="6" w:space="0" w:color="auto"/>
              <w:right w:val="nil" w:sz="6" w:space="0" w:color="auto"/>
            </w:tcBorders>
          </w:tcPr>
          <w:p>
            <w:pPr/>
          </w:p>
        </w:tc>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54"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24"/>
                <w:szCs w:val="24"/>
              </w:rPr>
            </w:pPr>
            <w:r>
              <w:rPr>
                <w:rFonts w:ascii="Arial"/>
                <w:spacing w:val="-1"/>
                <w:sz w:val="24"/>
              </w:rPr>
              <w:t>1,199,668</w:t>
            </w:r>
          </w:p>
        </w:tc>
        <w:tc>
          <w:tcPr>
            <w:tcW w:w="564"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24"/>
                <w:szCs w:val="24"/>
              </w:rPr>
            </w:pPr>
            <w:r>
              <w:rPr>
                <w:rFonts w:ascii="Arial"/>
                <w:spacing w:val="-3"/>
                <w:sz w:val="24"/>
              </w:rPr>
              <w:t>1,811,085</w:t>
            </w:r>
          </w:p>
        </w:tc>
      </w:tr>
      <w:tr>
        <w:trPr>
          <w:trHeight w:val="392" w:hRule="exact"/>
        </w:trPr>
        <w:tc>
          <w:tcPr>
            <w:tcW w:w="483" w:type="dxa"/>
            <w:tcBorders>
              <w:top w:val="nil" w:sz="6" w:space="0" w:color="auto"/>
              <w:left w:val="nil" w:sz="6" w:space="0" w:color="auto"/>
              <w:bottom w:val="nil" w:sz="6" w:space="0" w:color="auto"/>
              <w:right w:val="nil" w:sz="6" w:space="0" w:color="auto"/>
            </w:tcBorders>
          </w:tcPr>
          <w:p>
            <w:pPr/>
          </w:p>
        </w:tc>
        <w:tc>
          <w:tcPr>
            <w:tcW w:w="3304" w:type="dxa"/>
            <w:tcBorders>
              <w:top w:val="nil" w:sz="6" w:space="0" w:color="auto"/>
              <w:left w:val="nil" w:sz="6" w:space="0" w:color="auto"/>
              <w:bottom w:val="nil" w:sz="6" w:space="0" w:color="auto"/>
              <w:right w:val="nil" w:sz="6" w:space="0" w:color="auto"/>
            </w:tcBorders>
          </w:tcPr>
          <w:p>
            <w:pPr>
              <w:pStyle w:val="TableParagraph"/>
              <w:spacing w:line="301" w:lineRule="exact"/>
              <w:ind w:left="154"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spacing w:val="-1"/>
                <w:sz w:val="24"/>
              </w:rPr>
              <w:t>86,280</w:t>
            </w:r>
          </w:p>
        </w:tc>
        <w:tc>
          <w:tcPr>
            <w:tcW w:w="564"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50,489</w:t>
            </w:r>
          </w:p>
        </w:tc>
      </w:tr>
      <w:tr>
        <w:trPr>
          <w:trHeight w:val="391" w:hRule="exact"/>
        </w:trPr>
        <w:tc>
          <w:tcPr>
            <w:tcW w:w="483" w:type="dxa"/>
            <w:tcBorders>
              <w:top w:val="nil" w:sz="6" w:space="0" w:color="auto"/>
              <w:left w:val="nil" w:sz="6" w:space="0" w:color="auto"/>
              <w:bottom w:val="nil" w:sz="6" w:space="0" w:color="auto"/>
              <w:right w:val="nil" w:sz="6" w:space="0" w:color="auto"/>
            </w:tcBorders>
          </w:tcPr>
          <w:p>
            <w:pPr/>
          </w:p>
        </w:tc>
        <w:tc>
          <w:tcPr>
            <w:tcW w:w="3304" w:type="dxa"/>
            <w:tcBorders>
              <w:top w:val="nil" w:sz="6" w:space="0" w:color="auto"/>
              <w:left w:val="nil" w:sz="6" w:space="0" w:color="auto"/>
              <w:bottom w:val="nil" w:sz="6" w:space="0" w:color="auto"/>
              <w:right w:val="nil" w:sz="6" w:space="0" w:color="auto"/>
            </w:tcBorders>
          </w:tcPr>
          <w:p>
            <w:pPr>
              <w:pStyle w:val="TableParagraph"/>
              <w:spacing w:line="301" w:lineRule="exact"/>
              <w:ind w:left="154"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spacing w:val="-1"/>
                <w:sz w:val="24"/>
              </w:rPr>
              <w:t>13,876</w:t>
            </w:r>
          </w:p>
        </w:tc>
        <w:tc>
          <w:tcPr>
            <w:tcW w:w="564"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9,364</w:t>
            </w:r>
          </w:p>
        </w:tc>
      </w:tr>
      <w:tr>
        <w:trPr>
          <w:trHeight w:val="391" w:hRule="exact"/>
        </w:trPr>
        <w:tc>
          <w:tcPr>
            <w:tcW w:w="483" w:type="dxa"/>
            <w:tcBorders>
              <w:top w:val="nil" w:sz="6" w:space="0" w:color="auto"/>
              <w:left w:val="nil" w:sz="6" w:space="0" w:color="auto"/>
              <w:bottom w:val="nil" w:sz="6" w:space="0" w:color="auto"/>
              <w:right w:val="nil" w:sz="6" w:space="0" w:color="auto"/>
            </w:tcBorders>
          </w:tcPr>
          <w:p>
            <w:pPr/>
          </w:p>
        </w:tc>
        <w:tc>
          <w:tcPr>
            <w:tcW w:w="3304" w:type="dxa"/>
            <w:tcBorders>
              <w:top w:val="nil" w:sz="6" w:space="0" w:color="auto"/>
              <w:left w:val="nil" w:sz="6" w:space="0" w:color="auto"/>
              <w:bottom w:val="nil" w:sz="6" w:space="0" w:color="auto"/>
              <w:right w:val="nil" w:sz="6" w:space="0" w:color="auto"/>
            </w:tcBorders>
          </w:tcPr>
          <w:p>
            <w:pPr>
              <w:pStyle w:val="TableParagraph"/>
              <w:spacing w:line="301" w:lineRule="exact"/>
              <w:ind w:left="154"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spacing w:val="-1"/>
                <w:sz w:val="24"/>
              </w:rPr>
              <w:t>4,667</w:t>
            </w:r>
          </w:p>
        </w:tc>
        <w:tc>
          <w:tcPr>
            <w:tcW w:w="564"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2,120</w:t>
            </w:r>
          </w:p>
        </w:tc>
      </w:tr>
      <w:tr>
        <w:trPr>
          <w:trHeight w:val="392" w:hRule="exact"/>
        </w:trPr>
        <w:tc>
          <w:tcPr>
            <w:tcW w:w="483" w:type="dxa"/>
            <w:tcBorders>
              <w:top w:val="nil" w:sz="6" w:space="0" w:color="auto"/>
              <w:left w:val="nil" w:sz="6" w:space="0" w:color="auto"/>
              <w:bottom w:val="nil" w:sz="6" w:space="0" w:color="auto"/>
              <w:right w:val="nil" w:sz="6" w:space="0" w:color="auto"/>
            </w:tcBorders>
          </w:tcPr>
          <w:p>
            <w:pPr/>
          </w:p>
        </w:tc>
        <w:tc>
          <w:tcPr>
            <w:tcW w:w="3304" w:type="dxa"/>
            <w:tcBorders>
              <w:top w:val="nil" w:sz="6" w:space="0" w:color="auto"/>
              <w:left w:val="nil" w:sz="6" w:space="0" w:color="auto"/>
              <w:bottom w:val="nil" w:sz="6" w:space="0" w:color="auto"/>
              <w:right w:val="nil" w:sz="6" w:space="0" w:color="auto"/>
            </w:tcBorders>
          </w:tcPr>
          <w:p>
            <w:pPr>
              <w:pStyle w:val="TableParagraph"/>
              <w:spacing w:line="301" w:lineRule="exact"/>
              <w:ind w:left="154"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spacing w:val="-1"/>
                <w:sz w:val="24"/>
              </w:rPr>
              <w:t>1,475</w:t>
            </w:r>
          </w:p>
        </w:tc>
        <w:tc>
          <w:tcPr>
            <w:tcW w:w="564"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w w:val="95"/>
                <w:sz w:val="24"/>
              </w:rPr>
              <w:t>236</w:t>
            </w:r>
            <w:r>
              <w:rPr>
                <w:rFonts w:ascii="Arial"/>
                <w:sz w:val="24"/>
              </w:rPr>
            </w:r>
          </w:p>
        </w:tc>
      </w:tr>
      <w:tr>
        <w:trPr>
          <w:trHeight w:val="384" w:hRule="exact"/>
        </w:trPr>
        <w:tc>
          <w:tcPr>
            <w:tcW w:w="483" w:type="dxa"/>
            <w:tcBorders>
              <w:top w:val="nil" w:sz="6" w:space="0" w:color="auto"/>
              <w:left w:val="nil" w:sz="6" w:space="0" w:color="auto"/>
              <w:bottom w:val="nil" w:sz="6" w:space="0" w:color="auto"/>
              <w:right w:val="nil" w:sz="6" w:space="0" w:color="auto"/>
            </w:tcBorders>
          </w:tcPr>
          <w:p>
            <w:pPr/>
          </w:p>
        </w:tc>
        <w:tc>
          <w:tcPr>
            <w:tcW w:w="3304" w:type="dxa"/>
            <w:tcBorders>
              <w:top w:val="nil" w:sz="6" w:space="0" w:color="auto"/>
              <w:left w:val="nil" w:sz="6" w:space="0" w:color="auto"/>
              <w:bottom w:val="nil" w:sz="6" w:space="0" w:color="auto"/>
              <w:right w:val="nil" w:sz="6" w:space="0" w:color="auto"/>
            </w:tcBorders>
          </w:tcPr>
          <w:p>
            <w:pPr>
              <w:pStyle w:val="TableParagraph"/>
              <w:spacing w:line="303" w:lineRule="exact"/>
              <w:ind w:left="154"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236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3"/>
              <w:jc w:val="right"/>
              <w:rPr>
                <w:rFonts w:ascii="Arial" w:hAnsi="Arial" w:cs="Arial" w:eastAsia="Arial" w:hint="default"/>
                <w:sz w:val="24"/>
                <w:szCs w:val="24"/>
              </w:rPr>
            </w:pPr>
            <w:r>
              <w:rPr>
                <w:rFonts w:ascii="Arial"/>
                <w:w w:val="95"/>
                <w:sz w:val="24"/>
              </w:rPr>
              <w:t>101</w:t>
            </w:r>
            <w:r>
              <w:rPr>
                <w:rFonts w:ascii="Arial"/>
                <w:sz w:val="24"/>
              </w:rPr>
            </w:r>
          </w:p>
        </w:tc>
        <w:tc>
          <w:tcPr>
            <w:tcW w:w="564"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w w:val="95"/>
                <w:sz w:val="24"/>
              </w:rPr>
              <w:t>40</w:t>
            </w:r>
            <w:r>
              <w:rPr>
                <w:rFonts w:ascii="Arial"/>
                <w:sz w:val="24"/>
              </w:rPr>
            </w:r>
          </w:p>
        </w:tc>
      </w:tr>
      <w:tr>
        <w:trPr>
          <w:trHeight w:val="374" w:hRule="exact"/>
        </w:trPr>
        <w:tc>
          <w:tcPr>
            <w:tcW w:w="483" w:type="dxa"/>
            <w:tcBorders>
              <w:top w:val="nil" w:sz="6" w:space="0" w:color="auto"/>
              <w:left w:val="nil" w:sz="6" w:space="0" w:color="auto"/>
              <w:bottom w:val="nil" w:sz="6" w:space="0" w:color="auto"/>
              <w:right w:val="nil" w:sz="6" w:space="0" w:color="auto"/>
            </w:tcBorders>
          </w:tcPr>
          <w:p>
            <w:pPr/>
          </w:p>
        </w:tc>
        <w:tc>
          <w:tcPr>
            <w:tcW w:w="3304" w:type="dxa"/>
            <w:tcBorders>
              <w:top w:val="nil" w:sz="6" w:space="0" w:color="auto"/>
              <w:left w:val="nil" w:sz="6" w:space="0" w:color="auto"/>
              <w:bottom w:val="nil" w:sz="6" w:space="0" w:color="auto"/>
              <w:right w:val="nil" w:sz="6" w:space="0" w:color="auto"/>
            </w:tcBorders>
          </w:tcPr>
          <w:p>
            <w:pPr/>
          </w:p>
        </w:tc>
        <w:tc>
          <w:tcPr>
            <w:tcW w:w="2364"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4"/>
              <w:jc w:val="right"/>
              <w:rPr>
                <w:rFonts w:ascii="Arial" w:hAnsi="Arial" w:cs="Arial" w:eastAsia="Arial" w:hint="default"/>
                <w:sz w:val="24"/>
                <w:szCs w:val="24"/>
              </w:rPr>
            </w:pPr>
            <w:r>
              <w:rPr>
                <w:rFonts w:ascii="Arial"/>
                <w:spacing w:val="-1"/>
                <w:sz w:val="24"/>
              </w:rPr>
              <w:t>1,306,067</w:t>
            </w:r>
          </w:p>
        </w:tc>
        <w:tc>
          <w:tcPr>
            <w:tcW w:w="564" w:type="dxa"/>
            <w:tcBorders>
              <w:top w:val="nil" w:sz="6" w:space="0" w:color="auto"/>
              <w:left w:val="nil" w:sz="6" w:space="0" w:color="auto"/>
              <w:bottom w:val="nil" w:sz="6" w:space="0" w:color="auto"/>
              <w:right w:val="nil" w:sz="6" w:space="0" w:color="auto"/>
            </w:tcBorders>
          </w:tcPr>
          <w:p>
            <w:pPr/>
          </w:p>
        </w:tc>
        <w:tc>
          <w:tcPr>
            <w:tcW w:w="2412"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5"/>
              <w:jc w:val="right"/>
              <w:rPr>
                <w:rFonts w:ascii="Arial" w:hAnsi="Arial" w:cs="Arial" w:eastAsia="Arial" w:hint="default"/>
                <w:sz w:val="24"/>
                <w:szCs w:val="24"/>
              </w:rPr>
            </w:pPr>
            <w:r>
              <w:rPr>
                <w:rFonts w:ascii="Arial"/>
                <w:spacing w:val="-1"/>
                <w:sz w:val="24"/>
              </w:rPr>
              <w:t>1,873,334</w:t>
            </w:r>
          </w:p>
        </w:tc>
      </w:tr>
      <w:tr>
        <w:trPr>
          <w:trHeight w:val="787" w:hRule="exact"/>
        </w:trPr>
        <w:tc>
          <w:tcPr>
            <w:tcW w:w="4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left="35" w:right="0"/>
              <w:jc w:val="left"/>
              <w:rPr>
                <w:rFonts w:ascii="Arial" w:hAnsi="Arial" w:cs="Arial" w:eastAsia="Arial" w:hint="default"/>
                <w:sz w:val="24"/>
                <w:szCs w:val="24"/>
              </w:rPr>
            </w:pPr>
            <w:r>
              <w:rPr>
                <w:rFonts w:ascii="Arial"/>
                <w:sz w:val="24"/>
              </w:rPr>
              <w:t>(b)</w:t>
            </w:r>
          </w:p>
        </w:tc>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54" w:right="0"/>
              <w:jc w:val="left"/>
              <w:rPr>
                <w:rFonts w:ascii="宋体" w:hAnsi="宋体" w:cs="宋体" w:eastAsia="宋体" w:hint="default"/>
                <w:sz w:val="24"/>
                <w:szCs w:val="24"/>
              </w:rPr>
            </w:pPr>
            <w:r>
              <w:rPr>
                <w:rFonts w:ascii="宋体" w:hAnsi="宋体" w:cs="宋体" w:eastAsia="宋体" w:hint="default"/>
                <w:sz w:val="24"/>
                <w:szCs w:val="24"/>
              </w:rPr>
              <w:t>应收账款按类别分析如下：</w:t>
            </w:r>
          </w:p>
        </w:tc>
        <w:tc>
          <w:tcPr>
            <w:tcW w:w="2364" w:type="dxa"/>
            <w:tcBorders>
              <w:top w:val="single" w:sz="12" w:space="0" w:color="000000"/>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412" w:type="dxa"/>
            <w:tcBorders>
              <w:top w:val="single" w:sz="12" w:space="0" w:color="000000"/>
              <w:left w:val="nil" w:sz="6" w:space="0" w:color="auto"/>
              <w:bottom w:val="nil" w:sz="6" w:space="0" w:color="auto"/>
              <w:right w:val="nil" w:sz="6" w:space="0" w:color="auto"/>
            </w:tcBorders>
          </w:tcPr>
          <w:p>
            <w:pPr/>
          </w:p>
        </w:tc>
      </w:tr>
    </w:tbl>
    <w:p>
      <w:pPr>
        <w:spacing w:line="240" w:lineRule="auto" w:before="7"/>
        <w:rPr>
          <w:rFonts w:ascii="Times New Roman" w:hAnsi="Times New Roman" w:cs="Times New Roman" w:eastAsia="Times New Roman" w:hint="default"/>
          <w:sz w:val="19"/>
          <w:szCs w:val="19"/>
        </w:rPr>
      </w:pPr>
    </w:p>
    <w:p>
      <w:pPr>
        <w:tabs>
          <w:tab w:pos="7486" w:val="left" w:leader="none"/>
        </w:tabs>
        <w:spacing w:before="44"/>
        <w:ind w:left="3583" w:right="0" w:firstLine="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tab/>
      </w: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spacing w:line="240" w:lineRule="auto" w:before="11"/>
        <w:rPr>
          <w:rFonts w:ascii="宋体" w:hAnsi="宋体" w:cs="宋体" w:eastAsia="宋体" w:hint="default"/>
          <w:sz w:val="4"/>
          <w:szCs w:val="4"/>
        </w:rPr>
      </w:pPr>
    </w:p>
    <w:tbl>
      <w:tblPr>
        <w:tblW w:w="0" w:type="auto"/>
        <w:jc w:val="left"/>
        <w:tblInd w:w="715" w:type="dxa"/>
        <w:tblLayout w:type="fixed"/>
        <w:tblCellMar>
          <w:top w:w="0" w:type="dxa"/>
          <w:left w:w="0" w:type="dxa"/>
          <w:bottom w:w="0" w:type="dxa"/>
          <w:right w:w="0" w:type="dxa"/>
        </w:tblCellMar>
        <w:tblLook w:val="01E0"/>
      </w:tblPr>
      <w:tblGrid>
        <w:gridCol w:w="1773"/>
        <w:gridCol w:w="1018"/>
        <w:gridCol w:w="935"/>
        <w:gridCol w:w="252"/>
        <w:gridCol w:w="917"/>
        <w:gridCol w:w="631"/>
        <w:gridCol w:w="235"/>
        <w:gridCol w:w="946"/>
        <w:gridCol w:w="962"/>
        <w:gridCol w:w="235"/>
        <w:gridCol w:w="775"/>
        <w:gridCol w:w="653"/>
      </w:tblGrid>
      <w:tr>
        <w:trPr>
          <w:trHeight w:val="324" w:hRule="exact"/>
        </w:trPr>
        <w:tc>
          <w:tcPr>
            <w:tcW w:w="1773" w:type="dxa"/>
            <w:vMerge w:val="restart"/>
            <w:tcBorders>
              <w:top w:val="nil" w:sz="6" w:space="0" w:color="auto"/>
              <w:left w:val="nil" w:sz="6" w:space="0" w:color="auto"/>
              <w:right w:val="nil" w:sz="6" w:space="0" w:color="auto"/>
            </w:tcBorders>
          </w:tcPr>
          <w:p>
            <w:pPr/>
          </w:p>
        </w:tc>
        <w:tc>
          <w:tcPr>
            <w:tcW w:w="101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35" w:type="dxa"/>
            <w:tcBorders>
              <w:top w:val="single" w:sz="4" w:space="0" w:color="000000"/>
              <w:left w:val="nil" w:sz="6" w:space="0" w:color="auto"/>
              <w:bottom w:val="single" w:sz="4" w:space="0" w:color="000000"/>
              <w:right w:val="nil" w:sz="6" w:space="0" w:color="auto"/>
            </w:tcBorders>
          </w:tcPr>
          <w:p>
            <w:pPr/>
          </w:p>
        </w:tc>
        <w:tc>
          <w:tcPr>
            <w:tcW w:w="252" w:type="dxa"/>
            <w:tcBorders>
              <w:top w:val="single" w:sz="4" w:space="0" w:color="000000"/>
              <w:left w:val="nil" w:sz="6" w:space="0" w:color="auto"/>
              <w:bottom w:val="nil" w:sz="6" w:space="0" w:color="auto"/>
              <w:right w:val="nil" w:sz="6" w:space="0" w:color="auto"/>
            </w:tcBorders>
          </w:tcPr>
          <w:p>
            <w:pPr/>
          </w:p>
        </w:tc>
        <w:tc>
          <w:tcPr>
            <w:tcW w:w="154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5" w:type="dxa"/>
            <w:tcBorders>
              <w:top w:val="nil" w:sz="6" w:space="0" w:color="auto"/>
              <w:left w:val="nil" w:sz="6" w:space="0" w:color="auto"/>
              <w:bottom w:val="nil" w:sz="6" w:space="0" w:color="auto"/>
              <w:right w:val="nil" w:sz="6" w:space="0" w:color="auto"/>
            </w:tcBorders>
          </w:tcPr>
          <w:p>
            <w:pPr/>
          </w:p>
        </w:tc>
        <w:tc>
          <w:tcPr>
            <w:tcW w:w="94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62" w:type="dxa"/>
            <w:tcBorders>
              <w:top w:val="single" w:sz="4" w:space="0" w:color="000000"/>
              <w:left w:val="nil" w:sz="6" w:space="0" w:color="auto"/>
              <w:bottom w:val="single" w:sz="4" w:space="0" w:color="000000"/>
              <w:right w:val="nil" w:sz="6" w:space="0" w:color="auto"/>
            </w:tcBorders>
          </w:tcPr>
          <w:p>
            <w:pPr/>
          </w:p>
        </w:tc>
        <w:tc>
          <w:tcPr>
            <w:tcW w:w="235" w:type="dxa"/>
            <w:tcBorders>
              <w:top w:val="single" w:sz="4" w:space="0" w:color="000000"/>
              <w:left w:val="nil" w:sz="6" w:space="0" w:color="auto"/>
              <w:bottom w:val="nil" w:sz="6" w:space="0" w:color="auto"/>
              <w:right w:val="nil" w:sz="6" w:space="0" w:color="auto"/>
            </w:tcBorders>
          </w:tcPr>
          <w:p>
            <w:pPr/>
          </w:p>
        </w:tc>
        <w:tc>
          <w:tcPr>
            <w:tcW w:w="142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32" w:hRule="exact"/>
        </w:trPr>
        <w:tc>
          <w:tcPr>
            <w:tcW w:w="1773" w:type="dxa"/>
            <w:vMerge/>
            <w:tcBorders>
              <w:left w:val="nil" w:sz="6" w:space="0" w:color="auto"/>
              <w:bottom w:val="nil" w:sz="6" w:space="0" w:color="auto"/>
              <w:right w:val="nil" w:sz="6" w:space="0" w:color="auto"/>
            </w:tcBorders>
          </w:tcPr>
          <w:p>
            <w:pPr/>
          </w:p>
        </w:tc>
        <w:tc>
          <w:tcPr>
            <w:tcW w:w="101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5" w:type="dxa"/>
            <w:tcBorders>
              <w:top w:val="single" w:sz="4" w:space="0" w:color="000000"/>
              <w:left w:val="nil" w:sz="6" w:space="0" w:color="auto"/>
              <w:bottom w:val="nil" w:sz="6" w:space="0" w:color="auto"/>
              <w:right w:val="nil" w:sz="6" w:space="0" w:color="auto"/>
            </w:tcBorders>
          </w:tcPr>
          <w:p>
            <w:pPr>
              <w:pStyle w:val="TableParagraph"/>
              <w:spacing w:line="278" w:lineRule="auto" w:before="8"/>
              <w:ind w:left="296" w:right="187" w:hanging="92"/>
              <w:jc w:val="left"/>
              <w:rPr>
                <w:rFonts w:ascii="宋体" w:hAnsi="宋体" w:cs="宋体" w:eastAsia="宋体" w:hint="default"/>
                <w:sz w:val="18"/>
                <w:szCs w:val="18"/>
              </w:rPr>
            </w:pPr>
            <w:r>
              <w:rPr>
                <w:rFonts w:ascii="宋体" w:hAnsi="宋体" w:cs="宋体" w:eastAsia="宋体" w:hint="default"/>
                <w:sz w:val="18"/>
                <w:szCs w:val="18"/>
              </w:rPr>
              <w:t>占总额 比例</w:t>
            </w:r>
          </w:p>
        </w:tc>
        <w:tc>
          <w:tcPr>
            <w:tcW w:w="252" w:type="dxa"/>
            <w:tcBorders>
              <w:top w:val="nil" w:sz="6" w:space="0" w:color="auto"/>
              <w:left w:val="nil" w:sz="6" w:space="0" w:color="auto"/>
              <w:bottom w:val="nil" w:sz="6" w:space="0" w:color="auto"/>
              <w:right w:val="nil" w:sz="6" w:space="0" w:color="auto"/>
            </w:tcBorders>
          </w:tcPr>
          <w:p>
            <w:pPr/>
          </w:p>
        </w:tc>
        <w:tc>
          <w:tcPr>
            <w:tcW w:w="1548" w:type="dxa"/>
            <w:gridSpan w:val="2"/>
            <w:tcBorders>
              <w:top w:val="single" w:sz="4" w:space="0" w:color="000000"/>
              <w:left w:val="nil" w:sz="6" w:space="0" w:color="auto"/>
              <w:bottom w:val="nil" w:sz="6" w:space="0" w:color="auto"/>
              <w:right w:val="nil" w:sz="6" w:space="0" w:color="auto"/>
            </w:tcBorders>
          </w:tcPr>
          <w:p>
            <w:pPr>
              <w:pStyle w:val="TableParagraph"/>
              <w:tabs>
                <w:tab w:pos="1027" w:val="left" w:leader="none"/>
              </w:tabs>
              <w:spacing w:line="232" w:lineRule="exact" w:before="32"/>
              <w:ind w:left="1027" w:right="158" w:hanging="920"/>
              <w:jc w:val="left"/>
              <w:rPr>
                <w:rFonts w:ascii="宋体" w:hAnsi="宋体" w:cs="宋体" w:eastAsia="宋体" w:hint="default"/>
                <w:sz w:val="18"/>
                <w:szCs w:val="18"/>
              </w:rPr>
            </w:pPr>
            <w:r>
              <w:rPr>
                <w:rFonts w:ascii="宋体" w:hAnsi="宋体" w:cs="宋体" w:eastAsia="宋体" w:hint="default"/>
                <w:sz w:val="18"/>
                <w:szCs w:val="18"/>
              </w:rPr>
              <w:t>金额</w:t>
              <w:tab/>
              <w:t>计提 比例</w:t>
            </w:r>
          </w:p>
        </w:tc>
        <w:tc>
          <w:tcPr>
            <w:tcW w:w="235" w:type="dxa"/>
            <w:tcBorders>
              <w:top w:val="nil" w:sz="6" w:space="0" w:color="auto"/>
              <w:left w:val="nil" w:sz="6" w:space="0" w:color="auto"/>
              <w:bottom w:val="nil" w:sz="6" w:space="0" w:color="auto"/>
              <w:right w:val="nil" w:sz="6" w:space="0" w:color="auto"/>
            </w:tcBorders>
          </w:tcPr>
          <w:p>
            <w:pP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62" w:type="dxa"/>
            <w:tcBorders>
              <w:top w:val="single" w:sz="4" w:space="0" w:color="000000"/>
              <w:left w:val="nil" w:sz="6" w:space="0" w:color="auto"/>
              <w:bottom w:val="nil" w:sz="6" w:space="0" w:color="auto"/>
              <w:right w:val="nil" w:sz="6" w:space="0" w:color="auto"/>
            </w:tcBorders>
          </w:tcPr>
          <w:p>
            <w:pPr>
              <w:pStyle w:val="TableParagraph"/>
              <w:spacing w:line="232" w:lineRule="exact" w:before="32"/>
              <w:ind w:left="215" w:right="132" w:hanging="108"/>
              <w:jc w:val="left"/>
              <w:rPr>
                <w:rFonts w:ascii="宋体" w:hAnsi="宋体" w:cs="宋体" w:eastAsia="宋体" w:hint="default"/>
                <w:sz w:val="18"/>
                <w:szCs w:val="18"/>
              </w:rPr>
            </w:pPr>
            <w:r>
              <w:rPr>
                <w:rFonts w:ascii="宋体" w:hAnsi="宋体" w:cs="宋体" w:eastAsia="宋体" w:hint="default"/>
                <w:sz w:val="18"/>
                <w:szCs w:val="18"/>
              </w:rPr>
              <w:t>占总额比 例</w:t>
            </w:r>
          </w:p>
        </w:tc>
        <w:tc>
          <w:tcPr>
            <w:tcW w:w="235" w:type="dxa"/>
            <w:tcBorders>
              <w:top w:val="nil" w:sz="6" w:space="0" w:color="auto"/>
              <w:left w:val="nil" w:sz="6" w:space="0" w:color="auto"/>
              <w:bottom w:val="nil" w:sz="6" w:space="0" w:color="auto"/>
              <w:right w:val="nil" w:sz="6" w:space="0" w:color="auto"/>
            </w:tcBorders>
          </w:tcPr>
          <w:p>
            <w:pPr/>
          </w:p>
        </w:tc>
        <w:tc>
          <w:tcPr>
            <w:tcW w:w="1428" w:type="dxa"/>
            <w:gridSpan w:val="2"/>
            <w:tcBorders>
              <w:top w:val="single" w:sz="4" w:space="0" w:color="000000"/>
              <w:left w:val="nil" w:sz="6" w:space="0" w:color="auto"/>
              <w:bottom w:val="nil" w:sz="6" w:space="0" w:color="auto"/>
              <w:right w:val="nil" w:sz="6" w:space="0" w:color="auto"/>
            </w:tcBorders>
          </w:tcPr>
          <w:p>
            <w:pPr>
              <w:pStyle w:val="TableParagraph"/>
              <w:tabs>
                <w:tab w:pos="883" w:val="left" w:leader="none"/>
              </w:tabs>
              <w:spacing w:line="232" w:lineRule="exact" w:before="32"/>
              <w:ind w:left="883" w:right="183" w:hanging="773"/>
              <w:jc w:val="left"/>
              <w:rPr>
                <w:rFonts w:ascii="宋体" w:hAnsi="宋体" w:cs="宋体" w:eastAsia="宋体" w:hint="default"/>
                <w:sz w:val="18"/>
                <w:szCs w:val="18"/>
              </w:rPr>
            </w:pPr>
            <w:r>
              <w:rPr>
                <w:rFonts w:ascii="宋体" w:hAnsi="宋体" w:cs="宋体" w:eastAsia="宋体" w:hint="default"/>
                <w:sz w:val="18"/>
                <w:szCs w:val="18"/>
              </w:rPr>
              <w:t>金额</w:t>
              <w:tab/>
              <w:t>计提 比例</w:t>
            </w:r>
          </w:p>
        </w:tc>
      </w:tr>
      <w:tr>
        <w:trPr>
          <w:trHeight w:val="600" w:hRule="exact"/>
        </w:trPr>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35"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018"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548" w:type="dxa"/>
            <w:gridSpan w:val="2"/>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8" w:type="dxa"/>
            <w:gridSpan w:val="2"/>
            <w:tcBorders>
              <w:top w:val="nil" w:sz="6" w:space="0" w:color="auto"/>
              <w:left w:val="nil" w:sz="6" w:space="0" w:color="auto"/>
              <w:bottom w:val="nil" w:sz="6" w:space="0" w:color="auto"/>
              <w:right w:val="nil" w:sz="6" w:space="0" w:color="auto"/>
            </w:tcBorders>
          </w:tcPr>
          <w:p>
            <w:pPr/>
          </w:p>
        </w:tc>
      </w:tr>
      <w:tr>
        <w:trPr>
          <w:trHeight w:val="413" w:hRule="exact"/>
        </w:trPr>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63" w:right="0"/>
              <w:jc w:val="left"/>
              <w:rPr>
                <w:rFonts w:ascii="宋体" w:hAnsi="宋体" w:cs="宋体" w:eastAsia="宋体" w:hint="default"/>
                <w:sz w:val="18"/>
                <w:szCs w:val="18"/>
              </w:rPr>
            </w:pPr>
            <w:r>
              <w:rPr>
                <w:rFonts w:ascii="宋体" w:hAnsi="宋体" w:cs="宋体" w:eastAsia="宋体" w:hint="default"/>
                <w:sz w:val="18"/>
                <w:szCs w:val="18"/>
              </w:rPr>
              <w:t>应收政府补贴组合</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8" w:right="0"/>
              <w:jc w:val="left"/>
              <w:rPr>
                <w:rFonts w:ascii="Arial" w:hAnsi="Arial" w:cs="Arial" w:eastAsia="Arial" w:hint="default"/>
                <w:sz w:val="18"/>
                <w:szCs w:val="18"/>
              </w:rPr>
            </w:pPr>
            <w:r>
              <w:rPr>
                <w:rFonts w:ascii="Arial"/>
                <w:sz w:val="18"/>
              </w:rPr>
              <w:t>93,720</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15" w:right="0"/>
              <w:jc w:val="left"/>
              <w:rPr>
                <w:rFonts w:ascii="Arial" w:hAnsi="Arial" w:cs="Arial" w:eastAsia="Arial" w:hint="default"/>
                <w:sz w:val="18"/>
                <w:szCs w:val="18"/>
              </w:rPr>
            </w:pPr>
            <w:r>
              <w:rPr>
                <w:rFonts w:ascii="Arial"/>
                <w:sz w:val="18"/>
              </w:rPr>
              <w:t>7.2%</w:t>
            </w:r>
          </w:p>
        </w:tc>
        <w:tc>
          <w:tcPr>
            <w:tcW w:w="252" w:type="dxa"/>
            <w:tcBorders>
              <w:top w:val="nil" w:sz="6" w:space="0" w:color="auto"/>
              <w:left w:val="nil" w:sz="6" w:space="0" w:color="auto"/>
              <w:bottom w:val="nil" w:sz="6" w:space="0" w:color="auto"/>
              <w:right w:val="nil" w:sz="6" w:space="0" w:color="auto"/>
            </w:tcBorders>
          </w:tcPr>
          <w:p>
            <w:pPr/>
          </w:p>
        </w:tc>
        <w:tc>
          <w:tcPr>
            <w:tcW w:w="15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tabs>
                <w:tab w:pos="1305" w:val="left" w:leader="none"/>
              </w:tabs>
              <w:spacing w:line="240" w:lineRule="auto"/>
              <w:ind w:left="643" w:right="0"/>
              <w:jc w:val="left"/>
              <w:rPr>
                <w:rFonts w:ascii="Arial" w:hAnsi="Arial" w:cs="Arial" w:eastAsia="Arial" w:hint="default"/>
                <w:sz w:val="18"/>
                <w:szCs w:val="18"/>
              </w:rPr>
            </w:pPr>
            <w:r>
              <w:rPr>
                <w:rFonts w:ascii="Arial"/>
                <w:sz w:val="18"/>
              </w:rPr>
              <w:t>-</w:t>
              <w:tab/>
              <w:t>-</w:t>
            </w:r>
          </w:p>
        </w:tc>
        <w:tc>
          <w:tcPr>
            <w:tcW w:w="2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5" w:right="0"/>
              <w:jc w:val="left"/>
              <w:rPr>
                <w:rFonts w:ascii="Arial" w:hAnsi="Arial" w:cs="Arial" w:eastAsia="Arial" w:hint="default"/>
                <w:sz w:val="18"/>
                <w:szCs w:val="18"/>
              </w:rPr>
            </w:pPr>
            <w:r>
              <w:rPr>
                <w:rFonts w:ascii="Arial"/>
                <w:sz w:val="18"/>
              </w:rPr>
              <w:t>1,334,757</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15" w:right="0"/>
              <w:jc w:val="left"/>
              <w:rPr>
                <w:rFonts w:ascii="Arial" w:hAnsi="Arial" w:cs="Arial" w:eastAsia="Arial" w:hint="default"/>
                <w:sz w:val="18"/>
                <w:szCs w:val="18"/>
              </w:rPr>
            </w:pPr>
            <w:r>
              <w:rPr>
                <w:rFonts w:ascii="Arial"/>
                <w:sz w:val="18"/>
              </w:rPr>
              <w:t>71.3%</w:t>
            </w:r>
          </w:p>
        </w:tc>
        <w:tc>
          <w:tcPr>
            <w:tcW w:w="235" w:type="dxa"/>
            <w:tcBorders>
              <w:top w:val="nil" w:sz="6" w:space="0" w:color="auto"/>
              <w:left w:val="nil" w:sz="6" w:space="0" w:color="auto"/>
              <w:bottom w:val="nil" w:sz="6" w:space="0" w:color="auto"/>
              <w:right w:val="nil" w:sz="6" w:space="0" w:color="auto"/>
            </w:tcBorders>
          </w:tcPr>
          <w:p>
            <w:pPr/>
          </w:p>
        </w:tc>
        <w:tc>
          <w:tcPr>
            <w:tcW w:w="14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tabs>
                <w:tab w:pos="1195" w:val="left" w:leader="none"/>
              </w:tabs>
              <w:spacing w:line="240" w:lineRule="auto"/>
              <w:ind w:left="110" w:right="0"/>
              <w:jc w:val="left"/>
              <w:rPr>
                <w:rFonts w:ascii="Arial" w:hAnsi="Arial" w:cs="Arial" w:eastAsia="Arial" w:hint="default"/>
                <w:sz w:val="18"/>
                <w:szCs w:val="18"/>
              </w:rPr>
            </w:pPr>
            <w:r>
              <w:rPr>
                <w:rFonts w:ascii="Arial"/>
                <w:sz w:val="18"/>
              </w:rPr>
              <w:t>-</w:t>
              <w:tab/>
              <w:t>-</w:t>
            </w:r>
          </w:p>
        </w:tc>
      </w:tr>
      <w:tr>
        <w:trPr>
          <w:trHeight w:val="369" w:hRule="exact"/>
        </w:trPr>
        <w:tc>
          <w:tcPr>
            <w:tcW w:w="9335" w:type="dxa"/>
            <w:gridSpan w:val="12"/>
            <w:tcBorders>
              <w:top w:val="nil" w:sz="6" w:space="0" w:color="auto"/>
              <w:left w:val="nil" w:sz="6" w:space="0" w:color="auto"/>
              <w:bottom w:val="nil" w:sz="6" w:space="0" w:color="auto"/>
              <w:right w:val="nil" w:sz="6" w:space="0" w:color="auto"/>
            </w:tcBorders>
          </w:tcPr>
          <w:p>
            <w:pPr>
              <w:pStyle w:val="TableParagraph"/>
              <w:tabs>
                <w:tab w:pos="1881" w:val="left" w:leader="none"/>
                <w:tab w:pos="3006" w:val="left" w:leader="none"/>
                <w:tab w:pos="4622" w:val="left" w:leader="none"/>
                <w:tab w:pos="5284" w:val="left" w:leader="none"/>
                <w:tab w:pos="6415" w:val="left" w:leader="none"/>
                <w:tab w:pos="6924" w:val="left" w:leader="none"/>
                <w:tab w:pos="8016" w:val="left" w:leader="none"/>
                <w:tab w:pos="9101" w:val="left" w:leader="none"/>
              </w:tabs>
              <w:spacing w:line="240" w:lineRule="auto" w:before="60"/>
              <w:ind w:left="63" w:right="0"/>
              <w:jc w:val="left"/>
              <w:rPr>
                <w:rFonts w:ascii="Arial" w:hAnsi="Arial" w:cs="Arial" w:eastAsia="Arial" w:hint="default"/>
                <w:sz w:val="18"/>
                <w:szCs w:val="18"/>
              </w:rPr>
            </w:pPr>
            <w:r>
              <w:rPr>
                <w:rFonts w:ascii="宋体" w:hAnsi="宋体" w:cs="宋体" w:eastAsia="宋体" w:hint="default"/>
                <w:position w:val="1"/>
                <w:sz w:val="18"/>
                <w:szCs w:val="18"/>
              </w:rPr>
              <w:t>应收节能补贴组合</w:t>
              <w:tab/>
            </w:r>
            <w:r>
              <w:rPr>
                <w:rFonts w:ascii="Arial" w:hAnsi="Arial" w:cs="Arial" w:eastAsia="Arial" w:hint="default"/>
                <w:spacing w:val="-1"/>
                <w:sz w:val="18"/>
                <w:szCs w:val="18"/>
              </w:rPr>
              <w:t>670,335</w:t>
              <w:tab/>
            </w:r>
            <w:r>
              <w:rPr>
                <w:rFonts w:ascii="Arial" w:hAnsi="Arial" w:cs="Arial" w:eastAsia="Arial" w:hint="default"/>
                <w:sz w:val="18"/>
                <w:szCs w:val="18"/>
              </w:rPr>
              <w:t>51.3%</w:t>
              <w:tab/>
              <w:t>-</w:t>
              <w:tab/>
              <w:t>-</w:t>
              <w:tab/>
              <w:t>-</w:t>
              <w:tab/>
              <w:t>-</w:t>
              <w:tab/>
              <w:t>-</w:t>
              <w:tab/>
              <w:t>-</w:t>
            </w:r>
          </w:p>
        </w:tc>
      </w:tr>
      <w:tr>
        <w:trPr>
          <w:trHeight w:val="310" w:hRule="exact"/>
        </w:trPr>
        <w:tc>
          <w:tcPr>
            <w:tcW w:w="1773" w:type="dxa"/>
            <w:tcBorders>
              <w:top w:val="nil" w:sz="6" w:space="0" w:color="auto"/>
              <w:left w:val="nil" w:sz="6" w:space="0" w:color="auto"/>
              <w:bottom w:val="nil" w:sz="6" w:space="0" w:color="auto"/>
              <w:right w:val="nil" w:sz="6" w:space="0" w:color="auto"/>
            </w:tcBorders>
          </w:tcPr>
          <w:p>
            <w:pPr>
              <w:pStyle w:val="TableParagraph"/>
              <w:spacing w:line="234" w:lineRule="exact"/>
              <w:ind w:left="63" w:right="0"/>
              <w:jc w:val="left"/>
              <w:rPr>
                <w:rFonts w:ascii="宋体" w:hAnsi="宋体" w:cs="宋体" w:eastAsia="宋体" w:hint="default"/>
                <w:sz w:val="18"/>
                <w:szCs w:val="18"/>
              </w:rPr>
            </w:pPr>
            <w:r>
              <w:rPr>
                <w:rFonts w:ascii="宋体" w:hAnsi="宋体" w:cs="宋体" w:eastAsia="宋体" w:hint="default"/>
                <w:sz w:val="18"/>
                <w:szCs w:val="18"/>
              </w:rPr>
              <w:t>应收其他款项组合</w:t>
            </w:r>
          </w:p>
        </w:tc>
        <w:tc>
          <w:tcPr>
            <w:tcW w:w="101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08" w:right="0"/>
              <w:jc w:val="left"/>
              <w:rPr>
                <w:rFonts w:ascii="Arial" w:hAnsi="Arial" w:cs="Arial" w:eastAsia="Arial" w:hint="default"/>
                <w:sz w:val="18"/>
                <w:szCs w:val="18"/>
              </w:rPr>
            </w:pPr>
            <w:r>
              <w:rPr>
                <w:rFonts w:ascii="Arial"/>
                <w:sz w:val="18"/>
              </w:rPr>
              <w:t>542,012</w:t>
            </w:r>
          </w:p>
        </w:tc>
        <w:tc>
          <w:tcPr>
            <w:tcW w:w="93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05"/>
              <w:jc w:val="right"/>
              <w:rPr>
                <w:rFonts w:ascii="Arial" w:hAnsi="Arial" w:cs="Arial" w:eastAsia="Arial" w:hint="default"/>
                <w:sz w:val="18"/>
                <w:szCs w:val="18"/>
              </w:rPr>
            </w:pPr>
            <w:r>
              <w:rPr>
                <w:rFonts w:ascii="Arial"/>
                <w:sz w:val="18"/>
              </w:rPr>
              <w:t>41.5%</w:t>
            </w:r>
          </w:p>
        </w:tc>
        <w:tc>
          <w:tcPr>
            <w:tcW w:w="252"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7"/>
              <w:jc w:val="center"/>
              <w:rPr>
                <w:rFonts w:ascii="Arial" w:hAnsi="Arial" w:cs="Arial" w:eastAsia="Arial" w:hint="default"/>
                <w:sz w:val="18"/>
                <w:szCs w:val="18"/>
              </w:rPr>
            </w:pPr>
            <w:r>
              <w:rPr>
                <w:rFonts w:ascii="Arial"/>
                <w:sz w:val="18"/>
              </w:rPr>
              <w:t>(35,565)</w:t>
            </w:r>
          </w:p>
        </w:tc>
        <w:tc>
          <w:tcPr>
            <w:tcW w:w="8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2" w:right="0"/>
              <w:jc w:val="left"/>
              <w:rPr>
                <w:rFonts w:ascii="Arial" w:hAnsi="Arial" w:cs="Arial" w:eastAsia="Arial" w:hint="default"/>
                <w:sz w:val="18"/>
                <w:szCs w:val="18"/>
              </w:rPr>
            </w:pPr>
            <w:r>
              <w:rPr>
                <w:rFonts w:ascii="Arial"/>
                <w:sz w:val="18"/>
              </w:rPr>
              <w:t>6.6%</w:t>
            </w:r>
          </w:p>
        </w:tc>
        <w:tc>
          <w:tcPr>
            <w:tcW w:w="94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62" w:right="0"/>
              <w:jc w:val="left"/>
              <w:rPr>
                <w:rFonts w:ascii="Arial" w:hAnsi="Arial" w:cs="Arial" w:eastAsia="Arial" w:hint="default"/>
                <w:sz w:val="18"/>
                <w:szCs w:val="18"/>
              </w:rPr>
            </w:pPr>
            <w:r>
              <w:rPr>
                <w:rFonts w:ascii="Arial"/>
                <w:sz w:val="18"/>
              </w:rPr>
              <w:t>538,577</w:t>
            </w:r>
          </w:p>
        </w:tc>
        <w:tc>
          <w:tcPr>
            <w:tcW w:w="96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215" w:right="0"/>
              <w:jc w:val="left"/>
              <w:rPr>
                <w:rFonts w:ascii="Arial" w:hAnsi="Arial" w:cs="Arial" w:eastAsia="Arial" w:hint="default"/>
                <w:sz w:val="18"/>
                <w:szCs w:val="18"/>
              </w:rPr>
            </w:pPr>
            <w:r>
              <w:rPr>
                <w:rFonts w:ascii="Arial"/>
                <w:sz w:val="18"/>
              </w:rPr>
              <w:t>28.7%</w:t>
            </w:r>
          </w:p>
        </w:tc>
        <w:tc>
          <w:tcPr>
            <w:tcW w:w="235"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7" w:right="0"/>
              <w:jc w:val="left"/>
              <w:rPr>
                <w:rFonts w:ascii="Arial" w:hAnsi="Arial" w:cs="Arial" w:eastAsia="Arial" w:hint="default"/>
                <w:sz w:val="18"/>
                <w:szCs w:val="18"/>
              </w:rPr>
            </w:pPr>
            <w:r>
              <w:rPr>
                <w:rFonts w:ascii="Arial"/>
                <w:sz w:val="18"/>
              </w:rPr>
              <w:t>(31,556)</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6" w:right="0"/>
              <w:jc w:val="left"/>
              <w:rPr>
                <w:rFonts w:ascii="Arial" w:hAnsi="Arial" w:cs="Arial" w:eastAsia="Arial" w:hint="default"/>
                <w:sz w:val="18"/>
                <w:szCs w:val="18"/>
              </w:rPr>
            </w:pPr>
            <w:r>
              <w:rPr>
                <w:rFonts w:ascii="Arial"/>
                <w:sz w:val="18"/>
              </w:rPr>
              <w:t>5.9%</w:t>
            </w:r>
          </w:p>
        </w:tc>
      </w:tr>
      <w:tr>
        <w:trPr>
          <w:trHeight w:val="307" w:hRule="exact"/>
        </w:trPr>
        <w:tc>
          <w:tcPr>
            <w:tcW w:w="1773" w:type="dxa"/>
            <w:tcBorders>
              <w:top w:val="nil" w:sz="6" w:space="0" w:color="auto"/>
              <w:left w:val="nil" w:sz="6" w:space="0" w:color="auto"/>
              <w:bottom w:val="nil" w:sz="6" w:space="0" w:color="auto"/>
              <w:right w:val="nil" w:sz="6" w:space="0" w:color="auto"/>
            </w:tcBorders>
          </w:tcPr>
          <w:p>
            <w:pPr/>
          </w:p>
        </w:tc>
        <w:tc>
          <w:tcPr>
            <w:tcW w:w="1018"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108" w:right="0"/>
              <w:jc w:val="left"/>
              <w:rPr>
                <w:rFonts w:ascii="Arial" w:hAnsi="Arial" w:cs="Arial" w:eastAsia="Arial" w:hint="default"/>
                <w:sz w:val="18"/>
                <w:szCs w:val="18"/>
              </w:rPr>
            </w:pPr>
            <w:r>
              <w:rPr>
                <w:rFonts w:ascii="Arial"/>
                <w:sz w:val="18"/>
              </w:rPr>
              <w:t>1,306,067</w:t>
            </w:r>
          </w:p>
        </w:tc>
        <w:tc>
          <w:tcPr>
            <w:tcW w:w="935"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214"/>
              <w:jc w:val="right"/>
              <w:rPr>
                <w:rFonts w:ascii="Arial" w:hAnsi="Arial" w:cs="Arial" w:eastAsia="Arial" w:hint="default"/>
                <w:sz w:val="18"/>
                <w:szCs w:val="18"/>
              </w:rPr>
            </w:pPr>
            <w:r>
              <w:rPr>
                <w:rFonts w:ascii="Arial"/>
                <w:spacing w:val="-1"/>
                <w:sz w:val="18"/>
              </w:rPr>
              <w:t>100.0%</w:t>
            </w:r>
          </w:p>
        </w:tc>
        <w:tc>
          <w:tcPr>
            <w:tcW w:w="252" w:type="dxa"/>
            <w:tcBorders>
              <w:top w:val="nil" w:sz="6" w:space="0" w:color="auto"/>
              <w:left w:val="nil" w:sz="6" w:space="0" w:color="auto"/>
              <w:bottom w:val="nil" w:sz="6" w:space="0" w:color="auto"/>
              <w:right w:val="nil" w:sz="6" w:space="0" w:color="auto"/>
            </w:tcBorders>
          </w:tcPr>
          <w:p>
            <w:pPr/>
          </w:p>
        </w:tc>
        <w:tc>
          <w:tcPr>
            <w:tcW w:w="917"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27"/>
              <w:jc w:val="center"/>
              <w:rPr>
                <w:rFonts w:ascii="Arial" w:hAnsi="Arial" w:cs="Arial" w:eastAsia="Arial" w:hint="default"/>
                <w:sz w:val="18"/>
                <w:szCs w:val="18"/>
              </w:rPr>
            </w:pPr>
            <w:r>
              <w:rPr>
                <w:rFonts w:ascii="Arial"/>
                <w:sz w:val="18"/>
              </w:rPr>
              <w:t>(35,565)</w:t>
            </w:r>
          </w:p>
        </w:tc>
        <w:tc>
          <w:tcPr>
            <w:tcW w:w="866" w:type="dxa"/>
            <w:gridSpan w:val="2"/>
            <w:tcBorders>
              <w:top w:val="nil" w:sz="6" w:space="0" w:color="auto"/>
              <w:left w:val="nil" w:sz="6" w:space="0" w:color="auto"/>
              <w:bottom w:val="nil" w:sz="6" w:space="0" w:color="auto"/>
              <w:right w:val="nil" w:sz="6" w:space="0" w:color="auto"/>
            </w:tcBorders>
          </w:tcPr>
          <w:p>
            <w:pPr/>
          </w:p>
        </w:tc>
        <w:tc>
          <w:tcPr>
            <w:tcW w:w="9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35" w:right="0"/>
              <w:jc w:val="left"/>
              <w:rPr>
                <w:rFonts w:ascii="Arial" w:hAnsi="Arial" w:cs="Arial" w:eastAsia="Arial" w:hint="default"/>
                <w:sz w:val="18"/>
                <w:szCs w:val="18"/>
              </w:rPr>
            </w:pPr>
            <w:r>
              <w:rPr>
                <w:rFonts w:ascii="Arial"/>
                <w:sz w:val="18"/>
              </w:rPr>
              <w:t>1,873,334</w:t>
            </w:r>
          </w:p>
        </w:tc>
        <w:tc>
          <w:tcPr>
            <w:tcW w:w="96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215" w:right="0"/>
              <w:jc w:val="left"/>
              <w:rPr>
                <w:rFonts w:ascii="Arial" w:hAnsi="Arial" w:cs="Arial" w:eastAsia="Arial" w:hint="default"/>
                <w:sz w:val="18"/>
                <w:szCs w:val="18"/>
              </w:rPr>
            </w:pPr>
            <w:r>
              <w:rPr>
                <w:rFonts w:ascii="Arial"/>
                <w:sz w:val="18"/>
              </w:rPr>
              <w:t>100.0%</w:t>
            </w:r>
          </w:p>
        </w:tc>
        <w:tc>
          <w:tcPr>
            <w:tcW w:w="235" w:type="dxa"/>
            <w:tcBorders>
              <w:top w:val="nil" w:sz="6" w:space="0" w:color="auto"/>
              <w:left w:val="nil" w:sz="6" w:space="0" w:color="auto"/>
              <w:bottom w:val="nil" w:sz="6" w:space="0" w:color="auto"/>
              <w:right w:val="nil" w:sz="6" w:space="0" w:color="auto"/>
            </w:tcBorders>
          </w:tcPr>
          <w:p>
            <w:pPr/>
          </w:p>
        </w:tc>
        <w:tc>
          <w:tcPr>
            <w:tcW w:w="775"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17" w:right="0"/>
              <w:jc w:val="left"/>
              <w:rPr>
                <w:rFonts w:ascii="Arial" w:hAnsi="Arial" w:cs="Arial" w:eastAsia="Arial" w:hint="default"/>
                <w:sz w:val="18"/>
                <w:szCs w:val="18"/>
              </w:rPr>
            </w:pPr>
            <w:r>
              <w:rPr>
                <w:rFonts w:ascii="Arial"/>
                <w:sz w:val="18"/>
              </w:rPr>
              <w:t>(31,556)</w:t>
            </w:r>
          </w:p>
        </w:tc>
        <w:tc>
          <w:tcPr>
            <w:tcW w:w="653"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72"/>
          <w:pgSz w:w="11910" w:h="16850"/>
          <w:pgMar w:footer="1340" w:header="795" w:top="2020" w:bottom="1540" w:left="1580" w:right="0"/>
          <w:pgNumType w:start="143"/>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623"/>
        <w:gridCol w:w="1143"/>
        <w:gridCol w:w="1035"/>
        <w:gridCol w:w="800"/>
        <w:gridCol w:w="235"/>
        <w:gridCol w:w="999"/>
        <w:gridCol w:w="708"/>
        <w:gridCol w:w="1154"/>
        <w:gridCol w:w="1247"/>
        <w:gridCol w:w="913"/>
        <w:gridCol w:w="758"/>
      </w:tblGrid>
      <w:tr>
        <w:trPr>
          <w:trHeight w:val="497" w:hRule="exact"/>
        </w:trPr>
        <w:tc>
          <w:tcPr>
            <w:tcW w:w="62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黑体" w:hAnsi="黑体" w:cs="黑体" w:eastAsia="黑体" w:hint="default"/>
                <w:sz w:val="24"/>
                <w:szCs w:val="24"/>
              </w:rPr>
            </w:pPr>
            <w:r>
              <w:rPr>
                <w:rFonts w:ascii="黑体" w:hAnsi="黑体" w:cs="黑体" w:eastAsia="黑体" w:hint="default"/>
                <w:sz w:val="24"/>
                <w:szCs w:val="24"/>
              </w:rPr>
              <w:t>五</w:t>
            </w:r>
          </w:p>
        </w:tc>
        <w:tc>
          <w:tcPr>
            <w:tcW w:w="2977"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221" w:right="-44"/>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5"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r>
      <w:tr>
        <w:trPr>
          <w:trHeight w:val="748" w:hRule="exact"/>
        </w:trPr>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108" w:right="0"/>
              <w:jc w:val="left"/>
              <w:rPr>
                <w:rFonts w:ascii="Arial" w:hAnsi="Arial" w:cs="Arial" w:eastAsia="Arial" w:hint="default"/>
                <w:sz w:val="24"/>
                <w:szCs w:val="24"/>
              </w:rPr>
            </w:pPr>
            <w:r>
              <w:rPr>
                <w:rFonts w:ascii="Arial"/>
                <w:sz w:val="24"/>
              </w:rPr>
              <w:t>(4)</w:t>
            </w:r>
          </w:p>
        </w:tc>
        <w:tc>
          <w:tcPr>
            <w:tcW w:w="21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8"/>
              <w:ind w:left="221" w:right="0"/>
              <w:jc w:val="left"/>
              <w:rPr>
                <w:rFonts w:ascii="Arial" w:hAnsi="Arial" w:cs="Arial" w:eastAsia="Arial" w:hint="default"/>
                <w:sz w:val="24"/>
                <w:szCs w:val="24"/>
              </w:rPr>
            </w:pPr>
            <w:r>
              <w:rPr>
                <w:rFonts w:ascii="黑体" w:hAnsi="黑体" w:cs="黑体" w:eastAsia="黑体" w:hint="default"/>
                <w:sz w:val="24"/>
                <w:szCs w:val="24"/>
              </w:rPr>
              <w:t>应收账款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8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r>
      <w:tr>
        <w:trPr>
          <w:trHeight w:val="705" w:hRule="exact"/>
        </w:trPr>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108" w:right="0"/>
              <w:jc w:val="left"/>
              <w:rPr>
                <w:rFonts w:ascii="Arial" w:hAnsi="Arial" w:cs="Arial" w:eastAsia="Arial" w:hint="default"/>
                <w:sz w:val="24"/>
                <w:szCs w:val="24"/>
              </w:rPr>
            </w:pPr>
            <w:r>
              <w:rPr>
                <w:rFonts w:ascii="Arial"/>
                <w:sz w:val="24"/>
              </w:rPr>
              <w:t>(c)</w:t>
            </w:r>
          </w:p>
        </w:tc>
        <w:tc>
          <w:tcPr>
            <w:tcW w:w="8234"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77"/>
              <w:ind w:left="221" w:right="0"/>
              <w:jc w:val="left"/>
              <w:rPr>
                <w:rFonts w:ascii="宋体" w:hAnsi="宋体" w:cs="宋体" w:eastAsia="宋体" w:hint="default"/>
                <w:sz w:val="24"/>
                <w:szCs w:val="24"/>
              </w:rPr>
            </w:pPr>
            <w:r>
              <w:rPr>
                <w:rFonts w:ascii="宋体" w:hAnsi="宋体" w:cs="宋体" w:eastAsia="宋体" w:hint="default"/>
                <w:sz w:val="24"/>
                <w:szCs w:val="24"/>
              </w:rPr>
              <w:t>按组合计提坏账准备的应收账款中，采用账龄分析法的组合分析如下：</w:t>
            </w:r>
          </w:p>
        </w:tc>
        <w:tc>
          <w:tcPr>
            <w:tcW w:w="758" w:type="dxa"/>
            <w:tcBorders>
              <w:top w:val="nil" w:sz="6" w:space="0" w:color="auto"/>
              <w:left w:val="nil" w:sz="6" w:space="0" w:color="auto"/>
              <w:bottom w:val="nil" w:sz="6" w:space="0" w:color="auto"/>
              <w:right w:val="nil" w:sz="6" w:space="0" w:color="auto"/>
            </w:tcBorders>
          </w:tcPr>
          <w:p>
            <w:pPr/>
          </w:p>
        </w:tc>
      </w:tr>
      <w:tr>
        <w:trPr>
          <w:trHeight w:val="465" w:hRule="exact"/>
        </w:trPr>
        <w:tc>
          <w:tcPr>
            <w:tcW w:w="623"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18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8"/>
              <w:ind w:left="108"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35"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24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8"/>
              <w:ind w:left="374"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13"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r>
      <w:tr>
        <w:trPr>
          <w:trHeight w:val="317" w:hRule="exact"/>
        </w:trPr>
        <w:tc>
          <w:tcPr>
            <w:tcW w:w="623"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00"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1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08" w:type="dxa"/>
            <w:tcBorders>
              <w:top w:val="nil" w:sz="6" w:space="0" w:color="auto"/>
              <w:left w:val="nil" w:sz="6" w:space="0" w:color="auto"/>
              <w:bottom w:val="single" w:sz="4" w:space="0" w:color="000000"/>
              <w:right w:val="nil" w:sz="6" w:space="0" w:color="auto"/>
            </w:tcBorders>
          </w:tcPr>
          <w:p>
            <w:pPr/>
          </w:p>
        </w:tc>
        <w:tc>
          <w:tcPr>
            <w:tcW w:w="115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59"/>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247" w:type="dxa"/>
            <w:tcBorders>
              <w:top w:val="nil" w:sz="6" w:space="0" w:color="auto"/>
              <w:left w:val="nil" w:sz="6" w:space="0" w:color="auto"/>
              <w:bottom w:val="single" w:sz="4" w:space="0" w:color="000000"/>
              <w:right w:val="nil" w:sz="6" w:space="0" w:color="auto"/>
            </w:tcBorders>
          </w:tcPr>
          <w:p>
            <w:pPr/>
          </w:p>
        </w:tc>
        <w:tc>
          <w:tcPr>
            <w:tcW w:w="913"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4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58" w:type="dxa"/>
            <w:tcBorders>
              <w:top w:val="nil" w:sz="6" w:space="0" w:color="auto"/>
              <w:left w:val="nil" w:sz="6" w:space="0" w:color="auto"/>
              <w:bottom w:val="single" w:sz="4" w:space="0" w:color="000000"/>
              <w:right w:val="nil" w:sz="6" w:space="0" w:color="auto"/>
            </w:tcBorders>
          </w:tcPr>
          <w:p>
            <w:pPr/>
          </w:p>
        </w:tc>
      </w:tr>
      <w:tr>
        <w:trPr>
          <w:trHeight w:val="702" w:hRule="exact"/>
        </w:trPr>
        <w:tc>
          <w:tcPr>
            <w:tcW w:w="623"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103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00" w:type="dxa"/>
            <w:tcBorders>
              <w:top w:val="single" w:sz="4" w:space="0" w:color="000000"/>
              <w:left w:val="nil" w:sz="6" w:space="0" w:color="auto"/>
              <w:bottom w:val="nil" w:sz="6" w:space="0" w:color="auto"/>
              <w:right w:val="nil" w:sz="6" w:space="0" w:color="auto"/>
            </w:tcBorders>
          </w:tcPr>
          <w:p>
            <w:pPr>
              <w:pStyle w:val="TableParagraph"/>
              <w:spacing w:line="232" w:lineRule="exact" w:before="33"/>
              <w:ind w:left="48" w:right="209"/>
              <w:jc w:val="left"/>
              <w:rPr>
                <w:rFonts w:ascii="宋体" w:hAnsi="宋体" w:cs="宋体" w:eastAsia="宋体" w:hint="default"/>
                <w:sz w:val="18"/>
                <w:szCs w:val="18"/>
              </w:rPr>
            </w:pPr>
            <w:r>
              <w:rPr>
                <w:rFonts w:ascii="宋体" w:hAnsi="宋体" w:cs="宋体" w:eastAsia="宋体" w:hint="default"/>
                <w:sz w:val="18"/>
                <w:szCs w:val="18"/>
              </w:rPr>
              <w:t>占总额 比例</w:t>
            </w:r>
          </w:p>
        </w:tc>
        <w:tc>
          <w:tcPr>
            <w:tcW w:w="235" w:type="dxa"/>
            <w:tcBorders>
              <w:top w:val="nil" w:sz="6" w:space="0" w:color="auto"/>
              <w:left w:val="nil" w:sz="6" w:space="0" w:color="auto"/>
              <w:bottom w:val="nil" w:sz="6" w:space="0" w:color="auto"/>
              <w:right w:val="nil" w:sz="6" w:space="0" w:color="auto"/>
            </w:tcBorders>
          </w:tcPr>
          <w:p>
            <w:pPr/>
          </w:p>
        </w:tc>
        <w:tc>
          <w:tcPr>
            <w:tcW w:w="99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nil" w:sz="6" w:space="0" w:color="auto"/>
              <w:bottom w:val="nil" w:sz="6" w:space="0" w:color="auto"/>
              <w:right w:val="nil" w:sz="6" w:space="0" w:color="auto"/>
            </w:tcBorders>
          </w:tcPr>
          <w:p>
            <w:pPr>
              <w:pStyle w:val="TableParagraph"/>
              <w:spacing w:line="232" w:lineRule="exact" w:before="33"/>
              <w:ind w:left="107" w:right="23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47" w:type="dxa"/>
            <w:tcBorders>
              <w:top w:val="single" w:sz="4" w:space="0" w:color="000000"/>
              <w:left w:val="nil" w:sz="6" w:space="0" w:color="auto"/>
              <w:bottom w:val="nil" w:sz="6" w:space="0" w:color="auto"/>
              <w:right w:val="nil" w:sz="6" w:space="0" w:color="auto"/>
            </w:tcBorders>
          </w:tcPr>
          <w:p>
            <w:pPr>
              <w:pStyle w:val="TableParagraph"/>
              <w:spacing w:line="232" w:lineRule="exact" w:before="33"/>
              <w:ind w:left="213" w:right="491"/>
              <w:jc w:val="left"/>
              <w:rPr>
                <w:rFonts w:ascii="宋体" w:hAnsi="宋体" w:cs="宋体" w:eastAsia="宋体" w:hint="default"/>
                <w:sz w:val="18"/>
                <w:szCs w:val="18"/>
              </w:rPr>
            </w:pPr>
            <w:r>
              <w:rPr>
                <w:rFonts w:ascii="宋体" w:hAnsi="宋体" w:cs="宋体" w:eastAsia="宋体" w:hint="default"/>
                <w:sz w:val="18"/>
                <w:szCs w:val="18"/>
              </w:rPr>
              <w:t>占总额 比例</w:t>
            </w:r>
          </w:p>
        </w:tc>
        <w:tc>
          <w:tcPr>
            <w:tcW w:w="91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nil" w:sz="6" w:space="0" w:color="auto"/>
              <w:bottom w:val="nil" w:sz="6" w:space="0" w:color="auto"/>
              <w:right w:val="nil" w:sz="6" w:space="0" w:color="auto"/>
            </w:tcBorders>
          </w:tcPr>
          <w:p>
            <w:pPr>
              <w:pStyle w:val="TableParagraph"/>
              <w:spacing w:line="232" w:lineRule="exact" w:before="33"/>
              <w:ind w:left="107" w:right="108"/>
              <w:jc w:val="left"/>
              <w:rPr>
                <w:rFonts w:ascii="宋体" w:hAnsi="宋体" w:cs="宋体" w:eastAsia="宋体" w:hint="default"/>
                <w:sz w:val="18"/>
                <w:szCs w:val="18"/>
              </w:rPr>
            </w:pPr>
            <w:r>
              <w:rPr>
                <w:rFonts w:ascii="宋体" w:hAnsi="宋体" w:cs="宋体" w:eastAsia="宋体" w:hint="default"/>
                <w:sz w:val="18"/>
                <w:szCs w:val="18"/>
              </w:rPr>
              <w:t>计提比 例</w:t>
            </w:r>
          </w:p>
        </w:tc>
      </w:tr>
      <w:tr>
        <w:trPr>
          <w:trHeight w:val="476" w:hRule="exact"/>
        </w:trPr>
        <w:tc>
          <w:tcPr>
            <w:tcW w:w="623"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65"/>
              <w:jc w:val="right"/>
              <w:rPr>
                <w:rFonts w:ascii="Arial" w:hAnsi="Arial" w:cs="Arial" w:eastAsia="Arial" w:hint="default"/>
                <w:sz w:val="18"/>
                <w:szCs w:val="18"/>
              </w:rPr>
            </w:pPr>
            <w:r>
              <w:rPr>
                <w:rFonts w:ascii="Arial"/>
                <w:spacing w:val="-1"/>
                <w:sz w:val="18"/>
              </w:rPr>
              <w:t>435,715</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80.3%</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spacing w:val="-1"/>
                <w:sz w:val="18"/>
              </w:rPr>
              <w:t>(21,786)</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72"/>
              <w:jc w:val="right"/>
              <w:rPr>
                <w:rFonts w:ascii="Arial" w:hAnsi="Arial" w:cs="Arial" w:eastAsia="Arial" w:hint="default"/>
                <w:sz w:val="18"/>
                <w:szCs w:val="18"/>
              </w:rPr>
            </w:pPr>
            <w:r>
              <w:rPr>
                <w:rFonts w:ascii="Arial"/>
                <w:w w:val="95"/>
                <w:sz w:val="18"/>
              </w:rPr>
              <w:t>5%</w:t>
            </w:r>
            <w:r>
              <w:rPr>
                <w:rFonts w:ascii="Arial"/>
                <w:sz w:val="18"/>
              </w:rPr>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Arial" w:hAnsi="Arial" w:cs="Arial" w:eastAsia="Arial" w:hint="default"/>
                <w:sz w:val="18"/>
                <w:szCs w:val="18"/>
              </w:rPr>
            </w:pPr>
            <w:r>
              <w:rPr>
                <w:rFonts w:ascii="Arial"/>
                <w:spacing w:val="-1"/>
                <w:sz w:val="18"/>
              </w:rPr>
              <w:t>476,328</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83" w:right="0"/>
              <w:jc w:val="left"/>
              <w:rPr>
                <w:rFonts w:ascii="Arial" w:hAnsi="Arial" w:cs="Arial" w:eastAsia="Arial" w:hint="default"/>
                <w:sz w:val="18"/>
                <w:szCs w:val="18"/>
              </w:rPr>
            </w:pPr>
            <w:r>
              <w:rPr>
                <w:rFonts w:ascii="Arial"/>
                <w:sz w:val="18"/>
              </w:rPr>
              <w:t>88.5%</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spacing w:val="-1"/>
                <w:sz w:val="18"/>
              </w:rPr>
              <w:t>(23,816)</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Arial" w:hAnsi="Arial" w:cs="Arial" w:eastAsia="Arial" w:hint="default"/>
                <w:sz w:val="18"/>
                <w:szCs w:val="18"/>
              </w:rPr>
            </w:pPr>
            <w:r>
              <w:rPr>
                <w:rFonts w:ascii="Arial"/>
                <w:w w:val="95"/>
                <w:sz w:val="18"/>
              </w:rPr>
              <w:t>5%</w:t>
            </w:r>
            <w:r>
              <w:rPr>
                <w:rFonts w:ascii="Arial"/>
                <w:sz w:val="18"/>
              </w:rPr>
            </w:r>
          </w:p>
        </w:tc>
      </w:tr>
      <w:tr>
        <w:trPr>
          <w:trHeight w:val="324" w:hRule="exact"/>
        </w:trPr>
        <w:tc>
          <w:tcPr>
            <w:tcW w:w="623"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9"/>
              <w:jc w:val="right"/>
              <w:rPr>
                <w:rFonts w:ascii="宋体" w:hAnsi="宋体" w:cs="宋体" w:eastAsia="宋体" w:hint="default"/>
                <w:sz w:val="18"/>
                <w:szCs w:val="18"/>
              </w:rPr>
            </w:pPr>
            <w:r>
              <w:rPr>
                <w:rFonts w:ascii="宋体" w:hAnsi="宋体" w:cs="宋体" w:eastAsia="宋体" w:hint="default"/>
                <w:sz w:val="18"/>
                <w:szCs w:val="18"/>
              </w:rPr>
              <w:t>一到二年</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5"/>
              <w:jc w:val="right"/>
              <w:rPr>
                <w:rFonts w:ascii="Arial" w:hAnsi="Arial" w:cs="Arial" w:eastAsia="Arial" w:hint="default"/>
                <w:sz w:val="18"/>
                <w:szCs w:val="18"/>
              </w:rPr>
            </w:pPr>
            <w:r>
              <w:rPr>
                <w:rFonts w:ascii="Arial"/>
                <w:spacing w:val="-1"/>
                <w:sz w:val="18"/>
              </w:rPr>
              <w:t>86,178</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Arial" w:hAnsi="Arial" w:cs="Arial" w:eastAsia="Arial" w:hint="default"/>
                <w:sz w:val="18"/>
                <w:szCs w:val="18"/>
              </w:rPr>
            </w:pPr>
            <w:r>
              <w:rPr>
                <w:rFonts w:ascii="Arial"/>
                <w:w w:val="95"/>
                <w:sz w:val="18"/>
              </w:rPr>
              <w:t>15.9%</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Arial" w:hAnsi="Arial" w:cs="Arial" w:eastAsia="Arial" w:hint="default"/>
                <w:sz w:val="18"/>
                <w:szCs w:val="18"/>
              </w:rPr>
            </w:pPr>
            <w:r>
              <w:rPr>
                <w:rFonts w:ascii="Arial"/>
                <w:spacing w:val="-1"/>
                <w:sz w:val="18"/>
              </w:rPr>
              <w:t>(8,618)</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2"/>
              <w:jc w:val="right"/>
              <w:rPr>
                <w:rFonts w:ascii="Arial" w:hAnsi="Arial" w:cs="Arial" w:eastAsia="Arial" w:hint="default"/>
                <w:sz w:val="18"/>
                <w:szCs w:val="18"/>
              </w:rPr>
            </w:pPr>
            <w:r>
              <w:rPr>
                <w:rFonts w:ascii="Arial"/>
                <w:w w:val="95"/>
                <w:sz w:val="18"/>
              </w:rPr>
              <w:t>10%</w:t>
            </w:r>
            <w:r>
              <w:rPr>
                <w:rFonts w:ascii="Arial"/>
                <w:sz w:val="18"/>
              </w:rPr>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
              <w:jc w:val="right"/>
              <w:rPr>
                <w:rFonts w:ascii="Arial" w:hAnsi="Arial" w:cs="Arial" w:eastAsia="Arial" w:hint="default"/>
                <w:sz w:val="18"/>
                <w:szCs w:val="18"/>
              </w:rPr>
            </w:pPr>
            <w:r>
              <w:rPr>
                <w:rFonts w:ascii="Arial"/>
                <w:spacing w:val="-1"/>
                <w:sz w:val="18"/>
              </w:rPr>
              <w:t>50,489</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84" w:right="0"/>
              <w:jc w:val="left"/>
              <w:rPr>
                <w:rFonts w:ascii="Arial" w:hAnsi="Arial" w:cs="Arial" w:eastAsia="Arial" w:hint="default"/>
                <w:sz w:val="18"/>
                <w:szCs w:val="18"/>
              </w:rPr>
            </w:pPr>
            <w:r>
              <w:rPr>
                <w:rFonts w:ascii="Arial"/>
                <w:sz w:val="18"/>
              </w:rPr>
              <w:t>9.4%</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Arial" w:hAnsi="Arial" w:cs="Arial" w:eastAsia="Arial" w:hint="default"/>
                <w:sz w:val="18"/>
                <w:szCs w:val="18"/>
              </w:rPr>
            </w:pPr>
            <w:r>
              <w:rPr>
                <w:rFonts w:ascii="Arial"/>
                <w:w w:val="95"/>
                <w:sz w:val="18"/>
              </w:rPr>
              <w:t>(5,049)</w:t>
            </w:r>
            <w:r>
              <w:rPr>
                <w:rFonts w:ascii="Arial"/>
                <w:sz w:val="18"/>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Arial" w:hAnsi="Arial" w:cs="Arial" w:eastAsia="Arial" w:hint="default"/>
                <w:sz w:val="18"/>
                <w:szCs w:val="18"/>
              </w:rPr>
            </w:pPr>
            <w:r>
              <w:rPr>
                <w:rFonts w:ascii="Arial"/>
                <w:w w:val="95"/>
                <w:sz w:val="18"/>
              </w:rPr>
              <w:t>10%</w:t>
            </w:r>
            <w:r>
              <w:rPr>
                <w:rFonts w:ascii="Arial"/>
                <w:sz w:val="18"/>
              </w:rPr>
            </w:r>
          </w:p>
        </w:tc>
      </w:tr>
      <w:tr>
        <w:trPr>
          <w:trHeight w:val="324" w:hRule="exact"/>
        </w:trPr>
        <w:tc>
          <w:tcPr>
            <w:tcW w:w="623"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9"/>
              <w:jc w:val="right"/>
              <w:rPr>
                <w:rFonts w:ascii="宋体" w:hAnsi="宋体" w:cs="宋体" w:eastAsia="宋体" w:hint="default"/>
                <w:sz w:val="18"/>
                <w:szCs w:val="18"/>
              </w:rPr>
            </w:pPr>
            <w:r>
              <w:rPr>
                <w:rFonts w:ascii="宋体" w:hAnsi="宋体" w:cs="宋体" w:eastAsia="宋体" w:hint="default"/>
                <w:sz w:val="18"/>
                <w:szCs w:val="18"/>
              </w:rPr>
              <w:t>二到三年</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5"/>
              <w:jc w:val="right"/>
              <w:rPr>
                <w:rFonts w:ascii="Arial" w:hAnsi="Arial" w:cs="Arial" w:eastAsia="Arial" w:hint="default"/>
                <w:sz w:val="18"/>
                <w:szCs w:val="18"/>
              </w:rPr>
            </w:pPr>
            <w:r>
              <w:rPr>
                <w:rFonts w:ascii="Arial"/>
                <w:spacing w:val="-1"/>
                <w:sz w:val="18"/>
              </w:rPr>
              <w:t>13,876</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Arial" w:hAnsi="Arial" w:cs="Arial" w:eastAsia="Arial" w:hint="default"/>
                <w:sz w:val="18"/>
                <w:szCs w:val="18"/>
              </w:rPr>
            </w:pPr>
            <w:r>
              <w:rPr>
                <w:rFonts w:ascii="Arial"/>
                <w:w w:val="95"/>
                <w:sz w:val="18"/>
              </w:rPr>
              <w:t>2.6%</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Arial" w:hAnsi="Arial" w:cs="Arial" w:eastAsia="Arial" w:hint="default"/>
                <w:sz w:val="18"/>
                <w:szCs w:val="18"/>
              </w:rPr>
            </w:pPr>
            <w:r>
              <w:rPr>
                <w:rFonts w:ascii="Arial"/>
                <w:spacing w:val="-1"/>
                <w:sz w:val="18"/>
              </w:rPr>
              <w:t>(2,775)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2"/>
              <w:jc w:val="right"/>
              <w:rPr>
                <w:rFonts w:ascii="Arial" w:hAnsi="Arial" w:cs="Arial" w:eastAsia="Arial" w:hint="default"/>
                <w:sz w:val="18"/>
                <w:szCs w:val="18"/>
              </w:rPr>
            </w:pPr>
            <w:r>
              <w:rPr>
                <w:rFonts w:ascii="Arial"/>
                <w:w w:val="95"/>
                <w:sz w:val="18"/>
              </w:rPr>
              <w:t>20%</w:t>
            </w:r>
            <w:r>
              <w:rPr>
                <w:rFonts w:ascii="Arial"/>
                <w:sz w:val="18"/>
              </w:rPr>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
              <w:jc w:val="right"/>
              <w:rPr>
                <w:rFonts w:ascii="Arial" w:hAnsi="Arial" w:cs="Arial" w:eastAsia="Arial" w:hint="default"/>
                <w:sz w:val="18"/>
                <w:szCs w:val="18"/>
              </w:rPr>
            </w:pPr>
            <w:r>
              <w:rPr>
                <w:rFonts w:ascii="Arial"/>
                <w:w w:val="95"/>
                <w:sz w:val="18"/>
              </w:rPr>
              <w:t>9,364</w:t>
            </w:r>
            <w:r>
              <w:rPr>
                <w:rFonts w:ascii="Arial"/>
                <w:sz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84" w:right="0"/>
              <w:jc w:val="left"/>
              <w:rPr>
                <w:rFonts w:ascii="Arial" w:hAnsi="Arial" w:cs="Arial" w:eastAsia="Arial" w:hint="default"/>
                <w:sz w:val="18"/>
                <w:szCs w:val="18"/>
              </w:rPr>
            </w:pPr>
            <w:r>
              <w:rPr>
                <w:rFonts w:ascii="Arial"/>
                <w:sz w:val="18"/>
              </w:rPr>
              <w:t>1.7%</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Arial" w:hAnsi="Arial" w:cs="Arial" w:eastAsia="Arial" w:hint="default"/>
                <w:sz w:val="18"/>
                <w:szCs w:val="18"/>
              </w:rPr>
            </w:pPr>
            <w:r>
              <w:rPr>
                <w:rFonts w:ascii="Arial"/>
                <w:w w:val="95"/>
                <w:sz w:val="18"/>
              </w:rPr>
              <w:t>(1,873)</w:t>
            </w:r>
            <w:r>
              <w:rPr>
                <w:rFonts w:ascii="Arial"/>
                <w:sz w:val="18"/>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Arial" w:hAnsi="Arial" w:cs="Arial" w:eastAsia="Arial" w:hint="default"/>
                <w:sz w:val="18"/>
                <w:szCs w:val="18"/>
              </w:rPr>
            </w:pPr>
            <w:r>
              <w:rPr>
                <w:rFonts w:ascii="Arial"/>
                <w:w w:val="95"/>
                <w:sz w:val="18"/>
              </w:rPr>
              <w:t>20%</w:t>
            </w:r>
            <w:r>
              <w:rPr>
                <w:rFonts w:ascii="Arial"/>
                <w:sz w:val="18"/>
              </w:rPr>
            </w:r>
          </w:p>
        </w:tc>
      </w:tr>
      <w:tr>
        <w:trPr>
          <w:trHeight w:val="323" w:hRule="exact"/>
        </w:trPr>
        <w:tc>
          <w:tcPr>
            <w:tcW w:w="623"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9"/>
              <w:jc w:val="right"/>
              <w:rPr>
                <w:rFonts w:ascii="宋体" w:hAnsi="宋体" w:cs="宋体" w:eastAsia="宋体" w:hint="default"/>
                <w:sz w:val="18"/>
                <w:szCs w:val="18"/>
              </w:rPr>
            </w:pPr>
            <w:r>
              <w:rPr>
                <w:rFonts w:ascii="宋体" w:hAnsi="宋体" w:cs="宋体" w:eastAsia="宋体" w:hint="default"/>
                <w:sz w:val="18"/>
                <w:szCs w:val="18"/>
              </w:rPr>
              <w:t>三到四年</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6"/>
              <w:jc w:val="right"/>
              <w:rPr>
                <w:rFonts w:ascii="Arial" w:hAnsi="Arial" w:cs="Arial" w:eastAsia="Arial" w:hint="default"/>
                <w:sz w:val="18"/>
                <w:szCs w:val="18"/>
              </w:rPr>
            </w:pPr>
            <w:r>
              <w:rPr>
                <w:rFonts w:ascii="Arial"/>
                <w:spacing w:val="-1"/>
                <w:sz w:val="18"/>
              </w:rPr>
              <w:t>4,667</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w w:val="95"/>
                <w:sz w:val="18"/>
              </w:rPr>
              <w:t>0.9%</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(1,400)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2"/>
              <w:jc w:val="right"/>
              <w:rPr>
                <w:rFonts w:ascii="Arial" w:hAnsi="Arial" w:cs="Arial" w:eastAsia="Arial" w:hint="default"/>
                <w:sz w:val="18"/>
                <w:szCs w:val="18"/>
              </w:rPr>
            </w:pPr>
            <w:r>
              <w:rPr>
                <w:rFonts w:ascii="Arial"/>
                <w:w w:val="95"/>
                <w:sz w:val="18"/>
              </w:rPr>
              <w:t>30%</w:t>
            </w:r>
            <w:r>
              <w:rPr>
                <w:rFonts w:ascii="Arial"/>
                <w:sz w:val="18"/>
              </w:rPr>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Arial" w:hAnsi="Arial" w:cs="Arial" w:eastAsia="Arial" w:hint="default"/>
                <w:sz w:val="18"/>
                <w:szCs w:val="18"/>
              </w:rPr>
            </w:pPr>
            <w:r>
              <w:rPr>
                <w:rFonts w:ascii="Arial"/>
                <w:w w:val="95"/>
                <w:sz w:val="18"/>
              </w:rPr>
              <w:t>2,120</w:t>
            </w:r>
            <w:r>
              <w:rPr>
                <w:rFonts w:ascii="Arial"/>
                <w:sz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84" w:right="0"/>
              <w:jc w:val="left"/>
              <w:rPr>
                <w:rFonts w:ascii="Arial" w:hAnsi="Arial" w:cs="Arial" w:eastAsia="Arial" w:hint="default"/>
                <w:sz w:val="18"/>
                <w:szCs w:val="18"/>
              </w:rPr>
            </w:pPr>
            <w:r>
              <w:rPr>
                <w:rFonts w:ascii="Arial"/>
                <w:sz w:val="18"/>
              </w:rPr>
              <w:t>0.4%</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w w:val="95"/>
                <w:sz w:val="18"/>
              </w:rPr>
              <w:t>(636)</w:t>
            </w:r>
            <w:r>
              <w:rPr>
                <w:rFonts w:ascii="Arial"/>
                <w:sz w:val="18"/>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Arial" w:hAnsi="Arial" w:cs="Arial" w:eastAsia="Arial" w:hint="default"/>
                <w:sz w:val="18"/>
                <w:szCs w:val="18"/>
              </w:rPr>
            </w:pPr>
            <w:r>
              <w:rPr>
                <w:rFonts w:ascii="Arial"/>
                <w:w w:val="95"/>
                <w:sz w:val="18"/>
              </w:rPr>
              <w:t>30%</w:t>
            </w:r>
            <w:r>
              <w:rPr>
                <w:rFonts w:ascii="Arial"/>
                <w:sz w:val="18"/>
              </w:rPr>
            </w:r>
          </w:p>
        </w:tc>
      </w:tr>
      <w:tr>
        <w:trPr>
          <w:trHeight w:val="323" w:hRule="exact"/>
        </w:trPr>
        <w:tc>
          <w:tcPr>
            <w:tcW w:w="623"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9"/>
              <w:jc w:val="right"/>
              <w:rPr>
                <w:rFonts w:ascii="宋体" w:hAnsi="宋体" w:cs="宋体" w:eastAsia="宋体" w:hint="default"/>
                <w:sz w:val="18"/>
                <w:szCs w:val="18"/>
              </w:rPr>
            </w:pPr>
            <w:r>
              <w:rPr>
                <w:rFonts w:ascii="宋体" w:hAnsi="宋体" w:cs="宋体" w:eastAsia="宋体" w:hint="default"/>
                <w:sz w:val="18"/>
                <w:szCs w:val="18"/>
              </w:rPr>
              <w:t>四到五年</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6"/>
              <w:jc w:val="right"/>
              <w:rPr>
                <w:rFonts w:ascii="Arial" w:hAnsi="Arial" w:cs="Arial" w:eastAsia="Arial" w:hint="default"/>
                <w:sz w:val="18"/>
                <w:szCs w:val="18"/>
              </w:rPr>
            </w:pPr>
            <w:r>
              <w:rPr>
                <w:rFonts w:ascii="Arial"/>
                <w:spacing w:val="-1"/>
                <w:sz w:val="18"/>
              </w:rPr>
              <w:t>1,475</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Arial" w:hAnsi="Arial" w:cs="Arial" w:eastAsia="Arial" w:hint="default"/>
                <w:sz w:val="18"/>
                <w:szCs w:val="18"/>
              </w:rPr>
            </w:pPr>
            <w:r>
              <w:rPr>
                <w:rFonts w:ascii="Arial"/>
                <w:w w:val="95"/>
                <w:sz w:val="18"/>
              </w:rPr>
              <w:t>0.3%</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Arial" w:hAnsi="Arial" w:cs="Arial" w:eastAsia="Arial" w:hint="default"/>
                <w:sz w:val="18"/>
                <w:szCs w:val="18"/>
              </w:rPr>
            </w:pPr>
            <w:r>
              <w:rPr>
                <w:rFonts w:ascii="Arial"/>
                <w:w w:val="95"/>
                <w:sz w:val="18"/>
              </w:rPr>
              <w:t>(885)</w:t>
            </w:r>
            <w:r>
              <w:rPr>
                <w:rFonts w:ascii="Arial"/>
                <w:sz w:val="18"/>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2"/>
              <w:jc w:val="right"/>
              <w:rPr>
                <w:rFonts w:ascii="Arial" w:hAnsi="Arial" w:cs="Arial" w:eastAsia="Arial" w:hint="default"/>
                <w:sz w:val="18"/>
                <w:szCs w:val="18"/>
              </w:rPr>
            </w:pPr>
            <w:r>
              <w:rPr>
                <w:rFonts w:ascii="Arial"/>
                <w:w w:val="95"/>
                <w:sz w:val="18"/>
              </w:rPr>
              <w:t>60%</w:t>
            </w:r>
            <w:r>
              <w:rPr>
                <w:rFonts w:ascii="Arial"/>
                <w:sz w:val="18"/>
              </w:rPr>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Arial" w:hAnsi="Arial" w:cs="Arial" w:eastAsia="Arial" w:hint="default"/>
                <w:sz w:val="18"/>
                <w:szCs w:val="18"/>
              </w:rPr>
            </w:pPr>
            <w:r>
              <w:rPr>
                <w:rFonts w:ascii="Arial"/>
                <w:w w:val="95"/>
                <w:sz w:val="18"/>
              </w:rPr>
              <w:t>236</w:t>
            </w:r>
            <w:r>
              <w:rPr>
                <w:rFonts w:ascii="Arial"/>
                <w:sz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84" w:right="0"/>
              <w:jc w:val="left"/>
              <w:rPr>
                <w:rFonts w:ascii="Arial" w:hAnsi="Arial" w:cs="Arial" w:eastAsia="Arial" w:hint="default"/>
                <w:sz w:val="18"/>
                <w:szCs w:val="18"/>
              </w:rPr>
            </w:pPr>
            <w:r>
              <w:rPr>
                <w:rFonts w:ascii="Arial"/>
                <w:sz w:val="18"/>
              </w:rPr>
              <w:t>0.0%</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Arial" w:hAnsi="Arial" w:cs="Arial" w:eastAsia="Arial" w:hint="default"/>
                <w:sz w:val="18"/>
                <w:szCs w:val="18"/>
              </w:rPr>
            </w:pPr>
            <w:r>
              <w:rPr>
                <w:rFonts w:ascii="Arial"/>
                <w:w w:val="95"/>
                <w:sz w:val="18"/>
              </w:rPr>
              <w:t>(142)</w:t>
            </w:r>
            <w:r>
              <w:rPr>
                <w:rFonts w:ascii="Arial"/>
                <w:sz w:val="18"/>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Arial" w:hAnsi="Arial" w:cs="Arial" w:eastAsia="Arial" w:hint="default"/>
                <w:sz w:val="18"/>
                <w:szCs w:val="18"/>
              </w:rPr>
            </w:pPr>
            <w:r>
              <w:rPr>
                <w:rFonts w:ascii="Arial"/>
                <w:w w:val="95"/>
                <w:sz w:val="18"/>
              </w:rPr>
              <w:t>60%</w:t>
            </w:r>
            <w:r>
              <w:rPr>
                <w:rFonts w:ascii="Arial"/>
                <w:sz w:val="18"/>
              </w:rPr>
            </w:r>
          </w:p>
        </w:tc>
      </w:tr>
      <w:tr>
        <w:trPr>
          <w:trHeight w:val="322" w:hRule="exact"/>
        </w:trPr>
        <w:tc>
          <w:tcPr>
            <w:tcW w:w="623"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9"/>
              <w:jc w:val="right"/>
              <w:rPr>
                <w:rFonts w:ascii="宋体" w:hAnsi="宋体" w:cs="宋体" w:eastAsia="宋体" w:hint="default"/>
                <w:sz w:val="18"/>
                <w:szCs w:val="18"/>
              </w:rPr>
            </w:pPr>
            <w:r>
              <w:rPr>
                <w:rFonts w:ascii="宋体" w:hAnsi="宋体" w:cs="宋体" w:eastAsia="宋体" w:hint="default"/>
                <w:sz w:val="18"/>
                <w:szCs w:val="18"/>
              </w:rPr>
              <w:t>五年以上</w:t>
            </w:r>
          </w:p>
        </w:tc>
        <w:tc>
          <w:tcPr>
            <w:tcW w:w="103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64"/>
              <w:jc w:val="right"/>
              <w:rPr>
                <w:rFonts w:ascii="Arial" w:hAnsi="Arial" w:cs="Arial" w:eastAsia="Arial" w:hint="default"/>
                <w:sz w:val="18"/>
                <w:szCs w:val="18"/>
              </w:rPr>
            </w:pPr>
            <w:r>
              <w:rPr>
                <w:rFonts w:ascii="Arial"/>
                <w:w w:val="95"/>
                <w:sz w:val="18"/>
              </w:rPr>
              <w:t>101</w:t>
            </w:r>
            <w:r>
              <w:rPr>
                <w:rFonts w:ascii="Arial"/>
                <w:sz w:val="18"/>
              </w:rPr>
            </w:r>
          </w:p>
        </w:tc>
        <w:tc>
          <w:tcPr>
            <w:tcW w:w="80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4"/>
              <w:jc w:val="right"/>
              <w:rPr>
                <w:rFonts w:ascii="Arial" w:hAnsi="Arial" w:cs="Arial" w:eastAsia="Arial" w:hint="default"/>
                <w:sz w:val="18"/>
                <w:szCs w:val="18"/>
              </w:rPr>
            </w:pPr>
            <w:r>
              <w:rPr>
                <w:rFonts w:ascii="Arial"/>
                <w:w w:val="95"/>
                <w:sz w:val="18"/>
              </w:rPr>
              <w:t>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4"/>
              <w:jc w:val="right"/>
              <w:rPr>
                <w:rFonts w:ascii="Arial" w:hAnsi="Arial" w:cs="Arial" w:eastAsia="Arial" w:hint="default"/>
                <w:sz w:val="18"/>
                <w:szCs w:val="18"/>
              </w:rPr>
            </w:pPr>
            <w:r>
              <w:rPr>
                <w:rFonts w:ascii="Arial"/>
                <w:w w:val="95"/>
                <w:sz w:val="18"/>
              </w:rPr>
              <w:t>(101)</w:t>
            </w:r>
            <w:r>
              <w:rPr>
                <w:rFonts w:ascii="Arial"/>
                <w:sz w:val="18"/>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2"/>
              <w:jc w:val="right"/>
              <w:rPr>
                <w:rFonts w:ascii="Arial" w:hAnsi="Arial" w:cs="Arial" w:eastAsia="Arial" w:hint="default"/>
                <w:sz w:val="18"/>
                <w:szCs w:val="18"/>
              </w:rPr>
            </w:pPr>
            <w:r>
              <w:rPr>
                <w:rFonts w:ascii="Arial"/>
                <w:w w:val="95"/>
                <w:sz w:val="18"/>
              </w:rPr>
              <w:t>100%</w:t>
            </w:r>
            <w:r>
              <w:rPr>
                <w:rFonts w:ascii="Arial"/>
                <w:sz w:val="18"/>
              </w:rPr>
            </w:r>
          </w:p>
        </w:tc>
        <w:tc>
          <w:tcPr>
            <w:tcW w:w="115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0"/>
              <w:jc w:val="right"/>
              <w:rPr>
                <w:rFonts w:ascii="Arial" w:hAnsi="Arial" w:cs="Arial" w:eastAsia="Arial" w:hint="default"/>
                <w:sz w:val="18"/>
                <w:szCs w:val="18"/>
              </w:rPr>
            </w:pPr>
            <w:r>
              <w:rPr>
                <w:rFonts w:ascii="Arial"/>
                <w:w w:val="95"/>
                <w:sz w:val="18"/>
              </w:rPr>
              <w:t>40</w:t>
            </w:r>
            <w:r>
              <w:rPr>
                <w:rFonts w:ascii="Arial"/>
                <w:sz w:val="18"/>
              </w:rPr>
            </w:r>
          </w:p>
        </w:tc>
        <w:tc>
          <w:tcPr>
            <w:tcW w:w="124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484" w:right="0"/>
              <w:jc w:val="left"/>
              <w:rPr>
                <w:rFonts w:ascii="Arial" w:hAnsi="Arial" w:cs="Arial" w:eastAsia="Arial" w:hint="default"/>
                <w:sz w:val="18"/>
                <w:szCs w:val="18"/>
              </w:rPr>
            </w:pPr>
            <w:r>
              <w:rPr>
                <w:rFonts w:ascii="Arial"/>
                <w:sz w:val="18"/>
              </w:rPr>
              <w:t>0.0%</w:t>
            </w:r>
          </w:p>
        </w:tc>
        <w:tc>
          <w:tcPr>
            <w:tcW w:w="913"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4"/>
              <w:jc w:val="right"/>
              <w:rPr>
                <w:rFonts w:ascii="Arial" w:hAnsi="Arial" w:cs="Arial" w:eastAsia="Arial" w:hint="default"/>
                <w:sz w:val="18"/>
                <w:szCs w:val="18"/>
              </w:rPr>
            </w:pPr>
            <w:r>
              <w:rPr>
                <w:rFonts w:ascii="Arial"/>
                <w:w w:val="95"/>
                <w:sz w:val="18"/>
              </w:rPr>
              <w:t>(40)</w:t>
            </w:r>
            <w:r>
              <w:rPr>
                <w:rFonts w:ascii="Arial"/>
                <w:sz w:val="18"/>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Arial" w:hAnsi="Arial" w:cs="Arial" w:eastAsia="Arial" w:hint="default"/>
                <w:sz w:val="18"/>
                <w:szCs w:val="18"/>
              </w:rPr>
            </w:pPr>
            <w:r>
              <w:rPr>
                <w:rFonts w:ascii="Arial"/>
                <w:w w:val="95"/>
                <w:sz w:val="18"/>
              </w:rPr>
              <w:t>100%</w:t>
            </w:r>
            <w:r>
              <w:rPr>
                <w:rFonts w:ascii="Arial"/>
                <w:sz w:val="18"/>
              </w:rPr>
            </w:r>
          </w:p>
        </w:tc>
      </w:tr>
      <w:tr>
        <w:trPr>
          <w:trHeight w:val="292" w:hRule="exact"/>
        </w:trPr>
        <w:tc>
          <w:tcPr>
            <w:tcW w:w="623" w:type="dxa"/>
            <w:tcBorders>
              <w:top w:val="nil" w:sz="6" w:space="0" w:color="auto"/>
              <w:left w:val="nil" w:sz="6" w:space="0" w:color="auto"/>
              <w:bottom w:val="single" w:sz="1" w:space="0" w:color="FFFF99"/>
              <w:right w:val="nil" w:sz="6" w:space="0" w:color="auto"/>
            </w:tcBorders>
          </w:tcPr>
          <w:p>
            <w:pPr/>
          </w:p>
        </w:tc>
        <w:tc>
          <w:tcPr>
            <w:tcW w:w="1143" w:type="dxa"/>
            <w:tcBorders>
              <w:top w:val="nil" w:sz="6" w:space="0" w:color="auto"/>
              <w:left w:val="nil" w:sz="6" w:space="0" w:color="auto"/>
              <w:bottom w:val="single" w:sz="1" w:space="0" w:color="FFFF99"/>
              <w:right w:val="nil" w:sz="6" w:space="0" w:color="auto"/>
            </w:tcBorders>
          </w:tcPr>
          <w:p>
            <w:pPr/>
          </w:p>
        </w:tc>
        <w:tc>
          <w:tcPr>
            <w:tcW w:w="1035"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65"/>
              <w:jc w:val="right"/>
              <w:rPr>
                <w:rFonts w:ascii="Arial" w:hAnsi="Arial" w:cs="Arial" w:eastAsia="Arial" w:hint="default"/>
                <w:sz w:val="18"/>
                <w:szCs w:val="18"/>
              </w:rPr>
            </w:pPr>
            <w:r>
              <w:rPr>
                <w:rFonts w:ascii="Arial"/>
                <w:spacing w:val="-1"/>
                <w:sz w:val="18"/>
              </w:rPr>
              <w:t>542,012</w:t>
            </w:r>
          </w:p>
        </w:tc>
        <w:tc>
          <w:tcPr>
            <w:tcW w:w="800"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4"/>
              <w:jc w:val="right"/>
              <w:rPr>
                <w:rFonts w:ascii="Arial" w:hAnsi="Arial" w:cs="Arial" w:eastAsia="Arial" w:hint="default"/>
                <w:sz w:val="18"/>
                <w:szCs w:val="18"/>
              </w:rPr>
            </w:pPr>
            <w:r>
              <w:rPr>
                <w:rFonts w:ascii="Arial"/>
                <w:spacing w:val="-1"/>
                <w:sz w:val="18"/>
              </w:rPr>
              <w:t>100.0%</w:t>
            </w:r>
          </w:p>
        </w:tc>
        <w:tc>
          <w:tcPr>
            <w:tcW w:w="235" w:type="dxa"/>
            <w:tcBorders>
              <w:top w:val="nil" w:sz="6" w:space="0" w:color="auto"/>
              <w:left w:val="nil" w:sz="6" w:space="0" w:color="auto"/>
              <w:bottom w:val="single" w:sz="1" w:space="0" w:color="FFFF99"/>
              <w:right w:val="nil" w:sz="6" w:space="0" w:color="auto"/>
            </w:tcBorders>
          </w:tcPr>
          <w:p>
            <w:pPr/>
          </w:p>
        </w:tc>
        <w:tc>
          <w:tcPr>
            <w:tcW w:w="999"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4"/>
              <w:jc w:val="right"/>
              <w:rPr>
                <w:rFonts w:ascii="Arial" w:hAnsi="Arial" w:cs="Arial" w:eastAsia="Arial" w:hint="default"/>
                <w:sz w:val="18"/>
                <w:szCs w:val="18"/>
              </w:rPr>
            </w:pPr>
            <w:r>
              <w:rPr>
                <w:rFonts w:ascii="Arial"/>
                <w:spacing w:val="-1"/>
                <w:sz w:val="18"/>
              </w:rPr>
              <w:t>(35,565)</w:t>
            </w:r>
          </w:p>
        </w:tc>
        <w:tc>
          <w:tcPr>
            <w:tcW w:w="708" w:type="dxa"/>
            <w:tcBorders>
              <w:top w:val="nil" w:sz="6" w:space="0" w:color="auto"/>
              <w:left w:val="nil" w:sz="6" w:space="0" w:color="auto"/>
              <w:bottom w:val="single" w:sz="1" w:space="0" w:color="FFFF99"/>
              <w:right w:val="nil" w:sz="6" w:space="0" w:color="auto"/>
            </w:tcBorders>
          </w:tcPr>
          <w:p>
            <w:pPr/>
          </w:p>
        </w:tc>
        <w:tc>
          <w:tcPr>
            <w:tcW w:w="1154"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
              <w:jc w:val="right"/>
              <w:rPr>
                <w:rFonts w:ascii="Arial" w:hAnsi="Arial" w:cs="Arial" w:eastAsia="Arial" w:hint="default"/>
                <w:sz w:val="18"/>
                <w:szCs w:val="18"/>
              </w:rPr>
            </w:pPr>
            <w:r>
              <w:rPr>
                <w:rFonts w:ascii="Arial"/>
                <w:spacing w:val="-1"/>
                <w:sz w:val="18"/>
              </w:rPr>
              <w:t>538,577</w:t>
            </w:r>
          </w:p>
        </w:tc>
        <w:tc>
          <w:tcPr>
            <w:tcW w:w="1247"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285" w:right="0"/>
              <w:jc w:val="left"/>
              <w:rPr>
                <w:rFonts w:ascii="Arial" w:hAnsi="Arial" w:cs="Arial" w:eastAsia="Arial" w:hint="default"/>
                <w:sz w:val="18"/>
                <w:szCs w:val="18"/>
              </w:rPr>
            </w:pPr>
            <w:r>
              <w:rPr>
                <w:rFonts w:ascii="Arial"/>
                <w:sz w:val="18"/>
              </w:rPr>
              <w:t>100.0%</w:t>
            </w:r>
          </w:p>
        </w:tc>
        <w:tc>
          <w:tcPr>
            <w:tcW w:w="913"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4"/>
              <w:jc w:val="right"/>
              <w:rPr>
                <w:rFonts w:ascii="Arial" w:hAnsi="Arial" w:cs="Arial" w:eastAsia="Arial" w:hint="default"/>
                <w:sz w:val="18"/>
                <w:szCs w:val="18"/>
              </w:rPr>
            </w:pPr>
            <w:r>
              <w:rPr>
                <w:rFonts w:ascii="Arial"/>
                <w:spacing w:val="-1"/>
                <w:sz w:val="18"/>
              </w:rPr>
              <w:t>(31,556)</w:t>
            </w:r>
          </w:p>
        </w:tc>
        <w:tc>
          <w:tcPr>
            <w:tcW w:w="758" w:type="dxa"/>
            <w:tcBorders>
              <w:top w:val="nil" w:sz="6" w:space="0" w:color="auto"/>
              <w:left w:val="nil" w:sz="6" w:space="0" w:color="auto"/>
              <w:bottom w:val="single" w:sz="1" w:space="0" w:color="FFFF99"/>
              <w:right w:val="nil" w:sz="6" w:space="0" w:color="auto"/>
            </w:tcBorders>
          </w:tcPr>
          <w:p>
            <w:pPr/>
          </w:p>
        </w:tc>
      </w:tr>
      <w:tr>
        <w:trPr>
          <w:trHeight w:val="953" w:hRule="exact"/>
        </w:trPr>
        <w:tc>
          <w:tcPr>
            <w:tcW w:w="623" w:type="dxa"/>
            <w:tcBorders>
              <w:top w:val="single" w:sz="1" w:space="0" w:color="FFFF99"/>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7"/>
              <w:ind w:left="108" w:right="0"/>
              <w:jc w:val="left"/>
              <w:rPr>
                <w:rFonts w:ascii="Arial" w:hAnsi="Arial" w:cs="Arial" w:eastAsia="Arial" w:hint="default"/>
                <w:sz w:val="24"/>
                <w:szCs w:val="24"/>
              </w:rPr>
            </w:pPr>
            <w:r>
              <w:rPr>
                <w:rFonts w:ascii="Arial"/>
                <w:sz w:val="24"/>
              </w:rPr>
              <w:t>(d)</w:t>
            </w:r>
          </w:p>
        </w:tc>
        <w:tc>
          <w:tcPr>
            <w:tcW w:w="4919" w:type="dxa"/>
            <w:gridSpan w:val="6"/>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40" w:lineRule="auto"/>
              <w:ind w:left="221" w:right="0"/>
              <w:jc w:val="left"/>
              <w:rPr>
                <w:rFonts w:ascii="宋体" w:hAnsi="宋体" w:cs="宋体" w:eastAsia="宋体" w:hint="default"/>
                <w:sz w:val="24"/>
                <w:szCs w:val="24"/>
              </w:rPr>
            </w:pPr>
            <w:r>
              <w:rPr>
                <w:rFonts w:ascii="宋体" w:hAnsi="宋体" w:cs="宋体" w:eastAsia="宋体" w:hint="default"/>
                <w:sz w:val="24"/>
                <w:szCs w:val="24"/>
              </w:rPr>
              <w:t>本年度实际核销的应收账款分析如下：</w:t>
            </w:r>
          </w:p>
        </w:tc>
        <w:tc>
          <w:tcPr>
            <w:tcW w:w="1154" w:type="dxa"/>
            <w:tcBorders>
              <w:top w:val="single" w:sz="12" w:space="0" w:color="000000"/>
              <w:left w:val="nil" w:sz="6" w:space="0" w:color="auto"/>
              <w:bottom w:val="nil" w:sz="6" w:space="0" w:color="auto"/>
              <w:right w:val="nil" w:sz="6" w:space="0" w:color="auto"/>
            </w:tcBorders>
          </w:tcPr>
          <w:p>
            <w:pPr/>
          </w:p>
        </w:tc>
        <w:tc>
          <w:tcPr>
            <w:tcW w:w="1247" w:type="dxa"/>
            <w:tcBorders>
              <w:top w:val="single" w:sz="12" w:space="0" w:color="000000"/>
              <w:left w:val="nil" w:sz="6" w:space="0" w:color="auto"/>
              <w:bottom w:val="nil" w:sz="6" w:space="0" w:color="auto"/>
              <w:right w:val="nil" w:sz="6" w:space="0" w:color="auto"/>
            </w:tcBorders>
          </w:tcPr>
          <w:p>
            <w:pPr/>
          </w:p>
        </w:tc>
        <w:tc>
          <w:tcPr>
            <w:tcW w:w="913" w:type="dxa"/>
            <w:tcBorders>
              <w:top w:val="single" w:sz="12" w:space="0" w:color="000000"/>
              <w:left w:val="nil" w:sz="6" w:space="0" w:color="auto"/>
              <w:bottom w:val="nil" w:sz="6" w:space="0" w:color="auto"/>
              <w:right w:val="nil" w:sz="6" w:space="0" w:color="auto"/>
            </w:tcBorders>
          </w:tcPr>
          <w:p>
            <w:pPr/>
          </w:p>
        </w:tc>
        <w:tc>
          <w:tcPr>
            <w:tcW w:w="758" w:type="dxa"/>
            <w:tcBorders>
              <w:top w:val="single" w:sz="1" w:space="0" w:color="FFFF99"/>
              <w:left w:val="nil" w:sz="6" w:space="0" w:color="auto"/>
              <w:bottom w:val="nil" w:sz="6" w:space="0" w:color="auto"/>
              <w:right w:val="nil" w:sz="6" w:space="0" w:color="auto"/>
            </w:tcBorders>
          </w:tcPr>
          <w:p>
            <w:pPr/>
          </w:p>
        </w:tc>
      </w:tr>
      <w:tr>
        <w:trPr>
          <w:trHeight w:val="1037" w:hRule="exact"/>
        </w:trPr>
        <w:tc>
          <w:tcPr>
            <w:tcW w:w="623"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800" w:type="dxa"/>
            <w:tcBorders>
              <w:top w:val="nil" w:sz="6" w:space="0" w:color="auto"/>
              <w:left w:val="nil" w:sz="6" w:space="0" w:color="auto"/>
              <w:bottom w:val="nil" w:sz="6" w:space="0" w:color="auto"/>
              <w:right w:val="nil" w:sz="6" w:space="0" w:color="auto"/>
            </w:tcBorders>
          </w:tcPr>
          <w:p>
            <w:pPr/>
          </w:p>
        </w:tc>
        <w:tc>
          <w:tcPr>
            <w:tcW w:w="1942"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11" w:right="0"/>
              <w:jc w:val="left"/>
              <w:rPr>
                <w:rFonts w:ascii="宋体" w:hAnsi="宋体" w:cs="宋体" w:eastAsia="宋体" w:hint="default"/>
                <w:sz w:val="22"/>
                <w:szCs w:val="22"/>
              </w:rPr>
            </w:pPr>
            <w:r>
              <w:rPr>
                <w:rFonts w:ascii="宋体" w:hAnsi="宋体" w:cs="宋体" w:eastAsia="宋体" w:hint="default"/>
                <w:sz w:val="22"/>
                <w:szCs w:val="22"/>
              </w:rPr>
              <w:t>应收账款性质</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74" w:right="0"/>
              <w:jc w:val="left"/>
              <w:rPr>
                <w:rFonts w:ascii="宋体" w:hAnsi="宋体" w:cs="宋体" w:eastAsia="宋体" w:hint="default"/>
                <w:sz w:val="22"/>
                <w:szCs w:val="22"/>
              </w:rPr>
            </w:pPr>
            <w:r>
              <w:rPr>
                <w:rFonts w:ascii="宋体" w:hAnsi="宋体" w:cs="宋体" w:eastAsia="宋体" w:hint="default"/>
                <w:sz w:val="22"/>
                <w:szCs w:val="22"/>
              </w:rPr>
              <w:t>核销金额</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314" w:right="0"/>
              <w:jc w:val="left"/>
              <w:rPr>
                <w:rFonts w:ascii="宋体" w:hAnsi="宋体" w:cs="宋体" w:eastAsia="宋体" w:hint="default"/>
                <w:sz w:val="22"/>
                <w:szCs w:val="22"/>
              </w:rPr>
            </w:pPr>
            <w:r>
              <w:rPr>
                <w:rFonts w:ascii="宋体" w:hAnsi="宋体" w:cs="宋体" w:eastAsia="宋体" w:hint="default"/>
                <w:sz w:val="22"/>
                <w:szCs w:val="22"/>
              </w:rPr>
              <w:t>核销原因</w:t>
            </w:r>
          </w:p>
        </w:tc>
        <w:tc>
          <w:tcPr>
            <w:tcW w:w="1672" w:type="dxa"/>
            <w:gridSpan w:val="2"/>
            <w:tcBorders>
              <w:top w:val="nil" w:sz="6" w:space="0" w:color="auto"/>
              <w:left w:val="nil" w:sz="6" w:space="0" w:color="auto"/>
              <w:bottom w:val="nil" w:sz="6" w:space="0" w:color="auto"/>
              <w:right w:val="nil" w:sz="6" w:space="0" w:color="auto"/>
            </w:tcBorders>
          </w:tcPr>
          <w:p>
            <w:pPr>
              <w:pStyle w:val="TableParagraph"/>
              <w:spacing w:line="271" w:lineRule="auto" w:before="183"/>
              <w:ind w:left="509" w:right="276" w:hanging="219"/>
              <w:jc w:val="left"/>
              <w:rPr>
                <w:rFonts w:ascii="宋体" w:hAnsi="宋体" w:cs="宋体" w:eastAsia="宋体" w:hint="default"/>
                <w:sz w:val="22"/>
                <w:szCs w:val="22"/>
              </w:rPr>
            </w:pPr>
            <w:r>
              <w:rPr>
                <w:rFonts w:ascii="宋体" w:hAnsi="宋体" w:cs="宋体" w:eastAsia="宋体" w:hint="default"/>
                <w:sz w:val="22"/>
                <w:szCs w:val="22"/>
              </w:rPr>
              <w:t>是否因关联</w:t>
            </w:r>
            <w:r>
              <w:rPr>
                <w:rFonts w:ascii="宋体" w:hAnsi="宋体" w:cs="宋体" w:eastAsia="宋体" w:hint="default"/>
                <w:w w:val="100"/>
                <w:sz w:val="22"/>
                <w:szCs w:val="22"/>
              </w:rPr>
              <w:t> </w:t>
            </w:r>
            <w:r>
              <w:rPr>
                <w:rFonts w:ascii="宋体" w:hAnsi="宋体" w:cs="宋体" w:eastAsia="宋体" w:hint="default"/>
                <w:sz w:val="22"/>
                <w:szCs w:val="22"/>
              </w:rPr>
              <w:t>交易产生</w:t>
            </w:r>
          </w:p>
        </w:tc>
      </w:tr>
      <w:tr>
        <w:trPr>
          <w:trHeight w:val="830" w:hRule="exact"/>
        </w:trPr>
        <w:tc>
          <w:tcPr>
            <w:tcW w:w="623" w:type="dxa"/>
            <w:tcBorders>
              <w:top w:val="nil" w:sz="6" w:space="0" w:color="auto"/>
              <w:left w:val="nil" w:sz="6" w:space="0" w:color="auto"/>
              <w:bottom w:val="nil" w:sz="6" w:space="0" w:color="auto"/>
              <w:right w:val="nil" w:sz="6" w:space="0" w:color="auto"/>
            </w:tcBorders>
          </w:tcPr>
          <w:p>
            <w:pPr/>
          </w:p>
        </w:tc>
        <w:tc>
          <w:tcPr>
            <w:tcW w:w="2977"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1" w:right="0"/>
              <w:jc w:val="left"/>
              <w:rPr>
                <w:rFonts w:ascii="宋体" w:hAnsi="宋体" w:cs="宋体" w:eastAsia="宋体" w:hint="default"/>
                <w:sz w:val="22"/>
                <w:szCs w:val="22"/>
              </w:rPr>
            </w:pPr>
            <w:r>
              <w:rPr>
                <w:rFonts w:ascii="宋体" w:hAnsi="宋体" w:cs="宋体" w:eastAsia="宋体" w:hint="default"/>
                <w:sz w:val="22"/>
                <w:szCs w:val="22"/>
              </w:rPr>
              <w:t>四川长虹电器股份有限公司</w:t>
            </w:r>
          </w:p>
        </w:tc>
        <w:tc>
          <w:tcPr>
            <w:tcW w:w="1942"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431" w:right="0"/>
              <w:jc w:val="left"/>
              <w:rPr>
                <w:rFonts w:ascii="宋体" w:hAnsi="宋体" w:cs="宋体" w:eastAsia="宋体" w:hint="default"/>
                <w:sz w:val="22"/>
                <w:szCs w:val="22"/>
              </w:rPr>
            </w:pPr>
            <w:r>
              <w:rPr>
                <w:rFonts w:ascii="宋体" w:hAnsi="宋体" w:cs="宋体" w:eastAsia="宋体" w:hint="default"/>
                <w:sz w:val="22"/>
                <w:szCs w:val="22"/>
              </w:rPr>
              <w:t>安装维修费</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87"/>
              <w:jc w:val="right"/>
              <w:rPr>
                <w:rFonts w:ascii="Arial" w:hAnsi="Arial" w:cs="Arial" w:eastAsia="Arial" w:hint="default"/>
                <w:sz w:val="22"/>
                <w:szCs w:val="22"/>
              </w:rPr>
            </w:pPr>
            <w:r>
              <w:rPr>
                <w:rFonts w:ascii="Arial"/>
                <w:spacing w:val="-1"/>
                <w:sz w:val="22"/>
              </w:rPr>
              <w:t>36</w:t>
            </w:r>
            <w:r>
              <w:rPr>
                <w:rFonts w:ascii="Arial"/>
                <w:sz w:val="22"/>
              </w:rPr>
            </w:r>
          </w:p>
        </w:tc>
        <w:tc>
          <w:tcPr>
            <w:tcW w:w="1247" w:type="dxa"/>
            <w:tcBorders>
              <w:top w:val="nil" w:sz="6" w:space="0" w:color="auto"/>
              <w:left w:val="nil" w:sz="6" w:space="0" w:color="auto"/>
              <w:bottom w:val="nil" w:sz="6" w:space="0" w:color="auto"/>
              <w:right w:val="nil" w:sz="6" w:space="0" w:color="auto"/>
            </w:tcBorders>
          </w:tcPr>
          <w:p>
            <w:pPr>
              <w:pStyle w:val="TableParagraph"/>
              <w:spacing w:line="286" w:lineRule="exact" w:before="171"/>
              <w:ind w:left="95" w:right="0"/>
              <w:jc w:val="left"/>
              <w:rPr>
                <w:rFonts w:ascii="宋体" w:hAnsi="宋体" w:cs="宋体" w:eastAsia="宋体" w:hint="default"/>
                <w:sz w:val="22"/>
                <w:szCs w:val="22"/>
              </w:rPr>
            </w:pPr>
            <w:r>
              <w:rPr>
                <w:rFonts w:ascii="宋体" w:hAnsi="宋体" w:cs="宋体" w:eastAsia="宋体" w:hint="default"/>
                <w:sz w:val="22"/>
                <w:szCs w:val="22"/>
              </w:rPr>
              <w:t>长时间催讨</w:t>
            </w:r>
          </w:p>
          <w:p>
            <w:pPr>
              <w:pStyle w:val="TableParagraph"/>
              <w:spacing w:line="286" w:lineRule="exact"/>
              <w:ind w:left="535" w:right="0"/>
              <w:jc w:val="left"/>
              <w:rPr>
                <w:rFonts w:ascii="宋体" w:hAnsi="宋体" w:cs="宋体" w:eastAsia="宋体" w:hint="default"/>
                <w:sz w:val="22"/>
                <w:szCs w:val="22"/>
              </w:rPr>
            </w:pPr>
            <w:r>
              <w:rPr>
                <w:rFonts w:ascii="宋体" w:hAnsi="宋体" w:cs="宋体" w:eastAsia="宋体" w:hint="default"/>
                <w:sz w:val="22"/>
                <w:szCs w:val="22"/>
              </w:rPr>
              <w:t>无结果</w:t>
            </w:r>
          </w:p>
        </w:tc>
        <w:tc>
          <w:tcPr>
            <w:tcW w:w="913"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3"/>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645" w:hRule="exact"/>
        </w:trPr>
        <w:tc>
          <w:tcPr>
            <w:tcW w:w="623" w:type="dxa"/>
            <w:tcBorders>
              <w:top w:val="nil" w:sz="6" w:space="0" w:color="auto"/>
              <w:left w:val="nil" w:sz="6" w:space="0" w:color="auto"/>
              <w:bottom w:val="nil" w:sz="6" w:space="0" w:color="auto"/>
              <w:right w:val="nil" w:sz="6" w:space="0" w:color="auto"/>
            </w:tcBorders>
          </w:tcPr>
          <w:p>
            <w:pPr/>
          </w:p>
        </w:tc>
        <w:tc>
          <w:tcPr>
            <w:tcW w:w="21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21" w:right="0"/>
              <w:jc w:val="left"/>
              <w:rPr>
                <w:rFonts w:ascii="Arial" w:hAnsi="Arial" w:cs="Arial" w:eastAsia="Arial" w:hint="default"/>
                <w:sz w:val="22"/>
                <w:szCs w:val="22"/>
              </w:rPr>
            </w:pPr>
            <w:r>
              <w:rPr>
                <w:rFonts w:ascii="宋体" w:hAnsi="宋体" w:cs="宋体" w:eastAsia="宋体" w:hint="default"/>
                <w:sz w:val="22"/>
                <w:szCs w:val="22"/>
              </w:rPr>
              <w:t>其他</w:t>
            </w:r>
            <w:r>
              <w:rPr>
                <w:rFonts w:ascii="Arial" w:hAnsi="Arial" w:cs="Arial" w:eastAsia="Arial" w:hint="default"/>
                <w:sz w:val="22"/>
                <w:szCs w:val="22"/>
              </w:rPr>
              <w:t>(</w:t>
            </w:r>
            <w:r>
              <w:rPr>
                <w:rFonts w:ascii="宋体" w:hAnsi="宋体" w:cs="宋体" w:eastAsia="宋体" w:hint="default"/>
                <w:sz w:val="22"/>
                <w:szCs w:val="22"/>
              </w:rPr>
              <w:t>单笔金额较小</w:t>
            </w:r>
            <w:r>
              <w:rPr>
                <w:rFonts w:ascii="Arial" w:hAnsi="Arial" w:cs="Arial" w:eastAsia="Arial" w:hint="default"/>
                <w:sz w:val="22"/>
                <w:szCs w:val="22"/>
              </w:rPr>
              <w:t>)</w:t>
            </w:r>
          </w:p>
        </w:tc>
        <w:tc>
          <w:tcPr>
            <w:tcW w:w="800" w:type="dxa"/>
            <w:tcBorders>
              <w:top w:val="nil" w:sz="6" w:space="0" w:color="auto"/>
              <w:left w:val="nil" w:sz="6" w:space="0" w:color="auto"/>
              <w:bottom w:val="nil" w:sz="6" w:space="0" w:color="auto"/>
              <w:right w:val="nil" w:sz="6" w:space="0" w:color="auto"/>
            </w:tcBorders>
          </w:tcPr>
          <w:p>
            <w:pPr/>
          </w:p>
        </w:tc>
        <w:tc>
          <w:tcPr>
            <w:tcW w:w="194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650" w:right="0"/>
              <w:jc w:val="left"/>
              <w:rPr>
                <w:rFonts w:ascii="宋体" w:hAnsi="宋体" w:cs="宋体" w:eastAsia="宋体" w:hint="default"/>
                <w:sz w:val="22"/>
                <w:szCs w:val="22"/>
              </w:rPr>
            </w:pPr>
            <w:r>
              <w:rPr>
                <w:rFonts w:ascii="宋体" w:hAnsi="宋体" w:cs="宋体" w:eastAsia="宋体" w:hint="default"/>
                <w:sz w:val="22"/>
                <w:szCs w:val="22"/>
              </w:rPr>
              <w:t>应收货款</w:t>
            </w:r>
          </w:p>
        </w:tc>
        <w:tc>
          <w:tcPr>
            <w:tcW w:w="115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79"/>
              <w:jc w:val="right"/>
              <w:rPr>
                <w:rFonts w:ascii="Arial" w:hAnsi="Arial" w:cs="Arial" w:eastAsia="Arial" w:hint="default"/>
                <w:sz w:val="22"/>
                <w:szCs w:val="22"/>
              </w:rPr>
            </w:pPr>
            <w:r>
              <w:rPr>
                <w:rFonts w:ascii="Arial"/>
                <w:spacing w:val="-1"/>
                <w:sz w:val="22"/>
              </w:rPr>
              <w:t>91</w:t>
            </w:r>
            <w:r>
              <w:rPr>
                <w:rFonts w:ascii="Arial"/>
                <w:sz w:val="22"/>
              </w:rPr>
            </w:r>
          </w:p>
        </w:tc>
        <w:tc>
          <w:tcPr>
            <w:tcW w:w="1247" w:type="dxa"/>
            <w:tcBorders>
              <w:top w:val="nil" w:sz="6" w:space="0" w:color="auto"/>
              <w:left w:val="nil" w:sz="6" w:space="0" w:color="auto"/>
              <w:bottom w:val="nil" w:sz="6" w:space="0" w:color="auto"/>
              <w:right w:val="nil" w:sz="6" w:space="0" w:color="auto"/>
            </w:tcBorders>
          </w:tcPr>
          <w:p>
            <w:pPr>
              <w:pStyle w:val="TableParagraph"/>
              <w:spacing w:line="278" w:lineRule="exact"/>
              <w:ind w:left="95" w:right="0"/>
              <w:jc w:val="left"/>
              <w:rPr>
                <w:rFonts w:ascii="宋体" w:hAnsi="宋体" w:cs="宋体" w:eastAsia="宋体" w:hint="default"/>
                <w:sz w:val="22"/>
                <w:szCs w:val="22"/>
              </w:rPr>
            </w:pPr>
            <w:r>
              <w:rPr>
                <w:rFonts w:ascii="宋体" w:hAnsi="宋体" w:cs="宋体" w:eastAsia="宋体" w:hint="default"/>
                <w:sz w:val="22"/>
                <w:szCs w:val="22"/>
              </w:rPr>
              <w:t>长时间催讨</w:t>
            </w:r>
          </w:p>
          <w:p>
            <w:pPr>
              <w:pStyle w:val="TableParagraph"/>
              <w:spacing w:line="286" w:lineRule="exact"/>
              <w:ind w:left="535" w:right="0"/>
              <w:jc w:val="left"/>
              <w:rPr>
                <w:rFonts w:ascii="宋体" w:hAnsi="宋体" w:cs="宋体" w:eastAsia="宋体" w:hint="default"/>
                <w:sz w:val="22"/>
                <w:szCs w:val="22"/>
              </w:rPr>
            </w:pPr>
            <w:r>
              <w:rPr>
                <w:rFonts w:ascii="宋体" w:hAnsi="宋体" w:cs="宋体" w:eastAsia="宋体" w:hint="default"/>
                <w:sz w:val="22"/>
                <w:szCs w:val="22"/>
              </w:rPr>
              <w:t>无结果</w:t>
            </w:r>
          </w:p>
        </w:tc>
        <w:tc>
          <w:tcPr>
            <w:tcW w:w="913"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23"/>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53" w:hRule="exact"/>
        </w:trPr>
        <w:tc>
          <w:tcPr>
            <w:tcW w:w="623"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8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708" w:type="dxa"/>
            <w:tcBorders>
              <w:top w:val="single" w:sz="4" w:space="0" w:color="000000"/>
              <w:left w:val="nil" w:sz="6" w:space="0" w:color="auto"/>
              <w:bottom w:val="single" w:sz="12" w:space="0" w:color="000000"/>
              <w:right w:val="nil" w:sz="6" w:space="0" w:color="auto"/>
            </w:tcBorders>
          </w:tcPr>
          <w:p>
            <w:pPr/>
          </w:p>
        </w:tc>
        <w:tc>
          <w:tcPr>
            <w:tcW w:w="1154"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87"/>
              <w:jc w:val="right"/>
              <w:rPr>
                <w:rFonts w:ascii="Arial" w:hAnsi="Arial" w:cs="Arial" w:eastAsia="Arial" w:hint="default"/>
                <w:sz w:val="22"/>
                <w:szCs w:val="22"/>
              </w:rPr>
            </w:pPr>
            <w:r>
              <w:rPr>
                <w:rFonts w:ascii="Arial"/>
                <w:spacing w:val="-1"/>
                <w:sz w:val="22"/>
              </w:rPr>
              <w:t>127</w:t>
            </w:r>
          </w:p>
        </w:tc>
        <w:tc>
          <w:tcPr>
            <w:tcW w:w="1247"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r>
      <w:tr>
        <w:trPr>
          <w:trHeight w:val="984" w:hRule="exact"/>
        </w:trPr>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3"/>
                <w:szCs w:val="33"/>
              </w:rPr>
            </w:pPr>
          </w:p>
          <w:p>
            <w:pPr>
              <w:pStyle w:val="TableParagraph"/>
              <w:spacing w:line="240" w:lineRule="auto"/>
              <w:ind w:left="108" w:right="0"/>
              <w:jc w:val="left"/>
              <w:rPr>
                <w:rFonts w:ascii="Arial" w:hAnsi="Arial" w:cs="Arial" w:eastAsia="Arial" w:hint="default"/>
                <w:sz w:val="24"/>
                <w:szCs w:val="24"/>
              </w:rPr>
            </w:pPr>
            <w:r>
              <w:rPr>
                <w:rFonts w:ascii="Arial"/>
                <w:sz w:val="24"/>
              </w:rPr>
              <w:t>(e)</w:t>
            </w:r>
          </w:p>
        </w:tc>
        <w:tc>
          <w:tcPr>
            <w:tcW w:w="8993"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3"/>
                <w:szCs w:val="33"/>
              </w:rPr>
            </w:pPr>
          </w:p>
          <w:p>
            <w:pPr>
              <w:pStyle w:val="TableParagraph"/>
              <w:spacing w:line="310" w:lineRule="exact"/>
              <w:ind w:left="221" w:right="276"/>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2"/>
                <w:sz w:val="24"/>
                <w:szCs w:val="24"/>
              </w:rPr>
              <w:t> </w:t>
            </w:r>
            <w:r>
              <w:rPr>
                <w:rFonts w:ascii="Arial" w:hAnsi="Arial" w:cs="Arial" w:eastAsia="Arial" w:hint="default"/>
                <w:sz w:val="24"/>
                <w:szCs w:val="24"/>
              </w:rPr>
              <w:t>2012</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Arial" w:hAnsi="Arial" w:cs="Arial" w:eastAsia="Arial" w:hint="default"/>
                <w:sz w:val="24"/>
                <w:szCs w:val="24"/>
              </w:rPr>
              <w:t>12</w:t>
            </w:r>
            <w:r>
              <w:rPr>
                <w:rFonts w:ascii="Arial" w:hAnsi="Arial" w:cs="Arial" w:eastAsia="Arial"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日及</w:t>
            </w:r>
            <w:r>
              <w:rPr>
                <w:rFonts w:ascii="宋体" w:hAnsi="宋体" w:cs="宋体" w:eastAsia="宋体" w:hint="default"/>
                <w:spacing w:val="-52"/>
                <w:sz w:val="24"/>
                <w:szCs w:val="24"/>
              </w:rPr>
              <w:t> </w:t>
            </w:r>
            <w:r>
              <w:rPr>
                <w:rFonts w:ascii="Arial" w:hAnsi="Arial" w:cs="Arial" w:eastAsia="Arial" w:hint="default"/>
                <w:spacing w:val="-5"/>
                <w:sz w:val="24"/>
                <w:szCs w:val="24"/>
              </w:rPr>
              <w:t>2011</w:t>
            </w:r>
            <w:r>
              <w:rPr>
                <w:rFonts w:ascii="Arial" w:hAnsi="Arial" w:cs="Arial" w:eastAsia="Arial"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Arial" w:hAnsi="Arial" w:cs="Arial" w:eastAsia="Arial" w:hint="default"/>
                <w:sz w:val="24"/>
                <w:szCs w:val="24"/>
              </w:rPr>
              <w:t>12</w:t>
            </w:r>
            <w:r>
              <w:rPr>
                <w:rFonts w:ascii="Arial" w:hAnsi="Arial" w:cs="Arial" w:eastAsia="Arial"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日，应收账款中无持有本公司</w:t>
            </w:r>
            <w:r>
              <w:rPr>
                <w:rFonts w:ascii="宋体" w:hAnsi="宋体" w:cs="宋体" w:eastAsia="宋体" w:hint="default"/>
                <w:spacing w:val="-51"/>
                <w:sz w:val="24"/>
                <w:szCs w:val="24"/>
              </w:rPr>
              <w:t> </w:t>
            </w:r>
            <w:r>
              <w:rPr>
                <w:rFonts w:ascii="Arial" w:hAnsi="Arial" w:cs="Arial" w:eastAsia="Arial" w:hint="default"/>
                <w:sz w:val="24"/>
                <w:szCs w:val="24"/>
              </w:rPr>
              <w:t>5%(</w:t>
            </w:r>
            <w:r>
              <w:rPr>
                <w:rFonts w:ascii="宋体" w:hAnsi="宋体" w:cs="宋体" w:eastAsia="宋体" w:hint="default"/>
                <w:sz w:val="24"/>
                <w:szCs w:val="24"/>
              </w:rPr>
              <w:t>含 </w:t>
            </w:r>
            <w:r>
              <w:rPr>
                <w:rFonts w:ascii="Arial" w:hAnsi="Arial" w:cs="Arial" w:eastAsia="Arial" w:hint="default"/>
                <w:sz w:val="24"/>
                <w:szCs w:val="24"/>
              </w:rPr>
              <w:t>5%)</w:t>
            </w:r>
            <w:r>
              <w:rPr>
                <w:rFonts w:ascii="宋体" w:hAnsi="宋体" w:cs="宋体" w:eastAsia="宋体" w:hint="default"/>
                <w:sz w:val="24"/>
                <w:szCs w:val="24"/>
              </w:rPr>
              <w:t>以上表决权股份的股东的欠款。</w:t>
            </w:r>
          </w:p>
        </w:tc>
      </w:tr>
    </w:tbl>
    <w:p>
      <w:pPr>
        <w:spacing w:after="0" w:line="310" w:lineRule="exact"/>
        <w:jc w:val="left"/>
        <w:rPr>
          <w:rFonts w:ascii="宋体" w:hAnsi="宋体" w:cs="宋体" w:eastAsia="宋体" w:hint="default"/>
          <w:sz w:val="24"/>
          <w:szCs w:val="24"/>
        </w:rPr>
        <w:sectPr>
          <w:pgSz w:w="11910" w:h="16850"/>
          <w:pgMar w:header="795" w:footer="1340" w:top="2020" w:bottom="1540" w:left="1520" w:right="0"/>
        </w:sectPr>
      </w:pPr>
    </w:p>
    <w:p>
      <w:pPr>
        <w:spacing w:line="240" w:lineRule="auto" w:before="0"/>
        <w:rPr>
          <w:rFonts w:ascii="Times New Roman" w:hAnsi="Times New Roman" w:cs="Times New Roman" w:eastAsia="Times New Roman" w:hint="default"/>
          <w:sz w:val="20"/>
          <w:szCs w:val="20"/>
        </w:rPr>
      </w:pPr>
      <w:r>
        <w:rPr/>
        <w:pict>
          <v:group style="position:absolute;margin-left:426.910004pt;margin-top:693.820007pt;width:30.05pt;height:.1pt;mso-position-horizontal-relative:page;mso-position-vertical-relative:page;z-index:-1595896" coordorigin="8538,13876" coordsize="601,2">
            <v:shape style="position:absolute;left:8538;top:13876;width:601;height:2" coordorigin="8538,13876" coordsize="601,0" path="m8538,13876l9139,13876e" filled="false" stroked="true" strokeweight="1.44pt" strokecolor="#000000">
              <v:path arrowok="t"/>
            </v:shape>
            <w10:wrap type="none"/>
          </v:group>
        </w:pict>
      </w:r>
    </w:p>
    <w:p>
      <w:pPr>
        <w:spacing w:line="240" w:lineRule="auto" w:before="2"/>
        <w:rPr>
          <w:rFonts w:ascii="Times New Roman" w:hAnsi="Times New Roman" w:cs="Times New Roman" w:eastAsia="Times New Roman"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767"/>
        <w:gridCol w:w="2924"/>
        <w:gridCol w:w="1057"/>
        <w:gridCol w:w="776"/>
        <w:gridCol w:w="564"/>
        <w:gridCol w:w="535"/>
        <w:gridCol w:w="317"/>
        <w:gridCol w:w="120"/>
        <w:gridCol w:w="784"/>
        <w:gridCol w:w="546"/>
        <w:gridCol w:w="649"/>
        <w:gridCol w:w="124"/>
        <w:gridCol w:w="151"/>
        <w:gridCol w:w="523"/>
      </w:tblGrid>
      <w:tr>
        <w:trPr>
          <w:trHeight w:val="416" w:hRule="exact"/>
        </w:trPr>
        <w:tc>
          <w:tcPr>
            <w:tcW w:w="767" w:type="dxa"/>
            <w:tcBorders>
              <w:top w:val="nil" w:sz="6" w:space="0" w:color="auto"/>
              <w:left w:val="nil" w:sz="6" w:space="0" w:color="auto"/>
              <w:bottom w:val="nil" w:sz="6" w:space="0" w:color="auto"/>
              <w:right w:val="nil" w:sz="6" w:space="0" w:color="auto"/>
            </w:tcBorders>
          </w:tcPr>
          <w:p>
            <w:pPr>
              <w:pStyle w:val="TableParagraph"/>
              <w:spacing w:line="240" w:lineRule="exact"/>
              <w:ind w:right="274"/>
              <w:jc w:val="right"/>
              <w:rPr>
                <w:rFonts w:ascii="黑体" w:hAnsi="黑体" w:cs="黑体" w:eastAsia="黑体" w:hint="default"/>
                <w:sz w:val="24"/>
                <w:szCs w:val="24"/>
              </w:rPr>
            </w:pPr>
            <w:r>
              <w:rPr>
                <w:rFonts w:ascii="黑体" w:hAnsi="黑体" w:cs="黑体" w:eastAsia="黑体" w:hint="default"/>
                <w:sz w:val="24"/>
                <w:szCs w:val="24"/>
              </w:rPr>
              <w:t>五</w:t>
            </w:r>
          </w:p>
        </w:tc>
        <w:tc>
          <w:tcPr>
            <w:tcW w:w="3982"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776"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535" w:type="dxa"/>
            <w:tcBorders>
              <w:top w:val="nil" w:sz="6" w:space="0" w:color="auto"/>
              <w:left w:val="nil" w:sz="6" w:space="0" w:color="auto"/>
              <w:bottom w:val="nil" w:sz="6" w:space="0" w:color="auto"/>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546" w:type="dxa"/>
            <w:tcBorders>
              <w:top w:val="nil" w:sz="6" w:space="0" w:color="auto"/>
              <w:left w:val="nil" w:sz="6" w:space="0" w:color="auto"/>
              <w:bottom w:val="nil" w:sz="6" w:space="0" w:color="auto"/>
              <w:right w:val="nil" w:sz="6" w:space="0" w:color="auto"/>
            </w:tcBorders>
          </w:tcPr>
          <w:p>
            <w:pPr/>
          </w:p>
        </w:tc>
        <w:tc>
          <w:tcPr>
            <w:tcW w:w="649"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r>
      <w:tr>
        <w:trPr>
          <w:trHeight w:val="588" w:hRule="exact"/>
        </w:trPr>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20"/>
              <w:jc w:val="right"/>
              <w:rPr>
                <w:rFonts w:ascii="Arial" w:hAnsi="Arial" w:cs="Arial" w:eastAsia="Arial" w:hint="default"/>
                <w:sz w:val="24"/>
                <w:szCs w:val="24"/>
              </w:rPr>
            </w:pPr>
            <w:r>
              <w:rPr>
                <w:rFonts w:ascii="Arial"/>
                <w:spacing w:val="-1"/>
                <w:sz w:val="24"/>
              </w:rPr>
              <w:t>(4)</w:t>
            </w: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Arial" w:hAnsi="Arial" w:cs="Arial" w:eastAsia="Arial" w:hint="default"/>
                <w:sz w:val="24"/>
                <w:szCs w:val="24"/>
              </w:rPr>
            </w:pPr>
            <w:r>
              <w:rPr>
                <w:rFonts w:ascii="黑体" w:hAnsi="黑体" w:cs="黑体" w:eastAsia="黑体" w:hint="default"/>
                <w:sz w:val="24"/>
                <w:szCs w:val="24"/>
              </w:rPr>
              <w:t>应收账款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57"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535" w:type="dxa"/>
            <w:tcBorders>
              <w:top w:val="nil" w:sz="6" w:space="0" w:color="auto"/>
              <w:left w:val="nil" w:sz="6" w:space="0" w:color="auto"/>
              <w:bottom w:val="nil" w:sz="6" w:space="0" w:color="auto"/>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546" w:type="dxa"/>
            <w:tcBorders>
              <w:top w:val="nil" w:sz="6" w:space="0" w:color="auto"/>
              <w:left w:val="nil" w:sz="6" w:space="0" w:color="auto"/>
              <w:bottom w:val="nil" w:sz="6" w:space="0" w:color="auto"/>
              <w:right w:val="nil" w:sz="6" w:space="0" w:color="auto"/>
            </w:tcBorders>
          </w:tcPr>
          <w:p>
            <w:pPr/>
          </w:p>
        </w:tc>
        <w:tc>
          <w:tcPr>
            <w:tcW w:w="649"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r>
      <w:tr>
        <w:trPr>
          <w:trHeight w:val="453" w:hRule="exact"/>
        </w:trPr>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65"/>
              <w:jc w:val="right"/>
              <w:rPr>
                <w:rFonts w:ascii="Arial" w:hAnsi="Arial" w:cs="Arial" w:eastAsia="Arial" w:hint="default"/>
                <w:sz w:val="24"/>
                <w:szCs w:val="24"/>
              </w:rPr>
            </w:pPr>
            <w:r>
              <w:rPr>
                <w:rFonts w:ascii="Arial"/>
                <w:sz w:val="24"/>
              </w:rPr>
              <w:t>(f)</w:t>
            </w:r>
          </w:p>
        </w:tc>
        <w:tc>
          <w:tcPr>
            <w:tcW w:w="7078"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日，余额前五名的应收账款分析如下：</w:t>
            </w:r>
          </w:p>
        </w:tc>
        <w:tc>
          <w:tcPr>
            <w:tcW w:w="546" w:type="dxa"/>
            <w:tcBorders>
              <w:top w:val="nil" w:sz="6" w:space="0" w:color="auto"/>
              <w:left w:val="nil" w:sz="6" w:space="0" w:color="auto"/>
              <w:bottom w:val="nil" w:sz="6" w:space="0" w:color="auto"/>
              <w:right w:val="nil" w:sz="6" w:space="0" w:color="auto"/>
            </w:tcBorders>
          </w:tcPr>
          <w:p>
            <w:pPr/>
          </w:p>
        </w:tc>
        <w:tc>
          <w:tcPr>
            <w:tcW w:w="649"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r>
      <w:tr>
        <w:trPr>
          <w:trHeight w:val="760" w:hRule="exact"/>
        </w:trPr>
        <w:tc>
          <w:tcPr>
            <w:tcW w:w="767"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
        </w:tc>
        <w:tc>
          <w:tcPr>
            <w:tcW w:w="1833"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right="51"/>
              <w:jc w:val="right"/>
              <w:rPr>
                <w:rFonts w:ascii="宋体" w:hAnsi="宋体" w:cs="宋体" w:eastAsia="宋体" w:hint="default"/>
                <w:sz w:val="24"/>
                <w:szCs w:val="24"/>
              </w:rPr>
            </w:pPr>
            <w:r>
              <w:rPr>
                <w:rFonts w:ascii="宋体" w:hAnsi="宋体" w:cs="宋体" w:eastAsia="宋体" w:hint="default"/>
                <w:sz w:val="24"/>
                <w:szCs w:val="24"/>
              </w:rPr>
              <w:t>与本集团</w:t>
            </w:r>
          </w:p>
          <w:p>
            <w:pPr>
              <w:pStyle w:val="TableParagraph"/>
              <w:spacing w:line="313" w:lineRule="exact"/>
              <w:ind w:right="50"/>
              <w:jc w:val="right"/>
              <w:rPr>
                <w:rFonts w:ascii="宋体" w:hAnsi="宋体" w:cs="宋体" w:eastAsia="宋体" w:hint="default"/>
                <w:sz w:val="24"/>
                <w:szCs w:val="24"/>
              </w:rPr>
            </w:pPr>
            <w:r>
              <w:rPr>
                <w:rFonts w:ascii="宋体" w:hAnsi="宋体" w:cs="宋体" w:eastAsia="宋体" w:hint="default"/>
                <w:sz w:val="24"/>
                <w:szCs w:val="24"/>
              </w:rPr>
              <w:t>关系</w:t>
            </w:r>
          </w:p>
        </w:tc>
        <w:tc>
          <w:tcPr>
            <w:tcW w:w="10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511"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317"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04" w:right="0"/>
              <w:jc w:val="center"/>
              <w:rPr>
                <w:rFonts w:ascii="宋体" w:hAnsi="宋体" w:cs="宋体" w:eastAsia="宋体" w:hint="default"/>
                <w:sz w:val="24"/>
                <w:szCs w:val="24"/>
              </w:rPr>
            </w:pPr>
            <w:r>
              <w:rPr>
                <w:rFonts w:ascii="宋体" w:hAnsi="宋体" w:cs="宋体" w:eastAsia="宋体" w:hint="default"/>
                <w:sz w:val="24"/>
                <w:szCs w:val="24"/>
              </w:rPr>
              <w:t>年限</w:t>
            </w:r>
          </w:p>
        </w:tc>
        <w:tc>
          <w:tcPr>
            <w:tcW w:w="1470" w:type="dxa"/>
            <w:gridSpan w:val="4"/>
            <w:tcBorders>
              <w:top w:val="nil" w:sz="6" w:space="0" w:color="auto"/>
              <w:left w:val="nil" w:sz="6" w:space="0" w:color="auto"/>
              <w:bottom w:val="nil" w:sz="6" w:space="0" w:color="auto"/>
              <w:right w:val="nil" w:sz="6" w:space="0" w:color="auto"/>
            </w:tcBorders>
          </w:tcPr>
          <w:p>
            <w:pPr>
              <w:pStyle w:val="TableParagraph"/>
              <w:spacing w:line="268" w:lineRule="exact"/>
              <w:ind w:left="404" w:right="0" w:hanging="240"/>
              <w:jc w:val="left"/>
              <w:rPr>
                <w:rFonts w:ascii="宋体" w:hAnsi="宋体" w:cs="宋体" w:eastAsia="宋体" w:hint="default"/>
                <w:sz w:val="24"/>
                <w:szCs w:val="24"/>
              </w:rPr>
            </w:pPr>
            <w:r>
              <w:rPr>
                <w:rFonts w:ascii="宋体" w:hAnsi="宋体" w:cs="宋体" w:eastAsia="宋体" w:hint="default"/>
                <w:sz w:val="24"/>
                <w:szCs w:val="24"/>
              </w:rPr>
              <w:t>占应收账款</w:t>
            </w:r>
          </w:p>
          <w:p>
            <w:pPr>
              <w:pStyle w:val="TableParagraph"/>
              <w:spacing w:line="313" w:lineRule="exact"/>
              <w:ind w:left="404" w:right="0"/>
              <w:jc w:val="left"/>
              <w:rPr>
                <w:rFonts w:ascii="宋体" w:hAnsi="宋体" w:cs="宋体" w:eastAsia="宋体" w:hint="default"/>
                <w:sz w:val="24"/>
                <w:szCs w:val="24"/>
              </w:rPr>
            </w:pPr>
            <w:r>
              <w:rPr>
                <w:rFonts w:ascii="宋体" w:hAnsi="宋体" w:cs="宋体" w:eastAsia="宋体" w:hint="default"/>
                <w:sz w:val="24"/>
                <w:szCs w:val="24"/>
              </w:rPr>
              <w:t>总额比例</w:t>
            </w:r>
          </w:p>
        </w:tc>
        <w:tc>
          <w:tcPr>
            <w:tcW w:w="523" w:type="dxa"/>
            <w:tcBorders>
              <w:top w:val="nil" w:sz="6" w:space="0" w:color="auto"/>
              <w:left w:val="nil" w:sz="6" w:space="0" w:color="auto"/>
              <w:bottom w:val="nil" w:sz="6" w:space="0" w:color="auto"/>
              <w:right w:val="nil" w:sz="6" w:space="0" w:color="auto"/>
            </w:tcBorders>
          </w:tcPr>
          <w:p>
            <w:pPr/>
          </w:p>
        </w:tc>
      </w:tr>
      <w:tr>
        <w:trPr>
          <w:trHeight w:val="474" w:hRule="exact"/>
        </w:trPr>
        <w:tc>
          <w:tcPr>
            <w:tcW w:w="767" w:type="dxa"/>
            <w:tcBorders>
              <w:top w:val="nil" w:sz="6" w:space="0" w:color="auto"/>
              <w:left w:val="nil" w:sz="6" w:space="0" w:color="auto"/>
              <w:bottom w:val="nil" w:sz="6" w:space="0" w:color="auto"/>
              <w:right w:val="nil" w:sz="6" w:space="0" w:color="auto"/>
            </w:tcBorders>
          </w:tcPr>
          <w:p>
            <w:pPr/>
          </w:p>
        </w:tc>
        <w:tc>
          <w:tcPr>
            <w:tcW w:w="39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217" w:right="0"/>
              <w:jc w:val="left"/>
              <w:rPr>
                <w:rFonts w:ascii="宋体" w:hAnsi="宋体" w:cs="宋体" w:eastAsia="宋体" w:hint="default"/>
                <w:sz w:val="24"/>
                <w:szCs w:val="24"/>
              </w:rPr>
            </w:pPr>
            <w:r>
              <w:rPr>
                <w:rFonts w:ascii="宋体" w:hAnsi="宋体" w:cs="宋体" w:eastAsia="宋体" w:hint="default"/>
                <w:sz w:val="24"/>
                <w:szCs w:val="24"/>
              </w:rPr>
              <w:t>安徽四创电子股份有限公司</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 w:right="0"/>
              <w:jc w:val="left"/>
              <w:rPr>
                <w:rFonts w:ascii="宋体" w:hAnsi="宋体" w:cs="宋体" w:eastAsia="宋体" w:hint="default"/>
                <w:sz w:val="24"/>
                <w:szCs w:val="24"/>
              </w:rPr>
            </w:pPr>
            <w:r>
              <w:rPr>
                <w:rFonts w:ascii="宋体" w:hAnsi="宋体" w:cs="宋体" w:eastAsia="宋体" w:hint="default"/>
                <w:sz w:val="24"/>
                <w:szCs w:val="24"/>
              </w:rPr>
              <w:t>第三方</w:t>
            </w:r>
          </w:p>
        </w:tc>
        <w:tc>
          <w:tcPr>
            <w:tcW w:w="10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6"/>
              <w:ind w:left="256" w:right="0"/>
              <w:jc w:val="left"/>
              <w:rPr>
                <w:rFonts w:ascii="Arial" w:hAnsi="Arial" w:cs="Arial" w:eastAsia="Arial" w:hint="default"/>
                <w:sz w:val="24"/>
                <w:szCs w:val="24"/>
              </w:rPr>
            </w:pPr>
            <w:r>
              <w:rPr>
                <w:rFonts w:ascii="Arial"/>
                <w:sz w:val="24"/>
              </w:rPr>
              <w:t>15,571</w:t>
            </w:r>
          </w:p>
        </w:tc>
        <w:tc>
          <w:tcPr>
            <w:tcW w:w="122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4"/>
              <w:ind w:left="211"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546" w:type="dxa"/>
            <w:tcBorders>
              <w:top w:val="nil" w:sz="6" w:space="0" w:color="auto"/>
              <w:left w:val="nil" w:sz="6" w:space="0" w:color="auto"/>
              <w:bottom w:val="nil" w:sz="6" w:space="0" w:color="auto"/>
              <w:right w:val="nil" w:sz="6" w:space="0" w:color="auto"/>
            </w:tcBorders>
          </w:tcPr>
          <w:p>
            <w:pPr/>
          </w:p>
        </w:tc>
        <w:tc>
          <w:tcPr>
            <w:tcW w:w="92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6"/>
              <w:ind w:left="271" w:right="0"/>
              <w:jc w:val="left"/>
              <w:rPr>
                <w:rFonts w:ascii="Arial" w:hAnsi="Arial" w:cs="Arial" w:eastAsia="Arial" w:hint="default"/>
                <w:sz w:val="24"/>
                <w:szCs w:val="24"/>
              </w:rPr>
            </w:pPr>
            <w:r>
              <w:rPr>
                <w:rFonts w:ascii="Arial"/>
                <w:sz w:val="24"/>
              </w:rPr>
              <w:t>1.2%</w:t>
            </w:r>
          </w:p>
        </w:tc>
        <w:tc>
          <w:tcPr>
            <w:tcW w:w="523" w:type="dxa"/>
            <w:tcBorders>
              <w:top w:val="nil" w:sz="6" w:space="0" w:color="auto"/>
              <w:left w:val="nil" w:sz="6" w:space="0" w:color="auto"/>
              <w:bottom w:val="nil" w:sz="6" w:space="0" w:color="auto"/>
              <w:right w:val="nil" w:sz="6" w:space="0" w:color="auto"/>
            </w:tcBorders>
          </w:tcPr>
          <w:p>
            <w:pPr/>
          </w:p>
        </w:tc>
      </w:tr>
      <w:tr>
        <w:trPr>
          <w:trHeight w:val="321" w:hRule="exact"/>
        </w:trPr>
        <w:tc>
          <w:tcPr>
            <w:tcW w:w="767"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67" w:lineRule="exact"/>
              <w:ind w:left="217" w:right="0"/>
              <w:jc w:val="left"/>
              <w:rPr>
                <w:rFonts w:ascii="宋体" w:hAnsi="宋体" w:cs="宋体" w:eastAsia="宋体" w:hint="default"/>
                <w:sz w:val="24"/>
                <w:szCs w:val="24"/>
              </w:rPr>
            </w:pPr>
            <w:r>
              <w:rPr>
                <w:rFonts w:ascii="宋体" w:hAnsi="宋体" w:cs="宋体" w:eastAsia="宋体" w:hint="default"/>
                <w:sz w:val="24"/>
                <w:szCs w:val="24"/>
              </w:rPr>
              <w:t>兴化市教育局</w:t>
            </w:r>
          </w:p>
        </w:tc>
        <w:tc>
          <w:tcPr>
            <w:tcW w:w="1057"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Style w:val="TableParagraph"/>
              <w:spacing w:line="267" w:lineRule="exact"/>
              <w:ind w:left="2" w:right="0"/>
              <w:jc w:val="left"/>
              <w:rPr>
                <w:rFonts w:ascii="宋体" w:hAnsi="宋体" w:cs="宋体" w:eastAsia="宋体" w:hint="default"/>
                <w:sz w:val="24"/>
                <w:szCs w:val="24"/>
              </w:rPr>
            </w:pPr>
            <w:r>
              <w:rPr>
                <w:rFonts w:ascii="宋体" w:hAnsi="宋体" w:cs="宋体" w:eastAsia="宋体" w:hint="default"/>
                <w:sz w:val="24"/>
                <w:szCs w:val="24"/>
              </w:rPr>
              <w:t>第三方</w:t>
            </w:r>
          </w:p>
        </w:tc>
        <w:tc>
          <w:tcPr>
            <w:tcW w:w="10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256" w:right="0"/>
              <w:jc w:val="left"/>
              <w:rPr>
                <w:rFonts w:ascii="Arial" w:hAnsi="Arial" w:cs="Arial" w:eastAsia="Arial" w:hint="default"/>
                <w:sz w:val="24"/>
                <w:szCs w:val="24"/>
              </w:rPr>
            </w:pPr>
            <w:r>
              <w:rPr>
                <w:rFonts w:ascii="Arial"/>
                <w:sz w:val="24"/>
              </w:rPr>
              <w:t>13,528</w:t>
            </w:r>
          </w:p>
        </w:tc>
        <w:tc>
          <w:tcPr>
            <w:tcW w:w="1221" w:type="dxa"/>
            <w:gridSpan w:val="3"/>
            <w:tcBorders>
              <w:top w:val="nil" w:sz="6" w:space="0" w:color="auto"/>
              <w:left w:val="nil" w:sz="6" w:space="0" w:color="auto"/>
              <w:bottom w:val="nil" w:sz="6" w:space="0" w:color="auto"/>
              <w:right w:val="nil" w:sz="6" w:space="0" w:color="auto"/>
            </w:tcBorders>
          </w:tcPr>
          <w:p>
            <w:pPr>
              <w:pStyle w:val="TableParagraph"/>
              <w:spacing w:line="267" w:lineRule="exact"/>
              <w:ind w:left="211" w:right="0"/>
              <w:jc w:val="left"/>
              <w:rPr>
                <w:rFonts w:ascii="宋体" w:hAnsi="宋体" w:cs="宋体" w:eastAsia="宋体" w:hint="default"/>
                <w:sz w:val="24"/>
                <w:szCs w:val="24"/>
              </w:rPr>
            </w:pPr>
            <w:r>
              <w:rPr>
                <w:rFonts w:ascii="宋体" w:hAnsi="宋体" w:cs="宋体" w:eastAsia="宋体" w:hint="default"/>
                <w:sz w:val="24"/>
                <w:szCs w:val="24"/>
              </w:rPr>
              <w:t>一到两年</w:t>
            </w:r>
          </w:p>
        </w:tc>
        <w:tc>
          <w:tcPr>
            <w:tcW w:w="546" w:type="dxa"/>
            <w:tcBorders>
              <w:top w:val="nil" w:sz="6" w:space="0" w:color="auto"/>
              <w:left w:val="nil" w:sz="6" w:space="0" w:color="auto"/>
              <w:bottom w:val="nil" w:sz="6" w:space="0" w:color="auto"/>
              <w:right w:val="nil" w:sz="6" w:space="0" w:color="auto"/>
            </w:tcBorders>
          </w:tcPr>
          <w:p>
            <w:pPr/>
          </w:p>
        </w:tc>
        <w:tc>
          <w:tcPr>
            <w:tcW w:w="92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2"/>
              <w:ind w:left="271" w:right="0"/>
              <w:jc w:val="left"/>
              <w:rPr>
                <w:rFonts w:ascii="Arial" w:hAnsi="Arial" w:cs="Arial" w:eastAsia="Arial" w:hint="default"/>
                <w:sz w:val="24"/>
                <w:szCs w:val="24"/>
              </w:rPr>
            </w:pPr>
            <w:r>
              <w:rPr>
                <w:rFonts w:ascii="Arial"/>
                <w:sz w:val="24"/>
              </w:rPr>
              <w:t>1.0%</w:t>
            </w:r>
          </w:p>
        </w:tc>
        <w:tc>
          <w:tcPr>
            <w:tcW w:w="523" w:type="dxa"/>
            <w:tcBorders>
              <w:top w:val="nil" w:sz="6" w:space="0" w:color="auto"/>
              <w:left w:val="nil" w:sz="6" w:space="0" w:color="auto"/>
              <w:bottom w:val="nil" w:sz="6" w:space="0" w:color="auto"/>
              <w:right w:val="nil" w:sz="6" w:space="0" w:color="auto"/>
            </w:tcBorders>
          </w:tcPr>
          <w:p>
            <w:pPr/>
          </w:p>
        </w:tc>
      </w:tr>
      <w:tr>
        <w:trPr>
          <w:trHeight w:val="632" w:hRule="exact"/>
        </w:trPr>
        <w:tc>
          <w:tcPr>
            <w:tcW w:w="767" w:type="dxa"/>
            <w:tcBorders>
              <w:top w:val="nil" w:sz="6" w:space="0" w:color="auto"/>
              <w:left w:val="nil" w:sz="6" w:space="0" w:color="auto"/>
              <w:bottom w:val="nil" w:sz="6" w:space="0" w:color="auto"/>
              <w:right w:val="nil" w:sz="6" w:space="0" w:color="auto"/>
            </w:tcBorders>
          </w:tcPr>
          <w:p>
            <w:pPr/>
          </w:p>
        </w:tc>
        <w:tc>
          <w:tcPr>
            <w:tcW w:w="3982" w:type="dxa"/>
            <w:gridSpan w:val="2"/>
            <w:tcBorders>
              <w:top w:val="nil" w:sz="6" w:space="0" w:color="auto"/>
              <w:left w:val="nil" w:sz="6" w:space="0" w:color="auto"/>
              <w:bottom w:val="nil" w:sz="6" w:space="0" w:color="auto"/>
              <w:right w:val="nil" w:sz="6" w:space="0" w:color="auto"/>
            </w:tcBorders>
          </w:tcPr>
          <w:p>
            <w:pPr>
              <w:pStyle w:val="TableParagraph"/>
              <w:spacing w:line="265" w:lineRule="exact"/>
              <w:ind w:left="217" w:right="0"/>
              <w:jc w:val="left"/>
              <w:rPr>
                <w:rFonts w:ascii="宋体" w:hAnsi="宋体" w:cs="宋体" w:eastAsia="宋体" w:hint="default"/>
                <w:sz w:val="24"/>
                <w:szCs w:val="24"/>
              </w:rPr>
            </w:pPr>
            <w:r>
              <w:rPr>
                <w:rFonts w:ascii="宋体" w:hAnsi="宋体" w:cs="宋体" w:eastAsia="宋体" w:hint="default"/>
                <w:spacing w:val="9"/>
                <w:sz w:val="24"/>
                <w:szCs w:val="24"/>
              </w:rPr>
              <w:t>湖北凌志装饰工程有限公司呼</w:t>
            </w:r>
            <w:r>
              <w:rPr>
                <w:rFonts w:ascii="宋体" w:hAnsi="宋体" w:cs="宋体" w:eastAsia="宋体" w:hint="default"/>
                <w:sz w:val="24"/>
                <w:szCs w:val="24"/>
              </w:rPr>
            </w:r>
          </w:p>
          <w:p>
            <w:pPr>
              <w:pStyle w:val="TableParagraph"/>
              <w:spacing w:line="312" w:lineRule="exact"/>
              <w:ind w:left="469" w:right="0"/>
              <w:jc w:val="left"/>
              <w:rPr>
                <w:rFonts w:ascii="宋体" w:hAnsi="宋体" w:cs="宋体" w:eastAsia="宋体" w:hint="default"/>
                <w:sz w:val="24"/>
                <w:szCs w:val="24"/>
              </w:rPr>
            </w:pPr>
            <w:r>
              <w:rPr>
                <w:rFonts w:ascii="宋体" w:hAnsi="宋体" w:cs="宋体" w:eastAsia="宋体" w:hint="default"/>
                <w:sz w:val="24"/>
                <w:szCs w:val="24"/>
              </w:rPr>
              <w:t>和浩特分公司</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 w:right="0"/>
              <w:jc w:val="left"/>
              <w:rPr>
                <w:rFonts w:ascii="宋体" w:hAnsi="宋体" w:cs="宋体" w:eastAsia="宋体" w:hint="default"/>
                <w:sz w:val="24"/>
                <w:szCs w:val="24"/>
              </w:rPr>
            </w:pPr>
            <w:r>
              <w:rPr>
                <w:rFonts w:ascii="宋体" w:hAnsi="宋体" w:cs="宋体" w:eastAsia="宋体" w:hint="default"/>
                <w:sz w:val="24"/>
                <w:szCs w:val="24"/>
              </w:rPr>
              <w:t>第三方</w:t>
            </w:r>
          </w:p>
        </w:tc>
        <w:tc>
          <w:tcPr>
            <w:tcW w:w="10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left="256" w:right="0"/>
              <w:jc w:val="left"/>
              <w:rPr>
                <w:rFonts w:ascii="Arial" w:hAnsi="Arial" w:cs="Arial" w:eastAsia="Arial" w:hint="default"/>
                <w:sz w:val="24"/>
                <w:szCs w:val="24"/>
              </w:rPr>
            </w:pPr>
            <w:r>
              <w:rPr>
                <w:rFonts w:ascii="Arial"/>
                <w:sz w:val="24"/>
              </w:rPr>
              <w:t>10,032</w:t>
            </w:r>
          </w:p>
        </w:tc>
        <w:tc>
          <w:tcPr>
            <w:tcW w:w="122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11"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546" w:type="dxa"/>
            <w:tcBorders>
              <w:top w:val="nil" w:sz="6" w:space="0" w:color="auto"/>
              <w:left w:val="nil" w:sz="6" w:space="0" w:color="auto"/>
              <w:bottom w:val="nil" w:sz="6" w:space="0" w:color="auto"/>
              <w:right w:val="nil" w:sz="6" w:space="0" w:color="auto"/>
            </w:tcBorders>
          </w:tcPr>
          <w:p>
            <w:pPr/>
          </w:p>
        </w:tc>
        <w:tc>
          <w:tcPr>
            <w:tcW w:w="92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left="271" w:right="0"/>
              <w:jc w:val="left"/>
              <w:rPr>
                <w:rFonts w:ascii="Arial" w:hAnsi="Arial" w:cs="Arial" w:eastAsia="Arial" w:hint="default"/>
                <w:sz w:val="24"/>
                <w:szCs w:val="24"/>
              </w:rPr>
            </w:pPr>
            <w:r>
              <w:rPr>
                <w:rFonts w:ascii="Arial"/>
                <w:sz w:val="24"/>
              </w:rPr>
              <w:t>0.8%</w:t>
            </w:r>
          </w:p>
        </w:tc>
        <w:tc>
          <w:tcPr>
            <w:tcW w:w="523" w:type="dxa"/>
            <w:tcBorders>
              <w:top w:val="nil" w:sz="6" w:space="0" w:color="auto"/>
              <w:left w:val="nil" w:sz="6" w:space="0" w:color="auto"/>
              <w:bottom w:val="nil" w:sz="6" w:space="0" w:color="auto"/>
              <w:right w:val="nil" w:sz="6" w:space="0" w:color="auto"/>
            </w:tcBorders>
          </w:tcPr>
          <w:p>
            <w:pPr/>
          </w:p>
        </w:tc>
      </w:tr>
      <w:tr>
        <w:trPr>
          <w:trHeight w:val="632" w:hRule="exact"/>
        </w:trPr>
        <w:tc>
          <w:tcPr>
            <w:tcW w:w="767" w:type="dxa"/>
            <w:tcBorders>
              <w:top w:val="nil" w:sz="6" w:space="0" w:color="auto"/>
              <w:left w:val="nil" w:sz="6" w:space="0" w:color="auto"/>
              <w:bottom w:val="nil" w:sz="6" w:space="0" w:color="auto"/>
              <w:right w:val="nil" w:sz="6" w:space="0" w:color="auto"/>
            </w:tcBorders>
          </w:tcPr>
          <w:p>
            <w:pPr/>
          </w:p>
        </w:tc>
        <w:tc>
          <w:tcPr>
            <w:tcW w:w="3982" w:type="dxa"/>
            <w:gridSpan w:val="2"/>
            <w:tcBorders>
              <w:top w:val="nil" w:sz="6" w:space="0" w:color="auto"/>
              <w:left w:val="nil" w:sz="6" w:space="0" w:color="auto"/>
              <w:bottom w:val="nil" w:sz="6" w:space="0" w:color="auto"/>
              <w:right w:val="nil" w:sz="6" w:space="0" w:color="auto"/>
            </w:tcBorders>
          </w:tcPr>
          <w:p>
            <w:pPr>
              <w:pStyle w:val="TableParagraph"/>
              <w:spacing w:line="265" w:lineRule="exact"/>
              <w:ind w:left="217" w:right="0"/>
              <w:jc w:val="left"/>
              <w:rPr>
                <w:rFonts w:ascii="宋体" w:hAnsi="宋体" w:cs="宋体" w:eastAsia="宋体" w:hint="default"/>
                <w:sz w:val="24"/>
                <w:szCs w:val="24"/>
              </w:rPr>
            </w:pPr>
            <w:r>
              <w:rPr>
                <w:rFonts w:ascii="宋体" w:hAnsi="宋体" w:cs="宋体" w:eastAsia="宋体" w:hint="default"/>
                <w:spacing w:val="9"/>
                <w:sz w:val="24"/>
                <w:szCs w:val="24"/>
              </w:rPr>
              <w:t>天津生态城世茂新纪元投资开</w:t>
            </w:r>
            <w:r>
              <w:rPr>
                <w:rFonts w:ascii="宋体" w:hAnsi="宋体" w:cs="宋体" w:eastAsia="宋体" w:hint="default"/>
                <w:sz w:val="24"/>
                <w:szCs w:val="24"/>
              </w:rPr>
            </w:r>
          </w:p>
          <w:p>
            <w:pPr>
              <w:pStyle w:val="TableParagraph"/>
              <w:spacing w:line="313" w:lineRule="exact"/>
              <w:ind w:left="469" w:right="0"/>
              <w:jc w:val="left"/>
              <w:rPr>
                <w:rFonts w:ascii="宋体" w:hAnsi="宋体" w:cs="宋体" w:eastAsia="宋体" w:hint="default"/>
                <w:sz w:val="24"/>
                <w:szCs w:val="24"/>
              </w:rPr>
            </w:pPr>
            <w:r>
              <w:rPr>
                <w:rFonts w:ascii="宋体" w:hAnsi="宋体" w:cs="宋体" w:eastAsia="宋体" w:hint="default"/>
                <w:sz w:val="24"/>
                <w:szCs w:val="24"/>
              </w:rPr>
              <w:t>发有限公司</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 w:right="0"/>
              <w:jc w:val="left"/>
              <w:rPr>
                <w:rFonts w:ascii="宋体" w:hAnsi="宋体" w:cs="宋体" w:eastAsia="宋体" w:hint="default"/>
                <w:sz w:val="24"/>
                <w:szCs w:val="24"/>
              </w:rPr>
            </w:pPr>
            <w:r>
              <w:rPr>
                <w:rFonts w:ascii="宋体" w:hAnsi="宋体" w:cs="宋体" w:eastAsia="宋体" w:hint="default"/>
                <w:sz w:val="24"/>
                <w:szCs w:val="24"/>
              </w:rPr>
              <w:t>第三方</w:t>
            </w:r>
          </w:p>
        </w:tc>
        <w:tc>
          <w:tcPr>
            <w:tcW w:w="10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40" w:lineRule="auto"/>
              <w:ind w:left="391" w:right="0"/>
              <w:jc w:val="left"/>
              <w:rPr>
                <w:rFonts w:ascii="Arial" w:hAnsi="Arial" w:cs="Arial" w:eastAsia="Arial" w:hint="default"/>
                <w:sz w:val="24"/>
                <w:szCs w:val="24"/>
              </w:rPr>
            </w:pPr>
            <w:r>
              <w:rPr>
                <w:rFonts w:ascii="Arial"/>
                <w:sz w:val="24"/>
              </w:rPr>
              <w:t>8,410</w:t>
            </w:r>
          </w:p>
        </w:tc>
        <w:tc>
          <w:tcPr>
            <w:tcW w:w="122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11"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546" w:type="dxa"/>
            <w:tcBorders>
              <w:top w:val="nil" w:sz="6" w:space="0" w:color="auto"/>
              <w:left w:val="nil" w:sz="6" w:space="0" w:color="auto"/>
              <w:bottom w:val="nil" w:sz="6" w:space="0" w:color="auto"/>
              <w:right w:val="nil" w:sz="6" w:space="0" w:color="auto"/>
            </w:tcBorders>
          </w:tcPr>
          <w:p>
            <w:pPr/>
          </w:p>
        </w:tc>
        <w:tc>
          <w:tcPr>
            <w:tcW w:w="92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40" w:lineRule="auto"/>
              <w:ind w:left="271" w:right="0"/>
              <w:jc w:val="left"/>
              <w:rPr>
                <w:rFonts w:ascii="Arial" w:hAnsi="Arial" w:cs="Arial" w:eastAsia="Arial" w:hint="default"/>
                <w:sz w:val="24"/>
                <w:szCs w:val="24"/>
              </w:rPr>
            </w:pPr>
            <w:r>
              <w:rPr>
                <w:rFonts w:ascii="Arial"/>
                <w:sz w:val="24"/>
              </w:rPr>
              <w:t>0.6%</w:t>
            </w:r>
          </w:p>
        </w:tc>
        <w:tc>
          <w:tcPr>
            <w:tcW w:w="523" w:type="dxa"/>
            <w:tcBorders>
              <w:top w:val="nil" w:sz="6" w:space="0" w:color="auto"/>
              <w:left w:val="nil" w:sz="6" w:space="0" w:color="auto"/>
              <w:bottom w:val="nil" w:sz="6" w:space="0" w:color="auto"/>
              <w:right w:val="nil" w:sz="6" w:space="0" w:color="auto"/>
            </w:tcBorders>
          </w:tcPr>
          <w:p>
            <w:pPr/>
          </w:p>
        </w:tc>
      </w:tr>
      <w:tr>
        <w:trPr>
          <w:trHeight w:val="317" w:hRule="exact"/>
        </w:trPr>
        <w:tc>
          <w:tcPr>
            <w:tcW w:w="767"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68" w:lineRule="exact"/>
              <w:ind w:left="217" w:right="0"/>
              <w:jc w:val="left"/>
              <w:rPr>
                <w:rFonts w:ascii="宋体" w:hAnsi="宋体" w:cs="宋体" w:eastAsia="宋体" w:hint="default"/>
                <w:sz w:val="24"/>
                <w:szCs w:val="24"/>
              </w:rPr>
            </w:pPr>
            <w:r>
              <w:rPr>
                <w:rFonts w:ascii="宋体" w:hAnsi="宋体" w:cs="宋体" w:eastAsia="宋体" w:hint="default"/>
                <w:sz w:val="24"/>
                <w:szCs w:val="24"/>
              </w:rPr>
              <w:t>新疆维吾尔自治区教育厅</w:t>
            </w:r>
          </w:p>
        </w:tc>
        <w:tc>
          <w:tcPr>
            <w:tcW w:w="1057"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Style w:val="TableParagraph"/>
              <w:spacing w:line="268" w:lineRule="exact"/>
              <w:ind w:left="2" w:right="0"/>
              <w:jc w:val="left"/>
              <w:rPr>
                <w:rFonts w:ascii="宋体" w:hAnsi="宋体" w:cs="宋体" w:eastAsia="宋体" w:hint="default"/>
                <w:sz w:val="24"/>
                <w:szCs w:val="24"/>
              </w:rPr>
            </w:pPr>
            <w:r>
              <w:rPr>
                <w:rFonts w:ascii="宋体" w:hAnsi="宋体" w:cs="宋体" w:eastAsia="宋体" w:hint="default"/>
                <w:sz w:val="24"/>
                <w:szCs w:val="24"/>
              </w:rPr>
              <w:t>第三方</w:t>
            </w:r>
          </w:p>
        </w:tc>
        <w:tc>
          <w:tcPr>
            <w:tcW w:w="1099" w:type="dxa"/>
            <w:gridSpan w:val="2"/>
            <w:tcBorders>
              <w:top w:val="nil" w:sz="6" w:space="0" w:color="auto"/>
              <w:left w:val="nil" w:sz="6" w:space="0" w:color="auto"/>
              <w:bottom w:val="nil" w:sz="6" w:space="0" w:color="auto"/>
              <w:right w:val="nil" w:sz="6" w:space="0" w:color="auto"/>
            </w:tcBorders>
          </w:tcPr>
          <w:p>
            <w:pPr>
              <w:pStyle w:val="TableParagraph"/>
              <w:tabs>
                <w:tab w:pos="391" w:val="left" w:leader="none"/>
                <w:tab w:pos="1099" w:val="left" w:leader="none"/>
              </w:tabs>
              <w:spacing w:line="240" w:lineRule="auto" w:before="23"/>
              <w:ind w:left="55"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8,240</w:t>
              <w:tab/>
            </w:r>
            <w:r>
              <w:rPr>
                <w:rFonts w:ascii="Arial"/>
                <w:sz w:val="24"/>
              </w:rPr>
            </w:r>
          </w:p>
        </w:tc>
        <w:tc>
          <w:tcPr>
            <w:tcW w:w="1221" w:type="dxa"/>
            <w:gridSpan w:val="3"/>
            <w:tcBorders>
              <w:top w:val="nil" w:sz="6" w:space="0" w:color="auto"/>
              <w:left w:val="nil" w:sz="6" w:space="0" w:color="auto"/>
              <w:bottom w:val="nil" w:sz="6" w:space="0" w:color="auto"/>
              <w:right w:val="nil" w:sz="6" w:space="0" w:color="auto"/>
            </w:tcBorders>
          </w:tcPr>
          <w:p>
            <w:pPr>
              <w:pStyle w:val="TableParagraph"/>
              <w:spacing w:line="268" w:lineRule="exact"/>
              <w:ind w:left="211"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470" w:type="dxa"/>
            <w:gridSpan w:val="4"/>
            <w:tcBorders>
              <w:top w:val="nil" w:sz="6" w:space="0" w:color="auto"/>
              <w:left w:val="nil" w:sz="6" w:space="0" w:color="auto"/>
              <w:bottom w:val="nil" w:sz="6" w:space="0" w:color="auto"/>
              <w:right w:val="nil" w:sz="6" w:space="0" w:color="auto"/>
            </w:tcBorders>
          </w:tcPr>
          <w:p>
            <w:pPr>
              <w:pStyle w:val="TableParagraph"/>
              <w:tabs>
                <w:tab w:pos="817" w:val="left" w:leader="none"/>
                <w:tab w:pos="1469" w:val="left" w:leader="none"/>
              </w:tabs>
              <w:spacing w:line="240" w:lineRule="auto" w:before="23"/>
              <w:ind w:left="58"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0.6%</w:t>
              <w:tab/>
            </w:r>
            <w:r>
              <w:rPr>
                <w:rFonts w:ascii="Arial"/>
                <w:sz w:val="24"/>
              </w:rPr>
            </w:r>
          </w:p>
        </w:tc>
        <w:tc>
          <w:tcPr>
            <w:tcW w:w="523" w:type="dxa"/>
            <w:tcBorders>
              <w:top w:val="nil" w:sz="6" w:space="0" w:color="auto"/>
              <w:left w:val="nil" w:sz="6" w:space="0" w:color="auto"/>
              <w:bottom w:val="nil" w:sz="6" w:space="0" w:color="auto"/>
              <w:right w:val="nil" w:sz="6" w:space="0" w:color="auto"/>
            </w:tcBorders>
          </w:tcPr>
          <w:p>
            <w:pPr/>
          </w:p>
        </w:tc>
      </w:tr>
      <w:tr>
        <w:trPr>
          <w:trHeight w:val="287" w:hRule="exact"/>
        </w:trPr>
        <w:tc>
          <w:tcPr>
            <w:tcW w:w="767"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
        </w:tc>
        <w:tc>
          <w:tcPr>
            <w:tcW w:w="1099" w:type="dxa"/>
            <w:gridSpan w:val="2"/>
            <w:tcBorders>
              <w:top w:val="nil" w:sz="6" w:space="0" w:color="auto"/>
              <w:left w:val="nil" w:sz="6" w:space="0" w:color="auto"/>
              <w:bottom w:val="single" w:sz="12" w:space="0" w:color="000000"/>
              <w:right w:val="nil" w:sz="6" w:space="0" w:color="auto"/>
            </w:tcBorders>
          </w:tcPr>
          <w:p>
            <w:pPr>
              <w:pStyle w:val="TableParagraph"/>
              <w:spacing w:line="268" w:lineRule="exact"/>
              <w:ind w:left="256" w:right="0"/>
              <w:jc w:val="left"/>
              <w:rPr>
                <w:rFonts w:ascii="Arial" w:hAnsi="Arial" w:cs="Arial" w:eastAsia="Arial" w:hint="default"/>
                <w:sz w:val="24"/>
                <w:szCs w:val="24"/>
              </w:rPr>
            </w:pPr>
            <w:r>
              <w:rPr>
                <w:rFonts w:ascii="Arial"/>
                <w:sz w:val="24"/>
              </w:rPr>
              <w:t>55,781</w:t>
            </w:r>
          </w:p>
        </w:tc>
        <w:tc>
          <w:tcPr>
            <w:tcW w:w="317"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1470" w:type="dxa"/>
            <w:gridSpan w:val="4"/>
            <w:tcBorders>
              <w:top w:val="nil" w:sz="6" w:space="0" w:color="auto"/>
              <w:left w:val="nil" w:sz="6" w:space="0" w:color="auto"/>
              <w:bottom w:val="single" w:sz="12" w:space="0" w:color="000000"/>
              <w:right w:val="nil" w:sz="6" w:space="0" w:color="auto"/>
            </w:tcBorders>
          </w:tcPr>
          <w:p>
            <w:pPr>
              <w:pStyle w:val="TableParagraph"/>
              <w:spacing w:line="268" w:lineRule="exact"/>
              <w:ind w:left="817" w:right="0"/>
              <w:jc w:val="left"/>
              <w:rPr>
                <w:rFonts w:ascii="Arial" w:hAnsi="Arial" w:cs="Arial" w:eastAsia="Arial" w:hint="default"/>
                <w:sz w:val="24"/>
                <w:szCs w:val="24"/>
              </w:rPr>
            </w:pPr>
            <w:r>
              <w:rPr>
                <w:rFonts w:ascii="Arial"/>
                <w:sz w:val="24"/>
              </w:rPr>
              <w:t>4.2%</w:t>
            </w:r>
          </w:p>
        </w:tc>
        <w:tc>
          <w:tcPr>
            <w:tcW w:w="523" w:type="dxa"/>
            <w:tcBorders>
              <w:top w:val="nil" w:sz="6" w:space="0" w:color="auto"/>
              <w:left w:val="nil" w:sz="6" w:space="0" w:color="auto"/>
              <w:bottom w:val="nil" w:sz="6" w:space="0" w:color="auto"/>
              <w:right w:val="nil" w:sz="6" w:space="0" w:color="auto"/>
            </w:tcBorders>
          </w:tcPr>
          <w:p>
            <w:pPr/>
          </w:p>
        </w:tc>
      </w:tr>
      <w:tr>
        <w:trPr>
          <w:trHeight w:val="529" w:hRule="exact"/>
        </w:trPr>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73"/>
              <w:jc w:val="right"/>
              <w:rPr>
                <w:rFonts w:ascii="Arial" w:hAnsi="Arial" w:cs="Arial" w:eastAsia="Arial" w:hint="default"/>
                <w:sz w:val="24"/>
                <w:szCs w:val="24"/>
              </w:rPr>
            </w:pPr>
            <w:r>
              <w:rPr>
                <w:rFonts w:ascii="Arial"/>
                <w:spacing w:val="-1"/>
                <w:w w:val="95"/>
                <w:sz w:val="24"/>
              </w:rPr>
              <w:t>(g)</w:t>
            </w:r>
            <w:r>
              <w:rPr>
                <w:rFonts w:ascii="Arial"/>
                <w:spacing w:val="-1"/>
                <w:sz w:val="24"/>
              </w:rPr>
            </w:r>
          </w:p>
        </w:tc>
        <w:tc>
          <w:tcPr>
            <w:tcW w:w="39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3"/>
              <w:ind w:left="167" w:right="0"/>
              <w:jc w:val="left"/>
              <w:rPr>
                <w:rFonts w:ascii="宋体" w:hAnsi="宋体" w:cs="宋体" w:eastAsia="宋体" w:hint="default"/>
                <w:sz w:val="24"/>
                <w:szCs w:val="24"/>
              </w:rPr>
            </w:pPr>
            <w:r>
              <w:rPr>
                <w:rFonts w:ascii="宋体" w:hAnsi="宋体" w:cs="宋体" w:eastAsia="宋体" w:hint="default"/>
                <w:sz w:val="24"/>
                <w:szCs w:val="24"/>
              </w:rPr>
              <w:t>应收关联方的应收账款分析如下：</w:t>
            </w:r>
          </w:p>
        </w:tc>
        <w:tc>
          <w:tcPr>
            <w:tcW w:w="776" w:type="dxa"/>
            <w:tcBorders>
              <w:top w:val="nil" w:sz="6" w:space="0" w:color="auto"/>
              <w:left w:val="nil" w:sz="6" w:space="0" w:color="auto"/>
              <w:bottom w:val="nil" w:sz="6" w:space="0" w:color="auto"/>
              <w:right w:val="nil" w:sz="6" w:space="0" w:color="auto"/>
            </w:tcBorders>
          </w:tcPr>
          <w:p>
            <w:pPr/>
          </w:p>
        </w:tc>
        <w:tc>
          <w:tcPr>
            <w:tcW w:w="564" w:type="dxa"/>
            <w:tcBorders>
              <w:top w:val="single" w:sz="12" w:space="0" w:color="000000"/>
              <w:left w:val="nil" w:sz="6" w:space="0" w:color="auto"/>
              <w:bottom w:val="nil" w:sz="6" w:space="0" w:color="auto"/>
              <w:right w:val="nil" w:sz="6" w:space="0" w:color="auto"/>
            </w:tcBorders>
          </w:tcPr>
          <w:p>
            <w:pPr/>
          </w:p>
        </w:tc>
        <w:tc>
          <w:tcPr>
            <w:tcW w:w="535" w:type="dxa"/>
            <w:tcBorders>
              <w:top w:val="single" w:sz="12" w:space="0" w:color="000000"/>
              <w:left w:val="nil" w:sz="6" w:space="0" w:color="auto"/>
              <w:bottom w:val="nil" w:sz="6" w:space="0" w:color="auto"/>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546" w:type="dxa"/>
            <w:tcBorders>
              <w:top w:val="single" w:sz="12" w:space="0" w:color="000000"/>
              <w:left w:val="nil" w:sz="6" w:space="0" w:color="auto"/>
              <w:bottom w:val="nil" w:sz="6" w:space="0" w:color="auto"/>
              <w:right w:val="nil" w:sz="6" w:space="0" w:color="auto"/>
            </w:tcBorders>
          </w:tcPr>
          <w:p>
            <w:pPr/>
          </w:p>
        </w:tc>
        <w:tc>
          <w:tcPr>
            <w:tcW w:w="649" w:type="dxa"/>
            <w:tcBorders>
              <w:top w:val="single" w:sz="12" w:space="0" w:color="000000"/>
              <w:left w:val="nil" w:sz="6" w:space="0" w:color="auto"/>
              <w:bottom w:val="nil" w:sz="6" w:space="0" w:color="auto"/>
              <w:right w:val="nil" w:sz="6" w:space="0" w:color="auto"/>
            </w:tcBorders>
          </w:tcPr>
          <w:p>
            <w:pPr/>
          </w:p>
        </w:tc>
        <w:tc>
          <w:tcPr>
            <w:tcW w:w="124" w:type="dxa"/>
            <w:tcBorders>
              <w:top w:val="single" w:sz="12" w:space="0" w:color="000000"/>
              <w:left w:val="nil" w:sz="6" w:space="0" w:color="auto"/>
              <w:bottom w:val="nil" w:sz="6" w:space="0" w:color="auto"/>
              <w:right w:val="nil" w:sz="6" w:space="0" w:color="auto"/>
            </w:tcBorders>
          </w:tcPr>
          <w:p>
            <w:pPr/>
          </w:p>
        </w:tc>
        <w:tc>
          <w:tcPr>
            <w:tcW w:w="151" w:type="dxa"/>
            <w:tcBorders>
              <w:top w:val="single" w:sz="12" w:space="0" w:color="000000"/>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r>
      <w:tr>
        <w:trPr>
          <w:trHeight w:val="244" w:hRule="exact"/>
        </w:trPr>
        <w:tc>
          <w:tcPr>
            <w:tcW w:w="767"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single" w:sz="4" w:space="0" w:color="000000"/>
              <w:right w:val="nil" w:sz="6" w:space="0" w:color="auto"/>
            </w:tcBorders>
          </w:tcPr>
          <w:p>
            <w:pPr/>
          </w:p>
        </w:tc>
        <w:tc>
          <w:tcPr>
            <w:tcW w:w="2320" w:type="dxa"/>
            <w:gridSpan w:val="5"/>
            <w:tcBorders>
              <w:top w:val="nil" w:sz="6" w:space="0" w:color="auto"/>
              <w:left w:val="nil" w:sz="6" w:space="0" w:color="auto"/>
              <w:bottom w:val="nil" w:sz="6" w:space="0" w:color="auto"/>
              <w:right w:val="nil" w:sz="6" w:space="0" w:color="auto"/>
            </w:tcBorders>
          </w:tcPr>
          <w:p>
            <w:pPr>
              <w:pStyle w:val="TableParagraph"/>
              <w:spacing w:line="225" w:lineRule="exact"/>
              <w:ind w:left="251"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93" w:type="dxa"/>
            <w:gridSpan w:val="5"/>
            <w:tcBorders>
              <w:top w:val="nil" w:sz="6" w:space="0" w:color="auto"/>
              <w:left w:val="nil" w:sz="6" w:space="0" w:color="auto"/>
              <w:bottom w:val="single" w:sz="4" w:space="0" w:color="000000"/>
              <w:right w:val="nil" w:sz="6" w:space="0" w:color="auto"/>
            </w:tcBorders>
          </w:tcPr>
          <w:p>
            <w:pPr>
              <w:pStyle w:val="TableParagraph"/>
              <w:spacing w:line="225" w:lineRule="exact"/>
              <w:ind w:left="195"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1047" w:hRule="exact"/>
        </w:trPr>
        <w:tc>
          <w:tcPr>
            <w:tcW w:w="767"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Style w:val="TableParagraph"/>
              <w:spacing w:line="210" w:lineRule="exact"/>
              <w:ind w:left="-25" w:right="0"/>
              <w:jc w:val="left"/>
              <w:rPr>
                <w:rFonts w:ascii="宋体" w:hAnsi="宋体" w:cs="宋体" w:eastAsia="宋体" w:hint="default"/>
                <w:sz w:val="18"/>
                <w:szCs w:val="18"/>
              </w:rPr>
            </w:pPr>
            <w:r>
              <w:rPr>
                <w:rFonts w:ascii="宋体" w:hAnsi="宋体" w:cs="宋体" w:eastAsia="宋体" w:hint="default"/>
                <w:sz w:val="18"/>
                <w:szCs w:val="18"/>
              </w:rPr>
              <w:t>与本集团关系</w:t>
            </w:r>
          </w:p>
        </w:tc>
        <w:tc>
          <w:tcPr>
            <w:tcW w:w="776" w:type="dxa"/>
            <w:tcBorders>
              <w:top w:val="single" w:sz="4" w:space="0" w:color="000000"/>
              <w:left w:val="nil" w:sz="6" w:space="0" w:color="auto"/>
              <w:bottom w:val="nil" w:sz="6" w:space="0" w:color="auto"/>
              <w:right w:val="nil" w:sz="6" w:space="0" w:color="auto"/>
            </w:tcBorders>
          </w:tcPr>
          <w:p>
            <w:pPr/>
          </w:p>
        </w:tc>
        <w:tc>
          <w:tcPr>
            <w:tcW w:w="564" w:type="dxa"/>
            <w:tcBorders>
              <w:top w:val="single" w:sz="4" w:space="0" w:color="000000"/>
              <w:left w:val="nil" w:sz="6" w:space="0" w:color="auto"/>
              <w:bottom w:val="nil" w:sz="6" w:space="0" w:color="auto"/>
              <w:right w:val="nil" w:sz="6" w:space="0" w:color="auto"/>
            </w:tcBorders>
          </w:tcPr>
          <w:p>
            <w:pPr>
              <w:pStyle w:val="TableParagraph"/>
              <w:spacing w:line="205" w:lineRule="exact"/>
              <w:ind w:left="6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2" w:type="dxa"/>
            <w:gridSpan w:val="2"/>
            <w:tcBorders>
              <w:top w:val="single" w:sz="4" w:space="0" w:color="000000"/>
              <w:left w:val="nil" w:sz="6" w:space="0" w:color="auto"/>
              <w:bottom w:val="nil" w:sz="6" w:space="0" w:color="auto"/>
              <w:right w:val="nil" w:sz="6" w:space="0" w:color="auto"/>
            </w:tcBorders>
          </w:tcPr>
          <w:p>
            <w:pPr>
              <w:pStyle w:val="TableParagraph"/>
              <w:spacing w:line="205" w:lineRule="exact"/>
              <w:ind w:left="62" w:right="0"/>
              <w:jc w:val="left"/>
              <w:rPr>
                <w:rFonts w:ascii="宋体" w:hAnsi="宋体" w:cs="宋体" w:eastAsia="宋体" w:hint="default"/>
                <w:sz w:val="18"/>
                <w:szCs w:val="18"/>
              </w:rPr>
            </w:pPr>
            <w:r>
              <w:rPr>
                <w:rFonts w:ascii="宋体" w:hAnsi="宋体" w:cs="宋体" w:eastAsia="宋体" w:hint="default"/>
                <w:sz w:val="18"/>
                <w:szCs w:val="18"/>
              </w:rPr>
              <w:t>占应收账</w:t>
            </w:r>
          </w:p>
          <w:p>
            <w:pPr>
              <w:pStyle w:val="TableParagraph"/>
              <w:spacing w:line="232" w:lineRule="exact" w:before="24"/>
              <w:ind w:left="57" w:right="60" w:firstLine="4"/>
              <w:jc w:val="left"/>
              <w:rPr>
                <w:rFonts w:ascii="Arial" w:hAnsi="Arial" w:cs="Arial" w:eastAsia="Arial" w:hint="default"/>
                <w:sz w:val="18"/>
                <w:szCs w:val="18"/>
              </w:rPr>
            </w:pPr>
            <w:r>
              <w:rPr>
                <w:rFonts w:ascii="宋体" w:hAnsi="宋体" w:cs="宋体" w:eastAsia="宋体" w:hint="default"/>
                <w:sz w:val="18"/>
                <w:szCs w:val="18"/>
              </w:rPr>
              <w:t>款总额的 比例 </w:t>
            </w:r>
            <w:r>
              <w:rPr>
                <w:rFonts w:ascii="Arial" w:hAnsi="Arial" w:cs="Arial" w:eastAsia="Arial" w:hint="default"/>
                <w:sz w:val="18"/>
                <w:szCs w:val="18"/>
              </w:rPr>
              <w:t>(%)</w:t>
            </w:r>
          </w:p>
        </w:tc>
        <w:tc>
          <w:tcPr>
            <w:tcW w:w="120" w:type="dxa"/>
            <w:tcBorders>
              <w:top w:val="single" w:sz="4" w:space="0" w:color="000000"/>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10" w:lineRule="exact"/>
              <w:ind w:left="127"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46" w:type="dxa"/>
            <w:tcBorders>
              <w:top w:val="single" w:sz="4" w:space="0" w:color="000000"/>
              <w:left w:val="nil" w:sz="6" w:space="0" w:color="auto"/>
              <w:bottom w:val="nil" w:sz="6" w:space="0" w:color="auto"/>
              <w:right w:val="nil" w:sz="6" w:space="0" w:color="auto"/>
            </w:tcBorders>
          </w:tcPr>
          <w:p>
            <w:pPr>
              <w:pStyle w:val="TableParagraph"/>
              <w:spacing w:line="205" w:lineRule="exact"/>
              <w:ind w:left="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49" w:type="dxa"/>
            <w:tcBorders>
              <w:top w:val="single" w:sz="4" w:space="0" w:color="000000"/>
              <w:left w:val="nil" w:sz="6" w:space="0" w:color="auto"/>
              <w:bottom w:val="nil" w:sz="6" w:space="0" w:color="auto"/>
              <w:right w:val="nil" w:sz="6" w:space="0" w:color="auto"/>
            </w:tcBorders>
          </w:tcPr>
          <w:p>
            <w:pPr>
              <w:pStyle w:val="TableParagraph"/>
              <w:spacing w:line="205" w:lineRule="exact"/>
              <w:ind w:left="95" w:right="0"/>
              <w:jc w:val="both"/>
              <w:rPr>
                <w:rFonts w:ascii="宋体" w:hAnsi="宋体" w:cs="宋体" w:eastAsia="宋体" w:hint="default"/>
                <w:sz w:val="18"/>
                <w:szCs w:val="18"/>
              </w:rPr>
            </w:pPr>
            <w:r>
              <w:rPr>
                <w:rFonts w:ascii="宋体" w:hAnsi="宋体" w:cs="宋体" w:eastAsia="宋体" w:hint="default"/>
                <w:sz w:val="18"/>
                <w:szCs w:val="18"/>
              </w:rPr>
              <w:t>占应收</w:t>
            </w:r>
          </w:p>
          <w:p>
            <w:pPr>
              <w:pStyle w:val="TableParagraph"/>
              <w:spacing w:line="232" w:lineRule="exact" w:before="24"/>
              <w:ind w:left="91" w:right="4" w:firstLine="4"/>
              <w:jc w:val="both"/>
              <w:rPr>
                <w:rFonts w:ascii="Arial" w:hAnsi="Arial" w:cs="Arial" w:eastAsia="Arial" w:hint="default"/>
                <w:sz w:val="18"/>
                <w:szCs w:val="18"/>
              </w:rPr>
            </w:pPr>
            <w:r>
              <w:rPr>
                <w:rFonts w:ascii="宋体" w:hAnsi="宋体" w:cs="宋体" w:eastAsia="宋体" w:hint="default"/>
                <w:sz w:val="18"/>
                <w:szCs w:val="18"/>
              </w:rPr>
              <w:t>账款总 额的比 例 </w:t>
            </w:r>
            <w:r>
              <w:rPr>
                <w:rFonts w:ascii="Arial" w:hAnsi="Arial" w:cs="Arial" w:eastAsia="Arial" w:hint="default"/>
                <w:sz w:val="18"/>
                <w:szCs w:val="18"/>
              </w:rPr>
              <w:t>(%)</w:t>
            </w:r>
          </w:p>
        </w:tc>
        <w:tc>
          <w:tcPr>
            <w:tcW w:w="124" w:type="dxa"/>
            <w:tcBorders>
              <w:top w:val="single" w:sz="4" w:space="0" w:color="000000"/>
              <w:left w:val="nil" w:sz="6" w:space="0" w:color="auto"/>
              <w:bottom w:val="nil" w:sz="6" w:space="0" w:color="auto"/>
              <w:right w:val="nil" w:sz="6" w:space="0" w:color="auto"/>
            </w:tcBorders>
          </w:tcPr>
          <w:p>
            <w:pPr/>
          </w:p>
        </w:tc>
        <w:tc>
          <w:tcPr>
            <w:tcW w:w="151" w:type="dxa"/>
            <w:tcBorders>
              <w:top w:val="single" w:sz="4" w:space="0" w:color="000000"/>
              <w:left w:val="nil" w:sz="6" w:space="0" w:color="auto"/>
              <w:bottom w:val="nil" w:sz="6" w:space="0" w:color="auto"/>
              <w:right w:val="nil" w:sz="6" w:space="0" w:color="auto"/>
            </w:tcBorders>
          </w:tcPr>
          <w:p>
            <w:pPr/>
          </w:p>
        </w:tc>
        <w:tc>
          <w:tcPr>
            <w:tcW w:w="523" w:type="dxa"/>
            <w:tcBorders>
              <w:top w:val="single" w:sz="4" w:space="0" w:color="000000"/>
              <w:left w:val="nil" w:sz="6" w:space="0" w:color="auto"/>
              <w:bottom w:val="nil" w:sz="6" w:space="0" w:color="auto"/>
              <w:right w:val="nil" w:sz="6" w:space="0" w:color="auto"/>
            </w:tcBorders>
          </w:tcPr>
          <w:p>
            <w:pPr>
              <w:pStyle w:val="TableParagraph"/>
              <w:spacing w:line="205" w:lineRule="exact"/>
              <w:ind w:left="74"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准备</w:t>
            </w:r>
          </w:p>
        </w:tc>
      </w:tr>
      <w:tr>
        <w:trPr>
          <w:trHeight w:val="344" w:hRule="exact"/>
        </w:trPr>
        <w:tc>
          <w:tcPr>
            <w:tcW w:w="767"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67"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1833" w:type="dxa"/>
            <w:gridSpan w:val="2"/>
            <w:vMerge w:val="restart"/>
            <w:tcBorders>
              <w:top w:val="nil" w:sz="6" w:space="0" w:color="auto"/>
              <w:left w:val="nil" w:sz="6" w:space="0" w:color="auto"/>
              <w:right w:val="nil" w:sz="6" w:space="0" w:color="auto"/>
            </w:tcBorders>
          </w:tcPr>
          <w:p>
            <w:pPr>
              <w:pStyle w:val="TableParagraph"/>
              <w:spacing w:line="234" w:lineRule="exact" w:before="71"/>
              <w:ind w:left="85" w:right="0"/>
              <w:jc w:val="left"/>
              <w:rPr>
                <w:rFonts w:ascii="宋体" w:hAnsi="宋体" w:cs="宋体" w:eastAsia="宋体" w:hint="default"/>
                <w:sz w:val="18"/>
                <w:szCs w:val="18"/>
              </w:rPr>
            </w:pPr>
            <w:r>
              <w:rPr>
                <w:rFonts w:ascii="宋体" w:hAnsi="宋体" w:cs="宋体" w:eastAsia="宋体" w:hint="default"/>
                <w:sz w:val="18"/>
                <w:szCs w:val="18"/>
              </w:rPr>
              <w:t>与本公司受同一实际</w:t>
            </w:r>
          </w:p>
          <w:p>
            <w:pPr>
              <w:pStyle w:val="TableParagraph"/>
              <w:spacing w:line="234" w:lineRule="exact"/>
              <w:ind w:left="805" w:right="0"/>
              <w:jc w:val="left"/>
              <w:rPr>
                <w:rFonts w:ascii="宋体" w:hAnsi="宋体" w:cs="宋体" w:eastAsia="宋体" w:hint="default"/>
                <w:sz w:val="18"/>
                <w:szCs w:val="18"/>
              </w:rPr>
            </w:pPr>
            <w:r>
              <w:rPr>
                <w:rFonts w:ascii="宋体" w:hAnsi="宋体" w:cs="宋体" w:eastAsia="宋体" w:hint="default"/>
                <w:sz w:val="18"/>
                <w:szCs w:val="18"/>
              </w:rPr>
              <w:t>控制人控制</w:t>
            </w:r>
          </w:p>
        </w:tc>
        <w:tc>
          <w:tcPr>
            <w:tcW w:w="564" w:type="dxa"/>
            <w:tcBorders>
              <w:top w:val="nil" w:sz="6" w:space="0" w:color="auto"/>
              <w:left w:val="nil" w:sz="6" w:space="0" w:color="auto"/>
              <w:bottom w:val="nil" w:sz="6" w:space="0" w:color="auto"/>
              <w:right w:val="nil" w:sz="6" w:space="0" w:color="auto"/>
            </w:tcBorders>
          </w:tcPr>
          <w:p>
            <w:pPr/>
          </w:p>
        </w:tc>
        <w:tc>
          <w:tcPr>
            <w:tcW w:w="852" w:type="dxa"/>
            <w:gridSpan w:val="2"/>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546" w:type="dxa"/>
            <w:tcBorders>
              <w:top w:val="nil" w:sz="6" w:space="0" w:color="auto"/>
              <w:left w:val="nil" w:sz="6" w:space="0" w:color="auto"/>
              <w:bottom w:val="nil" w:sz="6" w:space="0" w:color="auto"/>
              <w:right w:val="nil" w:sz="6" w:space="0" w:color="auto"/>
            </w:tcBorders>
          </w:tcPr>
          <w:p>
            <w:pPr/>
          </w:p>
        </w:tc>
        <w:tc>
          <w:tcPr>
            <w:tcW w:w="649"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r>
      <w:tr>
        <w:trPr>
          <w:trHeight w:val="233" w:hRule="exact"/>
        </w:trPr>
        <w:tc>
          <w:tcPr>
            <w:tcW w:w="767"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
        </w:tc>
        <w:tc>
          <w:tcPr>
            <w:tcW w:w="1833" w:type="dxa"/>
            <w:gridSpan w:val="2"/>
            <w:vMerge/>
            <w:tcBorders>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2" w:right="0"/>
              <w:jc w:val="left"/>
              <w:rPr>
                <w:rFonts w:ascii="Arial" w:hAnsi="Arial" w:cs="Arial" w:eastAsia="Arial" w:hint="default"/>
                <w:sz w:val="18"/>
                <w:szCs w:val="18"/>
              </w:rPr>
            </w:pPr>
            <w:r>
              <w:rPr>
                <w:rFonts w:ascii="Arial"/>
                <w:sz w:val="18"/>
              </w:rPr>
              <w:t>1,659</w:t>
            </w:r>
          </w:p>
        </w:tc>
        <w:tc>
          <w:tcPr>
            <w:tcW w:w="8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283" w:right="0"/>
              <w:jc w:val="left"/>
              <w:rPr>
                <w:rFonts w:ascii="Arial" w:hAnsi="Arial" w:cs="Arial" w:eastAsia="Arial" w:hint="default"/>
                <w:sz w:val="18"/>
                <w:szCs w:val="18"/>
              </w:rPr>
            </w:pPr>
            <w:r>
              <w:rPr>
                <w:rFonts w:ascii="Arial"/>
                <w:sz w:val="18"/>
              </w:rPr>
              <w:t>0.13%</w:t>
            </w:r>
          </w:p>
        </w:tc>
        <w:tc>
          <w:tcPr>
            <w:tcW w:w="120"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46" w:right="0"/>
              <w:jc w:val="center"/>
              <w:rPr>
                <w:rFonts w:ascii="Arial" w:hAnsi="Arial" w:cs="Arial" w:eastAsia="Arial" w:hint="default"/>
                <w:sz w:val="18"/>
                <w:szCs w:val="18"/>
              </w:rPr>
            </w:pPr>
            <w:r>
              <w:rPr>
                <w:rFonts w:ascii="Arial"/>
                <w:w w:val="99"/>
                <w:sz w:val="18"/>
              </w:rPr>
              <w:t>-</w:t>
            </w:r>
            <w:r>
              <w:rPr>
                <w:rFonts w:ascii="Arial"/>
                <w:sz w:val="18"/>
              </w:rPr>
            </w:r>
          </w:p>
        </w:tc>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1"/>
              <w:jc w:val="right"/>
              <w:rPr>
                <w:rFonts w:ascii="Arial" w:hAnsi="Arial" w:cs="Arial" w:eastAsia="Arial" w:hint="default"/>
                <w:sz w:val="18"/>
                <w:szCs w:val="18"/>
              </w:rPr>
            </w:pPr>
            <w:r>
              <w:rPr>
                <w:rFonts w:ascii="Arial"/>
                <w:w w:val="99"/>
                <w:sz w:val="18"/>
              </w:rPr>
              <w:t>-</w:t>
            </w:r>
            <w:r>
              <w:rPr>
                <w:rFonts w:ascii="Arial"/>
                <w:sz w:val="18"/>
              </w:rPr>
            </w:r>
          </w:p>
        </w:tc>
        <w:tc>
          <w:tcPr>
            <w:tcW w:w="649"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center"/>
              <w:rPr>
                <w:rFonts w:ascii="Arial" w:hAnsi="Arial" w:cs="Arial" w:eastAsia="Arial" w:hint="default"/>
                <w:sz w:val="18"/>
                <w:szCs w:val="18"/>
              </w:rPr>
            </w:pPr>
            <w:r>
              <w:rPr>
                <w:rFonts w:ascii="Arial"/>
                <w:w w:val="99"/>
                <w:sz w:val="18"/>
              </w:rPr>
              <w:t>-</w:t>
            </w:r>
            <w:r>
              <w:rPr>
                <w:rFonts w:ascii="Arial"/>
                <w:sz w:val="18"/>
              </w:rPr>
            </w:r>
          </w:p>
        </w:tc>
        <w:tc>
          <w:tcPr>
            <w:tcW w:w="151"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3"/>
              <w:jc w:val="right"/>
              <w:rPr>
                <w:rFonts w:ascii="Arial" w:hAnsi="Arial" w:cs="Arial" w:eastAsia="Arial" w:hint="default"/>
                <w:sz w:val="18"/>
                <w:szCs w:val="18"/>
              </w:rPr>
            </w:pPr>
            <w:r>
              <w:rPr>
                <w:rFonts w:ascii="Arial"/>
                <w:w w:val="99"/>
                <w:sz w:val="18"/>
              </w:rPr>
              <w:t>-</w:t>
            </w:r>
            <w:r>
              <w:rPr>
                <w:rFonts w:ascii="Arial"/>
                <w:sz w:val="18"/>
              </w:rPr>
            </w:r>
          </w:p>
        </w:tc>
      </w:tr>
      <w:tr>
        <w:trPr>
          <w:trHeight w:val="467" w:hRule="exact"/>
        </w:trPr>
        <w:tc>
          <w:tcPr>
            <w:tcW w:w="767"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193" w:lineRule="exact"/>
              <w:ind w:left="167" w:right="0"/>
              <w:jc w:val="left"/>
              <w:rPr>
                <w:rFonts w:ascii="宋体" w:hAnsi="宋体" w:cs="宋体" w:eastAsia="宋体" w:hint="default"/>
                <w:sz w:val="18"/>
                <w:szCs w:val="18"/>
              </w:rPr>
            </w:pPr>
            <w:r>
              <w:rPr>
                <w:rFonts w:ascii="宋体" w:hAnsi="宋体" w:cs="宋体" w:eastAsia="宋体" w:hint="default"/>
                <w:spacing w:val="6"/>
                <w:sz w:val="18"/>
                <w:szCs w:val="18"/>
              </w:rPr>
              <w:t>南京钟山国际高尔夫置业有限公</w:t>
            </w:r>
          </w:p>
          <w:p>
            <w:pPr>
              <w:pStyle w:val="TableParagraph"/>
              <w:spacing w:line="248" w:lineRule="exact"/>
              <w:ind w:left="33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钟山高尔夫置业</w:t>
            </w:r>
            <w:r>
              <w:rPr>
                <w:rFonts w:ascii="Times New Roman" w:hAnsi="Times New Roman" w:cs="Times New Roman" w:eastAsia="Times New Roman" w:hint="default"/>
                <w:sz w:val="18"/>
                <w:szCs w:val="18"/>
              </w:rPr>
              <w:t>”)</w:t>
            </w:r>
          </w:p>
        </w:tc>
        <w:tc>
          <w:tcPr>
            <w:tcW w:w="1833" w:type="dxa"/>
            <w:gridSpan w:val="2"/>
            <w:tcBorders>
              <w:top w:val="nil" w:sz="6" w:space="0" w:color="auto"/>
              <w:left w:val="nil" w:sz="6" w:space="0" w:color="auto"/>
              <w:bottom w:val="nil" w:sz="6" w:space="0" w:color="auto"/>
              <w:right w:val="nil" w:sz="6" w:space="0" w:color="auto"/>
            </w:tcBorders>
          </w:tcPr>
          <w:p>
            <w:pPr>
              <w:pStyle w:val="TableParagraph"/>
              <w:spacing w:line="193" w:lineRule="exact"/>
              <w:ind w:left="85" w:right="0"/>
              <w:jc w:val="left"/>
              <w:rPr>
                <w:rFonts w:ascii="宋体" w:hAnsi="宋体" w:cs="宋体" w:eastAsia="宋体" w:hint="default"/>
                <w:sz w:val="18"/>
                <w:szCs w:val="18"/>
              </w:rPr>
            </w:pPr>
            <w:r>
              <w:rPr>
                <w:rFonts w:ascii="宋体" w:hAnsi="宋体" w:cs="宋体" w:eastAsia="宋体" w:hint="default"/>
                <w:sz w:val="18"/>
                <w:szCs w:val="18"/>
              </w:rPr>
              <w:t>实际控制人系张近东</w:t>
            </w:r>
          </w:p>
          <w:p>
            <w:pPr>
              <w:pStyle w:val="TableParagraph"/>
              <w:spacing w:line="234" w:lineRule="exact"/>
              <w:ind w:left="625" w:right="0"/>
              <w:jc w:val="left"/>
              <w:rPr>
                <w:rFonts w:ascii="宋体" w:hAnsi="宋体" w:cs="宋体" w:eastAsia="宋体" w:hint="default"/>
                <w:sz w:val="18"/>
                <w:szCs w:val="18"/>
              </w:rPr>
            </w:pPr>
            <w:r>
              <w:rPr>
                <w:rFonts w:ascii="宋体" w:hAnsi="宋体" w:cs="宋体" w:eastAsia="宋体" w:hint="default"/>
                <w:sz w:val="18"/>
                <w:szCs w:val="18"/>
              </w:rPr>
              <w:t>先生家庭成员</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3" w:right="0"/>
              <w:jc w:val="left"/>
              <w:rPr>
                <w:rFonts w:ascii="Arial" w:hAnsi="Arial" w:cs="Arial" w:eastAsia="Arial" w:hint="default"/>
                <w:sz w:val="18"/>
                <w:szCs w:val="18"/>
              </w:rPr>
            </w:pPr>
            <w:r>
              <w:rPr>
                <w:rFonts w:ascii="Arial"/>
                <w:sz w:val="18"/>
              </w:rPr>
              <w:t>772</w:t>
            </w:r>
          </w:p>
        </w:tc>
        <w:tc>
          <w:tcPr>
            <w:tcW w:w="8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3" w:right="0"/>
              <w:jc w:val="left"/>
              <w:rPr>
                <w:rFonts w:ascii="Arial" w:hAnsi="Arial" w:cs="Arial" w:eastAsia="Arial" w:hint="default"/>
                <w:sz w:val="18"/>
                <w:szCs w:val="18"/>
              </w:rPr>
            </w:pPr>
            <w:r>
              <w:rPr>
                <w:rFonts w:ascii="Arial"/>
                <w:sz w:val="18"/>
              </w:rPr>
              <w:t>0.06%</w:t>
            </w:r>
          </w:p>
        </w:tc>
        <w:tc>
          <w:tcPr>
            <w:tcW w:w="120"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6" w:right="0"/>
              <w:jc w:val="center"/>
              <w:rPr>
                <w:rFonts w:ascii="Arial" w:hAnsi="Arial" w:cs="Arial" w:eastAsia="Arial" w:hint="default"/>
                <w:sz w:val="18"/>
                <w:szCs w:val="18"/>
              </w:rPr>
            </w:pPr>
            <w:r>
              <w:rPr>
                <w:rFonts w:ascii="Arial"/>
                <w:w w:val="99"/>
                <w:sz w:val="18"/>
              </w:rPr>
              <w:t>-</w:t>
            </w:r>
            <w:r>
              <w:rPr>
                <w:rFonts w:ascii="Arial"/>
                <w:sz w:val="18"/>
              </w:rPr>
            </w:r>
          </w:p>
        </w:tc>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1"/>
              <w:jc w:val="right"/>
              <w:rPr>
                <w:rFonts w:ascii="Arial" w:hAnsi="Arial" w:cs="Arial" w:eastAsia="Arial" w:hint="default"/>
                <w:sz w:val="18"/>
                <w:szCs w:val="18"/>
              </w:rPr>
            </w:pPr>
            <w:r>
              <w:rPr>
                <w:rFonts w:ascii="Arial"/>
                <w:w w:val="99"/>
                <w:sz w:val="18"/>
              </w:rPr>
              <w:t>-</w:t>
            </w:r>
            <w:r>
              <w:rPr>
                <w:rFonts w:ascii="Arial"/>
                <w:sz w:val="18"/>
              </w:rPr>
            </w:r>
          </w:p>
        </w:tc>
        <w:tc>
          <w:tcPr>
            <w:tcW w:w="649"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9"/>
              <w:jc w:val="center"/>
              <w:rPr>
                <w:rFonts w:ascii="Arial" w:hAnsi="Arial" w:cs="Arial" w:eastAsia="Arial" w:hint="default"/>
                <w:sz w:val="18"/>
                <w:szCs w:val="18"/>
              </w:rPr>
            </w:pPr>
            <w:r>
              <w:rPr>
                <w:rFonts w:ascii="Arial"/>
                <w:w w:val="99"/>
                <w:sz w:val="18"/>
              </w:rPr>
              <w:t>-</w:t>
            </w:r>
            <w:r>
              <w:rPr>
                <w:rFonts w:ascii="Arial"/>
                <w:sz w:val="18"/>
              </w:rPr>
            </w:r>
          </w:p>
        </w:tc>
        <w:tc>
          <w:tcPr>
            <w:tcW w:w="151"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3"/>
              <w:jc w:val="right"/>
              <w:rPr>
                <w:rFonts w:ascii="Arial" w:hAnsi="Arial" w:cs="Arial" w:eastAsia="Arial" w:hint="default"/>
                <w:sz w:val="18"/>
                <w:szCs w:val="18"/>
              </w:rPr>
            </w:pPr>
            <w:r>
              <w:rPr>
                <w:rFonts w:ascii="Arial"/>
                <w:w w:val="99"/>
                <w:sz w:val="18"/>
              </w:rPr>
              <w:t>-</w:t>
            </w:r>
            <w:r>
              <w:rPr>
                <w:rFonts w:ascii="Arial"/>
                <w:sz w:val="18"/>
              </w:rPr>
            </w:r>
          </w:p>
        </w:tc>
      </w:tr>
      <w:tr>
        <w:trPr>
          <w:trHeight w:val="471" w:hRule="exact"/>
        </w:trPr>
        <w:tc>
          <w:tcPr>
            <w:tcW w:w="767"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195" w:lineRule="exact"/>
              <w:ind w:left="167" w:right="0"/>
              <w:jc w:val="left"/>
              <w:rPr>
                <w:rFonts w:ascii="宋体" w:hAnsi="宋体" w:cs="宋体" w:eastAsia="宋体" w:hint="default"/>
                <w:sz w:val="18"/>
                <w:szCs w:val="18"/>
              </w:rPr>
            </w:pPr>
            <w:r>
              <w:rPr>
                <w:rFonts w:ascii="宋体" w:hAnsi="宋体" w:cs="宋体" w:eastAsia="宋体" w:hint="default"/>
                <w:spacing w:val="6"/>
                <w:sz w:val="18"/>
                <w:szCs w:val="18"/>
              </w:rPr>
              <w:t>江苏苏宁银河酒店管理有限公司</w:t>
            </w:r>
          </w:p>
          <w:p>
            <w:pPr>
              <w:pStyle w:val="TableParagraph"/>
              <w:spacing w:line="247" w:lineRule="exact"/>
              <w:ind w:left="337"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银河酒店管理公司</w:t>
            </w:r>
            <w:r>
              <w:rPr>
                <w:rFonts w:ascii="Arial" w:hAnsi="Arial" w:cs="Arial" w:eastAsia="Arial" w:hint="default"/>
                <w:sz w:val="18"/>
                <w:szCs w:val="18"/>
              </w:rPr>
              <w:t>”)</w:t>
            </w:r>
          </w:p>
        </w:tc>
        <w:tc>
          <w:tcPr>
            <w:tcW w:w="1833" w:type="dxa"/>
            <w:gridSpan w:val="2"/>
            <w:vMerge w:val="restart"/>
            <w:tcBorders>
              <w:top w:val="nil" w:sz="6" w:space="0" w:color="auto"/>
              <w:left w:val="nil" w:sz="6" w:space="0" w:color="auto"/>
              <w:right w:val="nil" w:sz="6" w:space="0" w:color="auto"/>
            </w:tcBorders>
          </w:tcPr>
          <w:p>
            <w:pPr>
              <w:pStyle w:val="TableParagraph"/>
              <w:spacing w:line="201" w:lineRule="exact"/>
              <w:ind w:right="125"/>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苏宁电</w:t>
            </w:r>
          </w:p>
          <w:p>
            <w:pPr>
              <w:pStyle w:val="TableParagraph"/>
              <w:spacing w:line="226" w:lineRule="exact"/>
              <w:ind w:right="125"/>
              <w:jc w:val="right"/>
              <w:rPr>
                <w:rFonts w:ascii="宋体" w:hAnsi="宋体" w:cs="宋体" w:eastAsia="宋体" w:hint="default"/>
                <w:sz w:val="18"/>
                <w:szCs w:val="18"/>
              </w:rPr>
            </w:pPr>
            <w:r>
              <w:rPr>
                <w:rFonts w:ascii="宋体" w:hAnsi="宋体" w:cs="宋体" w:eastAsia="宋体" w:hint="default"/>
                <w:sz w:val="18"/>
                <w:szCs w:val="18"/>
              </w:rPr>
              <w:t>器集团有限公司之子</w:t>
            </w:r>
          </w:p>
          <w:p>
            <w:pPr>
              <w:pStyle w:val="TableParagraph"/>
              <w:spacing w:line="234" w:lineRule="exact"/>
              <w:ind w:right="125"/>
              <w:jc w:val="right"/>
              <w:rPr>
                <w:rFonts w:ascii="宋体" w:hAnsi="宋体" w:cs="宋体" w:eastAsia="宋体" w:hint="default"/>
                <w:sz w:val="18"/>
                <w:szCs w:val="18"/>
              </w:rPr>
            </w:pPr>
            <w:r>
              <w:rPr>
                <w:rFonts w:ascii="宋体" w:hAnsi="宋体" w:cs="宋体" w:eastAsia="宋体" w:hint="default"/>
                <w:sz w:val="18"/>
                <w:szCs w:val="18"/>
              </w:rPr>
              <w:t>公司</w:t>
            </w:r>
          </w:p>
        </w:tc>
        <w:tc>
          <w:tcPr>
            <w:tcW w:w="564" w:type="dxa"/>
            <w:tcBorders>
              <w:top w:val="nil" w:sz="6" w:space="0" w:color="auto"/>
              <w:left w:val="nil" w:sz="6" w:space="0" w:color="auto"/>
              <w:bottom w:val="nil" w:sz="6" w:space="0" w:color="auto"/>
              <w:right w:val="nil" w:sz="6" w:space="0" w:color="auto"/>
            </w:tcBorders>
          </w:tcPr>
          <w:p>
            <w:pPr/>
          </w:p>
        </w:tc>
        <w:tc>
          <w:tcPr>
            <w:tcW w:w="535" w:type="dxa"/>
            <w:tcBorders>
              <w:top w:val="nil" w:sz="6" w:space="0" w:color="auto"/>
              <w:left w:val="nil" w:sz="6" w:space="0" w:color="auto"/>
              <w:bottom w:val="nil" w:sz="6" w:space="0" w:color="auto"/>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546" w:type="dxa"/>
            <w:tcBorders>
              <w:top w:val="nil" w:sz="6" w:space="0" w:color="auto"/>
              <w:left w:val="nil" w:sz="6" w:space="0" w:color="auto"/>
              <w:bottom w:val="nil" w:sz="6" w:space="0" w:color="auto"/>
              <w:right w:val="nil" w:sz="6" w:space="0" w:color="auto"/>
            </w:tcBorders>
          </w:tcPr>
          <w:p>
            <w:pPr/>
          </w:p>
        </w:tc>
        <w:tc>
          <w:tcPr>
            <w:tcW w:w="649"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r>
      <w:tr>
        <w:trPr>
          <w:trHeight w:val="228" w:hRule="exact"/>
        </w:trPr>
        <w:tc>
          <w:tcPr>
            <w:tcW w:w="767"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
        </w:tc>
        <w:tc>
          <w:tcPr>
            <w:tcW w:w="1833" w:type="dxa"/>
            <w:gridSpan w:val="2"/>
            <w:vMerge/>
            <w:tcBorders>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04" w:right="0"/>
              <w:jc w:val="left"/>
              <w:rPr>
                <w:rFonts w:ascii="Arial" w:hAnsi="Arial" w:cs="Arial" w:eastAsia="Arial" w:hint="default"/>
                <w:sz w:val="18"/>
                <w:szCs w:val="18"/>
              </w:rPr>
            </w:pPr>
            <w:r>
              <w:rPr>
                <w:rFonts w:ascii="Arial"/>
                <w:sz w:val="18"/>
              </w:rPr>
              <w:t>35</w:t>
            </w:r>
          </w:p>
        </w:tc>
        <w:tc>
          <w:tcPr>
            <w:tcW w:w="535" w:type="dxa"/>
            <w:tcBorders>
              <w:top w:val="nil" w:sz="6" w:space="0" w:color="auto"/>
              <w:left w:val="nil" w:sz="6" w:space="0" w:color="auto"/>
              <w:bottom w:val="nil" w:sz="6" w:space="0" w:color="auto"/>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5"/>
              <w:jc w:val="right"/>
              <w:rPr>
                <w:rFonts w:ascii="Arial" w:hAnsi="Arial" w:cs="Arial" w:eastAsia="Arial" w:hint="default"/>
                <w:sz w:val="18"/>
                <w:szCs w:val="18"/>
              </w:rPr>
            </w:pPr>
            <w:r>
              <w:rPr>
                <w:rFonts w:ascii="Arial"/>
                <w:w w:val="99"/>
                <w:sz w:val="18"/>
              </w:rPr>
              <w:t>-</w:t>
            </w:r>
            <w:r>
              <w:rPr>
                <w:rFonts w:ascii="Arial"/>
                <w:sz w:val="18"/>
              </w:rPr>
            </w:r>
          </w:p>
        </w:tc>
        <w:tc>
          <w:tcPr>
            <w:tcW w:w="120"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46" w:right="0"/>
              <w:jc w:val="center"/>
              <w:rPr>
                <w:rFonts w:ascii="Arial" w:hAnsi="Arial" w:cs="Arial" w:eastAsia="Arial" w:hint="default"/>
                <w:sz w:val="18"/>
                <w:szCs w:val="18"/>
              </w:rPr>
            </w:pPr>
            <w:r>
              <w:rPr>
                <w:rFonts w:ascii="Arial"/>
                <w:w w:val="99"/>
                <w:sz w:val="18"/>
              </w:rPr>
              <w:t>-</w:t>
            </w:r>
            <w:r>
              <w:rPr>
                <w:rFonts w:ascii="Arial"/>
                <w:sz w:val="18"/>
              </w:rPr>
            </w:r>
          </w:p>
        </w:tc>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
              <w:jc w:val="right"/>
              <w:rPr>
                <w:rFonts w:ascii="Arial" w:hAnsi="Arial" w:cs="Arial" w:eastAsia="Arial" w:hint="default"/>
                <w:sz w:val="18"/>
                <w:szCs w:val="18"/>
              </w:rPr>
            </w:pPr>
            <w:r>
              <w:rPr>
                <w:rFonts w:ascii="Arial"/>
                <w:w w:val="99"/>
                <w:sz w:val="18"/>
              </w:rPr>
              <w:t>-</w:t>
            </w:r>
            <w:r>
              <w:rPr>
                <w:rFonts w:ascii="Arial"/>
                <w:sz w:val="18"/>
              </w:rPr>
            </w:r>
          </w:p>
        </w:tc>
        <w:tc>
          <w:tcPr>
            <w:tcW w:w="649"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
              <w:jc w:val="center"/>
              <w:rPr>
                <w:rFonts w:ascii="Arial" w:hAnsi="Arial" w:cs="Arial" w:eastAsia="Arial" w:hint="default"/>
                <w:sz w:val="18"/>
                <w:szCs w:val="18"/>
              </w:rPr>
            </w:pPr>
            <w:r>
              <w:rPr>
                <w:rFonts w:ascii="Arial"/>
                <w:w w:val="99"/>
                <w:sz w:val="18"/>
              </w:rPr>
              <w:t>-</w:t>
            </w:r>
            <w:r>
              <w:rPr>
                <w:rFonts w:ascii="Arial"/>
                <w:sz w:val="18"/>
              </w:rPr>
            </w:r>
          </w:p>
        </w:tc>
        <w:tc>
          <w:tcPr>
            <w:tcW w:w="151"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3"/>
              <w:jc w:val="right"/>
              <w:rPr>
                <w:rFonts w:ascii="Arial" w:hAnsi="Arial" w:cs="Arial" w:eastAsia="Arial" w:hint="default"/>
                <w:sz w:val="18"/>
                <w:szCs w:val="18"/>
              </w:rPr>
            </w:pPr>
            <w:r>
              <w:rPr>
                <w:rFonts w:ascii="Arial"/>
                <w:w w:val="99"/>
                <w:sz w:val="18"/>
              </w:rPr>
              <w:t>-</w:t>
            </w:r>
            <w:r>
              <w:rPr>
                <w:rFonts w:ascii="Arial"/>
                <w:sz w:val="18"/>
              </w:rPr>
            </w:r>
          </w:p>
        </w:tc>
      </w:tr>
      <w:tr>
        <w:trPr>
          <w:trHeight w:val="468" w:hRule="exact"/>
        </w:trPr>
        <w:tc>
          <w:tcPr>
            <w:tcW w:w="767"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01" w:lineRule="exact"/>
              <w:ind w:left="167" w:right="0"/>
              <w:jc w:val="left"/>
              <w:rPr>
                <w:rFonts w:ascii="宋体" w:hAnsi="宋体" w:cs="宋体" w:eastAsia="宋体" w:hint="default"/>
                <w:sz w:val="18"/>
                <w:szCs w:val="18"/>
              </w:rPr>
            </w:pPr>
            <w:r>
              <w:rPr>
                <w:rFonts w:ascii="宋体" w:hAnsi="宋体" w:cs="宋体" w:eastAsia="宋体" w:hint="default"/>
                <w:spacing w:val="10"/>
                <w:sz w:val="18"/>
                <w:szCs w:val="18"/>
              </w:rPr>
              <w:t>南京沃德置业有限公司</w:t>
            </w:r>
            <w:r>
              <w:rPr>
                <w:rFonts w:ascii="Arial" w:hAnsi="Arial" w:cs="Arial" w:eastAsia="Arial" w:hint="default"/>
                <w:spacing w:val="10"/>
                <w:sz w:val="18"/>
                <w:szCs w:val="18"/>
              </w:rPr>
              <w:t>(“</w:t>
            </w:r>
            <w:r>
              <w:rPr>
                <w:rFonts w:ascii="宋体" w:hAnsi="宋体" w:cs="宋体" w:eastAsia="宋体" w:hint="default"/>
                <w:spacing w:val="10"/>
                <w:sz w:val="18"/>
                <w:szCs w:val="18"/>
              </w:rPr>
              <w:t>沃德置</w:t>
            </w:r>
          </w:p>
          <w:p>
            <w:pPr>
              <w:pStyle w:val="TableParagraph"/>
              <w:spacing w:line="242" w:lineRule="exact"/>
              <w:ind w:left="337" w:right="0"/>
              <w:jc w:val="left"/>
              <w:rPr>
                <w:rFonts w:ascii="Arial" w:hAnsi="Arial" w:cs="Arial" w:eastAsia="Arial" w:hint="default"/>
                <w:sz w:val="18"/>
                <w:szCs w:val="18"/>
              </w:rPr>
            </w:pPr>
            <w:r>
              <w:rPr>
                <w:rFonts w:ascii="宋体" w:hAnsi="宋体" w:cs="宋体" w:eastAsia="宋体" w:hint="default"/>
                <w:sz w:val="18"/>
                <w:szCs w:val="18"/>
              </w:rPr>
              <w:t>业</w:t>
            </w:r>
            <w:r>
              <w:rPr>
                <w:rFonts w:ascii="Arial" w:hAnsi="Arial" w:cs="Arial" w:eastAsia="Arial" w:hint="default"/>
                <w:sz w:val="18"/>
                <w:szCs w:val="18"/>
              </w:rPr>
              <w:t>”)</w:t>
            </w:r>
          </w:p>
        </w:tc>
        <w:tc>
          <w:tcPr>
            <w:tcW w:w="1833" w:type="dxa"/>
            <w:gridSpan w:val="2"/>
            <w:tcBorders>
              <w:top w:val="nil" w:sz="6" w:space="0" w:color="auto"/>
              <w:left w:val="nil" w:sz="6" w:space="0" w:color="auto"/>
              <w:bottom w:val="nil" w:sz="6" w:space="0" w:color="auto"/>
              <w:right w:val="nil" w:sz="6" w:space="0" w:color="auto"/>
            </w:tcBorders>
          </w:tcPr>
          <w:p>
            <w:pPr>
              <w:pStyle w:val="TableParagraph"/>
              <w:spacing w:line="201" w:lineRule="exact"/>
              <w:ind w:left="25" w:right="0"/>
              <w:jc w:val="lef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w:t>
            </w:r>
          </w:p>
          <w:p>
            <w:pPr>
              <w:pStyle w:val="TableParagraph"/>
              <w:spacing w:line="229" w:lineRule="exact"/>
              <w:ind w:left="805" w:right="0"/>
              <w:jc w:val="left"/>
              <w:rPr>
                <w:rFonts w:ascii="宋体" w:hAnsi="宋体" w:cs="宋体" w:eastAsia="宋体" w:hint="default"/>
                <w:sz w:val="18"/>
                <w:szCs w:val="18"/>
              </w:rPr>
            </w:pPr>
            <w:r>
              <w:rPr>
                <w:rFonts w:ascii="宋体" w:hAnsi="宋体" w:cs="宋体" w:eastAsia="宋体" w:hint="default"/>
                <w:sz w:val="18"/>
                <w:szCs w:val="18"/>
              </w:rPr>
              <w:t>业之子公司</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04" w:right="0"/>
              <w:jc w:val="left"/>
              <w:rPr>
                <w:rFonts w:ascii="Arial" w:hAnsi="Arial" w:cs="Arial" w:eastAsia="Arial" w:hint="default"/>
                <w:sz w:val="18"/>
                <w:szCs w:val="18"/>
              </w:rPr>
            </w:pPr>
            <w:r>
              <w:rPr>
                <w:rFonts w:ascii="Arial"/>
                <w:sz w:val="18"/>
              </w:rPr>
              <w:t>27</w:t>
            </w:r>
          </w:p>
        </w:tc>
        <w:tc>
          <w:tcPr>
            <w:tcW w:w="535" w:type="dxa"/>
            <w:tcBorders>
              <w:top w:val="nil" w:sz="6" w:space="0" w:color="auto"/>
              <w:left w:val="nil" w:sz="6" w:space="0" w:color="auto"/>
              <w:bottom w:val="nil" w:sz="6" w:space="0" w:color="auto"/>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20"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6" w:right="0"/>
              <w:jc w:val="center"/>
              <w:rPr>
                <w:rFonts w:ascii="Arial" w:hAnsi="Arial" w:cs="Arial" w:eastAsia="Arial" w:hint="default"/>
                <w:sz w:val="18"/>
                <w:szCs w:val="18"/>
              </w:rPr>
            </w:pPr>
            <w:r>
              <w:rPr>
                <w:rFonts w:ascii="Arial"/>
                <w:w w:val="99"/>
                <w:sz w:val="18"/>
              </w:rPr>
              <w:t>-</w:t>
            </w:r>
            <w:r>
              <w:rPr>
                <w:rFonts w:ascii="Arial"/>
                <w:sz w:val="18"/>
              </w:rPr>
            </w:r>
          </w:p>
        </w:tc>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1"/>
              <w:jc w:val="right"/>
              <w:rPr>
                <w:rFonts w:ascii="Arial" w:hAnsi="Arial" w:cs="Arial" w:eastAsia="Arial" w:hint="default"/>
                <w:sz w:val="18"/>
                <w:szCs w:val="18"/>
              </w:rPr>
            </w:pPr>
            <w:r>
              <w:rPr>
                <w:rFonts w:ascii="Arial"/>
                <w:w w:val="99"/>
                <w:sz w:val="18"/>
              </w:rPr>
              <w:t>-</w:t>
            </w:r>
            <w:r>
              <w:rPr>
                <w:rFonts w:ascii="Arial"/>
                <w:sz w:val="18"/>
              </w:rPr>
            </w:r>
          </w:p>
        </w:tc>
        <w:tc>
          <w:tcPr>
            <w:tcW w:w="649"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9"/>
              <w:jc w:val="center"/>
              <w:rPr>
                <w:rFonts w:ascii="Arial" w:hAnsi="Arial" w:cs="Arial" w:eastAsia="Arial" w:hint="default"/>
                <w:sz w:val="18"/>
                <w:szCs w:val="18"/>
              </w:rPr>
            </w:pPr>
            <w:r>
              <w:rPr>
                <w:rFonts w:ascii="Arial"/>
                <w:w w:val="99"/>
                <w:sz w:val="18"/>
              </w:rPr>
              <w:t>-</w:t>
            </w:r>
            <w:r>
              <w:rPr>
                <w:rFonts w:ascii="Arial"/>
                <w:sz w:val="18"/>
              </w:rPr>
            </w:r>
          </w:p>
        </w:tc>
        <w:tc>
          <w:tcPr>
            <w:tcW w:w="151"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3"/>
              <w:jc w:val="right"/>
              <w:rPr>
                <w:rFonts w:ascii="Arial" w:hAnsi="Arial" w:cs="Arial" w:eastAsia="Arial" w:hint="default"/>
                <w:sz w:val="18"/>
                <w:szCs w:val="18"/>
              </w:rPr>
            </w:pPr>
            <w:r>
              <w:rPr>
                <w:rFonts w:ascii="Arial"/>
                <w:w w:val="99"/>
                <w:sz w:val="18"/>
              </w:rPr>
              <w:t>-</w:t>
            </w:r>
            <w:r>
              <w:rPr>
                <w:rFonts w:ascii="Arial"/>
                <w:sz w:val="18"/>
              </w:rPr>
            </w:r>
          </w:p>
        </w:tc>
      </w:tr>
      <w:tr>
        <w:trPr>
          <w:trHeight w:val="467" w:hRule="exact"/>
        </w:trPr>
        <w:tc>
          <w:tcPr>
            <w:tcW w:w="767"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00" w:lineRule="exact"/>
              <w:ind w:left="167" w:right="0"/>
              <w:jc w:val="left"/>
              <w:rPr>
                <w:rFonts w:ascii="宋体" w:hAnsi="宋体" w:cs="宋体" w:eastAsia="宋体" w:hint="default"/>
                <w:sz w:val="18"/>
                <w:szCs w:val="18"/>
              </w:rPr>
            </w:pPr>
            <w:r>
              <w:rPr>
                <w:rFonts w:ascii="宋体" w:hAnsi="宋体" w:cs="宋体" w:eastAsia="宋体" w:hint="default"/>
                <w:spacing w:val="10"/>
                <w:sz w:val="18"/>
                <w:szCs w:val="18"/>
              </w:rPr>
              <w:t>玄武苏宁银河诺富特大酒店</w:t>
            </w:r>
            <w:r>
              <w:rPr>
                <w:rFonts w:ascii="Arial" w:hAnsi="Arial" w:cs="Arial" w:eastAsia="Arial" w:hint="default"/>
                <w:spacing w:val="10"/>
                <w:sz w:val="18"/>
                <w:szCs w:val="18"/>
              </w:rPr>
              <w:t>(“</w:t>
            </w:r>
            <w:r>
              <w:rPr>
                <w:rFonts w:ascii="宋体" w:hAnsi="宋体" w:cs="宋体" w:eastAsia="宋体" w:hint="default"/>
                <w:spacing w:val="10"/>
                <w:sz w:val="18"/>
                <w:szCs w:val="18"/>
              </w:rPr>
              <w:t>银</w:t>
            </w:r>
          </w:p>
          <w:p>
            <w:pPr>
              <w:pStyle w:val="TableParagraph"/>
              <w:spacing w:line="241" w:lineRule="exact"/>
              <w:ind w:left="337" w:right="0"/>
              <w:jc w:val="left"/>
              <w:rPr>
                <w:rFonts w:ascii="Arial" w:hAnsi="Arial" w:cs="Arial" w:eastAsia="Arial" w:hint="default"/>
                <w:sz w:val="18"/>
                <w:szCs w:val="18"/>
              </w:rPr>
            </w:pPr>
            <w:r>
              <w:rPr>
                <w:rFonts w:ascii="宋体" w:hAnsi="宋体" w:cs="宋体" w:eastAsia="宋体" w:hint="default"/>
                <w:sz w:val="18"/>
                <w:szCs w:val="18"/>
              </w:rPr>
              <w:t>河诺富特酒店</w:t>
            </w:r>
            <w:r>
              <w:rPr>
                <w:rFonts w:ascii="Arial" w:hAnsi="Arial" w:cs="Arial" w:eastAsia="Arial" w:hint="default"/>
                <w:sz w:val="18"/>
                <w:szCs w:val="18"/>
              </w:rPr>
              <w:t>”)</w:t>
            </w:r>
          </w:p>
        </w:tc>
        <w:tc>
          <w:tcPr>
            <w:tcW w:w="1833" w:type="dxa"/>
            <w:gridSpan w:val="2"/>
            <w:tcBorders>
              <w:top w:val="nil" w:sz="6" w:space="0" w:color="auto"/>
              <w:left w:val="nil" w:sz="6" w:space="0" w:color="auto"/>
              <w:bottom w:val="nil" w:sz="6" w:space="0" w:color="auto"/>
              <w:right w:val="nil" w:sz="6" w:space="0" w:color="auto"/>
            </w:tcBorders>
          </w:tcPr>
          <w:p>
            <w:pPr>
              <w:pStyle w:val="TableParagraph"/>
              <w:spacing w:line="200" w:lineRule="exact"/>
              <w:ind w:left="25" w:right="0"/>
              <w:jc w:val="lef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w:t>
            </w:r>
          </w:p>
          <w:p>
            <w:pPr>
              <w:pStyle w:val="TableParagraph"/>
              <w:spacing w:line="228" w:lineRule="exact"/>
              <w:ind w:left="805" w:right="0"/>
              <w:jc w:val="left"/>
              <w:rPr>
                <w:rFonts w:ascii="宋体" w:hAnsi="宋体" w:cs="宋体" w:eastAsia="宋体" w:hint="default"/>
                <w:sz w:val="18"/>
                <w:szCs w:val="18"/>
              </w:rPr>
            </w:pPr>
            <w:r>
              <w:rPr>
                <w:rFonts w:ascii="宋体" w:hAnsi="宋体" w:cs="宋体" w:eastAsia="宋体" w:hint="default"/>
                <w:sz w:val="18"/>
                <w:szCs w:val="18"/>
              </w:rPr>
              <w:t>业之子公司</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4" w:right="0"/>
              <w:jc w:val="left"/>
              <w:rPr>
                <w:rFonts w:ascii="Arial" w:hAnsi="Arial" w:cs="Arial" w:eastAsia="Arial" w:hint="default"/>
                <w:sz w:val="18"/>
                <w:szCs w:val="18"/>
              </w:rPr>
            </w:pPr>
            <w:r>
              <w:rPr>
                <w:rFonts w:ascii="Arial"/>
                <w:sz w:val="18"/>
              </w:rPr>
              <w:t>19</w:t>
            </w:r>
          </w:p>
        </w:tc>
        <w:tc>
          <w:tcPr>
            <w:tcW w:w="535" w:type="dxa"/>
            <w:tcBorders>
              <w:top w:val="nil" w:sz="6" w:space="0" w:color="auto"/>
              <w:left w:val="nil" w:sz="6" w:space="0" w:color="auto"/>
              <w:bottom w:val="nil" w:sz="6" w:space="0" w:color="auto"/>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20"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6" w:right="0"/>
              <w:jc w:val="center"/>
              <w:rPr>
                <w:rFonts w:ascii="Arial" w:hAnsi="Arial" w:cs="Arial" w:eastAsia="Arial" w:hint="default"/>
                <w:sz w:val="18"/>
                <w:szCs w:val="18"/>
              </w:rPr>
            </w:pPr>
            <w:r>
              <w:rPr>
                <w:rFonts w:ascii="Arial"/>
                <w:w w:val="99"/>
                <w:sz w:val="18"/>
              </w:rPr>
              <w:t>-</w:t>
            </w:r>
            <w:r>
              <w:rPr>
                <w:rFonts w:ascii="Arial"/>
                <w:sz w:val="18"/>
              </w:rPr>
            </w:r>
          </w:p>
        </w:tc>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1"/>
              <w:jc w:val="right"/>
              <w:rPr>
                <w:rFonts w:ascii="Arial" w:hAnsi="Arial" w:cs="Arial" w:eastAsia="Arial" w:hint="default"/>
                <w:sz w:val="18"/>
                <w:szCs w:val="18"/>
              </w:rPr>
            </w:pPr>
            <w:r>
              <w:rPr>
                <w:rFonts w:ascii="Arial"/>
                <w:w w:val="99"/>
                <w:sz w:val="18"/>
              </w:rPr>
              <w:t>-</w:t>
            </w:r>
            <w:r>
              <w:rPr>
                <w:rFonts w:ascii="Arial"/>
                <w:sz w:val="18"/>
              </w:rPr>
            </w:r>
          </w:p>
        </w:tc>
        <w:tc>
          <w:tcPr>
            <w:tcW w:w="649"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9"/>
              <w:jc w:val="center"/>
              <w:rPr>
                <w:rFonts w:ascii="Arial" w:hAnsi="Arial" w:cs="Arial" w:eastAsia="Arial" w:hint="default"/>
                <w:sz w:val="18"/>
                <w:szCs w:val="18"/>
              </w:rPr>
            </w:pPr>
            <w:r>
              <w:rPr>
                <w:rFonts w:ascii="Arial"/>
                <w:w w:val="99"/>
                <w:sz w:val="18"/>
              </w:rPr>
              <w:t>-</w:t>
            </w:r>
            <w:r>
              <w:rPr>
                <w:rFonts w:ascii="Arial"/>
                <w:sz w:val="18"/>
              </w:rPr>
            </w:r>
          </w:p>
        </w:tc>
        <w:tc>
          <w:tcPr>
            <w:tcW w:w="151"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3"/>
              <w:jc w:val="right"/>
              <w:rPr>
                <w:rFonts w:ascii="Arial" w:hAnsi="Arial" w:cs="Arial" w:eastAsia="Arial" w:hint="default"/>
                <w:sz w:val="18"/>
                <w:szCs w:val="18"/>
              </w:rPr>
            </w:pPr>
            <w:r>
              <w:rPr>
                <w:rFonts w:ascii="Arial"/>
                <w:w w:val="99"/>
                <w:sz w:val="18"/>
              </w:rPr>
              <w:t>-</w:t>
            </w:r>
            <w:r>
              <w:rPr>
                <w:rFonts w:ascii="Arial"/>
                <w:sz w:val="18"/>
              </w:rPr>
            </w:r>
          </w:p>
        </w:tc>
      </w:tr>
      <w:tr>
        <w:trPr>
          <w:trHeight w:val="467" w:hRule="exact"/>
        </w:trPr>
        <w:tc>
          <w:tcPr>
            <w:tcW w:w="767"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01" w:lineRule="exact"/>
              <w:ind w:left="167" w:right="0"/>
              <w:jc w:val="left"/>
              <w:rPr>
                <w:rFonts w:ascii="宋体" w:hAnsi="宋体" w:cs="宋体" w:eastAsia="宋体" w:hint="default"/>
                <w:sz w:val="18"/>
                <w:szCs w:val="18"/>
              </w:rPr>
            </w:pPr>
            <w:r>
              <w:rPr>
                <w:rFonts w:ascii="宋体" w:hAnsi="宋体" w:cs="宋体" w:eastAsia="宋体" w:hint="default"/>
                <w:spacing w:val="10"/>
                <w:sz w:val="18"/>
                <w:szCs w:val="18"/>
              </w:rPr>
              <w:t>江苏银河物业管理有限公司</w:t>
            </w:r>
            <w:r>
              <w:rPr>
                <w:rFonts w:ascii="Arial" w:hAnsi="Arial" w:cs="Arial" w:eastAsia="Arial" w:hint="default"/>
                <w:spacing w:val="10"/>
                <w:sz w:val="18"/>
                <w:szCs w:val="18"/>
              </w:rPr>
              <w:t>(“</w:t>
            </w:r>
            <w:r>
              <w:rPr>
                <w:rFonts w:ascii="宋体" w:hAnsi="宋体" w:cs="宋体" w:eastAsia="宋体" w:hint="default"/>
                <w:spacing w:val="10"/>
                <w:sz w:val="18"/>
                <w:szCs w:val="18"/>
              </w:rPr>
              <w:t>江</w:t>
            </w:r>
          </w:p>
          <w:p>
            <w:pPr>
              <w:pStyle w:val="TableParagraph"/>
              <w:spacing w:line="241" w:lineRule="exact"/>
              <w:ind w:left="337" w:right="0"/>
              <w:jc w:val="left"/>
              <w:rPr>
                <w:rFonts w:ascii="Arial" w:hAnsi="Arial" w:cs="Arial" w:eastAsia="Arial" w:hint="default"/>
                <w:sz w:val="18"/>
                <w:szCs w:val="18"/>
              </w:rPr>
            </w:pPr>
            <w:r>
              <w:rPr>
                <w:rFonts w:ascii="宋体" w:hAnsi="宋体" w:cs="宋体" w:eastAsia="宋体" w:hint="default"/>
                <w:sz w:val="18"/>
                <w:szCs w:val="18"/>
              </w:rPr>
              <w:t>苏银河物业</w:t>
            </w:r>
            <w:r>
              <w:rPr>
                <w:rFonts w:ascii="Arial" w:hAnsi="Arial" w:cs="Arial" w:eastAsia="Arial" w:hint="default"/>
                <w:sz w:val="18"/>
                <w:szCs w:val="18"/>
              </w:rPr>
              <w:t>”)</w:t>
            </w:r>
          </w:p>
        </w:tc>
        <w:tc>
          <w:tcPr>
            <w:tcW w:w="1833" w:type="dxa"/>
            <w:gridSpan w:val="2"/>
            <w:tcBorders>
              <w:top w:val="nil" w:sz="6" w:space="0" w:color="auto"/>
              <w:left w:val="nil" w:sz="6" w:space="0" w:color="auto"/>
              <w:bottom w:val="nil" w:sz="6" w:space="0" w:color="auto"/>
              <w:right w:val="nil" w:sz="6" w:space="0" w:color="auto"/>
            </w:tcBorders>
          </w:tcPr>
          <w:p>
            <w:pPr>
              <w:pStyle w:val="TableParagraph"/>
              <w:spacing w:line="201" w:lineRule="exact"/>
              <w:ind w:left="25" w:right="0"/>
              <w:jc w:val="lef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w:t>
            </w:r>
          </w:p>
          <w:p>
            <w:pPr>
              <w:pStyle w:val="TableParagraph"/>
              <w:spacing w:line="228" w:lineRule="exact"/>
              <w:ind w:left="805" w:right="0"/>
              <w:jc w:val="left"/>
              <w:rPr>
                <w:rFonts w:ascii="宋体" w:hAnsi="宋体" w:cs="宋体" w:eastAsia="宋体" w:hint="default"/>
                <w:sz w:val="18"/>
                <w:szCs w:val="18"/>
              </w:rPr>
            </w:pPr>
            <w:r>
              <w:rPr>
                <w:rFonts w:ascii="宋体" w:hAnsi="宋体" w:cs="宋体" w:eastAsia="宋体" w:hint="default"/>
                <w:sz w:val="18"/>
                <w:szCs w:val="18"/>
              </w:rPr>
              <w:t>业之子公司</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04" w:right="0"/>
              <w:jc w:val="left"/>
              <w:rPr>
                <w:rFonts w:ascii="Arial" w:hAnsi="Arial" w:cs="Arial" w:eastAsia="Arial" w:hint="default"/>
                <w:sz w:val="18"/>
                <w:szCs w:val="18"/>
              </w:rPr>
            </w:pPr>
            <w:r>
              <w:rPr>
                <w:rFonts w:ascii="Arial"/>
                <w:sz w:val="18"/>
              </w:rPr>
              <w:t>12</w:t>
            </w:r>
          </w:p>
        </w:tc>
        <w:tc>
          <w:tcPr>
            <w:tcW w:w="535" w:type="dxa"/>
            <w:tcBorders>
              <w:top w:val="nil" w:sz="6" w:space="0" w:color="auto"/>
              <w:left w:val="nil" w:sz="6" w:space="0" w:color="auto"/>
              <w:bottom w:val="nil" w:sz="6" w:space="0" w:color="auto"/>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20"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6" w:right="0"/>
              <w:jc w:val="center"/>
              <w:rPr>
                <w:rFonts w:ascii="Arial" w:hAnsi="Arial" w:cs="Arial" w:eastAsia="Arial" w:hint="default"/>
                <w:sz w:val="18"/>
                <w:szCs w:val="18"/>
              </w:rPr>
            </w:pPr>
            <w:r>
              <w:rPr>
                <w:rFonts w:ascii="Arial"/>
                <w:w w:val="99"/>
                <w:sz w:val="18"/>
              </w:rPr>
              <w:t>-</w:t>
            </w:r>
            <w:r>
              <w:rPr>
                <w:rFonts w:ascii="Arial"/>
                <w:sz w:val="18"/>
              </w:rPr>
            </w:r>
          </w:p>
        </w:tc>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1"/>
              <w:jc w:val="right"/>
              <w:rPr>
                <w:rFonts w:ascii="Arial" w:hAnsi="Arial" w:cs="Arial" w:eastAsia="Arial" w:hint="default"/>
                <w:sz w:val="18"/>
                <w:szCs w:val="18"/>
              </w:rPr>
            </w:pPr>
            <w:r>
              <w:rPr>
                <w:rFonts w:ascii="Arial"/>
                <w:w w:val="99"/>
                <w:sz w:val="18"/>
              </w:rPr>
              <w:t>-</w:t>
            </w:r>
            <w:r>
              <w:rPr>
                <w:rFonts w:ascii="Arial"/>
                <w:sz w:val="18"/>
              </w:rPr>
            </w:r>
          </w:p>
        </w:tc>
        <w:tc>
          <w:tcPr>
            <w:tcW w:w="649"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49"/>
              <w:jc w:val="center"/>
              <w:rPr>
                <w:rFonts w:ascii="Arial" w:hAnsi="Arial" w:cs="Arial" w:eastAsia="Arial" w:hint="default"/>
                <w:sz w:val="18"/>
                <w:szCs w:val="18"/>
              </w:rPr>
            </w:pPr>
            <w:r>
              <w:rPr>
                <w:rFonts w:ascii="Arial"/>
                <w:w w:val="99"/>
                <w:sz w:val="18"/>
              </w:rPr>
              <w:t>-</w:t>
            </w:r>
            <w:r>
              <w:rPr>
                <w:rFonts w:ascii="Arial"/>
                <w:sz w:val="18"/>
              </w:rPr>
            </w:r>
          </w:p>
        </w:tc>
        <w:tc>
          <w:tcPr>
            <w:tcW w:w="151"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3"/>
              <w:jc w:val="right"/>
              <w:rPr>
                <w:rFonts w:ascii="Arial" w:hAnsi="Arial" w:cs="Arial" w:eastAsia="Arial" w:hint="default"/>
                <w:sz w:val="18"/>
                <w:szCs w:val="18"/>
              </w:rPr>
            </w:pPr>
            <w:r>
              <w:rPr>
                <w:rFonts w:ascii="Arial"/>
                <w:w w:val="99"/>
                <w:sz w:val="18"/>
              </w:rPr>
              <w:t>-</w:t>
            </w:r>
            <w:r>
              <w:rPr>
                <w:rFonts w:ascii="Arial"/>
                <w:sz w:val="18"/>
              </w:rPr>
            </w:r>
          </w:p>
        </w:tc>
      </w:tr>
      <w:tr>
        <w:trPr>
          <w:trHeight w:val="467" w:hRule="exact"/>
        </w:trPr>
        <w:tc>
          <w:tcPr>
            <w:tcW w:w="767" w:type="dxa"/>
            <w:tcBorders>
              <w:top w:val="nil" w:sz="6" w:space="0" w:color="auto"/>
              <w:left w:val="nil" w:sz="6" w:space="0" w:color="auto"/>
              <w:bottom w:val="nil" w:sz="6" w:space="0" w:color="auto"/>
              <w:right w:val="nil" w:sz="6" w:space="0" w:color="auto"/>
            </w:tcBorders>
          </w:tcPr>
          <w:p>
            <w:pPr/>
          </w:p>
        </w:tc>
        <w:tc>
          <w:tcPr>
            <w:tcW w:w="2924" w:type="dxa"/>
            <w:vMerge w:val="restart"/>
            <w:tcBorders>
              <w:top w:val="nil" w:sz="6" w:space="0" w:color="auto"/>
              <w:left w:val="nil" w:sz="6" w:space="0" w:color="auto"/>
              <w:right w:val="nil" w:sz="6" w:space="0" w:color="auto"/>
            </w:tcBorders>
          </w:tcPr>
          <w:p>
            <w:pPr>
              <w:pStyle w:val="TableParagraph"/>
              <w:spacing w:line="193" w:lineRule="exact"/>
              <w:ind w:left="337" w:right="0" w:hanging="171"/>
              <w:jc w:val="left"/>
              <w:rPr>
                <w:rFonts w:ascii="宋体" w:hAnsi="宋体" w:cs="宋体" w:eastAsia="宋体" w:hint="default"/>
                <w:sz w:val="18"/>
                <w:szCs w:val="18"/>
              </w:rPr>
            </w:pPr>
            <w:r>
              <w:rPr>
                <w:rFonts w:ascii="宋体" w:hAnsi="宋体" w:cs="宋体" w:eastAsia="宋体" w:hint="default"/>
                <w:spacing w:val="6"/>
                <w:sz w:val="18"/>
                <w:szCs w:val="18"/>
              </w:rPr>
              <w:t>南京银河房地产开发有限公司索</w:t>
            </w:r>
          </w:p>
          <w:p>
            <w:pPr>
              <w:pStyle w:val="TableParagraph"/>
              <w:spacing w:line="236" w:lineRule="exact" w:before="20"/>
              <w:ind w:left="337" w:right="118"/>
              <w:jc w:val="left"/>
              <w:rPr>
                <w:rFonts w:ascii="Arial" w:hAnsi="Arial" w:cs="Arial" w:eastAsia="Arial" w:hint="default"/>
                <w:sz w:val="18"/>
                <w:szCs w:val="18"/>
              </w:rPr>
            </w:pPr>
            <w:r>
              <w:rPr>
                <w:rFonts w:ascii="宋体" w:hAnsi="宋体" w:cs="宋体" w:eastAsia="宋体" w:hint="default"/>
                <w:spacing w:val="12"/>
                <w:sz w:val="18"/>
                <w:szCs w:val="18"/>
              </w:rPr>
              <w:t>菲特银河大酒店</w:t>
            </w:r>
            <w:r>
              <w:rPr>
                <w:rFonts w:ascii="Arial" w:hAnsi="Arial" w:cs="Arial" w:eastAsia="Arial" w:hint="default"/>
                <w:spacing w:val="12"/>
                <w:sz w:val="18"/>
                <w:szCs w:val="18"/>
              </w:rPr>
              <w:t>(“</w:t>
            </w:r>
            <w:r>
              <w:rPr>
                <w:rFonts w:ascii="宋体" w:hAnsi="宋体" w:cs="宋体" w:eastAsia="宋体" w:hint="default"/>
                <w:spacing w:val="12"/>
                <w:sz w:val="18"/>
                <w:szCs w:val="18"/>
              </w:rPr>
              <w:t>索菲特银河</w:t>
            </w:r>
            <w:r>
              <w:rPr>
                <w:rFonts w:ascii="宋体" w:hAnsi="宋体" w:cs="宋体" w:eastAsia="宋体" w:hint="default"/>
                <w:spacing w:val="-79"/>
                <w:sz w:val="18"/>
                <w:szCs w:val="18"/>
              </w:rPr>
              <w:t> </w:t>
            </w:r>
            <w:r>
              <w:rPr>
                <w:rFonts w:ascii="宋体" w:hAnsi="宋体" w:cs="宋体" w:eastAsia="宋体" w:hint="default"/>
                <w:sz w:val="18"/>
                <w:szCs w:val="18"/>
              </w:rPr>
              <w:t>大酒店</w:t>
            </w:r>
            <w:r>
              <w:rPr>
                <w:rFonts w:ascii="Arial" w:hAnsi="Arial" w:cs="Arial" w:eastAsia="Arial" w:hint="default"/>
                <w:sz w:val="18"/>
                <w:szCs w:val="18"/>
              </w:rPr>
              <w:t>”)</w:t>
            </w:r>
          </w:p>
        </w:tc>
        <w:tc>
          <w:tcPr>
            <w:tcW w:w="1833" w:type="dxa"/>
            <w:gridSpan w:val="2"/>
            <w:tcBorders>
              <w:top w:val="nil" w:sz="6" w:space="0" w:color="auto"/>
              <w:left w:val="nil" w:sz="6" w:space="0" w:color="auto"/>
              <w:bottom w:val="nil" w:sz="6" w:space="0" w:color="auto"/>
              <w:right w:val="nil" w:sz="6" w:space="0" w:color="auto"/>
            </w:tcBorders>
          </w:tcPr>
          <w:p>
            <w:pPr>
              <w:pStyle w:val="TableParagraph"/>
              <w:spacing w:line="200" w:lineRule="exact"/>
              <w:ind w:left="25" w:right="0"/>
              <w:jc w:val="lef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w:t>
            </w:r>
          </w:p>
          <w:p>
            <w:pPr>
              <w:pStyle w:val="TableParagraph"/>
              <w:spacing w:line="228" w:lineRule="exact"/>
              <w:ind w:left="805" w:right="0"/>
              <w:jc w:val="left"/>
              <w:rPr>
                <w:rFonts w:ascii="宋体" w:hAnsi="宋体" w:cs="宋体" w:eastAsia="宋体" w:hint="default"/>
                <w:sz w:val="18"/>
                <w:szCs w:val="18"/>
              </w:rPr>
            </w:pPr>
            <w:r>
              <w:rPr>
                <w:rFonts w:ascii="宋体" w:hAnsi="宋体" w:cs="宋体" w:eastAsia="宋体" w:hint="default"/>
                <w:sz w:val="18"/>
                <w:szCs w:val="18"/>
              </w:rPr>
              <w:t>业之子公司</w:t>
            </w:r>
          </w:p>
        </w:tc>
        <w:tc>
          <w:tcPr>
            <w:tcW w:w="564" w:type="dxa"/>
            <w:tcBorders>
              <w:top w:val="nil" w:sz="6" w:space="0" w:color="auto"/>
              <w:left w:val="nil" w:sz="6" w:space="0" w:color="auto"/>
              <w:bottom w:val="nil" w:sz="6" w:space="0" w:color="auto"/>
              <w:right w:val="nil" w:sz="6" w:space="0" w:color="auto"/>
            </w:tcBorders>
          </w:tcPr>
          <w:p>
            <w:pPr/>
          </w:p>
        </w:tc>
        <w:tc>
          <w:tcPr>
            <w:tcW w:w="535" w:type="dxa"/>
            <w:tcBorders>
              <w:top w:val="nil" w:sz="6" w:space="0" w:color="auto"/>
              <w:left w:val="nil" w:sz="6" w:space="0" w:color="auto"/>
              <w:bottom w:val="nil" w:sz="6" w:space="0" w:color="auto"/>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546" w:type="dxa"/>
            <w:tcBorders>
              <w:top w:val="nil" w:sz="6" w:space="0" w:color="auto"/>
              <w:left w:val="nil" w:sz="6" w:space="0" w:color="auto"/>
              <w:bottom w:val="nil" w:sz="6" w:space="0" w:color="auto"/>
              <w:right w:val="nil" w:sz="6" w:space="0" w:color="auto"/>
            </w:tcBorders>
          </w:tcPr>
          <w:p>
            <w:pPr/>
          </w:p>
        </w:tc>
        <w:tc>
          <w:tcPr>
            <w:tcW w:w="649"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r>
      <w:tr>
        <w:trPr>
          <w:trHeight w:val="234" w:hRule="exact"/>
        </w:trPr>
        <w:tc>
          <w:tcPr>
            <w:tcW w:w="767" w:type="dxa"/>
            <w:tcBorders>
              <w:top w:val="nil" w:sz="6" w:space="0" w:color="auto"/>
              <w:left w:val="nil" w:sz="6" w:space="0" w:color="auto"/>
              <w:bottom w:val="nil" w:sz="6" w:space="0" w:color="auto"/>
              <w:right w:val="nil" w:sz="6" w:space="0" w:color="auto"/>
            </w:tcBorders>
          </w:tcPr>
          <w:p>
            <w:pPr/>
          </w:p>
        </w:tc>
        <w:tc>
          <w:tcPr>
            <w:tcW w:w="2924" w:type="dxa"/>
            <w:vMerge/>
            <w:tcBorders>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8"/>
              <w:jc w:val="right"/>
              <w:rPr>
                <w:rFonts w:ascii="Arial" w:hAnsi="Arial" w:cs="Arial" w:eastAsia="Arial" w:hint="default"/>
                <w:sz w:val="18"/>
                <w:szCs w:val="18"/>
              </w:rPr>
            </w:pPr>
            <w:r>
              <w:rPr>
                <w:rFonts w:ascii="Arial"/>
                <w:w w:val="99"/>
                <w:sz w:val="18"/>
              </w:rPr>
              <w:t>2</w:t>
            </w:r>
            <w:r>
              <w:rPr>
                <w:rFonts w:ascii="Arial"/>
                <w:sz w:val="18"/>
              </w:rPr>
            </w:r>
          </w:p>
        </w:tc>
        <w:tc>
          <w:tcPr>
            <w:tcW w:w="535" w:type="dxa"/>
            <w:tcBorders>
              <w:top w:val="nil" w:sz="6" w:space="0" w:color="auto"/>
              <w:left w:val="nil" w:sz="6" w:space="0" w:color="auto"/>
              <w:bottom w:val="nil" w:sz="6" w:space="0" w:color="auto"/>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5"/>
              <w:jc w:val="right"/>
              <w:rPr>
                <w:rFonts w:ascii="Arial" w:hAnsi="Arial" w:cs="Arial" w:eastAsia="Arial" w:hint="default"/>
                <w:sz w:val="18"/>
                <w:szCs w:val="18"/>
              </w:rPr>
            </w:pPr>
            <w:r>
              <w:rPr>
                <w:rFonts w:ascii="Arial"/>
                <w:w w:val="99"/>
                <w:sz w:val="18"/>
              </w:rPr>
              <w:t>-</w:t>
            </w:r>
            <w:r>
              <w:rPr>
                <w:rFonts w:ascii="Arial"/>
                <w:sz w:val="18"/>
              </w:rPr>
            </w:r>
          </w:p>
        </w:tc>
        <w:tc>
          <w:tcPr>
            <w:tcW w:w="120"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6" w:right="0"/>
              <w:jc w:val="center"/>
              <w:rPr>
                <w:rFonts w:ascii="Arial" w:hAnsi="Arial" w:cs="Arial" w:eastAsia="Arial" w:hint="default"/>
                <w:sz w:val="18"/>
                <w:szCs w:val="18"/>
              </w:rPr>
            </w:pPr>
            <w:r>
              <w:rPr>
                <w:rFonts w:ascii="Arial"/>
                <w:w w:val="99"/>
                <w:sz w:val="18"/>
              </w:rPr>
              <w:t>-</w:t>
            </w:r>
            <w:r>
              <w:rPr>
                <w:rFonts w:ascii="Arial"/>
                <w:sz w:val="18"/>
              </w:rPr>
            </w:r>
          </w:p>
        </w:tc>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1"/>
              <w:jc w:val="right"/>
              <w:rPr>
                <w:rFonts w:ascii="Arial" w:hAnsi="Arial" w:cs="Arial" w:eastAsia="Arial" w:hint="default"/>
                <w:sz w:val="18"/>
                <w:szCs w:val="18"/>
              </w:rPr>
            </w:pPr>
            <w:r>
              <w:rPr>
                <w:rFonts w:ascii="Arial"/>
                <w:w w:val="99"/>
                <w:sz w:val="18"/>
              </w:rPr>
              <w:t>-</w:t>
            </w:r>
            <w:r>
              <w:rPr>
                <w:rFonts w:ascii="Arial"/>
                <w:sz w:val="18"/>
              </w:rPr>
            </w:r>
          </w:p>
        </w:tc>
        <w:tc>
          <w:tcPr>
            <w:tcW w:w="649"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9"/>
              <w:jc w:val="center"/>
              <w:rPr>
                <w:rFonts w:ascii="Arial" w:hAnsi="Arial" w:cs="Arial" w:eastAsia="Arial" w:hint="default"/>
                <w:sz w:val="18"/>
                <w:szCs w:val="18"/>
              </w:rPr>
            </w:pPr>
            <w:r>
              <w:rPr>
                <w:rFonts w:ascii="Arial"/>
                <w:w w:val="99"/>
                <w:sz w:val="18"/>
              </w:rPr>
              <w:t>-</w:t>
            </w:r>
            <w:r>
              <w:rPr>
                <w:rFonts w:ascii="Arial"/>
                <w:sz w:val="18"/>
              </w:rPr>
            </w:r>
          </w:p>
        </w:tc>
        <w:tc>
          <w:tcPr>
            <w:tcW w:w="151"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3"/>
              <w:jc w:val="right"/>
              <w:rPr>
                <w:rFonts w:ascii="Arial" w:hAnsi="Arial" w:cs="Arial" w:eastAsia="Arial" w:hint="default"/>
                <w:sz w:val="18"/>
                <w:szCs w:val="18"/>
              </w:rPr>
            </w:pPr>
            <w:r>
              <w:rPr>
                <w:rFonts w:ascii="Arial"/>
                <w:w w:val="99"/>
                <w:sz w:val="18"/>
              </w:rPr>
              <w:t>-</w:t>
            </w:r>
            <w:r>
              <w:rPr>
                <w:rFonts w:ascii="Arial"/>
                <w:sz w:val="18"/>
              </w:rPr>
            </w:r>
          </w:p>
        </w:tc>
      </w:tr>
      <w:tr>
        <w:trPr>
          <w:trHeight w:val="470" w:hRule="exact"/>
        </w:trPr>
        <w:tc>
          <w:tcPr>
            <w:tcW w:w="767"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193" w:lineRule="exact"/>
              <w:ind w:left="167" w:right="0"/>
              <w:jc w:val="left"/>
              <w:rPr>
                <w:rFonts w:ascii="宋体" w:hAnsi="宋体" w:cs="宋体" w:eastAsia="宋体" w:hint="default"/>
                <w:sz w:val="18"/>
                <w:szCs w:val="18"/>
              </w:rPr>
            </w:pPr>
            <w:r>
              <w:rPr>
                <w:rFonts w:ascii="宋体" w:hAnsi="宋体" w:cs="宋体" w:eastAsia="宋体" w:hint="default"/>
                <w:sz w:val="18"/>
                <w:szCs w:val="18"/>
              </w:rPr>
              <w:t>江苏苏宁银河国际购物广场有限公</w:t>
            </w:r>
          </w:p>
          <w:p>
            <w:pPr>
              <w:pStyle w:val="TableParagraph"/>
              <w:spacing w:line="247" w:lineRule="exact"/>
              <w:ind w:left="364" w:right="0"/>
              <w:jc w:val="left"/>
              <w:rPr>
                <w:rFonts w:ascii="Arial" w:hAnsi="Arial" w:cs="Arial" w:eastAsia="Arial" w:hint="default"/>
                <w:sz w:val="18"/>
                <w:szCs w:val="18"/>
              </w:rPr>
            </w:pPr>
            <w:r>
              <w:rPr>
                <w:rFonts w:ascii="宋体" w:hAnsi="宋体" w:cs="宋体" w:eastAsia="宋体" w:hint="default"/>
                <w:sz w:val="18"/>
                <w:szCs w:val="18"/>
              </w:rPr>
              <w:t>司</w:t>
            </w:r>
            <w:r>
              <w:rPr>
                <w:rFonts w:ascii="Arial" w:hAnsi="Arial" w:cs="Arial" w:eastAsia="Arial" w:hint="default"/>
                <w:sz w:val="18"/>
                <w:szCs w:val="18"/>
              </w:rPr>
              <w:t>(“</w:t>
            </w:r>
            <w:r>
              <w:rPr>
                <w:rFonts w:ascii="宋体" w:hAnsi="宋体" w:cs="宋体" w:eastAsia="宋体" w:hint="default"/>
                <w:sz w:val="18"/>
                <w:szCs w:val="18"/>
              </w:rPr>
              <w:t>银河国际购物广场</w:t>
            </w:r>
            <w:r>
              <w:rPr>
                <w:rFonts w:ascii="Arial" w:hAnsi="Arial" w:cs="Arial" w:eastAsia="Arial" w:hint="default"/>
                <w:sz w:val="18"/>
                <w:szCs w:val="18"/>
              </w:rPr>
              <w:t>”)</w:t>
            </w:r>
          </w:p>
        </w:tc>
        <w:tc>
          <w:tcPr>
            <w:tcW w:w="1833" w:type="dxa"/>
            <w:gridSpan w:val="2"/>
            <w:vMerge w:val="restart"/>
            <w:tcBorders>
              <w:top w:val="nil" w:sz="6" w:space="0" w:color="auto"/>
              <w:left w:val="nil" w:sz="6" w:space="0" w:color="auto"/>
              <w:right w:val="nil" w:sz="6" w:space="0" w:color="auto"/>
            </w:tcBorders>
          </w:tcPr>
          <w:p>
            <w:pPr>
              <w:pStyle w:val="TableParagraph"/>
              <w:spacing w:line="200" w:lineRule="exact"/>
              <w:ind w:left="80" w:right="0" w:firstLine="120"/>
              <w:jc w:val="lef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w:t>
            </w:r>
          </w:p>
          <w:p>
            <w:pPr>
              <w:pStyle w:val="TableParagraph"/>
              <w:spacing w:line="228" w:lineRule="exact"/>
              <w:ind w:left="80" w:right="0"/>
              <w:jc w:val="left"/>
              <w:rPr>
                <w:rFonts w:ascii="宋体" w:hAnsi="宋体" w:cs="宋体" w:eastAsia="宋体" w:hint="default"/>
                <w:sz w:val="18"/>
                <w:szCs w:val="18"/>
              </w:rPr>
            </w:pPr>
            <w:r>
              <w:rPr>
                <w:rFonts w:ascii="宋体" w:hAnsi="宋体" w:cs="宋体" w:eastAsia="宋体" w:hint="default"/>
                <w:sz w:val="18"/>
                <w:szCs w:val="18"/>
              </w:rPr>
              <w:t>电器集团有限公司之</w:t>
            </w:r>
          </w:p>
          <w:p>
            <w:pPr>
              <w:pStyle w:val="TableParagraph"/>
              <w:tabs>
                <w:tab w:pos="2276" w:val="left" w:leader="none"/>
              </w:tabs>
              <w:spacing w:line="240" w:lineRule="auto" w:before="1"/>
              <w:ind w:left="1161" w:right="-444"/>
              <w:jc w:val="left"/>
              <w:rPr>
                <w:rFonts w:ascii="Arial" w:hAnsi="Arial" w:cs="Arial" w:eastAsia="Arial" w:hint="default"/>
                <w:sz w:val="18"/>
                <w:szCs w:val="18"/>
              </w:rPr>
            </w:pPr>
            <w:r>
              <w:rPr>
                <w:rFonts w:ascii="宋体" w:hAnsi="宋体" w:cs="宋体" w:eastAsia="宋体" w:hint="default"/>
                <w:position w:val="1"/>
                <w:sz w:val="18"/>
                <w:szCs w:val="18"/>
              </w:rPr>
              <w:t>子公司</w:t>
            </w:r>
            <w:r>
              <w:rPr>
                <w:rFonts w:ascii="宋体" w:hAnsi="宋体" w:cs="宋体" w:eastAsia="宋体" w:hint="default"/>
                <w:spacing w:val="-28"/>
                <w:position w:val="1"/>
                <w:sz w:val="18"/>
                <w:szCs w:val="18"/>
              </w:rPr>
              <w:t> </w:t>
            </w:r>
            <w:r>
              <w:rPr>
                <w:rFonts w:ascii="Arial" w:hAnsi="Arial" w:cs="Arial" w:eastAsia="Arial" w:hint="default"/>
                <w:spacing w:val="-28"/>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p>
        </w:tc>
        <w:tc>
          <w:tcPr>
            <w:tcW w:w="564" w:type="dxa"/>
            <w:tcBorders>
              <w:top w:val="nil" w:sz="6" w:space="0" w:color="auto"/>
              <w:left w:val="nil" w:sz="6" w:space="0" w:color="auto"/>
              <w:bottom w:val="nil" w:sz="6" w:space="0" w:color="auto"/>
              <w:right w:val="nil" w:sz="6" w:space="0" w:color="auto"/>
            </w:tcBorders>
          </w:tcPr>
          <w:p>
            <w:pPr/>
          </w:p>
        </w:tc>
        <w:tc>
          <w:tcPr>
            <w:tcW w:w="535" w:type="dxa"/>
            <w:tcBorders>
              <w:top w:val="nil" w:sz="6" w:space="0" w:color="auto"/>
              <w:left w:val="nil" w:sz="6" w:space="0" w:color="auto"/>
              <w:bottom w:val="nil" w:sz="6" w:space="0" w:color="auto"/>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546" w:type="dxa"/>
            <w:tcBorders>
              <w:top w:val="nil" w:sz="6" w:space="0" w:color="auto"/>
              <w:left w:val="nil" w:sz="6" w:space="0" w:color="auto"/>
              <w:bottom w:val="nil" w:sz="6" w:space="0" w:color="auto"/>
              <w:right w:val="nil" w:sz="6" w:space="0" w:color="auto"/>
            </w:tcBorders>
          </w:tcPr>
          <w:p>
            <w:pPr/>
          </w:p>
        </w:tc>
        <w:tc>
          <w:tcPr>
            <w:tcW w:w="924" w:type="dxa"/>
            <w:gridSpan w:val="3"/>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r>
      <w:tr>
        <w:trPr>
          <w:trHeight w:val="233" w:hRule="exact"/>
        </w:trPr>
        <w:tc>
          <w:tcPr>
            <w:tcW w:w="767"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
        </w:tc>
        <w:tc>
          <w:tcPr>
            <w:tcW w:w="1833" w:type="dxa"/>
            <w:gridSpan w:val="2"/>
            <w:vMerge/>
            <w:tcBorders>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Style w:val="TableParagraph"/>
              <w:tabs>
                <w:tab w:pos="854" w:val="left" w:leader="none"/>
              </w:tabs>
              <w:spacing w:line="240" w:lineRule="auto" w:before="10"/>
              <w:ind w:right="-735"/>
              <w:jc w:val="right"/>
              <w:rPr>
                <w:rFonts w:ascii="Arial" w:hAnsi="Arial" w:cs="Arial" w:eastAsia="Arial" w:hint="default"/>
                <w:sz w:val="18"/>
                <w:szCs w:val="18"/>
              </w:rPr>
            </w:pPr>
            <w:r>
              <w:rPr>
                <w:rFonts w:ascii="Arial"/>
                <w:w w:val="99"/>
                <w:sz w:val="18"/>
              </w:rPr>
            </w:r>
            <w:r>
              <w:rPr>
                <w:rFonts w:ascii="Arial"/>
                <w:sz w:val="18"/>
                <w:u w:val="single" w:color="000000"/>
              </w:rPr>
              <w:t>-</w:t>
              <w:tab/>
            </w:r>
            <w:r>
              <w:rPr>
                <w:rFonts w:ascii="Arial"/>
                <w:sz w:val="18"/>
              </w:rPr>
            </w:r>
          </w:p>
        </w:tc>
        <w:tc>
          <w:tcPr>
            <w:tcW w:w="535" w:type="dxa"/>
            <w:tcBorders>
              <w:top w:val="nil" w:sz="6" w:space="0" w:color="auto"/>
              <w:left w:val="nil" w:sz="6" w:space="0" w:color="auto"/>
              <w:bottom w:val="nil" w:sz="6" w:space="0" w:color="auto"/>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Style w:val="TableParagraph"/>
              <w:tabs>
                <w:tab w:pos="117" w:val="left" w:leader="none"/>
              </w:tabs>
              <w:spacing w:line="240" w:lineRule="auto" w:before="10"/>
              <w:ind w:right="0"/>
              <w:jc w:val="right"/>
              <w:rPr>
                <w:rFonts w:ascii="Arial" w:hAnsi="Arial" w:cs="Arial" w:eastAsia="Arial" w:hint="default"/>
                <w:sz w:val="18"/>
                <w:szCs w:val="18"/>
              </w:rPr>
            </w:pPr>
            <w:r>
              <w:rPr>
                <w:rFonts w:ascii="Arial"/>
                <w:w w:val="99"/>
                <w:sz w:val="18"/>
              </w:rPr>
            </w:r>
            <w:r>
              <w:rPr>
                <w:rFonts w:ascii="Arial"/>
                <w:sz w:val="18"/>
                <w:u w:val="single" w:color="000000"/>
              </w:rPr>
              <w:t>-</w:t>
              <w:tab/>
            </w:r>
            <w:r>
              <w:rPr>
                <w:rFonts w:ascii="Arial"/>
                <w:sz w:val="18"/>
              </w:rPr>
            </w:r>
          </w:p>
        </w:tc>
        <w:tc>
          <w:tcPr>
            <w:tcW w:w="120"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tabs>
                <w:tab w:pos="485" w:val="left" w:leader="none"/>
                <w:tab w:pos="936" w:val="left" w:leader="none"/>
              </w:tabs>
              <w:spacing w:line="240" w:lineRule="auto" w:before="10"/>
              <w:ind w:left="14" w:right="-153"/>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pacing w:val="5"/>
                <w:sz w:val="18"/>
                <w:u w:val="single" w:color="000000"/>
              </w:rPr>
              <w:t> </w:t>
            </w:r>
            <w:r>
              <w:rPr>
                <w:rFonts w:ascii="Arial"/>
                <w:spacing w:val="5"/>
                <w:sz w:val="18"/>
              </w:rPr>
            </w:r>
            <w:r>
              <w:rPr>
                <w:rFonts w:ascii="Arial"/>
                <w:sz w:val="18"/>
              </w:rPr>
              <w:t>  </w:t>
            </w:r>
            <w:r>
              <w:rPr>
                <w:rFonts w:ascii="Arial"/>
                <w:spacing w:val="-16"/>
                <w:sz w:val="18"/>
              </w:rPr>
              <w:t> </w:t>
            </w:r>
            <w:r>
              <w:rPr>
                <w:rFonts w:ascii="Arial"/>
                <w:spacing w:val="-16"/>
                <w:w w:val="100"/>
                <w:sz w:val="18"/>
              </w:rPr>
            </w:r>
            <w:r>
              <w:rPr>
                <w:rFonts w:ascii="Arial"/>
                <w:w w:val="100"/>
                <w:sz w:val="18"/>
                <w:u w:val="single" w:color="000000"/>
              </w:rPr>
              <w:t> </w:t>
            </w:r>
            <w:r>
              <w:rPr>
                <w:rFonts w:ascii="Arial"/>
                <w:sz w:val="18"/>
                <w:u w:val="single" w:color="000000"/>
              </w:rPr>
              <w:tab/>
            </w:r>
            <w:r>
              <w:rPr>
                <w:rFonts w:ascii="Arial"/>
                <w:sz w:val="18"/>
              </w:rPr>
            </w:r>
          </w:p>
        </w:tc>
        <w:tc>
          <w:tcPr>
            <w:tcW w:w="546" w:type="dxa"/>
            <w:tcBorders>
              <w:top w:val="nil" w:sz="6" w:space="0" w:color="auto"/>
              <w:left w:val="nil" w:sz="6" w:space="0" w:color="auto"/>
              <w:bottom w:val="nil" w:sz="6" w:space="0" w:color="auto"/>
              <w:right w:val="nil" w:sz="6" w:space="0" w:color="auto"/>
            </w:tcBorders>
          </w:tcPr>
          <w:p>
            <w:pPr>
              <w:pStyle w:val="TableParagraph"/>
              <w:tabs>
                <w:tab w:pos="749" w:val="left" w:leader="none"/>
              </w:tabs>
              <w:spacing w:line="240" w:lineRule="auto" w:before="10"/>
              <w:ind w:left="152" w:right="-204"/>
              <w:jc w:val="left"/>
              <w:rPr>
                <w:rFonts w:ascii="Arial" w:hAnsi="Arial" w:cs="Arial" w:eastAsia="Arial" w:hint="default"/>
                <w:sz w:val="18"/>
                <w:szCs w:val="18"/>
              </w:rPr>
            </w:pPr>
            <w:r>
              <w:rPr>
                <w:rFonts w:ascii="Arial"/>
                <w:w w:val="99"/>
                <w:sz w:val="18"/>
              </w:rPr>
            </w:r>
            <w:r>
              <w:rPr>
                <w:rFonts w:ascii="Arial"/>
                <w:sz w:val="18"/>
                <w:u w:val="single" w:color="000000"/>
              </w:rPr>
              <w:t>194</w:t>
              <w:tab/>
            </w:r>
            <w:r>
              <w:rPr>
                <w:rFonts w:ascii="Arial"/>
                <w:sz w:val="18"/>
              </w:rPr>
            </w:r>
          </w:p>
        </w:tc>
        <w:tc>
          <w:tcPr>
            <w:tcW w:w="924" w:type="dxa"/>
            <w:gridSpan w:val="3"/>
            <w:tcBorders>
              <w:top w:val="nil" w:sz="6" w:space="0" w:color="auto"/>
              <w:left w:val="nil" w:sz="6" w:space="0" w:color="auto"/>
              <w:bottom w:val="nil" w:sz="6" w:space="0" w:color="auto"/>
              <w:right w:val="nil" w:sz="6" w:space="0" w:color="auto"/>
            </w:tcBorders>
          </w:tcPr>
          <w:p>
            <w:pPr>
              <w:pStyle w:val="TableParagraph"/>
              <w:tabs>
                <w:tab w:pos="772" w:val="left" w:leader="none"/>
              </w:tabs>
              <w:spacing w:line="240" w:lineRule="auto" w:before="10"/>
              <w:ind w:left="203" w:right="0"/>
              <w:jc w:val="left"/>
              <w:rPr>
                <w:rFonts w:ascii="Arial" w:hAnsi="Arial" w:cs="Arial" w:eastAsia="Arial" w:hint="default"/>
                <w:sz w:val="18"/>
                <w:szCs w:val="18"/>
              </w:rPr>
            </w:pPr>
            <w:r>
              <w:rPr>
                <w:rFonts w:ascii="Arial"/>
                <w:w w:val="99"/>
                <w:sz w:val="18"/>
              </w:rPr>
            </w:r>
            <w:r>
              <w:rPr>
                <w:rFonts w:ascii="Arial"/>
                <w:sz w:val="18"/>
                <w:u w:val="single" w:color="000000"/>
              </w:rPr>
              <w:t>0.01%</w:t>
              <w:tab/>
            </w:r>
            <w:r>
              <w:rPr>
                <w:rFonts w:ascii="Arial"/>
                <w:sz w:val="18"/>
              </w:rPr>
            </w:r>
          </w:p>
        </w:tc>
        <w:tc>
          <w:tcPr>
            <w:tcW w:w="523" w:type="dxa"/>
            <w:tcBorders>
              <w:top w:val="nil" w:sz="6" w:space="0" w:color="auto"/>
              <w:left w:val="nil" w:sz="6" w:space="0" w:color="auto"/>
              <w:bottom w:val="nil" w:sz="6" w:space="0" w:color="auto"/>
              <w:right w:val="nil" w:sz="6" w:space="0" w:color="auto"/>
            </w:tcBorders>
          </w:tcPr>
          <w:p>
            <w:pPr>
              <w:pStyle w:val="TableParagraph"/>
              <w:tabs>
                <w:tab w:pos="407" w:val="left" w:leader="none"/>
              </w:tabs>
              <w:spacing w:line="240" w:lineRule="auto" w:before="10"/>
              <w:ind w:left="-17"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r>
      <w:tr>
        <w:trPr>
          <w:trHeight w:val="220" w:hRule="exact"/>
        </w:trPr>
        <w:tc>
          <w:tcPr>
            <w:tcW w:w="767"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
        </w:tc>
        <w:tc>
          <w:tcPr>
            <w:tcW w:w="1833" w:type="dxa"/>
            <w:gridSpan w:val="2"/>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single" w:sz="12" w:space="0" w:color="000000"/>
              <w:right w:val="nil" w:sz="6" w:space="0" w:color="auto"/>
            </w:tcBorders>
          </w:tcPr>
          <w:p>
            <w:pPr>
              <w:pStyle w:val="TableParagraph"/>
              <w:spacing w:line="203" w:lineRule="exact"/>
              <w:ind w:left="52" w:right="0"/>
              <w:jc w:val="left"/>
              <w:rPr>
                <w:rFonts w:ascii="Arial" w:hAnsi="Arial" w:cs="Arial" w:eastAsia="Arial" w:hint="default"/>
                <w:sz w:val="18"/>
                <w:szCs w:val="18"/>
              </w:rPr>
            </w:pPr>
            <w:r>
              <w:rPr>
                <w:rFonts w:ascii="Arial"/>
                <w:sz w:val="18"/>
              </w:rPr>
              <w:t>2,526</w:t>
            </w:r>
          </w:p>
        </w:tc>
        <w:tc>
          <w:tcPr>
            <w:tcW w:w="852" w:type="dxa"/>
            <w:gridSpan w:val="2"/>
            <w:tcBorders>
              <w:top w:val="nil" w:sz="6" w:space="0" w:color="auto"/>
              <w:left w:val="nil" w:sz="6" w:space="0" w:color="auto"/>
              <w:bottom w:val="single" w:sz="12" w:space="0" w:color="000000"/>
              <w:right w:val="nil" w:sz="6" w:space="0" w:color="auto"/>
            </w:tcBorders>
          </w:tcPr>
          <w:p>
            <w:pPr>
              <w:pStyle w:val="TableParagraph"/>
              <w:spacing w:line="203" w:lineRule="exact"/>
              <w:ind w:left="283" w:right="0"/>
              <w:jc w:val="left"/>
              <w:rPr>
                <w:rFonts w:ascii="Arial" w:hAnsi="Arial" w:cs="Arial" w:eastAsia="Arial" w:hint="default"/>
                <w:sz w:val="18"/>
                <w:szCs w:val="18"/>
              </w:rPr>
            </w:pPr>
            <w:r>
              <w:rPr>
                <w:rFonts w:ascii="Arial"/>
                <w:sz w:val="18"/>
              </w:rPr>
              <w:t>0.19%</w:t>
            </w:r>
          </w:p>
        </w:tc>
        <w:tc>
          <w:tcPr>
            <w:tcW w:w="120"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single" w:sz="12" w:space="0" w:color="000000"/>
              <w:right w:val="nil" w:sz="6" w:space="0" w:color="auto"/>
            </w:tcBorders>
          </w:tcPr>
          <w:p>
            <w:pPr>
              <w:pStyle w:val="TableParagraph"/>
              <w:spacing w:line="203" w:lineRule="exact"/>
              <w:ind w:left="246" w:right="0"/>
              <w:jc w:val="center"/>
              <w:rPr>
                <w:rFonts w:ascii="Arial" w:hAnsi="Arial" w:cs="Arial" w:eastAsia="Arial" w:hint="default"/>
                <w:sz w:val="18"/>
                <w:szCs w:val="18"/>
              </w:rPr>
            </w:pPr>
            <w:r>
              <w:rPr>
                <w:rFonts w:ascii="Arial"/>
                <w:w w:val="99"/>
                <w:sz w:val="18"/>
              </w:rPr>
              <w:t>-</w:t>
            </w:r>
            <w:r>
              <w:rPr>
                <w:rFonts w:ascii="Arial"/>
                <w:sz w:val="18"/>
              </w:rPr>
            </w:r>
          </w:p>
        </w:tc>
        <w:tc>
          <w:tcPr>
            <w:tcW w:w="546" w:type="dxa"/>
            <w:tcBorders>
              <w:top w:val="nil" w:sz="6" w:space="0" w:color="auto"/>
              <w:left w:val="nil" w:sz="6" w:space="0" w:color="auto"/>
              <w:bottom w:val="single" w:sz="12" w:space="0" w:color="000000"/>
              <w:right w:val="nil" w:sz="6" w:space="0" w:color="auto"/>
            </w:tcBorders>
          </w:tcPr>
          <w:p>
            <w:pPr>
              <w:pStyle w:val="TableParagraph"/>
              <w:spacing w:line="203" w:lineRule="exact"/>
              <w:ind w:left="152" w:right="0"/>
              <w:jc w:val="left"/>
              <w:rPr>
                <w:rFonts w:ascii="Arial" w:hAnsi="Arial" w:cs="Arial" w:eastAsia="Arial" w:hint="default"/>
                <w:sz w:val="18"/>
                <w:szCs w:val="18"/>
              </w:rPr>
            </w:pPr>
            <w:r>
              <w:rPr>
                <w:rFonts w:ascii="Arial"/>
                <w:sz w:val="18"/>
              </w:rPr>
              <w:t>194</w:t>
            </w:r>
          </w:p>
        </w:tc>
        <w:tc>
          <w:tcPr>
            <w:tcW w:w="924" w:type="dxa"/>
            <w:gridSpan w:val="3"/>
            <w:tcBorders>
              <w:top w:val="nil" w:sz="6" w:space="0" w:color="auto"/>
              <w:left w:val="nil" w:sz="6" w:space="0" w:color="auto"/>
              <w:bottom w:val="nil" w:sz="6" w:space="0" w:color="auto"/>
              <w:right w:val="nil" w:sz="6" w:space="0" w:color="auto"/>
            </w:tcBorders>
          </w:tcPr>
          <w:p>
            <w:pPr>
              <w:pStyle w:val="TableParagraph"/>
              <w:spacing w:line="203" w:lineRule="exact"/>
              <w:ind w:left="203" w:right="0"/>
              <w:jc w:val="left"/>
              <w:rPr>
                <w:rFonts w:ascii="Arial" w:hAnsi="Arial" w:cs="Arial" w:eastAsia="Arial" w:hint="default"/>
                <w:sz w:val="18"/>
                <w:szCs w:val="18"/>
              </w:rPr>
            </w:pPr>
            <w:r>
              <w:rPr>
                <w:rFonts w:ascii="Arial"/>
                <w:sz w:val="18"/>
              </w:rPr>
              <w:t>0.01%</w:t>
            </w:r>
          </w:p>
        </w:tc>
        <w:tc>
          <w:tcPr>
            <w:tcW w:w="523" w:type="dxa"/>
            <w:tcBorders>
              <w:top w:val="nil" w:sz="6" w:space="0" w:color="auto"/>
              <w:left w:val="nil" w:sz="6" w:space="0" w:color="auto"/>
              <w:bottom w:val="single" w:sz="12" w:space="0" w:color="000000"/>
              <w:right w:val="nil" w:sz="6" w:space="0" w:color="auto"/>
            </w:tcBorders>
          </w:tcPr>
          <w:p>
            <w:pPr>
              <w:pStyle w:val="TableParagraph"/>
              <w:spacing w:line="203" w:lineRule="exact"/>
              <w:ind w:right="53"/>
              <w:jc w:val="right"/>
              <w:rPr>
                <w:rFonts w:ascii="Arial" w:hAnsi="Arial" w:cs="Arial" w:eastAsia="Arial" w:hint="default"/>
                <w:sz w:val="18"/>
                <w:szCs w:val="18"/>
              </w:rPr>
            </w:pPr>
            <w:r>
              <w:rPr>
                <w:rFonts w:ascii="Arial"/>
                <w:w w:val="99"/>
                <w:sz w:val="18"/>
              </w:rPr>
              <w:t>-</w:t>
            </w:r>
            <w:r>
              <w:rPr>
                <w:rFonts w:ascii="Arial"/>
                <w:sz w:val="18"/>
              </w:rPr>
            </w:r>
          </w:p>
        </w:tc>
      </w:tr>
    </w:tbl>
    <w:p>
      <w:pPr>
        <w:spacing w:after="0" w:line="203" w:lineRule="exact"/>
        <w:jc w:val="right"/>
        <w:rPr>
          <w:rFonts w:ascii="Arial" w:hAnsi="Arial" w:cs="Arial" w:eastAsia="Arial" w:hint="default"/>
          <w:sz w:val="18"/>
          <w:szCs w:val="18"/>
        </w:rPr>
        <w:sectPr>
          <w:pgSz w:w="11910" w:h="16850"/>
          <w:pgMar w:header="795" w:footer="1340" w:top="2020" w:bottom="1540" w:left="136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1595872" type="#_x0000_t75" stroked="false">
            <v:imagedata r:id="rId10" o:title=""/>
          </v:shape>
        </w:pict>
      </w: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16"/>
        <w:gridCol w:w="760"/>
        <w:gridCol w:w="1309"/>
        <w:gridCol w:w="1333"/>
        <w:gridCol w:w="1012"/>
        <w:gridCol w:w="242"/>
        <w:gridCol w:w="1219"/>
        <w:gridCol w:w="262"/>
        <w:gridCol w:w="980"/>
        <w:gridCol w:w="1279"/>
      </w:tblGrid>
      <w:tr>
        <w:trPr>
          <w:trHeight w:val="497"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exact"/>
              <w:ind w:right="74"/>
              <w:jc w:val="center"/>
              <w:rPr>
                <w:rFonts w:ascii="黑体" w:hAnsi="黑体" w:cs="黑体" w:eastAsia="黑体" w:hint="default"/>
                <w:sz w:val="24"/>
                <w:szCs w:val="24"/>
              </w:rPr>
            </w:pPr>
            <w:r>
              <w:rPr>
                <w:rFonts w:ascii="黑体" w:hAnsi="黑体" w:cs="黑体" w:eastAsia="黑体" w:hint="default"/>
                <w:sz w:val="24"/>
                <w:szCs w:val="24"/>
              </w:rPr>
              <w:t>五</w:t>
            </w:r>
          </w:p>
        </w:tc>
        <w:tc>
          <w:tcPr>
            <w:tcW w:w="3402"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222"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12"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r>
      <w:tr>
        <w:trPr>
          <w:trHeight w:val="748"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0"/>
              <w:jc w:val="center"/>
              <w:rPr>
                <w:rFonts w:ascii="Arial" w:hAnsi="Arial" w:cs="Arial" w:eastAsia="Arial" w:hint="default"/>
                <w:sz w:val="24"/>
                <w:szCs w:val="24"/>
              </w:rPr>
            </w:pPr>
            <w:r>
              <w:rPr>
                <w:rFonts w:ascii="Arial"/>
                <w:sz w:val="24"/>
              </w:rPr>
              <w:t>(4)</w:t>
            </w: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8"/>
              <w:ind w:left="239" w:right="0"/>
              <w:jc w:val="left"/>
              <w:rPr>
                <w:rFonts w:ascii="Arial" w:hAnsi="Arial" w:cs="Arial" w:eastAsia="Arial" w:hint="default"/>
                <w:sz w:val="24"/>
                <w:szCs w:val="24"/>
              </w:rPr>
            </w:pPr>
            <w:r>
              <w:rPr>
                <w:rFonts w:ascii="黑体" w:hAnsi="黑体" w:cs="黑体" w:eastAsia="黑体" w:hint="default"/>
                <w:sz w:val="24"/>
                <w:szCs w:val="24"/>
              </w:rPr>
              <w:t>应收账款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33"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r>
      <w:tr>
        <w:trPr>
          <w:trHeight w:val="561"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20"/>
              <w:jc w:val="center"/>
              <w:rPr>
                <w:rFonts w:ascii="Arial" w:hAnsi="Arial" w:cs="Arial" w:eastAsia="Arial" w:hint="default"/>
                <w:sz w:val="24"/>
                <w:szCs w:val="24"/>
              </w:rPr>
            </w:pPr>
            <w:r>
              <w:rPr>
                <w:rFonts w:ascii="Arial"/>
                <w:sz w:val="24"/>
              </w:rPr>
              <w:t>(h)</w:t>
            </w:r>
          </w:p>
        </w:tc>
        <w:tc>
          <w:tcPr>
            <w:tcW w:w="441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7"/>
              <w:ind w:left="239" w:right="0"/>
              <w:jc w:val="left"/>
              <w:rPr>
                <w:rFonts w:ascii="宋体" w:hAnsi="宋体" w:cs="宋体" w:eastAsia="宋体" w:hint="default"/>
                <w:sz w:val="24"/>
                <w:szCs w:val="24"/>
              </w:rPr>
            </w:pPr>
            <w:r>
              <w:rPr>
                <w:rFonts w:ascii="宋体" w:hAnsi="宋体" w:cs="宋体" w:eastAsia="宋体" w:hint="default"/>
                <w:sz w:val="24"/>
                <w:szCs w:val="24"/>
              </w:rPr>
              <w:t>应收账款中包括以下外币余额：</w:t>
            </w:r>
          </w:p>
        </w:tc>
        <w:tc>
          <w:tcPr>
            <w:tcW w:w="242"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r>
      <w:tr>
        <w:trPr>
          <w:trHeight w:val="366" w:hRule="exact"/>
        </w:trPr>
        <w:tc>
          <w:tcPr>
            <w:tcW w:w="716"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264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4"/>
              <w:ind w:left="1047"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12" w:type="dxa"/>
            <w:tcBorders>
              <w:top w:val="nil" w:sz="6" w:space="0" w:color="auto"/>
              <w:left w:val="nil" w:sz="6" w:space="0" w:color="auto"/>
              <w:bottom w:val="single" w:sz="4" w:space="0" w:color="000000"/>
              <w:right w:val="nil" w:sz="6" w:space="0" w:color="auto"/>
            </w:tcBorders>
          </w:tcPr>
          <w:p>
            <w:pPr/>
          </w:p>
        </w:tc>
        <w:tc>
          <w:tcPr>
            <w:tcW w:w="398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4"/>
              <w:ind w:left="1336"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60" w:hRule="exact"/>
        </w:trPr>
        <w:tc>
          <w:tcPr>
            <w:tcW w:w="716"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60"/>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521"/>
              <w:jc w:val="right"/>
              <w:rPr>
                <w:rFonts w:ascii="宋体" w:hAnsi="宋体" w:cs="宋体" w:eastAsia="宋体" w:hint="default"/>
                <w:sz w:val="18"/>
                <w:szCs w:val="18"/>
              </w:rPr>
            </w:pPr>
            <w:r>
              <w:rPr>
                <w:rFonts w:ascii="宋体" w:hAnsi="宋体" w:cs="宋体" w:eastAsia="宋体" w:hint="default"/>
                <w:sz w:val="18"/>
                <w:szCs w:val="18"/>
              </w:rPr>
              <w:t>汇率</w:t>
            </w:r>
          </w:p>
        </w:tc>
        <w:tc>
          <w:tcPr>
            <w:tcW w:w="101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82"/>
              <w:jc w:val="right"/>
              <w:rPr>
                <w:rFonts w:ascii="宋体" w:hAnsi="宋体" w:cs="宋体" w:eastAsia="宋体" w:hint="default"/>
                <w:sz w:val="18"/>
                <w:szCs w:val="18"/>
              </w:rPr>
            </w:pPr>
            <w:r>
              <w:rPr>
                <w:rFonts w:ascii="宋体" w:hAnsi="宋体" w:cs="宋体" w:eastAsia="宋体" w:hint="default"/>
                <w:sz w:val="18"/>
                <w:szCs w:val="18"/>
              </w:rPr>
              <w:t>折合人民币</w:t>
            </w:r>
          </w:p>
        </w:tc>
        <w:tc>
          <w:tcPr>
            <w:tcW w:w="242" w:type="dxa"/>
            <w:tcBorders>
              <w:top w:val="nil" w:sz="6" w:space="0" w:color="auto"/>
              <w:left w:val="nil" w:sz="6" w:space="0" w:color="auto"/>
              <w:bottom w:val="nil" w:sz="6" w:space="0" w:color="auto"/>
              <w:right w:val="nil" w:sz="6" w:space="0" w:color="auto"/>
            </w:tcBorders>
          </w:tcPr>
          <w:p>
            <w:pP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32"/>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262" w:type="dxa"/>
            <w:tcBorders>
              <w:top w:val="single" w:sz="4" w:space="0" w:color="000000"/>
              <w:left w:val="nil" w:sz="6" w:space="0" w:color="auto"/>
              <w:bottom w:val="nil" w:sz="6" w:space="0" w:color="auto"/>
              <w:right w:val="nil" w:sz="6" w:space="0" w:color="auto"/>
            </w:tcBorders>
          </w:tcPr>
          <w:p>
            <w:pPr/>
          </w:p>
        </w:tc>
        <w:tc>
          <w:tcPr>
            <w:tcW w:w="98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320"/>
              <w:jc w:val="right"/>
              <w:rPr>
                <w:rFonts w:ascii="宋体" w:hAnsi="宋体" w:cs="宋体" w:eastAsia="宋体" w:hint="default"/>
                <w:sz w:val="18"/>
                <w:szCs w:val="18"/>
              </w:rPr>
            </w:pPr>
            <w:r>
              <w:rPr>
                <w:rFonts w:ascii="宋体" w:hAnsi="宋体" w:cs="宋体" w:eastAsia="宋体" w:hint="default"/>
                <w:sz w:val="18"/>
                <w:szCs w:val="18"/>
              </w:rPr>
              <w:t>汇率</w:t>
            </w:r>
          </w:p>
        </w:tc>
        <w:tc>
          <w:tcPr>
            <w:tcW w:w="127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92"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469" w:hRule="exact"/>
        </w:trPr>
        <w:tc>
          <w:tcPr>
            <w:tcW w:w="716"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239"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59"/>
              <w:jc w:val="right"/>
              <w:rPr>
                <w:rFonts w:ascii="Arial" w:hAnsi="Arial" w:cs="Arial" w:eastAsia="Arial" w:hint="default"/>
                <w:sz w:val="18"/>
                <w:szCs w:val="18"/>
              </w:rPr>
            </w:pPr>
            <w:r>
              <w:rPr>
                <w:rFonts w:ascii="Arial"/>
                <w:w w:val="95"/>
                <w:sz w:val="18"/>
              </w:rPr>
              <w:t>8,194</w:t>
            </w:r>
            <w:r>
              <w:rPr>
                <w:rFonts w:ascii="Arial"/>
                <w:sz w:val="18"/>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518"/>
              <w:jc w:val="right"/>
              <w:rPr>
                <w:rFonts w:ascii="Arial" w:hAnsi="Arial" w:cs="Arial" w:eastAsia="Arial" w:hint="default"/>
                <w:sz w:val="18"/>
                <w:szCs w:val="18"/>
              </w:rPr>
            </w:pPr>
            <w:r>
              <w:rPr>
                <w:rFonts w:ascii="Arial"/>
                <w:spacing w:val="-1"/>
                <w:sz w:val="18"/>
              </w:rPr>
              <w:t>0.8108</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1"/>
              <w:jc w:val="right"/>
              <w:rPr>
                <w:rFonts w:ascii="Arial" w:hAnsi="Arial" w:cs="Arial" w:eastAsia="Arial" w:hint="default"/>
                <w:sz w:val="18"/>
                <w:szCs w:val="18"/>
              </w:rPr>
            </w:pPr>
            <w:r>
              <w:rPr>
                <w:rFonts w:ascii="Arial"/>
                <w:w w:val="95"/>
                <w:sz w:val="18"/>
              </w:rPr>
              <w:t>6,644</w:t>
            </w:r>
            <w:r>
              <w:rPr>
                <w:rFonts w:ascii="Arial"/>
                <w:sz w:val="18"/>
              </w:rPr>
            </w:r>
          </w:p>
        </w:tc>
        <w:tc>
          <w:tcPr>
            <w:tcW w:w="242"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31"/>
              <w:jc w:val="right"/>
              <w:rPr>
                <w:rFonts w:ascii="Arial" w:hAnsi="Arial" w:cs="Arial" w:eastAsia="Arial" w:hint="default"/>
                <w:sz w:val="18"/>
                <w:szCs w:val="18"/>
              </w:rPr>
            </w:pPr>
            <w:r>
              <w:rPr>
                <w:rFonts w:ascii="Arial"/>
                <w:w w:val="95"/>
                <w:sz w:val="18"/>
              </w:rPr>
              <w:t>3,139</w:t>
            </w:r>
            <w:r>
              <w:rPr>
                <w:rFonts w:ascii="Arial"/>
                <w:sz w:val="18"/>
              </w:rPr>
            </w: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320"/>
              <w:jc w:val="right"/>
              <w:rPr>
                <w:rFonts w:ascii="Arial" w:hAnsi="Arial" w:cs="Arial" w:eastAsia="Arial" w:hint="default"/>
                <w:sz w:val="18"/>
                <w:szCs w:val="18"/>
              </w:rPr>
            </w:pPr>
            <w:r>
              <w:rPr>
                <w:rFonts w:ascii="Arial"/>
                <w:spacing w:val="-1"/>
                <w:sz w:val="18"/>
              </w:rPr>
              <w:t>0.8107</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3"/>
              <w:jc w:val="right"/>
              <w:rPr>
                <w:rFonts w:ascii="Arial" w:hAnsi="Arial" w:cs="Arial" w:eastAsia="Arial" w:hint="default"/>
                <w:sz w:val="18"/>
                <w:szCs w:val="18"/>
              </w:rPr>
            </w:pPr>
            <w:r>
              <w:rPr>
                <w:rFonts w:ascii="Arial"/>
                <w:w w:val="95"/>
                <w:sz w:val="18"/>
              </w:rPr>
              <w:t>2,545</w:t>
            </w:r>
            <w:r>
              <w:rPr>
                <w:rFonts w:ascii="Arial"/>
                <w:sz w:val="18"/>
              </w:rPr>
            </w:r>
          </w:p>
        </w:tc>
      </w:tr>
      <w:tr>
        <w:trPr>
          <w:trHeight w:val="310" w:hRule="exact"/>
        </w:trPr>
        <w:tc>
          <w:tcPr>
            <w:tcW w:w="716"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Style w:val="TableParagraph"/>
              <w:spacing w:line="234" w:lineRule="exact"/>
              <w:ind w:left="239"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9"/>
              <w:jc w:val="right"/>
              <w:rPr>
                <w:rFonts w:ascii="Arial" w:hAnsi="Arial" w:cs="Arial" w:eastAsia="Arial" w:hint="default"/>
                <w:sz w:val="18"/>
                <w:szCs w:val="18"/>
              </w:rPr>
            </w:pPr>
            <w:r>
              <w:rPr>
                <w:rFonts w:ascii="Arial"/>
                <w:spacing w:val="-1"/>
                <w:sz w:val="18"/>
              </w:rPr>
              <w:t>1,021,052</w:t>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18"/>
              <w:jc w:val="right"/>
              <w:rPr>
                <w:rFonts w:ascii="Arial" w:hAnsi="Arial" w:cs="Arial" w:eastAsia="Arial" w:hint="default"/>
                <w:sz w:val="18"/>
                <w:szCs w:val="18"/>
              </w:rPr>
            </w:pPr>
            <w:r>
              <w:rPr>
                <w:rFonts w:ascii="Arial"/>
                <w:spacing w:val="-1"/>
                <w:sz w:val="18"/>
              </w:rPr>
              <w:t>0.0730</w:t>
            </w:r>
          </w:p>
        </w:tc>
        <w:tc>
          <w:tcPr>
            <w:tcW w:w="101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spacing w:val="-1"/>
                <w:sz w:val="18"/>
              </w:rPr>
              <w:t>74,537</w:t>
            </w:r>
          </w:p>
        </w:tc>
        <w:tc>
          <w:tcPr>
            <w:tcW w:w="242"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0"/>
              <w:jc w:val="right"/>
              <w:rPr>
                <w:rFonts w:ascii="Arial" w:hAnsi="Arial" w:cs="Arial" w:eastAsia="Arial" w:hint="default"/>
                <w:sz w:val="18"/>
                <w:szCs w:val="18"/>
              </w:rPr>
            </w:pPr>
            <w:r>
              <w:rPr>
                <w:rFonts w:ascii="Arial"/>
                <w:spacing w:val="-1"/>
                <w:sz w:val="18"/>
              </w:rPr>
              <w:t>469,186</w:t>
            </w: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7"/>
              <w:jc w:val="right"/>
              <w:rPr>
                <w:rFonts w:ascii="Arial" w:hAnsi="Arial" w:cs="Arial" w:eastAsia="Arial" w:hint="default"/>
                <w:sz w:val="18"/>
                <w:szCs w:val="18"/>
              </w:rPr>
            </w:pPr>
            <w:r>
              <w:rPr>
                <w:rFonts w:ascii="Arial"/>
                <w:spacing w:val="-3"/>
                <w:sz w:val="18"/>
              </w:rPr>
              <w:t>0.0811</w:t>
            </w: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82"/>
              <w:jc w:val="right"/>
              <w:rPr>
                <w:rFonts w:ascii="Arial" w:hAnsi="Arial" w:cs="Arial" w:eastAsia="Arial" w:hint="default"/>
                <w:sz w:val="18"/>
                <w:szCs w:val="18"/>
              </w:rPr>
            </w:pPr>
            <w:r>
              <w:rPr>
                <w:rFonts w:ascii="Arial"/>
                <w:spacing w:val="-1"/>
                <w:sz w:val="18"/>
              </w:rPr>
              <w:t>38,051</w:t>
            </w:r>
          </w:p>
        </w:tc>
      </w:tr>
      <w:tr>
        <w:trPr>
          <w:trHeight w:val="307" w:hRule="exact"/>
        </w:trPr>
        <w:tc>
          <w:tcPr>
            <w:tcW w:w="716"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333" w:type="dxa"/>
            <w:tcBorders>
              <w:top w:val="single" w:sz="4" w:space="0" w:color="000000"/>
              <w:left w:val="nil" w:sz="6" w:space="0" w:color="auto"/>
              <w:bottom w:val="single" w:sz="12" w:space="0" w:color="000000"/>
              <w:right w:val="nil" w:sz="6" w:space="0" w:color="auto"/>
            </w:tcBorders>
          </w:tcPr>
          <w:p>
            <w:pPr/>
          </w:p>
        </w:tc>
        <w:tc>
          <w:tcPr>
            <w:tcW w:w="101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81"/>
              <w:jc w:val="right"/>
              <w:rPr>
                <w:rFonts w:ascii="Arial" w:hAnsi="Arial" w:cs="Arial" w:eastAsia="Arial" w:hint="default"/>
                <w:sz w:val="18"/>
                <w:szCs w:val="18"/>
              </w:rPr>
            </w:pPr>
            <w:r>
              <w:rPr>
                <w:rFonts w:ascii="Arial"/>
                <w:spacing w:val="-1"/>
                <w:sz w:val="18"/>
              </w:rPr>
              <w:t>81,181</w:t>
            </w:r>
          </w:p>
        </w:tc>
        <w:tc>
          <w:tcPr>
            <w:tcW w:w="242"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83"/>
              <w:jc w:val="right"/>
              <w:rPr>
                <w:rFonts w:ascii="Arial" w:hAnsi="Arial" w:cs="Arial" w:eastAsia="Arial" w:hint="default"/>
                <w:sz w:val="18"/>
                <w:szCs w:val="18"/>
              </w:rPr>
            </w:pPr>
            <w:r>
              <w:rPr>
                <w:rFonts w:ascii="Arial"/>
                <w:spacing w:val="-1"/>
                <w:sz w:val="18"/>
              </w:rPr>
              <w:t>40,596</w:t>
            </w:r>
          </w:p>
        </w:tc>
      </w:tr>
      <w:tr>
        <w:trPr>
          <w:trHeight w:val="760"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right="20"/>
              <w:jc w:val="center"/>
              <w:rPr>
                <w:rFonts w:ascii="Arial" w:hAnsi="Arial" w:cs="Arial" w:eastAsia="Arial" w:hint="default"/>
                <w:sz w:val="24"/>
                <w:szCs w:val="24"/>
              </w:rPr>
            </w:pPr>
            <w:r>
              <w:rPr>
                <w:rFonts w:ascii="Arial"/>
                <w:sz w:val="24"/>
              </w:rPr>
              <w:t>(5)</w:t>
            </w:r>
          </w:p>
        </w:tc>
        <w:tc>
          <w:tcPr>
            <w:tcW w:w="34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left="222" w:right="0"/>
              <w:jc w:val="left"/>
              <w:rPr>
                <w:rFonts w:ascii="黑体" w:hAnsi="黑体" w:cs="黑体" w:eastAsia="黑体" w:hint="default"/>
                <w:sz w:val="24"/>
                <w:szCs w:val="24"/>
              </w:rPr>
            </w:pPr>
            <w:r>
              <w:rPr>
                <w:rFonts w:ascii="黑体" w:hAnsi="黑体" w:cs="黑体" w:eastAsia="黑体" w:hint="default"/>
                <w:sz w:val="24"/>
                <w:szCs w:val="24"/>
              </w:rPr>
              <w:t>其他应收款和长期应收款</w:t>
            </w:r>
          </w:p>
        </w:tc>
        <w:tc>
          <w:tcPr>
            <w:tcW w:w="1012" w:type="dxa"/>
            <w:tcBorders>
              <w:top w:val="single" w:sz="12" w:space="0" w:color="000000"/>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79" w:type="dxa"/>
            <w:tcBorders>
              <w:top w:val="single" w:sz="12" w:space="0" w:color="000000"/>
              <w:left w:val="nil" w:sz="6" w:space="0" w:color="auto"/>
              <w:bottom w:val="nil" w:sz="6" w:space="0" w:color="auto"/>
              <w:right w:val="nil" w:sz="6" w:space="0" w:color="auto"/>
            </w:tcBorders>
          </w:tcPr>
          <w:p>
            <w:pPr/>
          </w:p>
        </w:tc>
      </w:tr>
      <w:tr>
        <w:trPr>
          <w:trHeight w:val="397" w:hRule="exact"/>
        </w:trPr>
        <w:tc>
          <w:tcPr>
            <w:tcW w:w="716"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c>
          <w:tcPr>
            <w:tcW w:w="24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
              <w:ind w:left="325"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52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
              <w:ind w:left="338"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00" w:hRule="exact"/>
        </w:trPr>
        <w:tc>
          <w:tcPr>
            <w:tcW w:w="716" w:type="dxa"/>
            <w:tcBorders>
              <w:top w:val="nil" w:sz="6" w:space="0" w:color="auto"/>
              <w:left w:val="nil" w:sz="6" w:space="0" w:color="auto"/>
              <w:bottom w:val="nil" w:sz="6" w:space="0" w:color="auto"/>
              <w:right w:val="nil" w:sz="6" w:space="0" w:color="auto"/>
            </w:tcBorders>
          </w:tcPr>
          <w:p>
            <w:pPr/>
          </w:p>
        </w:tc>
        <w:tc>
          <w:tcPr>
            <w:tcW w:w="3402" w:type="dxa"/>
            <w:gridSpan w:val="3"/>
            <w:tcBorders>
              <w:top w:val="nil" w:sz="6" w:space="0" w:color="auto"/>
              <w:left w:val="nil" w:sz="6" w:space="0" w:color="auto"/>
              <w:bottom w:val="nil" w:sz="6" w:space="0" w:color="auto"/>
              <w:right w:val="nil" w:sz="6" w:space="0" w:color="auto"/>
            </w:tcBorders>
          </w:tcPr>
          <w:p>
            <w:pPr>
              <w:pStyle w:val="TableParagraph"/>
              <w:spacing w:line="310" w:lineRule="exact"/>
              <w:ind w:left="239" w:right="0"/>
              <w:jc w:val="left"/>
              <w:rPr>
                <w:rFonts w:ascii="宋体" w:hAnsi="宋体" w:cs="宋体" w:eastAsia="宋体" w:hint="default"/>
                <w:sz w:val="24"/>
                <w:szCs w:val="24"/>
              </w:rPr>
            </w:pPr>
            <w:r>
              <w:rPr>
                <w:rFonts w:ascii="宋体" w:hAnsi="宋体" w:cs="宋体" w:eastAsia="宋体" w:hint="default"/>
                <w:sz w:val="24"/>
                <w:szCs w:val="24"/>
              </w:rPr>
              <w:t>租赁押金及质量保证金</w:t>
            </w:r>
          </w:p>
        </w:tc>
        <w:tc>
          <w:tcPr>
            <w:tcW w:w="1012"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8"/>
              <w:jc w:val="right"/>
              <w:rPr>
                <w:rFonts w:ascii="Arial" w:hAnsi="Arial" w:cs="Arial" w:eastAsia="Arial" w:hint="default"/>
                <w:sz w:val="24"/>
                <w:szCs w:val="24"/>
              </w:rPr>
            </w:pPr>
            <w:r>
              <w:rPr>
                <w:rFonts w:ascii="Arial"/>
                <w:spacing w:val="-1"/>
                <w:sz w:val="24"/>
              </w:rPr>
              <w:t>530,494</w:t>
            </w: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00" w:right="0"/>
              <w:jc w:val="left"/>
              <w:rPr>
                <w:rFonts w:ascii="Arial" w:hAnsi="Arial" w:cs="Arial" w:eastAsia="Arial" w:hint="default"/>
                <w:sz w:val="24"/>
                <w:szCs w:val="24"/>
              </w:rPr>
            </w:pPr>
            <w:r>
              <w:rPr>
                <w:rFonts w:ascii="Arial"/>
                <w:sz w:val="24"/>
              </w:rPr>
              <w:t>545,497</w:t>
            </w:r>
          </w:p>
        </w:tc>
      </w:tr>
      <w:tr>
        <w:trPr>
          <w:trHeight w:val="391" w:hRule="exact"/>
        </w:trPr>
        <w:tc>
          <w:tcPr>
            <w:tcW w:w="716" w:type="dxa"/>
            <w:tcBorders>
              <w:top w:val="nil" w:sz="6" w:space="0" w:color="auto"/>
              <w:left w:val="nil" w:sz="6" w:space="0" w:color="auto"/>
              <w:bottom w:val="nil" w:sz="6" w:space="0" w:color="auto"/>
              <w:right w:val="nil" w:sz="6" w:space="0" w:color="auto"/>
            </w:tcBorders>
          </w:tcPr>
          <w:p>
            <w:pP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301" w:lineRule="exact"/>
              <w:ind w:left="239" w:right="0"/>
              <w:jc w:val="left"/>
              <w:rPr>
                <w:rFonts w:ascii="宋体" w:hAnsi="宋体" w:cs="宋体" w:eastAsia="宋体" w:hint="default"/>
                <w:sz w:val="24"/>
                <w:szCs w:val="24"/>
              </w:rPr>
            </w:pPr>
            <w:r>
              <w:rPr>
                <w:rFonts w:ascii="宋体" w:hAnsi="宋体" w:cs="宋体" w:eastAsia="宋体" w:hint="default"/>
                <w:sz w:val="24"/>
                <w:szCs w:val="24"/>
              </w:rPr>
              <w:t>员工借款</w:t>
            </w:r>
          </w:p>
        </w:tc>
        <w:tc>
          <w:tcPr>
            <w:tcW w:w="1333"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spacing w:val="-1"/>
                <w:sz w:val="24"/>
              </w:rPr>
              <w:t>24,484</w:t>
            </w: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0"/>
              <w:jc w:val="right"/>
              <w:rPr>
                <w:rFonts w:ascii="Arial" w:hAnsi="Arial" w:cs="Arial" w:eastAsia="Arial" w:hint="default"/>
                <w:sz w:val="24"/>
                <w:szCs w:val="24"/>
              </w:rPr>
            </w:pPr>
            <w:r>
              <w:rPr>
                <w:rFonts w:ascii="Arial"/>
                <w:spacing w:val="-1"/>
                <w:sz w:val="24"/>
              </w:rPr>
              <w:t>25,948</w:t>
            </w:r>
          </w:p>
        </w:tc>
      </w:tr>
      <w:tr>
        <w:trPr>
          <w:trHeight w:val="391" w:hRule="exact"/>
        </w:trPr>
        <w:tc>
          <w:tcPr>
            <w:tcW w:w="716" w:type="dxa"/>
            <w:tcBorders>
              <w:top w:val="nil" w:sz="6" w:space="0" w:color="auto"/>
              <w:left w:val="nil" w:sz="6" w:space="0" w:color="auto"/>
              <w:bottom w:val="nil" w:sz="6" w:space="0" w:color="auto"/>
              <w:right w:val="nil" w:sz="6" w:space="0" w:color="auto"/>
            </w:tcBorders>
          </w:tcPr>
          <w:p>
            <w:pP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301" w:lineRule="exact"/>
              <w:ind w:left="239" w:right="0"/>
              <w:jc w:val="left"/>
              <w:rPr>
                <w:rFonts w:ascii="宋体" w:hAnsi="宋体" w:cs="宋体" w:eastAsia="宋体" w:hint="default"/>
                <w:sz w:val="24"/>
                <w:szCs w:val="24"/>
              </w:rPr>
            </w:pPr>
            <w:r>
              <w:rPr>
                <w:rFonts w:ascii="宋体" w:hAnsi="宋体" w:cs="宋体" w:eastAsia="宋体" w:hint="default"/>
                <w:sz w:val="24"/>
                <w:szCs w:val="24"/>
              </w:rPr>
              <w:t>代垫水电费</w:t>
            </w:r>
          </w:p>
        </w:tc>
        <w:tc>
          <w:tcPr>
            <w:tcW w:w="1333"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spacing w:val="-1"/>
                <w:sz w:val="24"/>
              </w:rPr>
              <w:t>83,685</w:t>
            </w: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0"/>
              <w:jc w:val="right"/>
              <w:rPr>
                <w:rFonts w:ascii="Arial" w:hAnsi="Arial" w:cs="Arial" w:eastAsia="Arial" w:hint="default"/>
                <w:sz w:val="24"/>
                <w:szCs w:val="24"/>
              </w:rPr>
            </w:pPr>
            <w:r>
              <w:rPr>
                <w:rFonts w:ascii="Arial"/>
                <w:spacing w:val="-1"/>
                <w:sz w:val="24"/>
              </w:rPr>
              <w:t>84,835</w:t>
            </w:r>
          </w:p>
        </w:tc>
      </w:tr>
      <w:tr>
        <w:trPr>
          <w:trHeight w:val="385" w:hRule="exact"/>
        </w:trPr>
        <w:tc>
          <w:tcPr>
            <w:tcW w:w="716"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Style w:val="TableParagraph"/>
              <w:spacing w:line="302" w:lineRule="exact"/>
              <w:ind w:left="239"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309"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single" w:sz="4" w:space="0" w:color="000000"/>
              <w:right w:val="nil" w:sz="6" w:space="0" w:color="auto"/>
            </w:tcBorders>
          </w:tcPr>
          <w:p>
            <w:pPr/>
          </w:p>
        </w:tc>
        <w:tc>
          <w:tcPr>
            <w:tcW w:w="242" w:type="dxa"/>
            <w:tcBorders>
              <w:top w:val="nil" w:sz="6" w:space="0" w:color="auto"/>
              <w:left w:val="nil" w:sz="6" w:space="0" w:color="auto"/>
              <w:bottom w:val="single" w:sz="4" w:space="0" w:color="000000"/>
              <w:right w:val="nil" w:sz="6" w:space="0" w:color="auto"/>
            </w:tcBorders>
          </w:tcPr>
          <w:p>
            <w:pPr/>
          </w:p>
        </w:tc>
        <w:tc>
          <w:tcPr>
            <w:tcW w:w="121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spacing w:val="-1"/>
                <w:sz w:val="24"/>
              </w:rPr>
              <w:t>323,599</w:t>
            </w: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single" w:sz="4" w:space="0" w:color="000000"/>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00" w:right="0"/>
              <w:jc w:val="left"/>
              <w:rPr>
                <w:rFonts w:ascii="Arial" w:hAnsi="Arial" w:cs="Arial" w:eastAsia="Arial" w:hint="default"/>
                <w:sz w:val="24"/>
                <w:szCs w:val="24"/>
              </w:rPr>
            </w:pPr>
            <w:r>
              <w:rPr>
                <w:rFonts w:ascii="Arial"/>
                <w:sz w:val="24"/>
              </w:rPr>
              <w:t>236,699</w:t>
            </w:r>
          </w:p>
        </w:tc>
      </w:tr>
      <w:tr>
        <w:trPr>
          <w:trHeight w:val="373" w:hRule="exact"/>
        </w:trPr>
        <w:tc>
          <w:tcPr>
            <w:tcW w:w="716"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c>
          <w:tcPr>
            <w:tcW w:w="1012" w:type="dxa"/>
            <w:tcBorders>
              <w:top w:val="single" w:sz="4" w:space="0" w:color="000000"/>
              <w:left w:val="nil" w:sz="6" w:space="0" w:color="auto"/>
              <w:bottom w:val="nil" w:sz="6" w:space="0" w:color="auto"/>
              <w:right w:val="nil" w:sz="6" w:space="0" w:color="auto"/>
            </w:tcBorders>
          </w:tcPr>
          <w:p>
            <w:pPr/>
          </w:p>
        </w:tc>
        <w:tc>
          <w:tcPr>
            <w:tcW w:w="242" w:type="dxa"/>
            <w:tcBorders>
              <w:top w:val="single" w:sz="4" w:space="0" w:color="000000"/>
              <w:left w:val="nil" w:sz="6" w:space="0" w:color="auto"/>
              <w:bottom w:val="nil" w:sz="6" w:space="0" w:color="auto"/>
              <w:right w:val="nil" w:sz="6" w:space="0" w:color="auto"/>
            </w:tcBorders>
          </w:tcPr>
          <w:p>
            <w:pP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5"/>
              <w:jc w:val="right"/>
              <w:rPr>
                <w:rFonts w:ascii="Arial" w:hAnsi="Arial" w:cs="Arial" w:eastAsia="Arial" w:hint="default"/>
                <w:sz w:val="24"/>
                <w:szCs w:val="24"/>
              </w:rPr>
            </w:pPr>
            <w:r>
              <w:rPr>
                <w:rFonts w:ascii="Arial"/>
                <w:spacing w:val="-1"/>
                <w:sz w:val="24"/>
              </w:rPr>
              <w:t>962,262</w:t>
            </w: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single" w:sz="4" w:space="0" w:color="000000"/>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300" w:right="0"/>
              <w:jc w:val="left"/>
              <w:rPr>
                <w:rFonts w:ascii="Arial" w:hAnsi="Arial" w:cs="Arial" w:eastAsia="Arial" w:hint="default"/>
                <w:sz w:val="24"/>
                <w:szCs w:val="24"/>
              </w:rPr>
            </w:pPr>
            <w:r>
              <w:rPr>
                <w:rFonts w:ascii="Arial"/>
                <w:sz w:val="24"/>
              </w:rPr>
              <w:t>892,979</w:t>
            </w:r>
          </w:p>
        </w:tc>
      </w:tr>
      <w:tr>
        <w:trPr>
          <w:trHeight w:val="383" w:hRule="exact"/>
        </w:trPr>
        <w:tc>
          <w:tcPr>
            <w:tcW w:w="716" w:type="dxa"/>
            <w:tcBorders>
              <w:top w:val="nil" w:sz="6" w:space="0" w:color="auto"/>
              <w:left w:val="nil" w:sz="6" w:space="0" w:color="auto"/>
              <w:bottom w:val="nil" w:sz="6" w:space="0" w:color="auto"/>
              <w:right w:val="nil" w:sz="6" w:space="0" w:color="auto"/>
            </w:tcBorders>
          </w:tcPr>
          <w:p>
            <w:pP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301" w:lineRule="exact"/>
              <w:ind w:left="239"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1333"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single" w:sz="4" w:space="0" w:color="000000"/>
              <w:right w:val="nil" w:sz="6" w:space="0" w:color="auto"/>
            </w:tcBorders>
          </w:tcPr>
          <w:p>
            <w:pPr/>
          </w:p>
        </w:tc>
        <w:tc>
          <w:tcPr>
            <w:tcW w:w="242" w:type="dxa"/>
            <w:tcBorders>
              <w:top w:val="nil" w:sz="6" w:space="0" w:color="auto"/>
              <w:left w:val="nil" w:sz="6" w:space="0" w:color="auto"/>
              <w:bottom w:val="single" w:sz="4" w:space="0" w:color="000000"/>
              <w:right w:val="nil" w:sz="6" w:space="0" w:color="auto"/>
            </w:tcBorders>
          </w:tcPr>
          <w:p>
            <w:pPr/>
          </w:p>
        </w:tc>
        <w:tc>
          <w:tcPr>
            <w:tcW w:w="121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55"/>
              <w:jc w:val="right"/>
              <w:rPr>
                <w:rFonts w:ascii="Arial" w:hAnsi="Arial" w:cs="Arial" w:eastAsia="Arial" w:hint="default"/>
                <w:sz w:val="24"/>
                <w:szCs w:val="24"/>
              </w:rPr>
            </w:pPr>
            <w:r>
              <w:rPr>
                <w:rFonts w:ascii="Arial"/>
                <w:spacing w:val="-1"/>
                <w:sz w:val="24"/>
              </w:rPr>
              <w:t>(36,859)</w:t>
            </w: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single" w:sz="4" w:space="0" w:color="000000"/>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35"/>
              <w:jc w:val="right"/>
              <w:rPr>
                <w:rFonts w:ascii="Arial" w:hAnsi="Arial" w:cs="Arial" w:eastAsia="Arial" w:hint="default"/>
                <w:sz w:val="24"/>
                <w:szCs w:val="24"/>
              </w:rPr>
            </w:pPr>
            <w:r>
              <w:rPr>
                <w:rFonts w:ascii="Arial"/>
                <w:spacing w:val="-1"/>
                <w:sz w:val="24"/>
              </w:rPr>
              <w:t>(34,040)</w:t>
            </w:r>
          </w:p>
        </w:tc>
      </w:tr>
      <w:tr>
        <w:trPr>
          <w:trHeight w:val="367" w:hRule="exact"/>
        </w:trPr>
        <w:tc>
          <w:tcPr>
            <w:tcW w:w="716"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c>
          <w:tcPr>
            <w:tcW w:w="1012" w:type="dxa"/>
            <w:tcBorders>
              <w:top w:val="single" w:sz="4" w:space="0" w:color="000000"/>
              <w:left w:val="nil" w:sz="6" w:space="0" w:color="auto"/>
              <w:bottom w:val="single" w:sz="4" w:space="0" w:color="000000"/>
              <w:right w:val="nil" w:sz="6" w:space="0" w:color="auto"/>
            </w:tcBorders>
          </w:tcPr>
          <w:p>
            <w:pPr/>
          </w:p>
        </w:tc>
        <w:tc>
          <w:tcPr>
            <w:tcW w:w="242" w:type="dxa"/>
            <w:tcBorders>
              <w:top w:val="single" w:sz="4" w:space="0" w:color="000000"/>
              <w:left w:val="nil" w:sz="6" w:space="0" w:color="auto"/>
              <w:bottom w:val="single" w:sz="4" w:space="0" w:color="000000"/>
              <w:right w:val="nil" w:sz="6" w:space="0" w:color="auto"/>
            </w:tcBorders>
          </w:tcPr>
          <w:p>
            <w:pPr/>
          </w:p>
        </w:tc>
        <w:tc>
          <w:tcPr>
            <w:tcW w:w="1219"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5"/>
              <w:jc w:val="right"/>
              <w:rPr>
                <w:rFonts w:ascii="Arial" w:hAnsi="Arial" w:cs="Arial" w:eastAsia="Arial" w:hint="default"/>
                <w:sz w:val="24"/>
                <w:szCs w:val="24"/>
              </w:rPr>
            </w:pPr>
            <w:r>
              <w:rPr>
                <w:rFonts w:ascii="Arial"/>
                <w:spacing w:val="-1"/>
                <w:sz w:val="24"/>
              </w:rPr>
              <w:t>925,403</w:t>
            </w: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single" w:sz="4" w:space="0" w:color="000000"/>
              <w:left w:val="nil" w:sz="6" w:space="0" w:color="auto"/>
              <w:bottom w:val="single" w:sz="4" w:space="0" w:color="000000"/>
              <w:right w:val="nil" w:sz="6" w:space="0" w:color="auto"/>
            </w:tcBorders>
          </w:tcPr>
          <w:p>
            <w:pP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300" w:right="0"/>
              <w:jc w:val="left"/>
              <w:rPr>
                <w:rFonts w:ascii="Arial" w:hAnsi="Arial" w:cs="Arial" w:eastAsia="Arial" w:hint="default"/>
                <w:sz w:val="24"/>
                <w:szCs w:val="24"/>
              </w:rPr>
            </w:pPr>
            <w:r>
              <w:rPr>
                <w:rFonts w:ascii="Arial"/>
                <w:sz w:val="24"/>
              </w:rPr>
              <w:t>858,939</w:t>
            </w:r>
          </w:p>
        </w:tc>
      </w:tr>
      <w:tr>
        <w:trPr>
          <w:trHeight w:val="750" w:hRule="exact"/>
        </w:trPr>
        <w:tc>
          <w:tcPr>
            <w:tcW w:w="9113"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1"/>
                <w:szCs w:val="31"/>
              </w:rPr>
            </w:pPr>
          </w:p>
          <w:p>
            <w:pPr>
              <w:pStyle w:val="TableParagraph"/>
              <w:spacing w:line="240" w:lineRule="auto"/>
              <w:ind w:left="955" w:right="0"/>
              <w:jc w:val="left"/>
              <w:rPr>
                <w:rFonts w:ascii="宋体" w:hAnsi="宋体" w:cs="宋体" w:eastAsia="宋体" w:hint="default"/>
                <w:sz w:val="24"/>
                <w:szCs w:val="24"/>
              </w:rPr>
            </w:pPr>
            <w:r>
              <w:rPr>
                <w:rFonts w:ascii="宋体" w:hAnsi="宋体" w:cs="宋体" w:eastAsia="宋体" w:hint="default"/>
                <w:sz w:val="24"/>
                <w:szCs w:val="24"/>
              </w:rPr>
              <w:t>减：长期应收款</w:t>
            </w:r>
          </w:p>
        </w:tc>
      </w:tr>
      <w:tr>
        <w:trPr>
          <w:trHeight w:val="405" w:hRule="exact"/>
        </w:trPr>
        <w:tc>
          <w:tcPr>
            <w:tcW w:w="716" w:type="dxa"/>
            <w:tcBorders>
              <w:top w:val="nil" w:sz="6" w:space="0" w:color="auto"/>
              <w:left w:val="nil" w:sz="6" w:space="0" w:color="auto"/>
              <w:bottom w:val="nil" w:sz="6" w:space="0" w:color="auto"/>
              <w:right w:val="nil" w:sz="6" w:space="0" w:color="auto"/>
            </w:tcBorders>
          </w:tcPr>
          <w:p>
            <w:pPr/>
          </w:p>
        </w:tc>
        <w:tc>
          <w:tcPr>
            <w:tcW w:w="34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
              <w:ind w:left="745" w:right="0"/>
              <w:jc w:val="left"/>
              <w:rPr>
                <w:rFonts w:ascii="宋体" w:hAnsi="宋体" w:cs="宋体" w:eastAsia="宋体" w:hint="default"/>
                <w:sz w:val="24"/>
                <w:szCs w:val="24"/>
              </w:rPr>
            </w:pPr>
            <w:r>
              <w:rPr>
                <w:rFonts w:ascii="宋体" w:hAnsi="宋体" w:cs="宋体" w:eastAsia="宋体" w:hint="default"/>
                <w:sz w:val="24"/>
                <w:szCs w:val="24"/>
              </w:rPr>
              <w:t>一年以上租赁保证金</w:t>
            </w:r>
          </w:p>
        </w:tc>
        <w:tc>
          <w:tcPr>
            <w:tcW w:w="1012"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4"/>
              <w:jc w:val="right"/>
              <w:rPr>
                <w:rFonts w:ascii="Arial" w:hAnsi="Arial" w:cs="Arial" w:eastAsia="Arial" w:hint="default"/>
                <w:sz w:val="24"/>
                <w:szCs w:val="24"/>
              </w:rPr>
            </w:pPr>
            <w:r>
              <w:rPr>
                <w:rFonts w:ascii="Arial"/>
                <w:w w:val="95"/>
                <w:sz w:val="24"/>
              </w:rPr>
              <w:t>(476,868)</w:t>
            </w:r>
            <w:r>
              <w:rPr>
                <w:rFonts w:ascii="Arial"/>
                <w:sz w:val="24"/>
              </w:rPr>
            </w: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Arial" w:hAnsi="Arial" w:cs="Arial" w:eastAsia="Arial" w:hint="default"/>
                <w:sz w:val="24"/>
                <w:szCs w:val="24"/>
              </w:rPr>
            </w:pPr>
            <w:r>
              <w:rPr>
                <w:rFonts w:ascii="Arial"/>
                <w:spacing w:val="-1"/>
                <w:sz w:val="24"/>
              </w:rPr>
              <w:t>(442,191)</w:t>
            </w:r>
          </w:p>
        </w:tc>
      </w:tr>
      <w:tr>
        <w:trPr>
          <w:trHeight w:val="383" w:hRule="exact"/>
        </w:trPr>
        <w:tc>
          <w:tcPr>
            <w:tcW w:w="716" w:type="dxa"/>
            <w:tcBorders>
              <w:top w:val="nil" w:sz="6" w:space="0" w:color="auto"/>
              <w:left w:val="nil" w:sz="6" w:space="0" w:color="auto"/>
              <w:bottom w:val="nil" w:sz="6" w:space="0" w:color="auto"/>
              <w:right w:val="nil" w:sz="6" w:space="0" w:color="auto"/>
            </w:tcBorders>
          </w:tcPr>
          <w:p>
            <w:pPr/>
          </w:p>
        </w:tc>
        <w:tc>
          <w:tcPr>
            <w:tcW w:w="3402" w:type="dxa"/>
            <w:gridSpan w:val="3"/>
            <w:tcBorders>
              <w:top w:val="nil" w:sz="6" w:space="0" w:color="auto"/>
              <w:left w:val="nil" w:sz="6" w:space="0" w:color="auto"/>
              <w:bottom w:val="nil" w:sz="6" w:space="0" w:color="auto"/>
              <w:right w:val="nil" w:sz="6" w:space="0" w:color="auto"/>
            </w:tcBorders>
          </w:tcPr>
          <w:p>
            <w:pPr>
              <w:pStyle w:val="TableParagraph"/>
              <w:spacing w:line="301" w:lineRule="exact"/>
              <w:ind w:left="745" w:right="0"/>
              <w:jc w:val="left"/>
              <w:rPr>
                <w:rFonts w:ascii="宋体" w:hAnsi="宋体" w:cs="宋体" w:eastAsia="宋体" w:hint="default"/>
                <w:sz w:val="24"/>
                <w:szCs w:val="24"/>
              </w:rPr>
            </w:pPr>
            <w:r>
              <w:rPr>
                <w:rFonts w:ascii="宋体" w:hAnsi="宋体" w:cs="宋体" w:eastAsia="宋体" w:hint="default"/>
                <w:sz w:val="24"/>
                <w:szCs w:val="24"/>
              </w:rPr>
              <w:t>一年以上采购保证金</w:t>
            </w:r>
          </w:p>
        </w:tc>
        <w:tc>
          <w:tcPr>
            <w:tcW w:w="1012" w:type="dxa"/>
            <w:tcBorders>
              <w:top w:val="nil" w:sz="6" w:space="0" w:color="auto"/>
              <w:left w:val="nil" w:sz="6" w:space="0" w:color="auto"/>
              <w:bottom w:val="single" w:sz="4" w:space="0" w:color="000000"/>
              <w:right w:val="nil" w:sz="6" w:space="0" w:color="auto"/>
            </w:tcBorders>
          </w:tcPr>
          <w:p>
            <w:pPr/>
          </w:p>
        </w:tc>
        <w:tc>
          <w:tcPr>
            <w:tcW w:w="242" w:type="dxa"/>
            <w:tcBorders>
              <w:top w:val="nil" w:sz="6" w:space="0" w:color="auto"/>
              <w:left w:val="nil" w:sz="6" w:space="0" w:color="auto"/>
              <w:bottom w:val="single" w:sz="4" w:space="0" w:color="000000"/>
              <w:right w:val="nil" w:sz="6" w:space="0" w:color="auto"/>
            </w:tcBorders>
          </w:tcPr>
          <w:p>
            <w:pPr/>
          </w:p>
        </w:tc>
        <w:tc>
          <w:tcPr>
            <w:tcW w:w="121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55"/>
              <w:jc w:val="right"/>
              <w:rPr>
                <w:rFonts w:ascii="Arial" w:hAnsi="Arial" w:cs="Arial" w:eastAsia="Arial" w:hint="default"/>
                <w:sz w:val="24"/>
                <w:szCs w:val="24"/>
              </w:rPr>
            </w:pPr>
            <w:r>
              <w:rPr>
                <w:rFonts w:ascii="Arial"/>
                <w:spacing w:val="-1"/>
                <w:sz w:val="24"/>
              </w:rPr>
              <w:t>(22,807)</w:t>
            </w: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single" w:sz="4" w:space="0" w:color="000000"/>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35"/>
              <w:jc w:val="right"/>
              <w:rPr>
                <w:rFonts w:ascii="Arial" w:hAnsi="Arial" w:cs="Arial" w:eastAsia="Arial" w:hint="default"/>
                <w:sz w:val="24"/>
                <w:szCs w:val="24"/>
              </w:rPr>
            </w:pPr>
            <w:r>
              <w:rPr>
                <w:rFonts w:ascii="Arial"/>
                <w:spacing w:val="-1"/>
                <w:sz w:val="24"/>
              </w:rPr>
              <w:t>(34,373)</w:t>
            </w:r>
          </w:p>
        </w:tc>
      </w:tr>
      <w:tr>
        <w:trPr>
          <w:trHeight w:val="377" w:hRule="exact"/>
        </w:trPr>
        <w:tc>
          <w:tcPr>
            <w:tcW w:w="716"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c>
          <w:tcPr>
            <w:tcW w:w="1012" w:type="dxa"/>
            <w:tcBorders>
              <w:top w:val="single" w:sz="4" w:space="0" w:color="000000"/>
              <w:left w:val="nil" w:sz="6" w:space="0" w:color="auto"/>
              <w:bottom w:val="single" w:sz="12" w:space="0" w:color="000000"/>
              <w:right w:val="nil" w:sz="6" w:space="0" w:color="auto"/>
            </w:tcBorders>
          </w:tcPr>
          <w:p>
            <w:pPr/>
          </w:p>
        </w:tc>
        <w:tc>
          <w:tcPr>
            <w:tcW w:w="242" w:type="dxa"/>
            <w:tcBorders>
              <w:top w:val="single" w:sz="4" w:space="0" w:color="000000"/>
              <w:left w:val="nil" w:sz="6" w:space="0" w:color="auto"/>
              <w:bottom w:val="single" w:sz="12" w:space="0" w:color="000000"/>
              <w:right w:val="nil" w:sz="6" w:space="0" w:color="auto"/>
            </w:tcBorders>
          </w:tcPr>
          <w:p>
            <w:pPr/>
          </w:p>
        </w:tc>
        <w:tc>
          <w:tcPr>
            <w:tcW w:w="1219"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48"/>
              <w:jc w:val="right"/>
              <w:rPr>
                <w:rFonts w:ascii="Arial" w:hAnsi="Arial" w:cs="Arial" w:eastAsia="Arial" w:hint="default"/>
                <w:sz w:val="24"/>
                <w:szCs w:val="24"/>
              </w:rPr>
            </w:pPr>
            <w:r>
              <w:rPr>
                <w:rFonts w:ascii="Arial"/>
                <w:spacing w:val="-1"/>
                <w:sz w:val="24"/>
              </w:rPr>
              <w:t>425,728</w:t>
            </w: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single" w:sz="4" w:space="0" w:color="000000"/>
              <w:left w:val="nil" w:sz="6" w:space="0" w:color="auto"/>
              <w:bottom w:val="single" w:sz="12" w:space="0" w:color="000000"/>
              <w:right w:val="nil" w:sz="6" w:space="0" w:color="auto"/>
            </w:tcBorders>
          </w:tcPr>
          <w:p>
            <w:pPr/>
          </w:p>
        </w:tc>
        <w:tc>
          <w:tcPr>
            <w:tcW w:w="1279"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300" w:right="0"/>
              <w:jc w:val="left"/>
              <w:rPr>
                <w:rFonts w:ascii="Arial" w:hAnsi="Arial" w:cs="Arial" w:eastAsia="Arial" w:hint="default"/>
                <w:sz w:val="24"/>
                <w:szCs w:val="24"/>
              </w:rPr>
            </w:pPr>
            <w:r>
              <w:rPr>
                <w:rFonts w:ascii="Arial"/>
                <w:sz w:val="24"/>
              </w:rPr>
              <w:t>382,375</w:t>
            </w:r>
          </w:p>
        </w:tc>
      </w:tr>
      <w:tr>
        <w:trPr>
          <w:trHeight w:val="760"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right="20"/>
              <w:jc w:val="center"/>
              <w:rPr>
                <w:rFonts w:ascii="Arial" w:hAnsi="Arial" w:cs="Arial" w:eastAsia="Arial" w:hint="default"/>
                <w:sz w:val="24"/>
                <w:szCs w:val="24"/>
              </w:rPr>
            </w:pPr>
            <w:r>
              <w:rPr>
                <w:rFonts w:ascii="Arial"/>
                <w:sz w:val="24"/>
              </w:rPr>
              <w:t>(a)</w:t>
            </w:r>
          </w:p>
        </w:tc>
        <w:tc>
          <w:tcPr>
            <w:tcW w:w="34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left="239" w:right="0"/>
              <w:jc w:val="left"/>
              <w:rPr>
                <w:rFonts w:ascii="宋体" w:hAnsi="宋体" w:cs="宋体" w:eastAsia="宋体" w:hint="default"/>
                <w:sz w:val="24"/>
                <w:szCs w:val="24"/>
              </w:rPr>
            </w:pPr>
            <w:r>
              <w:rPr>
                <w:rFonts w:ascii="宋体" w:hAnsi="宋体" w:cs="宋体" w:eastAsia="宋体" w:hint="default"/>
                <w:sz w:val="24"/>
                <w:szCs w:val="24"/>
              </w:rPr>
              <w:t>其他应收款账龄分析如下：</w:t>
            </w:r>
          </w:p>
        </w:tc>
        <w:tc>
          <w:tcPr>
            <w:tcW w:w="1012" w:type="dxa"/>
            <w:tcBorders>
              <w:top w:val="single" w:sz="12" w:space="0" w:color="000000"/>
              <w:left w:val="nil" w:sz="6" w:space="0" w:color="auto"/>
              <w:bottom w:val="nil" w:sz="6" w:space="0" w:color="auto"/>
              <w:right w:val="nil" w:sz="6" w:space="0" w:color="auto"/>
            </w:tcBorders>
          </w:tcPr>
          <w:p>
            <w:pPr/>
          </w:p>
        </w:tc>
        <w:tc>
          <w:tcPr>
            <w:tcW w:w="242" w:type="dxa"/>
            <w:tcBorders>
              <w:top w:val="single" w:sz="12" w:space="0" w:color="000000"/>
              <w:left w:val="nil" w:sz="6" w:space="0" w:color="auto"/>
              <w:bottom w:val="nil" w:sz="6" w:space="0" w:color="auto"/>
              <w:right w:val="nil" w:sz="6" w:space="0" w:color="auto"/>
            </w:tcBorders>
          </w:tcPr>
          <w:p>
            <w:pPr/>
          </w:p>
        </w:tc>
        <w:tc>
          <w:tcPr>
            <w:tcW w:w="1219" w:type="dxa"/>
            <w:tcBorders>
              <w:top w:val="single" w:sz="12" w:space="0" w:color="000000"/>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single" w:sz="12" w:space="0" w:color="000000"/>
              <w:left w:val="nil" w:sz="6" w:space="0" w:color="auto"/>
              <w:bottom w:val="nil" w:sz="6" w:space="0" w:color="auto"/>
              <w:right w:val="nil" w:sz="6" w:space="0" w:color="auto"/>
            </w:tcBorders>
          </w:tcPr>
          <w:p>
            <w:pPr/>
          </w:p>
        </w:tc>
        <w:tc>
          <w:tcPr>
            <w:tcW w:w="1279" w:type="dxa"/>
            <w:tcBorders>
              <w:top w:val="single" w:sz="12" w:space="0" w:color="000000"/>
              <w:left w:val="nil" w:sz="6" w:space="0" w:color="auto"/>
              <w:bottom w:val="nil" w:sz="6" w:space="0" w:color="auto"/>
              <w:right w:val="nil" w:sz="6" w:space="0" w:color="auto"/>
            </w:tcBorders>
          </w:tcPr>
          <w:p>
            <w:pPr/>
          </w:p>
        </w:tc>
      </w:tr>
      <w:tr>
        <w:trPr>
          <w:trHeight w:val="397" w:hRule="exact"/>
        </w:trPr>
        <w:tc>
          <w:tcPr>
            <w:tcW w:w="716"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c>
          <w:tcPr>
            <w:tcW w:w="24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
              <w:ind w:left="322"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52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
              <w:ind w:left="338"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00" w:hRule="exact"/>
        </w:trPr>
        <w:tc>
          <w:tcPr>
            <w:tcW w:w="716" w:type="dxa"/>
            <w:tcBorders>
              <w:top w:val="nil" w:sz="6" w:space="0" w:color="auto"/>
              <w:left w:val="nil" w:sz="6" w:space="0" w:color="auto"/>
              <w:bottom w:val="nil" w:sz="6" w:space="0" w:color="auto"/>
              <w:right w:val="nil" w:sz="6" w:space="0" w:color="auto"/>
            </w:tcBorders>
          </w:tcPr>
          <w:p>
            <w:pP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310" w:lineRule="exact"/>
              <w:ind w:left="239"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333"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8"/>
              <w:jc w:val="right"/>
              <w:rPr>
                <w:rFonts w:ascii="Arial" w:hAnsi="Arial" w:cs="Arial" w:eastAsia="Arial" w:hint="default"/>
                <w:sz w:val="24"/>
                <w:szCs w:val="24"/>
              </w:rPr>
            </w:pPr>
            <w:r>
              <w:rPr>
                <w:rFonts w:ascii="Arial"/>
                <w:spacing w:val="-1"/>
                <w:sz w:val="24"/>
              </w:rPr>
              <w:t>349,949</w:t>
            </w: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00" w:right="0"/>
              <w:jc w:val="left"/>
              <w:rPr>
                <w:rFonts w:ascii="Arial" w:hAnsi="Arial" w:cs="Arial" w:eastAsia="Arial" w:hint="default"/>
                <w:sz w:val="24"/>
                <w:szCs w:val="24"/>
              </w:rPr>
            </w:pPr>
            <w:r>
              <w:rPr>
                <w:rFonts w:ascii="Arial"/>
                <w:sz w:val="24"/>
              </w:rPr>
              <w:t>293,124</w:t>
            </w:r>
          </w:p>
        </w:tc>
      </w:tr>
      <w:tr>
        <w:trPr>
          <w:trHeight w:val="391" w:hRule="exact"/>
        </w:trPr>
        <w:tc>
          <w:tcPr>
            <w:tcW w:w="716" w:type="dxa"/>
            <w:tcBorders>
              <w:top w:val="nil" w:sz="6" w:space="0" w:color="auto"/>
              <w:left w:val="nil" w:sz="6" w:space="0" w:color="auto"/>
              <w:bottom w:val="nil" w:sz="6" w:space="0" w:color="auto"/>
              <w:right w:val="nil" w:sz="6" w:space="0" w:color="auto"/>
            </w:tcBorders>
          </w:tcPr>
          <w:p>
            <w:pP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301" w:lineRule="exact"/>
              <w:ind w:left="239"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1333"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61,764</w:t>
            </w: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81,429</w:t>
            </w:r>
          </w:p>
        </w:tc>
      </w:tr>
      <w:tr>
        <w:trPr>
          <w:trHeight w:val="391" w:hRule="exact"/>
        </w:trPr>
        <w:tc>
          <w:tcPr>
            <w:tcW w:w="716" w:type="dxa"/>
            <w:tcBorders>
              <w:top w:val="nil" w:sz="6" w:space="0" w:color="auto"/>
              <w:left w:val="nil" w:sz="6" w:space="0" w:color="auto"/>
              <w:bottom w:val="nil" w:sz="6" w:space="0" w:color="auto"/>
              <w:right w:val="nil" w:sz="6" w:space="0" w:color="auto"/>
            </w:tcBorders>
          </w:tcPr>
          <w:p>
            <w:pP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301" w:lineRule="exact"/>
              <w:ind w:left="239"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1333"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41,821</w:t>
            </w: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31,335</w:t>
            </w:r>
          </w:p>
        </w:tc>
      </w:tr>
      <w:tr>
        <w:trPr>
          <w:trHeight w:val="391" w:hRule="exact"/>
        </w:trPr>
        <w:tc>
          <w:tcPr>
            <w:tcW w:w="716" w:type="dxa"/>
            <w:tcBorders>
              <w:top w:val="nil" w:sz="6" w:space="0" w:color="auto"/>
              <w:left w:val="nil" w:sz="6" w:space="0" w:color="auto"/>
              <w:bottom w:val="nil" w:sz="6" w:space="0" w:color="auto"/>
              <w:right w:val="nil" w:sz="6" w:space="0" w:color="auto"/>
            </w:tcBorders>
          </w:tcPr>
          <w:p>
            <w:pP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301" w:lineRule="exact"/>
              <w:ind w:left="239"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1333"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3,641</w:t>
            </w: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6,062</w:t>
            </w:r>
          </w:p>
        </w:tc>
      </w:tr>
      <w:tr>
        <w:trPr>
          <w:trHeight w:val="393" w:hRule="exact"/>
        </w:trPr>
        <w:tc>
          <w:tcPr>
            <w:tcW w:w="716" w:type="dxa"/>
            <w:tcBorders>
              <w:top w:val="nil" w:sz="6" w:space="0" w:color="auto"/>
              <w:left w:val="nil" w:sz="6" w:space="0" w:color="auto"/>
              <w:bottom w:val="nil" w:sz="6" w:space="0" w:color="auto"/>
              <w:right w:val="nil" w:sz="6" w:space="0" w:color="auto"/>
            </w:tcBorders>
          </w:tcPr>
          <w:p>
            <w:pP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301" w:lineRule="exact"/>
              <w:ind w:left="239"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1333"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4,212</w:t>
            </w: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4,321</w:t>
            </w:r>
          </w:p>
        </w:tc>
      </w:tr>
      <w:tr>
        <w:trPr>
          <w:trHeight w:val="384" w:hRule="exact"/>
        </w:trPr>
        <w:tc>
          <w:tcPr>
            <w:tcW w:w="716" w:type="dxa"/>
            <w:tcBorders>
              <w:top w:val="nil" w:sz="6" w:space="0" w:color="auto"/>
              <w:left w:val="nil" w:sz="6" w:space="0" w:color="auto"/>
              <w:bottom w:val="nil" w:sz="6" w:space="0" w:color="auto"/>
              <w:right w:val="nil" w:sz="6" w:space="0" w:color="auto"/>
            </w:tcBorders>
          </w:tcPr>
          <w:p>
            <w:pP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303" w:lineRule="exact"/>
              <w:ind w:left="239"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1333"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single" w:sz="4" w:space="0" w:color="000000"/>
              <w:right w:val="nil" w:sz="6" w:space="0" w:color="auto"/>
            </w:tcBorders>
          </w:tcPr>
          <w:p>
            <w:pPr/>
          </w:p>
        </w:tc>
        <w:tc>
          <w:tcPr>
            <w:tcW w:w="242" w:type="dxa"/>
            <w:tcBorders>
              <w:top w:val="nil" w:sz="6" w:space="0" w:color="auto"/>
              <w:left w:val="nil" w:sz="6" w:space="0" w:color="auto"/>
              <w:bottom w:val="single" w:sz="4" w:space="0" w:color="000000"/>
              <w:right w:val="nil" w:sz="6" w:space="0" w:color="auto"/>
            </w:tcBorders>
          </w:tcPr>
          <w:p>
            <w:pPr/>
          </w:p>
        </w:tc>
        <w:tc>
          <w:tcPr>
            <w:tcW w:w="121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sz w:val="24"/>
              </w:rPr>
              <w:t>1,200</w:t>
            </w: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single" w:sz="4" w:space="0" w:color="000000"/>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w w:val="95"/>
                <w:sz w:val="24"/>
              </w:rPr>
              <w:t>144</w:t>
            </w:r>
            <w:r>
              <w:rPr>
                <w:rFonts w:ascii="Arial"/>
                <w:sz w:val="24"/>
              </w:rPr>
            </w:r>
          </w:p>
        </w:tc>
      </w:tr>
      <w:tr>
        <w:trPr>
          <w:trHeight w:val="377" w:hRule="exact"/>
        </w:trPr>
        <w:tc>
          <w:tcPr>
            <w:tcW w:w="716" w:type="dxa"/>
            <w:tcBorders>
              <w:top w:val="nil" w:sz="6" w:space="0" w:color="auto"/>
              <w:left w:val="nil" w:sz="6" w:space="0" w:color="auto"/>
              <w:bottom w:val="nil" w:sz="6" w:space="0" w:color="auto"/>
              <w:right w:val="nil" w:sz="6" w:space="0" w:color="auto"/>
            </w:tcBorders>
          </w:tcPr>
          <w:p>
            <w:pPr/>
          </w:p>
        </w:tc>
        <w:tc>
          <w:tcPr>
            <w:tcW w:w="2069" w:type="dxa"/>
            <w:gridSpan w:val="2"/>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c>
          <w:tcPr>
            <w:tcW w:w="1012" w:type="dxa"/>
            <w:tcBorders>
              <w:top w:val="single" w:sz="4" w:space="0" w:color="000000"/>
              <w:left w:val="nil" w:sz="6" w:space="0" w:color="auto"/>
              <w:bottom w:val="single" w:sz="12" w:space="0" w:color="000000"/>
              <w:right w:val="nil" w:sz="6" w:space="0" w:color="auto"/>
            </w:tcBorders>
          </w:tcPr>
          <w:p>
            <w:pPr/>
          </w:p>
        </w:tc>
        <w:tc>
          <w:tcPr>
            <w:tcW w:w="242" w:type="dxa"/>
            <w:tcBorders>
              <w:top w:val="single" w:sz="4" w:space="0" w:color="000000"/>
              <w:left w:val="nil" w:sz="6" w:space="0" w:color="auto"/>
              <w:bottom w:val="single" w:sz="12" w:space="0" w:color="000000"/>
              <w:right w:val="nil" w:sz="6" w:space="0" w:color="auto"/>
            </w:tcBorders>
          </w:tcPr>
          <w:p>
            <w:pPr/>
          </w:p>
        </w:tc>
        <w:tc>
          <w:tcPr>
            <w:tcW w:w="1219"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8"/>
              <w:jc w:val="right"/>
              <w:rPr>
                <w:rFonts w:ascii="Arial" w:hAnsi="Arial" w:cs="Arial" w:eastAsia="Arial" w:hint="default"/>
                <w:sz w:val="24"/>
                <w:szCs w:val="24"/>
              </w:rPr>
            </w:pPr>
            <w:r>
              <w:rPr>
                <w:rFonts w:ascii="Arial"/>
                <w:spacing w:val="-1"/>
                <w:sz w:val="24"/>
              </w:rPr>
              <w:t>462,587</w:t>
            </w:r>
          </w:p>
        </w:tc>
        <w:tc>
          <w:tcPr>
            <w:tcW w:w="262" w:type="dxa"/>
            <w:tcBorders>
              <w:top w:val="nil" w:sz="6" w:space="0" w:color="auto"/>
              <w:left w:val="nil" w:sz="6" w:space="0" w:color="auto"/>
              <w:bottom w:val="nil" w:sz="6" w:space="0" w:color="auto"/>
              <w:right w:val="nil" w:sz="6" w:space="0" w:color="auto"/>
            </w:tcBorders>
          </w:tcPr>
          <w:p>
            <w:pPr/>
          </w:p>
        </w:tc>
        <w:tc>
          <w:tcPr>
            <w:tcW w:w="980" w:type="dxa"/>
            <w:tcBorders>
              <w:top w:val="single" w:sz="4" w:space="0" w:color="000000"/>
              <w:left w:val="nil" w:sz="6" w:space="0" w:color="auto"/>
              <w:bottom w:val="single" w:sz="12" w:space="0" w:color="000000"/>
              <w:right w:val="nil" w:sz="6" w:space="0" w:color="auto"/>
            </w:tcBorders>
          </w:tcPr>
          <w:p>
            <w:pPr/>
          </w:p>
        </w:tc>
        <w:tc>
          <w:tcPr>
            <w:tcW w:w="1279"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left="300" w:right="0"/>
              <w:jc w:val="left"/>
              <w:rPr>
                <w:rFonts w:ascii="Arial" w:hAnsi="Arial" w:cs="Arial" w:eastAsia="Arial" w:hint="default"/>
                <w:sz w:val="24"/>
                <w:szCs w:val="24"/>
              </w:rPr>
            </w:pPr>
            <w:r>
              <w:rPr>
                <w:rFonts w:ascii="Arial"/>
                <w:sz w:val="24"/>
              </w:rPr>
              <w:t>416,415</w:t>
            </w:r>
          </w:p>
        </w:tc>
      </w:tr>
    </w:tbl>
    <w:p>
      <w:pPr>
        <w:spacing w:after="0" w:line="240" w:lineRule="auto"/>
        <w:jc w:val="left"/>
        <w:rPr>
          <w:rFonts w:ascii="Arial" w:hAnsi="Arial" w:cs="Arial" w:eastAsia="Arial" w:hint="default"/>
          <w:sz w:val="24"/>
          <w:szCs w:val="24"/>
        </w:rPr>
        <w:sectPr>
          <w:footerReference w:type="default" r:id="rId73"/>
          <w:pgSz w:w="11910" w:h="16850"/>
          <w:pgMar w:footer="708" w:header="795" w:top="2020" w:bottom="900" w:left="1420" w:right="0"/>
          <w:pgNumType w:start="146"/>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1595848" type="#_x0000_t75" stroked="false">
            <v:imagedata r:id="rId10" o:title=""/>
          </v:shape>
        </w:pict>
      </w:r>
    </w:p>
    <w:p>
      <w:pPr>
        <w:spacing w:line="240" w:lineRule="auto" w:before="8"/>
        <w:rPr>
          <w:rFonts w:ascii="Times New Roman" w:hAnsi="Times New Roman" w:cs="Times New Roman" w:eastAsia="Times New Roman"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680"/>
        <w:gridCol w:w="3427"/>
      </w:tblGrid>
      <w:tr>
        <w:trPr>
          <w:trHeight w:val="497"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right="38"/>
              <w:jc w:val="center"/>
              <w:rPr>
                <w:rFonts w:ascii="黑体" w:hAnsi="黑体" w:cs="黑体" w:eastAsia="黑体" w:hint="default"/>
                <w:sz w:val="24"/>
                <w:szCs w:val="24"/>
              </w:rPr>
            </w:pPr>
            <w:r>
              <w:rPr>
                <w:rFonts w:ascii="黑体" w:hAnsi="黑体" w:cs="黑体" w:eastAsia="黑体" w:hint="default"/>
                <w:sz w:val="24"/>
                <w:szCs w:val="24"/>
              </w:rPr>
              <w:t>五</w:t>
            </w:r>
          </w:p>
        </w:tc>
        <w:tc>
          <w:tcPr>
            <w:tcW w:w="3427" w:type="dxa"/>
            <w:tcBorders>
              <w:top w:val="nil" w:sz="6" w:space="0" w:color="auto"/>
              <w:left w:val="nil" w:sz="6" w:space="0" w:color="auto"/>
              <w:bottom w:val="nil" w:sz="6" w:space="0" w:color="auto"/>
              <w:right w:val="nil" w:sz="6" w:space="0" w:color="auto"/>
            </w:tcBorders>
          </w:tcPr>
          <w:p>
            <w:pPr>
              <w:pStyle w:val="TableParagraph"/>
              <w:spacing w:line="257" w:lineRule="exact"/>
              <w:ind w:left="18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4"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13" w:right="0"/>
              <w:jc w:val="center"/>
              <w:rPr>
                <w:rFonts w:ascii="Arial" w:hAnsi="Arial" w:cs="Arial" w:eastAsia="Arial" w:hint="default"/>
                <w:sz w:val="24"/>
                <w:szCs w:val="24"/>
              </w:rPr>
            </w:pPr>
            <w:r>
              <w:rPr>
                <w:rFonts w:ascii="Arial"/>
                <w:sz w:val="24"/>
              </w:rPr>
              <w:t>(5)</w:t>
            </w:r>
          </w:p>
        </w:tc>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86" w:right="0"/>
              <w:jc w:val="left"/>
              <w:rPr>
                <w:rFonts w:ascii="Arial" w:hAnsi="Arial" w:cs="Arial" w:eastAsia="Arial" w:hint="default"/>
                <w:sz w:val="24"/>
                <w:szCs w:val="24"/>
              </w:rPr>
            </w:pPr>
            <w:r>
              <w:rPr>
                <w:rFonts w:ascii="黑体" w:hAnsi="黑体" w:cs="黑体" w:eastAsia="黑体" w:hint="default"/>
                <w:sz w:val="24"/>
                <w:szCs w:val="24"/>
              </w:rPr>
              <w:t>其他应收款和长期应收款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6"/>
          <w:szCs w:val="16"/>
        </w:rPr>
      </w:pPr>
    </w:p>
    <w:tbl>
      <w:tblPr>
        <w:tblW w:w="0" w:type="auto"/>
        <w:jc w:val="left"/>
        <w:tblInd w:w="163" w:type="dxa"/>
        <w:tblLayout w:type="fixed"/>
        <w:tblCellMar>
          <w:top w:w="0" w:type="dxa"/>
          <w:left w:w="0" w:type="dxa"/>
          <w:bottom w:w="0" w:type="dxa"/>
          <w:right w:w="0" w:type="dxa"/>
        </w:tblCellMar>
        <w:tblLook w:val="01E0"/>
      </w:tblPr>
      <w:tblGrid>
        <w:gridCol w:w="684"/>
        <w:gridCol w:w="3935"/>
        <w:gridCol w:w="2160"/>
        <w:gridCol w:w="262"/>
        <w:gridCol w:w="2259"/>
      </w:tblGrid>
      <w:tr>
        <w:trPr>
          <w:trHeight w:val="502" w:hRule="exact"/>
        </w:trPr>
        <w:tc>
          <w:tcPr>
            <w:tcW w:w="684"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3935" w:type="dxa"/>
            <w:tcBorders>
              <w:top w:val="nil" w:sz="6" w:space="0" w:color="auto"/>
              <w:left w:val="nil" w:sz="6" w:space="0" w:color="auto"/>
              <w:bottom w:val="nil" w:sz="6" w:space="0" w:color="auto"/>
              <w:right w:val="nil" w:sz="6" w:space="0" w:color="auto"/>
            </w:tcBorders>
          </w:tcPr>
          <w:p>
            <w:pPr>
              <w:pStyle w:val="TableParagraph"/>
              <w:spacing w:line="247" w:lineRule="exact"/>
              <w:ind w:left="190" w:right="0"/>
              <w:jc w:val="left"/>
              <w:rPr>
                <w:rFonts w:ascii="宋体" w:hAnsi="宋体" w:cs="宋体" w:eastAsia="宋体" w:hint="default"/>
                <w:sz w:val="24"/>
                <w:szCs w:val="24"/>
              </w:rPr>
            </w:pPr>
            <w:r>
              <w:rPr>
                <w:rFonts w:ascii="宋体" w:hAnsi="宋体" w:cs="宋体" w:eastAsia="宋体" w:hint="default"/>
                <w:sz w:val="24"/>
                <w:szCs w:val="24"/>
              </w:rPr>
              <w:t>长期应收款账龄分析如下：</w:t>
            </w:r>
          </w:p>
        </w:tc>
        <w:tc>
          <w:tcPr>
            <w:tcW w:w="2160"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nil" w:sz="6" w:space="0" w:color="auto"/>
              <w:right w:val="nil" w:sz="6" w:space="0" w:color="auto"/>
            </w:tcBorders>
          </w:tcPr>
          <w:p>
            <w:pPr/>
          </w:p>
        </w:tc>
      </w:tr>
      <w:tr>
        <w:trPr>
          <w:trHeight w:val="576" w:hRule="exact"/>
        </w:trPr>
        <w:tc>
          <w:tcPr>
            <w:tcW w:w="684" w:type="dxa"/>
            <w:tcBorders>
              <w:top w:val="nil" w:sz="6" w:space="0" w:color="auto"/>
              <w:left w:val="nil" w:sz="6" w:space="0" w:color="auto"/>
              <w:bottom w:val="nil" w:sz="6" w:space="0" w:color="auto"/>
              <w:right w:val="nil" w:sz="6" w:space="0" w:color="auto"/>
            </w:tcBorders>
          </w:tcPr>
          <w:p>
            <w:pPr/>
          </w:p>
        </w:tc>
        <w:tc>
          <w:tcPr>
            <w:tcW w:w="3935"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59"/>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62"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103"/>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399" w:hRule="exact"/>
        </w:trPr>
        <w:tc>
          <w:tcPr>
            <w:tcW w:w="684" w:type="dxa"/>
            <w:tcBorders>
              <w:top w:val="nil" w:sz="6" w:space="0" w:color="auto"/>
              <w:left w:val="nil" w:sz="6" w:space="0" w:color="auto"/>
              <w:bottom w:val="nil" w:sz="6" w:space="0" w:color="auto"/>
              <w:right w:val="nil" w:sz="6" w:space="0" w:color="auto"/>
            </w:tcBorders>
          </w:tcPr>
          <w:p>
            <w:pPr/>
          </w:p>
        </w:tc>
        <w:tc>
          <w:tcPr>
            <w:tcW w:w="3935" w:type="dxa"/>
            <w:tcBorders>
              <w:top w:val="nil" w:sz="6" w:space="0" w:color="auto"/>
              <w:left w:val="nil" w:sz="6" w:space="0" w:color="auto"/>
              <w:bottom w:val="nil" w:sz="6" w:space="0" w:color="auto"/>
              <w:right w:val="nil" w:sz="6" w:space="0" w:color="auto"/>
            </w:tcBorders>
          </w:tcPr>
          <w:p>
            <w:pPr>
              <w:pStyle w:val="TableParagraph"/>
              <w:spacing w:line="310" w:lineRule="exact"/>
              <w:ind w:left="190"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5"/>
              <w:jc w:val="right"/>
              <w:rPr>
                <w:rFonts w:ascii="Arial" w:hAnsi="Arial" w:cs="Arial" w:eastAsia="Arial" w:hint="default"/>
                <w:sz w:val="24"/>
                <w:szCs w:val="24"/>
              </w:rPr>
            </w:pPr>
            <w:r>
              <w:rPr>
                <w:rFonts w:ascii="Arial"/>
                <w:spacing w:val="-1"/>
                <w:sz w:val="24"/>
              </w:rPr>
              <w:t>98,358</w:t>
            </w:r>
          </w:p>
        </w:tc>
        <w:tc>
          <w:tcPr>
            <w:tcW w:w="262"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5"/>
              <w:jc w:val="right"/>
              <w:rPr>
                <w:rFonts w:ascii="Arial" w:hAnsi="Arial" w:cs="Arial" w:eastAsia="Arial" w:hint="default"/>
                <w:sz w:val="24"/>
                <w:szCs w:val="24"/>
              </w:rPr>
            </w:pPr>
            <w:r>
              <w:rPr>
                <w:rFonts w:ascii="Arial"/>
                <w:spacing w:val="-1"/>
                <w:sz w:val="24"/>
              </w:rPr>
              <w:t>92,829</w:t>
            </w:r>
          </w:p>
        </w:tc>
      </w:tr>
      <w:tr>
        <w:trPr>
          <w:trHeight w:val="391" w:hRule="exact"/>
        </w:trPr>
        <w:tc>
          <w:tcPr>
            <w:tcW w:w="684" w:type="dxa"/>
            <w:tcBorders>
              <w:top w:val="nil" w:sz="6" w:space="0" w:color="auto"/>
              <w:left w:val="nil" w:sz="6" w:space="0" w:color="auto"/>
              <w:bottom w:val="nil" w:sz="6" w:space="0" w:color="auto"/>
              <w:right w:val="nil" w:sz="6" w:space="0" w:color="auto"/>
            </w:tcBorders>
          </w:tcPr>
          <w:p>
            <w:pPr/>
          </w:p>
        </w:tc>
        <w:tc>
          <w:tcPr>
            <w:tcW w:w="3935" w:type="dxa"/>
            <w:tcBorders>
              <w:top w:val="nil" w:sz="6" w:space="0" w:color="auto"/>
              <w:left w:val="nil" w:sz="6" w:space="0" w:color="auto"/>
              <w:bottom w:val="nil" w:sz="6" w:space="0" w:color="auto"/>
              <w:right w:val="nil" w:sz="6" w:space="0" w:color="auto"/>
            </w:tcBorders>
          </w:tcPr>
          <w:p>
            <w:pPr>
              <w:pStyle w:val="TableParagraph"/>
              <w:spacing w:line="303" w:lineRule="exact"/>
              <w:ind w:left="190"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spacing w:val="-1"/>
                <w:sz w:val="24"/>
              </w:rPr>
              <w:t>83,168</w:t>
            </w:r>
          </w:p>
        </w:tc>
        <w:tc>
          <w:tcPr>
            <w:tcW w:w="262"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spacing w:val="-1"/>
                <w:sz w:val="24"/>
              </w:rPr>
              <w:t>45,599</w:t>
            </w:r>
          </w:p>
        </w:tc>
      </w:tr>
      <w:tr>
        <w:trPr>
          <w:trHeight w:val="391" w:hRule="exact"/>
        </w:trPr>
        <w:tc>
          <w:tcPr>
            <w:tcW w:w="684" w:type="dxa"/>
            <w:tcBorders>
              <w:top w:val="nil" w:sz="6" w:space="0" w:color="auto"/>
              <w:left w:val="nil" w:sz="6" w:space="0" w:color="auto"/>
              <w:bottom w:val="nil" w:sz="6" w:space="0" w:color="auto"/>
              <w:right w:val="nil" w:sz="6" w:space="0" w:color="auto"/>
            </w:tcBorders>
          </w:tcPr>
          <w:p>
            <w:pPr/>
          </w:p>
        </w:tc>
        <w:tc>
          <w:tcPr>
            <w:tcW w:w="3935" w:type="dxa"/>
            <w:tcBorders>
              <w:top w:val="nil" w:sz="6" w:space="0" w:color="auto"/>
              <w:left w:val="nil" w:sz="6" w:space="0" w:color="auto"/>
              <w:bottom w:val="nil" w:sz="6" w:space="0" w:color="auto"/>
              <w:right w:val="nil" w:sz="6" w:space="0" w:color="auto"/>
            </w:tcBorders>
          </w:tcPr>
          <w:p>
            <w:pPr>
              <w:pStyle w:val="TableParagraph"/>
              <w:spacing w:line="303" w:lineRule="exact"/>
              <w:ind w:left="190"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spacing w:val="-1"/>
                <w:sz w:val="24"/>
              </w:rPr>
              <w:t>45,386</w:t>
            </w:r>
          </w:p>
        </w:tc>
        <w:tc>
          <w:tcPr>
            <w:tcW w:w="262"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spacing w:val="-1"/>
                <w:sz w:val="24"/>
              </w:rPr>
              <w:t>30,794</w:t>
            </w:r>
          </w:p>
        </w:tc>
      </w:tr>
      <w:tr>
        <w:trPr>
          <w:trHeight w:val="391" w:hRule="exact"/>
        </w:trPr>
        <w:tc>
          <w:tcPr>
            <w:tcW w:w="684" w:type="dxa"/>
            <w:tcBorders>
              <w:top w:val="nil" w:sz="6" w:space="0" w:color="auto"/>
              <w:left w:val="nil" w:sz="6" w:space="0" w:color="auto"/>
              <w:bottom w:val="nil" w:sz="6" w:space="0" w:color="auto"/>
              <w:right w:val="nil" w:sz="6" w:space="0" w:color="auto"/>
            </w:tcBorders>
          </w:tcPr>
          <w:p>
            <w:pPr/>
          </w:p>
        </w:tc>
        <w:tc>
          <w:tcPr>
            <w:tcW w:w="3935" w:type="dxa"/>
            <w:tcBorders>
              <w:top w:val="nil" w:sz="6" w:space="0" w:color="auto"/>
              <w:left w:val="nil" w:sz="6" w:space="0" w:color="auto"/>
              <w:bottom w:val="nil" w:sz="6" w:space="0" w:color="auto"/>
              <w:right w:val="nil" w:sz="6" w:space="0" w:color="auto"/>
            </w:tcBorders>
          </w:tcPr>
          <w:p>
            <w:pPr>
              <w:pStyle w:val="TableParagraph"/>
              <w:spacing w:line="303" w:lineRule="exact"/>
              <w:ind w:left="190"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spacing w:val="-1"/>
                <w:sz w:val="24"/>
              </w:rPr>
              <w:t>30,287</w:t>
            </w:r>
          </w:p>
        </w:tc>
        <w:tc>
          <w:tcPr>
            <w:tcW w:w="262"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spacing w:val="-1"/>
                <w:sz w:val="24"/>
              </w:rPr>
              <w:t>42,969</w:t>
            </w:r>
          </w:p>
        </w:tc>
      </w:tr>
      <w:tr>
        <w:trPr>
          <w:trHeight w:val="391" w:hRule="exact"/>
        </w:trPr>
        <w:tc>
          <w:tcPr>
            <w:tcW w:w="684" w:type="dxa"/>
            <w:tcBorders>
              <w:top w:val="nil" w:sz="6" w:space="0" w:color="auto"/>
              <w:left w:val="nil" w:sz="6" w:space="0" w:color="auto"/>
              <w:bottom w:val="nil" w:sz="6" w:space="0" w:color="auto"/>
              <w:right w:val="nil" w:sz="6" w:space="0" w:color="auto"/>
            </w:tcBorders>
          </w:tcPr>
          <w:p>
            <w:pPr/>
          </w:p>
        </w:tc>
        <w:tc>
          <w:tcPr>
            <w:tcW w:w="3935" w:type="dxa"/>
            <w:tcBorders>
              <w:top w:val="nil" w:sz="6" w:space="0" w:color="auto"/>
              <w:left w:val="nil" w:sz="6" w:space="0" w:color="auto"/>
              <w:bottom w:val="nil" w:sz="6" w:space="0" w:color="auto"/>
              <w:right w:val="nil" w:sz="6" w:space="0" w:color="auto"/>
            </w:tcBorders>
          </w:tcPr>
          <w:p>
            <w:pPr>
              <w:pStyle w:val="TableParagraph"/>
              <w:spacing w:line="303" w:lineRule="exact"/>
              <w:ind w:left="190"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spacing w:val="-1"/>
                <w:sz w:val="24"/>
              </w:rPr>
              <w:t>40,416</w:t>
            </w:r>
          </w:p>
        </w:tc>
        <w:tc>
          <w:tcPr>
            <w:tcW w:w="262"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4"/>
              <w:jc w:val="right"/>
              <w:rPr>
                <w:rFonts w:ascii="Arial" w:hAnsi="Arial" w:cs="Arial" w:eastAsia="Arial" w:hint="default"/>
                <w:sz w:val="24"/>
                <w:szCs w:val="24"/>
              </w:rPr>
            </w:pPr>
            <w:r>
              <w:rPr>
                <w:rFonts w:ascii="Arial"/>
                <w:spacing w:val="-4"/>
                <w:sz w:val="24"/>
              </w:rPr>
              <w:t>5,117</w:t>
            </w:r>
          </w:p>
        </w:tc>
      </w:tr>
      <w:tr>
        <w:trPr>
          <w:trHeight w:val="384" w:hRule="exact"/>
        </w:trPr>
        <w:tc>
          <w:tcPr>
            <w:tcW w:w="684" w:type="dxa"/>
            <w:tcBorders>
              <w:top w:val="nil" w:sz="6" w:space="0" w:color="auto"/>
              <w:left w:val="nil" w:sz="6" w:space="0" w:color="auto"/>
              <w:bottom w:val="nil" w:sz="6" w:space="0" w:color="auto"/>
              <w:right w:val="nil" w:sz="6" w:space="0" w:color="auto"/>
            </w:tcBorders>
          </w:tcPr>
          <w:p>
            <w:pPr/>
          </w:p>
        </w:tc>
        <w:tc>
          <w:tcPr>
            <w:tcW w:w="3935" w:type="dxa"/>
            <w:tcBorders>
              <w:top w:val="nil" w:sz="6" w:space="0" w:color="auto"/>
              <w:left w:val="nil" w:sz="6" w:space="0" w:color="auto"/>
              <w:bottom w:val="nil" w:sz="6" w:space="0" w:color="auto"/>
              <w:right w:val="nil" w:sz="6" w:space="0" w:color="auto"/>
            </w:tcBorders>
          </w:tcPr>
          <w:p>
            <w:pPr>
              <w:pStyle w:val="TableParagraph"/>
              <w:spacing w:line="303" w:lineRule="exact"/>
              <w:ind w:left="190"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spacing w:val="-1"/>
                <w:sz w:val="24"/>
              </w:rPr>
              <w:t>202,060</w:t>
            </w:r>
          </w:p>
        </w:tc>
        <w:tc>
          <w:tcPr>
            <w:tcW w:w="262"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spacing w:val="-1"/>
                <w:sz w:val="24"/>
              </w:rPr>
              <w:t>259,256</w:t>
            </w:r>
          </w:p>
        </w:tc>
      </w:tr>
      <w:tr>
        <w:trPr>
          <w:trHeight w:val="377" w:hRule="exact"/>
        </w:trPr>
        <w:tc>
          <w:tcPr>
            <w:tcW w:w="684" w:type="dxa"/>
            <w:tcBorders>
              <w:top w:val="nil" w:sz="6" w:space="0" w:color="auto"/>
              <w:left w:val="nil" w:sz="6" w:space="0" w:color="auto"/>
              <w:bottom w:val="nil" w:sz="6" w:space="0" w:color="auto"/>
              <w:right w:val="nil" w:sz="6" w:space="0" w:color="auto"/>
            </w:tcBorders>
          </w:tcPr>
          <w:p>
            <w:pPr/>
          </w:p>
        </w:tc>
        <w:tc>
          <w:tcPr>
            <w:tcW w:w="3935"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5"/>
              <w:jc w:val="right"/>
              <w:rPr>
                <w:rFonts w:ascii="Arial" w:hAnsi="Arial" w:cs="Arial" w:eastAsia="Arial" w:hint="default"/>
                <w:sz w:val="24"/>
                <w:szCs w:val="24"/>
              </w:rPr>
            </w:pPr>
            <w:r>
              <w:rPr>
                <w:rFonts w:ascii="Arial"/>
                <w:spacing w:val="-1"/>
                <w:sz w:val="24"/>
              </w:rPr>
              <w:t>499,675</w:t>
            </w:r>
          </w:p>
        </w:tc>
        <w:tc>
          <w:tcPr>
            <w:tcW w:w="262" w:type="dxa"/>
            <w:tcBorders>
              <w:top w:val="nil" w:sz="6" w:space="0" w:color="auto"/>
              <w:left w:val="nil" w:sz="6" w:space="0" w:color="auto"/>
              <w:bottom w:val="nil" w:sz="6" w:space="0" w:color="auto"/>
              <w:right w:val="nil" w:sz="6" w:space="0" w:color="auto"/>
            </w:tcBorders>
          </w:tcPr>
          <w:p>
            <w:pPr/>
          </w:p>
        </w:tc>
        <w:tc>
          <w:tcPr>
            <w:tcW w:w="2259"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5"/>
              <w:jc w:val="right"/>
              <w:rPr>
                <w:rFonts w:ascii="Arial" w:hAnsi="Arial" w:cs="Arial" w:eastAsia="Arial" w:hint="default"/>
                <w:sz w:val="24"/>
                <w:szCs w:val="24"/>
              </w:rPr>
            </w:pPr>
            <w:r>
              <w:rPr>
                <w:rFonts w:ascii="Arial"/>
                <w:spacing w:val="-1"/>
                <w:sz w:val="24"/>
              </w:rPr>
              <w:t>476,564</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tbl>
      <w:tblPr>
        <w:tblW w:w="0" w:type="auto"/>
        <w:jc w:val="left"/>
        <w:tblInd w:w="246" w:type="dxa"/>
        <w:tblLayout w:type="fixed"/>
        <w:tblCellMar>
          <w:top w:w="0" w:type="dxa"/>
          <w:left w:w="0" w:type="dxa"/>
          <w:bottom w:w="0" w:type="dxa"/>
          <w:right w:w="0" w:type="dxa"/>
        </w:tblCellMar>
        <w:tblLook w:val="01E0"/>
      </w:tblPr>
      <w:tblGrid>
        <w:gridCol w:w="599"/>
        <w:gridCol w:w="1119"/>
        <w:gridCol w:w="958"/>
        <w:gridCol w:w="826"/>
        <w:gridCol w:w="926"/>
        <w:gridCol w:w="518"/>
        <w:gridCol w:w="306"/>
        <w:gridCol w:w="554"/>
        <w:gridCol w:w="134"/>
        <w:gridCol w:w="746"/>
        <w:gridCol w:w="320"/>
        <w:gridCol w:w="616"/>
        <w:gridCol w:w="135"/>
        <w:gridCol w:w="857"/>
        <w:gridCol w:w="684"/>
      </w:tblGrid>
      <w:tr>
        <w:trPr>
          <w:trHeight w:val="318" w:hRule="exact"/>
        </w:trPr>
        <w:tc>
          <w:tcPr>
            <w:tcW w:w="599"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center"/>
              <w:rPr>
                <w:rFonts w:ascii="Arial" w:hAnsi="Arial" w:cs="Arial" w:eastAsia="Arial" w:hint="default"/>
                <w:sz w:val="24"/>
                <w:szCs w:val="24"/>
              </w:rPr>
            </w:pPr>
            <w:r>
              <w:rPr>
                <w:rFonts w:ascii="Arial"/>
                <w:sz w:val="24"/>
              </w:rPr>
              <w:t>(c)</w:t>
            </w:r>
          </w:p>
        </w:tc>
        <w:tc>
          <w:tcPr>
            <w:tcW w:w="4653" w:type="dxa"/>
            <w:gridSpan w:val="6"/>
            <w:tcBorders>
              <w:top w:val="nil" w:sz="6" w:space="0" w:color="auto"/>
              <w:left w:val="nil" w:sz="6" w:space="0" w:color="auto"/>
              <w:bottom w:val="nil" w:sz="6" w:space="0" w:color="auto"/>
              <w:right w:val="nil" w:sz="6" w:space="0" w:color="auto"/>
            </w:tcBorders>
          </w:tcPr>
          <w:p>
            <w:pPr>
              <w:pStyle w:val="TableParagraph"/>
              <w:spacing w:line="247" w:lineRule="exact"/>
              <w:ind w:left="142" w:right="0"/>
              <w:jc w:val="left"/>
              <w:rPr>
                <w:rFonts w:ascii="宋体" w:hAnsi="宋体" w:cs="宋体" w:eastAsia="宋体" w:hint="default"/>
                <w:sz w:val="24"/>
                <w:szCs w:val="24"/>
              </w:rPr>
            </w:pPr>
            <w:r>
              <w:rPr>
                <w:rFonts w:ascii="宋体" w:hAnsi="宋体" w:cs="宋体" w:eastAsia="宋体" w:hint="default"/>
                <w:sz w:val="24"/>
                <w:szCs w:val="24"/>
              </w:rPr>
              <w:t>其他应收款和长期应收款按类别分析如下</w:t>
            </w:r>
          </w:p>
        </w:tc>
        <w:tc>
          <w:tcPr>
            <w:tcW w:w="554" w:type="dxa"/>
            <w:tcBorders>
              <w:top w:val="nil" w:sz="6" w:space="0" w:color="auto"/>
              <w:left w:val="nil" w:sz="6" w:space="0" w:color="auto"/>
              <w:bottom w:val="nil" w:sz="6" w:space="0" w:color="auto"/>
              <w:right w:val="nil" w:sz="6" w:space="0" w:color="auto"/>
            </w:tcBorders>
          </w:tcPr>
          <w:p>
            <w:pPr>
              <w:pStyle w:val="TableParagraph"/>
              <w:spacing w:line="247" w:lineRule="exact"/>
              <w:ind w:left="-190" w:right="0"/>
              <w:jc w:val="left"/>
              <w:rPr>
                <w:rFonts w:ascii="宋体" w:hAnsi="宋体" w:cs="宋体" w:eastAsia="宋体" w:hint="default"/>
                <w:sz w:val="24"/>
                <w:szCs w:val="24"/>
              </w:rPr>
            </w:pPr>
            <w:r>
              <w:rPr>
                <w:rFonts w:ascii="宋体" w:hAnsi="宋体" w:cs="宋体" w:eastAsia="宋体" w:hint="default"/>
                <w:sz w:val="24"/>
                <w:szCs w:val="24"/>
              </w:rPr>
              <w:t>：</w:t>
            </w:r>
          </w:p>
        </w:tc>
        <w:tc>
          <w:tcPr>
            <w:tcW w:w="134"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684" w:type="dxa"/>
            <w:tcBorders>
              <w:top w:val="nil" w:sz="6" w:space="0" w:color="auto"/>
              <w:left w:val="nil" w:sz="6" w:space="0" w:color="auto"/>
              <w:bottom w:val="nil" w:sz="6" w:space="0" w:color="auto"/>
              <w:right w:val="nil" w:sz="6" w:space="0" w:color="auto"/>
            </w:tcBorders>
          </w:tcPr>
          <w:p>
            <w:pPr/>
          </w:p>
        </w:tc>
      </w:tr>
      <w:tr>
        <w:trPr>
          <w:trHeight w:val="326" w:hRule="exact"/>
        </w:trPr>
        <w:tc>
          <w:tcPr>
            <w:tcW w:w="599"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
        </w:tc>
        <w:tc>
          <w:tcPr>
            <w:tcW w:w="2271"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5"/>
              <w:ind w:left="691"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306" w:type="dxa"/>
            <w:tcBorders>
              <w:top w:val="nil" w:sz="6" w:space="0" w:color="auto"/>
              <w:left w:val="nil" w:sz="6" w:space="0" w:color="auto"/>
              <w:bottom w:val="single" w:sz="4" w:space="0" w:color="000000"/>
              <w:right w:val="nil" w:sz="6" w:space="0" w:color="auto"/>
            </w:tcBorders>
          </w:tcPr>
          <w:p>
            <w:pPr/>
          </w:p>
        </w:tc>
        <w:tc>
          <w:tcPr>
            <w:tcW w:w="554"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single" w:sz="4" w:space="0" w:color="000000"/>
              <w:right w:val="nil" w:sz="6" w:space="0" w:color="auto"/>
            </w:tcBorders>
          </w:tcPr>
          <w:p>
            <w:pPr/>
          </w:p>
        </w:tc>
        <w:tc>
          <w:tcPr>
            <w:tcW w:w="1928"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5"/>
              <w:ind w:left="119" w:right="0"/>
              <w:jc w:val="lef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684" w:type="dxa"/>
            <w:tcBorders>
              <w:top w:val="nil" w:sz="6" w:space="0" w:color="auto"/>
              <w:left w:val="nil" w:sz="6" w:space="0" w:color="auto"/>
              <w:bottom w:val="single" w:sz="4" w:space="0" w:color="000000"/>
              <w:right w:val="nil" w:sz="6" w:space="0" w:color="auto"/>
            </w:tcBorders>
          </w:tcPr>
          <w:p>
            <w:pPr/>
          </w:p>
        </w:tc>
      </w:tr>
      <w:tr>
        <w:trPr>
          <w:trHeight w:val="324" w:hRule="exact"/>
        </w:trPr>
        <w:tc>
          <w:tcPr>
            <w:tcW w:w="599"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958" w:type="dxa"/>
            <w:tcBorders>
              <w:top w:val="single" w:sz="4" w:space="0" w:color="000000"/>
              <w:left w:val="nil" w:sz="6" w:space="0" w:color="auto"/>
              <w:bottom w:val="single" w:sz="4" w:space="0" w:color="000000"/>
              <w:right w:val="nil" w:sz="6" w:space="0" w:color="auto"/>
            </w:tcBorders>
          </w:tcPr>
          <w:p>
            <w:pPr/>
          </w:p>
        </w:tc>
        <w:tc>
          <w:tcPr>
            <w:tcW w:w="1753"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8"/>
              <w:ind w:left="2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7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17"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8"/>
              <w:ind w:left="6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5"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8"/>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49" w:hRule="exact"/>
        </w:trPr>
        <w:tc>
          <w:tcPr>
            <w:tcW w:w="599"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958" w:type="dxa"/>
            <w:tcBorders>
              <w:top w:val="single" w:sz="4" w:space="0" w:color="000000"/>
              <w:left w:val="nil" w:sz="6" w:space="0" w:color="auto"/>
              <w:bottom w:val="nil" w:sz="6" w:space="0" w:color="auto"/>
              <w:right w:val="nil" w:sz="6" w:space="0" w:color="auto"/>
            </w:tcBorders>
          </w:tcPr>
          <w:p>
            <w:pPr/>
          </w:p>
        </w:tc>
        <w:tc>
          <w:tcPr>
            <w:tcW w:w="82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8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nil" w:sz="6" w:space="0" w:color="auto"/>
              <w:bottom w:val="nil" w:sz="6" w:space="0" w:color="auto"/>
              <w:right w:val="nil" w:sz="6" w:space="0" w:color="auto"/>
            </w:tcBorders>
          </w:tcPr>
          <w:p>
            <w:pPr>
              <w:pStyle w:val="TableParagraph"/>
              <w:spacing w:line="232" w:lineRule="exact" w:before="32"/>
              <w:ind w:left="95" w:right="377" w:hanging="89"/>
              <w:jc w:val="left"/>
              <w:rPr>
                <w:rFonts w:ascii="宋体" w:hAnsi="宋体" w:cs="宋体" w:eastAsia="宋体" w:hint="default"/>
                <w:sz w:val="18"/>
                <w:szCs w:val="18"/>
              </w:rPr>
            </w:pPr>
            <w:r>
              <w:rPr>
                <w:rFonts w:ascii="宋体" w:hAnsi="宋体" w:cs="宋体" w:eastAsia="宋体" w:hint="default"/>
                <w:sz w:val="18"/>
                <w:szCs w:val="18"/>
              </w:rPr>
              <w:t>占总额 比例</w:t>
            </w:r>
          </w:p>
        </w:tc>
        <w:tc>
          <w:tcPr>
            <w:tcW w:w="51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5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60" w:type="dxa"/>
            <w:gridSpan w:val="2"/>
            <w:tcBorders>
              <w:top w:val="single" w:sz="4" w:space="0" w:color="000000"/>
              <w:left w:val="nil" w:sz="6" w:space="0" w:color="auto"/>
              <w:bottom w:val="nil" w:sz="6" w:space="0" w:color="auto"/>
              <w:right w:val="nil" w:sz="6" w:space="0" w:color="auto"/>
            </w:tcBorders>
          </w:tcPr>
          <w:p>
            <w:pPr>
              <w:pStyle w:val="TableParagraph"/>
              <w:spacing w:line="232" w:lineRule="exact" w:before="32"/>
              <w:ind w:left="478" w:right="1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34" w:type="dxa"/>
            <w:tcBorders>
              <w:top w:val="nil" w:sz="6" w:space="0" w:color="auto"/>
              <w:left w:val="nil" w:sz="6" w:space="0" w:color="auto"/>
              <w:bottom w:val="nil" w:sz="6" w:space="0" w:color="auto"/>
              <w:right w:val="nil" w:sz="6" w:space="0" w:color="auto"/>
            </w:tcBorders>
          </w:tcPr>
          <w:p>
            <w:pPr/>
          </w:p>
        </w:tc>
        <w:tc>
          <w:tcPr>
            <w:tcW w:w="74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08"/>
              <w:jc w:val="right"/>
              <w:rPr>
                <w:rFonts w:ascii="宋体" w:hAnsi="宋体" w:cs="宋体" w:eastAsia="宋体" w:hint="default"/>
                <w:sz w:val="18"/>
                <w:szCs w:val="18"/>
              </w:rPr>
            </w:pPr>
            <w:r>
              <w:rPr>
                <w:rFonts w:ascii="宋体" w:hAnsi="宋体" w:cs="宋体" w:eastAsia="宋体" w:hint="default"/>
                <w:sz w:val="18"/>
                <w:szCs w:val="18"/>
              </w:rPr>
              <w:t>金额</w:t>
            </w:r>
          </w:p>
        </w:tc>
        <w:tc>
          <w:tcPr>
            <w:tcW w:w="320" w:type="dxa"/>
            <w:tcBorders>
              <w:top w:val="single" w:sz="4" w:space="0" w:color="000000"/>
              <w:left w:val="nil" w:sz="6" w:space="0" w:color="auto"/>
              <w:bottom w:val="nil" w:sz="6" w:space="0" w:color="auto"/>
              <w:right w:val="nil" w:sz="6" w:space="0" w:color="auto"/>
            </w:tcBorders>
          </w:tcPr>
          <w:p>
            <w:pPr/>
          </w:p>
        </w:tc>
        <w:tc>
          <w:tcPr>
            <w:tcW w:w="616" w:type="dxa"/>
            <w:tcBorders>
              <w:top w:val="single" w:sz="4" w:space="0" w:color="000000"/>
              <w:left w:val="nil" w:sz="6" w:space="0" w:color="auto"/>
              <w:bottom w:val="nil" w:sz="6" w:space="0" w:color="auto"/>
              <w:right w:val="nil" w:sz="6" w:space="0" w:color="auto"/>
            </w:tcBorders>
          </w:tcPr>
          <w:p>
            <w:pPr>
              <w:pStyle w:val="TableParagraph"/>
              <w:spacing w:line="232" w:lineRule="exact" w:before="32"/>
              <w:ind w:left="92" w:right="70" w:hanging="89"/>
              <w:jc w:val="left"/>
              <w:rPr>
                <w:rFonts w:ascii="宋体" w:hAnsi="宋体" w:cs="宋体" w:eastAsia="宋体" w:hint="default"/>
                <w:sz w:val="18"/>
                <w:szCs w:val="18"/>
              </w:rPr>
            </w:pPr>
            <w:r>
              <w:rPr>
                <w:rFonts w:ascii="宋体" w:hAnsi="宋体" w:cs="宋体" w:eastAsia="宋体" w:hint="default"/>
                <w:sz w:val="18"/>
                <w:szCs w:val="18"/>
              </w:rPr>
              <w:t>占总额 比例</w:t>
            </w:r>
          </w:p>
        </w:tc>
        <w:tc>
          <w:tcPr>
            <w:tcW w:w="135" w:type="dxa"/>
            <w:tcBorders>
              <w:top w:val="nil" w:sz="6" w:space="0" w:color="auto"/>
              <w:left w:val="nil" w:sz="6" w:space="0" w:color="auto"/>
              <w:bottom w:val="nil" w:sz="6" w:space="0" w:color="auto"/>
              <w:right w:val="nil" w:sz="6" w:space="0" w:color="auto"/>
            </w:tcBorders>
          </w:tcPr>
          <w:p>
            <w:pPr/>
          </w:p>
        </w:tc>
        <w:tc>
          <w:tcPr>
            <w:tcW w:w="85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4" w:type="dxa"/>
            <w:tcBorders>
              <w:top w:val="single" w:sz="4" w:space="0" w:color="000000"/>
              <w:left w:val="nil" w:sz="6" w:space="0" w:color="auto"/>
              <w:bottom w:val="nil" w:sz="6" w:space="0" w:color="auto"/>
              <w:right w:val="nil" w:sz="6" w:space="0" w:color="auto"/>
            </w:tcBorders>
          </w:tcPr>
          <w:p>
            <w:pPr>
              <w:pStyle w:val="TableParagraph"/>
              <w:spacing w:line="232" w:lineRule="exact" w:before="32"/>
              <w:ind w:left="124" w:right="197"/>
              <w:jc w:val="left"/>
              <w:rPr>
                <w:rFonts w:ascii="宋体" w:hAnsi="宋体" w:cs="宋体" w:eastAsia="宋体" w:hint="default"/>
                <w:sz w:val="18"/>
                <w:szCs w:val="18"/>
              </w:rPr>
            </w:pPr>
            <w:r>
              <w:rPr>
                <w:rFonts w:ascii="宋体" w:hAnsi="宋体" w:cs="宋体" w:eastAsia="宋体" w:hint="default"/>
                <w:sz w:val="18"/>
                <w:szCs w:val="18"/>
              </w:rPr>
              <w:t>计提 比例</w:t>
            </w:r>
          </w:p>
        </w:tc>
      </w:tr>
      <w:tr>
        <w:trPr>
          <w:trHeight w:val="313" w:hRule="exact"/>
        </w:trPr>
        <w:tc>
          <w:tcPr>
            <w:tcW w:w="9299"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11"/>
              <w:ind w:left="739"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r>
      <w:tr>
        <w:trPr>
          <w:trHeight w:val="559" w:hRule="exact"/>
        </w:trPr>
        <w:tc>
          <w:tcPr>
            <w:tcW w:w="599" w:type="dxa"/>
            <w:tcBorders>
              <w:top w:val="nil" w:sz="6" w:space="0" w:color="auto"/>
              <w:left w:val="nil" w:sz="6" w:space="0" w:color="auto"/>
              <w:bottom w:val="nil" w:sz="6" w:space="0" w:color="auto"/>
              <w:right w:val="nil" w:sz="6" w:space="0" w:color="auto"/>
            </w:tcBorders>
          </w:tcPr>
          <w:p>
            <w:pPr/>
          </w:p>
        </w:tc>
        <w:tc>
          <w:tcPr>
            <w:tcW w:w="2077" w:type="dxa"/>
            <w:gridSpan w:val="2"/>
            <w:tcBorders>
              <w:top w:val="nil" w:sz="6" w:space="0" w:color="auto"/>
              <w:left w:val="nil" w:sz="6" w:space="0" w:color="auto"/>
              <w:bottom w:val="nil" w:sz="6" w:space="0" w:color="auto"/>
              <w:right w:val="nil" w:sz="6" w:space="0" w:color="auto"/>
            </w:tcBorders>
          </w:tcPr>
          <w:p>
            <w:pPr>
              <w:pStyle w:val="TableParagraph"/>
              <w:spacing w:line="232" w:lineRule="exact" w:before="35"/>
              <w:ind w:left="363" w:right="225" w:hanging="221"/>
              <w:jc w:val="left"/>
              <w:rPr>
                <w:rFonts w:ascii="宋体" w:hAnsi="宋体" w:cs="宋体" w:eastAsia="宋体" w:hint="default"/>
                <w:sz w:val="18"/>
                <w:szCs w:val="18"/>
              </w:rPr>
            </w:pPr>
            <w:r>
              <w:rPr>
                <w:rFonts w:ascii="宋体" w:hAnsi="宋体" w:cs="宋体" w:eastAsia="宋体" w:hint="default"/>
                <w:spacing w:val="9"/>
                <w:sz w:val="18"/>
                <w:szCs w:val="18"/>
              </w:rPr>
              <w:t>应收房屋租赁保证金 </w:t>
            </w:r>
            <w:r>
              <w:rPr>
                <w:rFonts w:ascii="宋体" w:hAnsi="宋体" w:cs="宋体" w:eastAsia="宋体" w:hint="default"/>
                <w:sz w:val="18"/>
                <w:szCs w:val="18"/>
              </w:rPr>
              <w:t>及采购保证金组合</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 w:right="0"/>
              <w:jc w:val="left"/>
              <w:rPr>
                <w:rFonts w:ascii="Arial" w:hAnsi="Arial" w:cs="Arial" w:eastAsia="Arial" w:hint="default"/>
                <w:sz w:val="18"/>
                <w:szCs w:val="18"/>
              </w:rPr>
            </w:pPr>
            <w:r>
              <w:rPr>
                <w:rFonts w:ascii="Arial"/>
                <w:sz w:val="18"/>
              </w:rPr>
              <w:t>499,675</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6" w:right="0"/>
              <w:jc w:val="left"/>
              <w:rPr>
                <w:rFonts w:ascii="Arial" w:hAnsi="Arial" w:cs="Arial" w:eastAsia="Arial" w:hint="default"/>
                <w:sz w:val="18"/>
                <w:szCs w:val="18"/>
              </w:rPr>
            </w:pPr>
            <w:r>
              <w:rPr>
                <w:rFonts w:ascii="Arial"/>
                <w:sz w:val="18"/>
              </w:rPr>
              <w:t>52%</w:t>
            </w:r>
          </w:p>
        </w:tc>
        <w:tc>
          <w:tcPr>
            <w:tcW w:w="518" w:type="dxa"/>
            <w:tcBorders>
              <w:top w:val="nil" w:sz="6" w:space="0" w:color="auto"/>
              <w:left w:val="nil" w:sz="6" w:space="0" w:color="auto"/>
              <w:bottom w:val="nil" w:sz="6" w:space="0" w:color="auto"/>
              <w:right w:val="nil" w:sz="6" w:space="0" w:color="auto"/>
            </w:tcBorders>
          </w:tcPr>
          <w:p>
            <w:pPr/>
          </w:p>
        </w:tc>
        <w:tc>
          <w:tcPr>
            <w:tcW w:w="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center"/>
              <w:rPr>
                <w:rFonts w:ascii="Arial" w:hAnsi="Arial" w:cs="Arial" w:eastAsia="Arial" w:hint="default"/>
                <w:sz w:val="18"/>
                <w:szCs w:val="18"/>
              </w:rPr>
            </w:pPr>
            <w:r>
              <w:rPr>
                <w:rFonts w:ascii="Arial"/>
                <w:w w:val="99"/>
                <w:sz w:val="18"/>
              </w:rPr>
              <w:t>-</w:t>
            </w:r>
            <w:r>
              <w:rPr>
                <w:rFonts w:ascii="Arial"/>
                <w:sz w:val="18"/>
              </w:rPr>
            </w:r>
          </w:p>
        </w:tc>
        <w:tc>
          <w:tcPr>
            <w:tcW w:w="5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20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69" w:right="0"/>
              <w:jc w:val="left"/>
              <w:rPr>
                <w:rFonts w:ascii="Arial" w:hAnsi="Arial" w:cs="Arial" w:eastAsia="Arial" w:hint="default"/>
                <w:sz w:val="18"/>
                <w:szCs w:val="18"/>
              </w:rPr>
            </w:pPr>
            <w:r>
              <w:rPr>
                <w:rFonts w:ascii="Arial"/>
                <w:sz w:val="18"/>
              </w:rPr>
              <w:t>476,564</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50"/>
              <w:jc w:val="right"/>
              <w:rPr>
                <w:rFonts w:ascii="Arial" w:hAnsi="Arial" w:cs="Arial" w:eastAsia="Arial" w:hint="default"/>
                <w:sz w:val="18"/>
                <w:szCs w:val="18"/>
              </w:rPr>
            </w:pPr>
            <w:r>
              <w:rPr>
                <w:rFonts w:ascii="Arial"/>
                <w:w w:val="95"/>
                <w:sz w:val="18"/>
              </w:rPr>
              <w:t>53%</w:t>
            </w:r>
            <w:r>
              <w:rPr>
                <w:rFonts w:ascii="Arial"/>
                <w:sz w:val="18"/>
              </w:rPr>
            </w:r>
          </w:p>
        </w:tc>
        <w:tc>
          <w:tcPr>
            <w:tcW w:w="135"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27"/>
              <w:jc w:val="right"/>
              <w:rPr>
                <w:rFonts w:ascii="Arial" w:hAnsi="Arial" w:cs="Arial" w:eastAsia="Arial" w:hint="default"/>
                <w:sz w:val="18"/>
                <w:szCs w:val="18"/>
              </w:rPr>
            </w:pPr>
            <w:r>
              <w:rPr>
                <w:rFonts w:ascii="Arial"/>
                <w:w w:val="99"/>
                <w:sz w:val="18"/>
              </w:rPr>
              <w:t>-</w:t>
            </w:r>
            <w:r>
              <w:rPr>
                <w:rFonts w:ascii="Arial"/>
                <w:sz w:val="18"/>
              </w:rPr>
            </w:r>
          </w:p>
        </w:tc>
      </w:tr>
      <w:tr>
        <w:trPr>
          <w:trHeight w:val="310" w:hRule="exact"/>
        </w:trPr>
        <w:tc>
          <w:tcPr>
            <w:tcW w:w="599" w:type="dxa"/>
            <w:tcBorders>
              <w:top w:val="nil" w:sz="6" w:space="0" w:color="auto"/>
              <w:left w:val="nil" w:sz="6" w:space="0" w:color="auto"/>
              <w:bottom w:val="nil" w:sz="6" w:space="0" w:color="auto"/>
              <w:right w:val="nil" w:sz="6" w:space="0" w:color="auto"/>
            </w:tcBorders>
          </w:tcPr>
          <w:p>
            <w:pPr/>
          </w:p>
        </w:tc>
        <w:tc>
          <w:tcPr>
            <w:tcW w:w="2077" w:type="dxa"/>
            <w:gridSpan w:val="2"/>
            <w:tcBorders>
              <w:top w:val="nil" w:sz="6" w:space="0" w:color="auto"/>
              <w:left w:val="nil" w:sz="6" w:space="0" w:color="auto"/>
              <w:bottom w:val="nil" w:sz="6" w:space="0" w:color="auto"/>
              <w:right w:val="nil" w:sz="6" w:space="0" w:color="auto"/>
            </w:tcBorders>
          </w:tcPr>
          <w:p>
            <w:pPr>
              <w:pStyle w:val="TableParagraph"/>
              <w:spacing w:line="234" w:lineRule="exact"/>
              <w:ind w:left="173" w:right="0"/>
              <w:jc w:val="left"/>
              <w:rPr>
                <w:rFonts w:ascii="宋体" w:hAnsi="宋体" w:cs="宋体" w:eastAsia="宋体" w:hint="default"/>
                <w:sz w:val="18"/>
                <w:szCs w:val="18"/>
              </w:rPr>
            </w:pPr>
            <w:r>
              <w:rPr>
                <w:rFonts w:ascii="宋体" w:hAnsi="宋体" w:cs="宋体" w:eastAsia="宋体" w:hint="default"/>
                <w:sz w:val="18"/>
                <w:szCs w:val="18"/>
              </w:rPr>
              <w:t>应收其他款项组合</w:t>
            </w:r>
          </w:p>
        </w:tc>
        <w:tc>
          <w:tcPr>
            <w:tcW w:w="82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2" w:right="0"/>
              <w:jc w:val="left"/>
              <w:rPr>
                <w:rFonts w:ascii="Arial" w:hAnsi="Arial" w:cs="Arial" w:eastAsia="Arial" w:hint="default"/>
                <w:sz w:val="18"/>
                <w:szCs w:val="18"/>
              </w:rPr>
            </w:pPr>
            <w:r>
              <w:rPr>
                <w:rFonts w:ascii="Arial"/>
                <w:sz w:val="18"/>
              </w:rPr>
              <w:t>462,587</w:t>
            </w:r>
          </w:p>
        </w:tc>
        <w:tc>
          <w:tcPr>
            <w:tcW w:w="92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96" w:right="0"/>
              <w:jc w:val="left"/>
              <w:rPr>
                <w:rFonts w:ascii="Arial" w:hAnsi="Arial" w:cs="Arial" w:eastAsia="Arial" w:hint="default"/>
                <w:sz w:val="18"/>
                <w:szCs w:val="18"/>
              </w:rPr>
            </w:pPr>
            <w:r>
              <w:rPr>
                <w:rFonts w:ascii="Arial"/>
                <w:sz w:val="18"/>
              </w:rPr>
              <w:t>48%</w:t>
            </w:r>
          </w:p>
        </w:tc>
        <w:tc>
          <w:tcPr>
            <w:tcW w:w="82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4"/>
              <w:ind w:left="21" w:right="0"/>
              <w:jc w:val="left"/>
              <w:rPr>
                <w:rFonts w:ascii="Arial" w:hAnsi="Arial" w:cs="Arial" w:eastAsia="Arial" w:hint="default"/>
                <w:sz w:val="18"/>
                <w:szCs w:val="18"/>
              </w:rPr>
            </w:pPr>
            <w:r>
              <w:rPr>
                <w:rFonts w:ascii="Arial"/>
                <w:sz w:val="18"/>
              </w:rPr>
              <w:t>(36,859)</w:t>
            </w:r>
          </w:p>
        </w:tc>
        <w:tc>
          <w:tcPr>
            <w:tcW w:w="5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z w:val="18"/>
              </w:rPr>
              <w:t>8.0%</w:t>
            </w:r>
          </w:p>
        </w:tc>
        <w:tc>
          <w:tcPr>
            <w:tcW w:w="1201"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54"/>
              <w:ind w:left="369" w:right="0"/>
              <w:jc w:val="left"/>
              <w:rPr>
                <w:rFonts w:ascii="Arial" w:hAnsi="Arial" w:cs="Arial" w:eastAsia="Arial" w:hint="default"/>
                <w:sz w:val="18"/>
                <w:szCs w:val="18"/>
              </w:rPr>
            </w:pPr>
            <w:r>
              <w:rPr>
                <w:rFonts w:ascii="Arial"/>
                <w:sz w:val="18"/>
              </w:rPr>
              <w:t>416,415</w:t>
            </w:r>
          </w:p>
        </w:tc>
        <w:tc>
          <w:tcPr>
            <w:tcW w:w="61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0"/>
              <w:jc w:val="right"/>
              <w:rPr>
                <w:rFonts w:ascii="Arial" w:hAnsi="Arial" w:cs="Arial" w:eastAsia="Arial" w:hint="default"/>
                <w:sz w:val="18"/>
                <w:szCs w:val="18"/>
              </w:rPr>
            </w:pPr>
            <w:r>
              <w:rPr>
                <w:rFonts w:ascii="Arial"/>
                <w:w w:val="95"/>
                <w:sz w:val="18"/>
              </w:rPr>
              <w:t>47%</w:t>
            </w:r>
            <w:r>
              <w:rPr>
                <w:rFonts w:ascii="Arial"/>
                <w:sz w:val="18"/>
              </w:rPr>
            </w:r>
          </w:p>
        </w:tc>
        <w:tc>
          <w:tcPr>
            <w:tcW w:w="135"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
              <w:jc w:val="right"/>
              <w:rPr>
                <w:rFonts w:ascii="Arial" w:hAnsi="Arial" w:cs="Arial" w:eastAsia="Arial" w:hint="default"/>
                <w:sz w:val="18"/>
                <w:szCs w:val="18"/>
              </w:rPr>
            </w:pPr>
            <w:r>
              <w:rPr>
                <w:rFonts w:ascii="Arial"/>
                <w:spacing w:val="-1"/>
                <w:sz w:val="18"/>
              </w:rPr>
              <w:t>(34,040)</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3" w:right="0"/>
              <w:jc w:val="left"/>
              <w:rPr>
                <w:rFonts w:ascii="Arial" w:hAnsi="Arial" w:cs="Arial" w:eastAsia="Arial" w:hint="default"/>
                <w:sz w:val="18"/>
                <w:szCs w:val="18"/>
              </w:rPr>
            </w:pPr>
            <w:r>
              <w:rPr>
                <w:rFonts w:ascii="Arial"/>
                <w:sz w:val="18"/>
              </w:rPr>
              <w:t>8.2%</w:t>
            </w:r>
          </w:p>
        </w:tc>
      </w:tr>
      <w:tr>
        <w:trPr>
          <w:trHeight w:val="305" w:hRule="exact"/>
        </w:trPr>
        <w:tc>
          <w:tcPr>
            <w:tcW w:w="599"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958" w:type="dxa"/>
            <w:tcBorders>
              <w:top w:val="single" w:sz="4" w:space="0" w:color="000000"/>
              <w:left w:val="nil" w:sz="6" w:space="0" w:color="auto"/>
              <w:bottom w:val="single" w:sz="12" w:space="0" w:color="000000"/>
              <w:right w:val="nil" w:sz="6" w:space="0" w:color="auto"/>
            </w:tcBorders>
          </w:tcPr>
          <w:p>
            <w:pPr/>
          </w:p>
        </w:tc>
        <w:tc>
          <w:tcPr>
            <w:tcW w:w="826"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12" w:right="0"/>
              <w:jc w:val="left"/>
              <w:rPr>
                <w:rFonts w:ascii="Arial" w:hAnsi="Arial" w:cs="Arial" w:eastAsia="Arial" w:hint="default"/>
                <w:sz w:val="18"/>
                <w:szCs w:val="18"/>
              </w:rPr>
            </w:pPr>
            <w:r>
              <w:rPr>
                <w:rFonts w:ascii="Arial"/>
                <w:sz w:val="18"/>
              </w:rPr>
              <w:t>962,262</w:t>
            </w:r>
          </w:p>
        </w:tc>
        <w:tc>
          <w:tcPr>
            <w:tcW w:w="926"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95" w:right="0"/>
              <w:jc w:val="left"/>
              <w:rPr>
                <w:rFonts w:ascii="Arial" w:hAnsi="Arial" w:cs="Arial" w:eastAsia="Arial" w:hint="default"/>
                <w:sz w:val="18"/>
                <w:szCs w:val="18"/>
              </w:rPr>
            </w:pPr>
            <w:r>
              <w:rPr>
                <w:rFonts w:ascii="Arial"/>
                <w:sz w:val="18"/>
              </w:rPr>
              <w:t>100%</w:t>
            </w:r>
          </w:p>
        </w:tc>
        <w:tc>
          <w:tcPr>
            <w:tcW w:w="824"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21" w:right="0"/>
              <w:jc w:val="left"/>
              <w:rPr>
                <w:rFonts w:ascii="Arial" w:hAnsi="Arial" w:cs="Arial" w:eastAsia="Arial" w:hint="default"/>
                <w:sz w:val="18"/>
                <w:szCs w:val="18"/>
              </w:rPr>
            </w:pPr>
            <w:r>
              <w:rPr>
                <w:rFonts w:ascii="Arial"/>
                <w:sz w:val="18"/>
              </w:rPr>
              <w:t>(36,859)</w:t>
            </w:r>
          </w:p>
        </w:tc>
        <w:tc>
          <w:tcPr>
            <w:tcW w:w="554" w:type="dxa"/>
            <w:tcBorders>
              <w:top w:val="nil" w:sz="6" w:space="0" w:color="auto"/>
              <w:left w:val="nil" w:sz="6" w:space="0" w:color="auto"/>
              <w:bottom w:val="nil" w:sz="6" w:space="0" w:color="auto"/>
              <w:right w:val="nil" w:sz="6" w:space="0" w:color="auto"/>
            </w:tcBorders>
          </w:tcPr>
          <w:p>
            <w:pPr/>
          </w:p>
        </w:tc>
        <w:tc>
          <w:tcPr>
            <w:tcW w:w="1201" w:type="dxa"/>
            <w:gridSpan w:val="3"/>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371" w:right="0"/>
              <w:jc w:val="left"/>
              <w:rPr>
                <w:rFonts w:ascii="Arial" w:hAnsi="Arial" w:cs="Arial" w:eastAsia="Arial" w:hint="default"/>
                <w:sz w:val="18"/>
                <w:szCs w:val="18"/>
              </w:rPr>
            </w:pPr>
            <w:r>
              <w:rPr>
                <w:rFonts w:ascii="Arial"/>
                <w:sz w:val="18"/>
              </w:rPr>
              <w:t>892,979</w:t>
            </w:r>
          </w:p>
        </w:tc>
        <w:tc>
          <w:tcPr>
            <w:tcW w:w="616"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51"/>
              <w:jc w:val="right"/>
              <w:rPr>
                <w:rFonts w:ascii="Arial" w:hAnsi="Arial" w:cs="Arial" w:eastAsia="Arial" w:hint="default"/>
                <w:sz w:val="18"/>
                <w:szCs w:val="18"/>
              </w:rPr>
            </w:pPr>
            <w:r>
              <w:rPr>
                <w:rFonts w:ascii="Arial"/>
                <w:w w:val="95"/>
                <w:sz w:val="18"/>
              </w:rPr>
              <w:t>100%</w:t>
            </w:r>
            <w:r>
              <w:rPr>
                <w:rFonts w:ascii="Arial"/>
                <w:sz w:val="18"/>
              </w:rPr>
            </w:r>
          </w:p>
        </w:tc>
        <w:tc>
          <w:tcPr>
            <w:tcW w:w="135" w:type="dxa"/>
            <w:tcBorders>
              <w:top w:val="nil" w:sz="6" w:space="0" w:color="auto"/>
              <w:left w:val="nil" w:sz="6" w:space="0" w:color="auto"/>
              <w:bottom w:val="nil" w:sz="6" w:space="0" w:color="auto"/>
              <w:right w:val="nil" w:sz="6" w:space="0" w:color="auto"/>
            </w:tcBorders>
          </w:tcPr>
          <w:p>
            <w:pPr/>
          </w:p>
        </w:tc>
        <w:tc>
          <w:tcPr>
            <w:tcW w:w="857"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
              <w:jc w:val="right"/>
              <w:rPr>
                <w:rFonts w:ascii="Arial" w:hAnsi="Arial" w:cs="Arial" w:eastAsia="Arial" w:hint="default"/>
                <w:sz w:val="18"/>
                <w:szCs w:val="18"/>
              </w:rPr>
            </w:pPr>
            <w:r>
              <w:rPr>
                <w:rFonts w:ascii="Arial"/>
                <w:spacing w:val="-1"/>
                <w:sz w:val="18"/>
              </w:rPr>
              <w:t>(34,040)</w:t>
            </w:r>
          </w:p>
        </w:tc>
        <w:tc>
          <w:tcPr>
            <w:tcW w:w="684" w:type="dxa"/>
            <w:tcBorders>
              <w:top w:val="nil" w:sz="6" w:space="0" w:color="auto"/>
              <w:left w:val="nil" w:sz="6" w:space="0" w:color="auto"/>
              <w:bottom w:val="nil" w:sz="6" w:space="0" w:color="auto"/>
              <w:right w:val="nil" w:sz="6" w:space="0" w:color="auto"/>
            </w:tcBorders>
          </w:tcPr>
          <w:p>
            <w:pPr/>
          </w:p>
        </w:tc>
      </w:tr>
      <w:tr>
        <w:trPr>
          <w:trHeight w:val="757" w:hRule="exact"/>
        </w:trPr>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right="87"/>
              <w:jc w:val="center"/>
              <w:rPr>
                <w:rFonts w:ascii="Arial" w:hAnsi="Arial" w:cs="Arial" w:eastAsia="Arial" w:hint="default"/>
                <w:sz w:val="24"/>
                <w:szCs w:val="24"/>
              </w:rPr>
            </w:pPr>
            <w:r>
              <w:rPr>
                <w:rFonts w:ascii="Arial"/>
                <w:sz w:val="24"/>
              </w:rPr>
              <w:t>(d)</w:t>
            </w:r>
          </w:p>
        </w:tc>
        <w:tc>
          <w:tcPr>
            <w:tcW w:w="8016" w:type="dxa"/>
            <w:gridSpan w:val="13"/>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85" w:right="0"/>
              <w:jc w:val="left"/>
              <w:rPr>
                <w:rFonts w:ascii="宋体" w:hAnsi="宋体" w:cs="宋体" w:eastAsia="宋体" w:hint="default"/>
                <w:sz w:val="24"/>
                <w:szCs w:val="24"/>
              </w:rPr>
            </w:pPr>
            <w:r>
              <w:rPr>
                <w:rFonts w:ascii="宋体" w:hAnsi="宋体" w:cs="宋体" w:eastAsia="宋体" w:hint="default"/>
                <w:sz w:val="24"/>
                <w:szCs w:val="24"/>
              </w:rPr>
              <w:t>按组合计提坏账准备的其他应收款中，采用账龄分析法的组合分析如下：</w:t>
            </w:r>
          </w:p>
        </w:tc>
        <w:tc>
          <w:tcPr>
            <w:tcW w:w="684" w:type="dxa"/>
            <w:tcBorders>
              <w:top w:val="nil" w:sz="6" w:space="0" w:color="auto"/>
              <w:left w:val="nil" w:sz="6" w:space="0" w:color="auto"/>
              <w:bottom w:val="nil" w:sz="6" w:space="0" w:color="auto"/>
              <w:right w:val="nil" w:sz="6" w:space="0" w:color="auto"/>
            </w:tcBorders>
          </w:tcPr>
          <w:p>
            <w:pPr/>
          </w:p>
        </w:tc>
      </w:tr>
      <w:tr>
        <w:trPr>
          <w:trHeight w:val="326" w:hRule="exact"/>
        </w:trPr>
        <w:tc>
          <w:tcPr>
            <w:tcW w:w="599"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
        </w:tc>
        <w:tc>
          <w:tcPr>
            <w:tcW w:w="175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5"/>
              <w:ind w:left="1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518" w:type="dxa"/>
            <w:tcBorders>
              <w:top w:val="nil" w:sz="6" w:space="0" w:color="auto"/>
              <w:left w:val="nil" w:sz="6" w:space="0" w:color="auto"/>
              <w:bottom w:val="single" w:sz="4" w:space="0" w:color="000000"/>
              <w:right w:val="nil" w:sz="6" w:space="0" w:color="auto"/>
            </w:tcBorders>
          </w:tcPr>
          <w:p>
            <w:pPr/>
          </w:p>
        </w:tc>
        <w:tc>
          <w:tcPr>
            <w:tcW w:w="306" w:type="dxa"/>
            <w:tcBorders>
              <w:top w:val="nil" w:sz="6" w:space="0" w:color="auto"/>
              <w:left w:val="nil" w:sz="6" w:space="0" w:color="auto"/>
              <w:bottom w:val="single" w:sz="4" w:space="0" w:color="000000"/>
              <w:right w:val="nil" w:sz="6" w:space="0" w:color="auto"/>
            </w:tcBorders>
          </w:tcPr>
          <w:p>
            <w:pPr/>
          </w:p>
        </w:tc>
        <w:tc>
          <w:tcPr>
            <w:tcW w:w="554"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746" w:type="dxa"/>
            <w:tcBorders>
              <w:top w:val="nil" w:sz="6" w:space="0" w:color="auto"/>
              <w:left w:val="nil" w:sz="6" w:space="0" w:color="auto"/>
              <w:bottom w:val="single" w:sz="4" w:space="0" w:color="000000"/>
              <w:right w:val="nil" w:sz="6" w:space="0" w:color="auto"/>
            </w:tcBorders>
          </w:tcPr>
          <w:p>
            <w:pPr/>
          </w:p>
        </w:tc>
        <w:tc>
          <w:tcPr>
            <w:tcW w:w="1928"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5"/>
              <w:ind w:left="43" w:right="0"/>
              <w:jc w:val="lef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684" w:type="dxa"/>
            <w:tcBorders>
              <w:top w:val="nil" w:sz="6" w:space="0" w:color="auto"/>
              <w:left w:val="nil" w:sz="6" w:space="0" w:color="auto"/>
              <w:bottom w:val="single" w:sz="4" w:space="0" w:color="000000"/>
              <w:right w:val="nil" w:sz="6" w:space="0" w:color="auto"/>
            </w:tcBorders>
          </w:tcPr>
          <w:p>
            <w:pPr/>
          </w:p>
        </w:tc>
      </w:tr>
      <w:tr>
        <w:trPr>
          <w:trHeight w:val="324" w:hRule="exact"/>
        </w:trPr>
        <w:tc>
          <w:tcPr>
            <w:tcW w:w="599"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178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5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8"/>
              <w:ind w:left="736" w:right="-13"/>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06" w:type="dxa"/>
            <w:tcBorders>
              <w:top w:val="single" w:sz="4" w:space="0" w:color="000000"/>
              <w:left w:val="nil" w:sz="6" w:space="0" w:color="auto"/>
              <w:bottom w:val="single" w:sz="4" w:space="0" w:color="000000"/>
              <w:right w:val="nil" w:sz="6" w:space="0" w:color="auto"/>
            </w:tcBorders>
          </w:tcPr>
          <w:p>
            <w:pPr/>
          </w:p>
        </w:tc>
        <w:tc>
          <w:tcPr>
            <w:tcW w:w="554" w:type="dxa"/>
            <w:tcBorders>
              <w:top w:val="single" w:sz="4" w:space="0" w:color="000000"/>
              <w:left w:val="nil" w:sz="6" w:space="0" w:color="auto"/>
              <w:bottom w:val="single" w:sz="4" w:space="0" w:color="000000"/>
              <w:right w:val="nil" w:sz="6" w:space="0" w:color="auto"/>
            </w:tcBorders>
          </w:tcPr>
          <w:p>
            <w:pPr/>
          </w:p>
        </w:tc>
        <w:tc>
          <w:tcPr>
            <w:tcW w:w="1201"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8"/>
              <w:ind w:left="38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16" w:type="dxa"/>
            <w:tcBorders>
              <w:top w:val="single" w:sz="4" w:space="0" w:color="000000"/>
              <w:left w:val="nil" w:sz="6" w:space="0" w:color="auto"/>
              <w:bottom w:val="nil" w:sz="6" w:space="0" w:color="auto"/>
              <w:right w:val="nil" w:sz="6" w:space="0" w:color="auto"/>
            </w:tcBorders>
          </w:tcPr>
          <w:p>
            <w:pPr/>
          </w:p>
        </w:tc>
        <w:tc>
          <w:tcPr>
            <w:tcW w:w="1675"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8"/>
              <w:ind w:left="47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31" w:hRule="exact"/>
        </w:trPr>
        <w:tc>
          <w:tcPr>
            <w:tcW w:w="599"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95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26" w:type="dxa"/>
            <w:tcBorders>
              <w:top w:val="single" w:sz="4" w:space="0" w:color="000000"/>
              <w:left w:val="nil" w:sz="6" w:space="0" w:color="auto"/>
              <w:bottom w:val="nil" w:sz="6" w:space="0" w:color="auto"/>
              <w:right w:val="nil" w:sz="6" w:space="0" w:color="auto"/>
            </w:tcBorders>
          </w:tcPr>
          <w:p>
            <w:pPr>
              <w:pStyle w:val="TableParagraph"/>
              <w:spacing w:line="232" w:lineRule="exact" w:before="32"/>
              <w:ind w:left="252" w:right="120" w:hanging="89"/>
              <w:jc w:val="left"/>
              <w:rPr>
                <w:rFonts w:ascii="宋体" w:hAnsi="宋体" w:cs="宋体" w:eastAsia="宋体" w:hint="default"/>
                <w:sz w:val="18"/>
                <w:szCs w:val="18"/>
              </w:rPr>
            </w:pPr>
            <w:r>
              <w:rPr>
                <w:rFonts w:ascii="宋体" w:hAnsi="宋体" w:cs="宋体" w:eastAsia="宋体" w:hint="default"/>
                <w:sz w:val="18"/>
                <w:szCs w:val="18"/>
              </w:rPr>
              <w:t>占总额 比例</w:t>
            </w:r>
          </w:p>
        </w:tc>
        <w:tc>
          <w:tcPr>
            <w:tcW w:w="92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5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24" w:type="dxa"/>
            <w:gridSpan w:val="2"/>
            <w:tcBorders>
              <w:top w:val="single" w:sz="4" w:space="0" w:color="000000"/>
              <w:left w:val="nil" w:sz="6" w:space="0" w:color="auto"/>
              <w:bottom w:val="nil" w:sz="6" w:space="0" w:color="auto"/>
              <w:right w:val="nil" w:sz="6" w:space="0" w:color="auto"/>
            </w:tcBorders>
          </w:tcPr>
          <w:p>
            <w:pPr>
              <w:pStyle w:val="TableParagraph"/>
              <w:spacing w:line="276" w:lineRule="auto" w:before="8"/>
              <w:ind w:left="463" w:right="-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554" w:type="dxa"/>
            <w:tcBorders>
              <w:top w:val="single" w:sz="4" w:space="0" w:color="000000"/>
              <w:left w:val="nil" w:sz="6" w:space="0" w:color="auto"/>
              <w:bottom w:val="nil" w:sz="6" w:space="0" w:color="auto"/>
              <w:right w:val="nil" w:sz="6" w:space="0" w:color="auto"/>
            </w:tcBorders>
          </w:tcPr>
          <w:p>
            <w:pPr/>
          </w:p>
        </w:tc>
        <w:tc>
          <w:tcPr>
            <w:tcW w:w="134" w:type="dxa"/>
            <w:tcBorders>
              <w:top w:val="single" w:sz="4" w:space="0" w:color="000000"/>
              <w:left w:val="nil" w:sz="6" w:space="0" w:color="auto"/>
              <w:bottom w:val="nil" w:sz="6" w:space="0" w:color="auto"/>
              <w:right w:val="nil" w:sz="6" w:space="0" w:color="auto"/>
            </w:tcBorders>
          </w:tcPr>
          <w:p>
            <w:pPr/>
          </w:p>
        </w:tc>
        <w:tc>
          <w:tcPr>
            <w:tcW w:w="74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7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6" w:type="dxa"/>
            <w:gridSpan w:val="2"/>
            <w:tcBorders>
              <w:top w:val="nil" w:sz="6" w:space="0" w:color="auto"/>
              <w:left w:val="nil" w:sz="6" w:space="0" w:color="auto"/>
              <w:bottom w:val="nil" w:sz="6" w:space="0" w:color="auto"/>
              <w:right w:val="nil" w:sz="6" w:space="0" w:color="auto"/>
            </w:tcBorders>
          </w:tcPr>
          <w:p>
            <w:pPr>
              <w:pStyle w:val="TableParagraph"/>
              <w:spacing w:line="232" w:lineRule="exact" w:before="37"/>
              <w:ind w:left="191" w:right="291" w:hanging="89"/>
              <w:jc w:val="left"/>
              <w:rPr>
                <w:rFonts w:ascii="宋体" w:hAnsi="宋体" w:cs="宋体" w:eastAsia="宋体" w:hint="default"/>
                <w:sz w:val="18"/>
                <w:szCs w:val="18"/>
              </w:rPr>
            </w:pPr>
            <w:r>
              <w:rPr>
                <w:rFonts w:ascii="宋体" w:hAnsi="宋体" w:cs="宋体" w:eastAsia="宋体" w:hint="default"/>
                <w:sz w:val="18"/>
                <w:szCs w:val="18"/>
              </w:rPr>
              <w:t>占总额 比例</w:t>
            </w:r>
          </w:p>
        </w:tc>
        <w:tc>
          <w:tcPr>
            <w:tcW w:w="135" w:type="dxa"/>
            <w:tcBorders>
              <w:top w:val="single" w:sz="4" w:space="0" w:color="000000"/>
              <w:left w:val="nil" w:sz="6" w:space="0" w:color="auto"/>
              <w:bottom w:val="nil" w:sz="6" w:space="0" w:color="auto"/>
              <w:right w:val="nil" w:sz="6" w:space="0" w:color="auto"/>
            </w:tcBorders>
          </w:tcPr>
          <w:p>
            <w:pPr/>
          </w:p>
        </w:tc>
        <w:tc>
          <w:tcPr>
            <w:tcW w:w="85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5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4" w:type="dxa"/>
            <w:tcBorders>
              <w:top w:val="single" w:sz="4" w:space="0" w:color="000000"/>
              <w:left w:val="nil" w:sz="6" w:space="0" w:color="auto"/>
              <w:bottom w:val="nil" w:sz="6" w:space="0" w:color="auto"/>
              <w:right w:val="nil" w:sz="6" w:space="0" w:color="auto"/>
            </w:tcBorders>
          </w:tcPr>
          <w:p>
            <w:pPr>
              <w:pStyle w:val="TableParagraph"/>
              <w:spacing w:line="276" w:lineRule="auto" w:before="8"/>
              <w:ind w:left="139" w:right="182"/>
              <w:jc w:val="left"/>
              <w:rPr>
                <w:rFonts w:ascii="宋体" w:hAnsi="宋体" w:cs="宋体" w:eastAsia="宋体" w:hint="default"/>
                <w:sz w:val="18"/>
                <w:szCs w:val="18"/>
              </w:rPr>
            </w:pPr>
            <w:r>
              <w:rPr>
                <w:rFonts w:ascii="宋体" w:hAnsi="宋体" w:cs="宋体" w:eastAsia="宋体" w:hint="default"/>
                <w:sz w:val="18"/>
                <w:szCs w:val="18"/>
              </w:rPr>
              <w:t>计提 比例</w:t>
            </w:r>
          </w:p>
        </w:tc>
      </w:tr>
      <w:tr>
        <w:trPr>
          <w:trHeight w:val="470" w:hRule="exact"/>
        </w:trPr>
        <w:tc>
          <w:tcPr>
            <w:tcW w:w="599"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35"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Arial" w:hAnsi="Arial" w:cs="Arial" w:eastAsia="Arial" w:hint="default"/>
                <w:sz w:val="18"/>
                <w:szCs w:val="18"/>
              </w:rPr>
            </w:pPr>
            <w:r>
              <w:rPr>
                <w:rFonts w:ascii="Arial"/>
                <w:spacing w:val="-1"/>
                <w:sz w:val="18"/>
              </w:rPr>
              <w:t>349,949</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53"/>
              <w:jc w:val="right"/>
              <w:rPr>
                <w:rFonts w:ascii="Arial" w:hAnsi="Arial" w:cs="Arial" w:eastAsia="Arial" w:hint="default"/>
                <w:sz w:val="18"/>
                <w:szCs w:val="18"/>
              </w:rPr>
            </w:pPr>
            <w:r>
              <w:rPr>
                <w:rFonts w:ascii="Arial"/>
                <w:w w:val="95"/>
                <w:sz w:val="18"/>
              </w:rPr>
              <w:t>75.6%</w:t>
            </w:r>
            <w:r>
              <w:rPr>
                <w:rFonts w:ascii="Arial"/>
                <w:sz w:val="18"/>
              </w:rPr>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467" w:right="0"/>
              <w:jc w:val="left"/>
              <w:rPr>
                <w:rFonts w:ascii="Arial" w:hAnsi="Arial" w:cs="Arial" w:eastAsia="Arial" w:hint="default"/>
                <w:sz w:val="18"/>
                <w:szCs w:val="18"/>
              </w:rPr>
            </w:pPr>
            <w:r>
              <w:rPr>
                <w:rFonts w:ascii="Arial"/>
                <w:sz w:val="18"/>
              </w:rPr>
              <w:t>(17,500)</w:t>
            </w:r>
          </w:p>
        </w:tc>
        <w:tc>
          <w:tcPr>
            <w:tcW w:w="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83" w:right="0"/>
              <w:jc w:val="left"/>
              <w:rPr>
                <w:rFonts w:ascii="Arial" w:hAnsi="Arial" w:cs="Arial" w:eastAsia="Arial" w:hint="default"/>
                <w:sz w:val="18"/>
                <w:szCs w:val="18"/>
              </w:rPr>
            </w:pPr>
            <w:r>
              <w:rPr>
                <w:rFonts w:ascii="Arial"/>
                <w:sz w:val="18"/>
              </w:rPr>
              <w:t>5%</w:t>
            </w:r>
          </w:p>
        </w:tc>
        <w:tc>
          <w:tcPr>
            <w:tcW w:w="134"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1"/>
              <w:jc w:val="right"/>
              <w:rPr>
                <w:rFonts w:ascii="Arial" w:hAnsi="Arial" w:cs="Arial" w:eastAsia="Arial" w:hint="default"/>
                <w:sz w:val="18"/>
                <w:szCs w:val="18"/>
              </w:rPr>
            </w:pPr>
            <w:r>
              <w:rPr>
                <w:rFonts w:ascii="Arial"/>
                <w:spacing w:val="-1"/>
                <w:sz w:val="18"/>
              </w:rPr>
              <w:t>293,124</w:t>
            </w:r>
          </w:p>
        </w:tc>
        <w:tc>
          <w:tcPr>
            <w:tcW w:w="9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60" w:right="0"/>
              <w:jc w:val="left"/>
              <w:rPr>
                <w:rFonts w:ascii="Arial" w:hAnsi="Arial" w:cs="Arial" w:eastAsia="Arial" w:hint="default"/>
                <w:sz w:val="18"/>
                <w:szCs w:val="18"/>
              </w:rPr>
            </w:pPr>
            <w:r>
              <w:rPr>
                <w:rFonts w:ascii="Arial"/>
                <w:sz w:val="18"/>
              </w:rPr>
              <w:t>70.4%</w:t>
            </w:r>
          </w:p>
        </w:tc>
        <w:tc>
          <w:tcPr>
            <w:tcW w:w="135"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81" w:right="0"/>
              <w:jc w:val="left"/>
              <w:rPr>
                <w:rFonts w:ascii="Arial" w:hAnsi="Arial" w:cs="Arial" w:eastAsia="Arial" w:hint="default"/>
                <w:sz w:val="18"/>
                <w:szCs w:val="18"/>
              </w:rPr>
            </w:pPr>
            <w:r>
              <w:rPr>
                <w:rFonts w:ascii="Arial"/>
                <w:sz w:val="18"/>
              </w:rPr>
              <w:t>(15,083)</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53"/>
              <w:jc w:val="right"/>
              <w:rPr>
                <w:rFonts w:ascii="Arial" w:hAnsi="Arial" w:cs="Arial" w:eastAsia="Arial" w:hint="default"/>
                <w:sz w:val="18"/>
                <w:szCs w:val="18"/>
              </w:rPr>
            </w:pPr>
            <w:r>
              <w:rPr>
                <w:rFonts w:ascii="Arial"/>
                <w:w w:val="95"/>
                <w:sz w:val="18"/>
              </w:rPr>
              <w:t>5%</w:t>
            </w:r>
            <w:r>
              <w:rPr>
                <w:rFonts w:ascii="Arial"/>
                <w:sz w:val="18"/>
              </w:rPr>
            </w:r>
          </w:p>
        </w:tc>
      </w:tr>
      <w:tr>
        <w:trPr>
          <w:trHeight w:val="313" w:hRule="exact"/>
        </w:trPr>
        <w:tc>
          <w:tcPr>
            <w:tcW w:w="599"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
              <w:jc w:val="right"/>
              <w:rPr>
                <w:rFonts w:ascii="Arial" w:hAnsi="Arial" w:cs="Arial" w:eastAsia="Arial" w:hint="default"/>
                <w:sz w:val="18"/>
                <w:szCs w:val="18"/>
              </w:rPr>
            </w:pPr>
            <w:r>
              <w:rPr>
                <w:rFonts w:ascii="Arial"/>
                <w:spacing w:val="-1"/>
                <w:sz w:val="18"/>
              </w:rPr>
              <w:t>61,764</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3"/>
              <w:jc w:val="right"/>
              <w:rPr>
                <w:rFonts w:ascii="Arial" w:hAnsi="Arial" w:cs="Arial" w:eastAsia="Arial" w:hint="default"/>
                <w:sz w:val="18"/>
                <w:szCs w:val="18"/>
              </w:rPr>
            </w:pPr>
            <w:r>
              <w:rPr>
                <w:rFonts w:ascii="Arial"/>
                <w:w w:val="95"/>
                <w:sz w:val="18"/>
              </w:rPr>
              <w:t>13.4%</w:t>
            </w:r>
            <w:r>
              <w:rPr>
                <w:rFonts w:ascii="Arial"/>
                <w:sz w:val="18"/>
              </w:rPr>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568" w:right="0"/>
              <w:jc w:val="left"/>
              <w:rPr>
                <w:rFonts w:ascii="Arial" w:hAnsi="Arial" w:cs="Arial" w:eastAsia="Arial" w:hint="default"/>
                <w:sz w:val="18"/>
                <w:szCs w:val="18"/>
              </w:rPr>
            </w:pPr>
            <w:r>
              <w:rPr>
                <w:rFonts w:ascii="Arial"/>
                <w:sz w:val="18"/>
              </w:rPr>
              <w:t>(6,176)</w:t>
            </w:r>
          </w:p>
        </w:tc>
        <w:tc>
          <w:tcPr>
            <w:tcW w:w="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80" w:right="0"/>
              <w:jc w:val="left"/>
              <w:rPr>
                <w:rFonts w:ascii="Arial" w:hAnsi="Arial" w:cs="Arial" w:eastAsia="Arial" w:hint="default"/>
                <w:sz w:val="18"/>
                <w:szCs w:val="18"/>
              </w:rPr>
            </w:pPr>
            <w:r>
              <w:rPr>
                <w:rFonts w:ascii="Arial"/>
                <w:sz w:val="18"/>
              </w:rPr>
              <w:t>10%</w:t>
            </w:r>
          </w:p>
        </w:tc>
        <w:tc>
          <w:tcPr>
            <w:tcW w:w="134"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1"/>
              <w:jc w:val="right"/>
              <w:rPr>
                <w:rFonts w:ascii="Arial" w:hAnsi="Arial" w:cs="Arial" w:eastAsia="Arial" w:hint="default"/>
                <w:sz w:val="18"/>
                <w:szCs w:val="18"/>
              </w:rPr>
            </w:pPr>
            <w:r>
              <w:rPr>
                <w:rFonts w:ascii="Arial"/>
                <w:spacing w:val="-1"/>
                <w:sz w:val="18"/>
              </w:rPr>
              <w:t>81,429</w:t>
            </w:r>
          </w:p>
        </w:tc>
        <w:tc>
          <w:tcPr>
            <w:tcW w:w="9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160" w:right="0"/>
              <w:jc w:val="left"/>
              <w:rPr>
                <w:rFonts w:ascii="Arial" w:hAnsi="Arial" w:cs="Arial" w:eastAsia="Arial" w:hint="default"/>
                <w:sz w:val="18"/>
                <w:szCs w:val="18"/>
              </w:rPr>
            </w:pPr>
            <w:r>
              <w:rPr>
                <w:rFonts w:ascii="Arial"/>
                <w:sz w:val="18"/>
              </w:rPr>
              <w:t>19.6%</w:t>
            </w:r>
          </w:p>
        </w:tc>
        <w:tc>
          <w:tcPr>
            <w:tcW w:w="135"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82" w:right="0"/>
              <w:jc w:val="left"/>
              <w:rPr>
                <w:rFonts w:ascii="Arial" w:hAnsi="Arial" w:cs="Arial" w:eastAsia="Arial" w:hint="default"/>
                <w:sz w:val="18"/>
                <w:szCs w:val="18"/>
              </w:rPr>
            </w:pPr>
            <w:r>
              <w:rPr>
                <w:rFonts w:ascii="Arial"/>
                <w:sz w:val="18"/>
              </w:rPr>
              <w:t>(8,143)</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5"/>
              <w:jc w:val="right"/>
              <w:rPr>
                <w:rFonts w:ascii="Arial" w:hAnsi="Arial" w:cs="Arial" w:eastAsia="Arial" w:hint="default"/>
                <w:sz w:val="18"/>
                <w:szCs w:val="18"/>
              </w:rPr>
            </w:pPr>
            <w:r>
              <w:rPr>
                <w:rFonts w:ascii="Arial"/>
                <w:w w:val="95"/>
                <w:sz w:val="18"/>
              </w:rPr>
              <w:t>10%</w:t>
            </w:r>
            <w:r>
              <w:rPr>
                <w:rFonts w:ascii="Arial"/>
                <w:sz w:val="18"/>
              </w:rPr>
            </w:r>
          </w:p>
        </w:tc>
      </w:tr>
      <w:tr>
        <w:trPr>
          <w:trHeight w:val="313" w:hRule="exact"/>
        </w:trPr>
        <w:tc>
          <w:tcPr>
            <w:tcW w:w="599"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Style w:val="TableParagraph"/>
              <w:spacing w:line="234" w:lineRule="exact"/>
              <w:ind w:left="135"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
              <w:jc w:val="right"/>
              <w:rPr>
                <w:rFonts w:ascii="Arial" w:hAnsi="Arial" w:cs="Arial" w:eastAsia="Arial" w:hint="default"/>
                <w:sz w:val="18"/>
                <w:szCs w:val="18"/>
              </w:rPr>
            </w:pPr>
            <w:r>
              <w:rPr>
                <w:rFonts w:ascii="Arial"/>
                <w:spacing w:val="-1"/>
                <w:sz w:val="18"/>
              </w:rPr>
              <w:t>41,821</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3"/>
              <w:jc w:val="right"/>
              <w:rPr>
                <w:rFonts w:ascii="Arial" w:hAnsi="Arial" w:cs="Arial" w:eastAsia="Arial" w:hint="default"/>
                <w:sz w:val="18"/>
                <w:szCs w:val="18"/>
              </w:rPr>
            </w:pPr>
            <w:r>
              <w:rPr>
                <w:rFonts w:ascii="Arial"/>
                <w:w w:val="95"/>
                <w:sz w:val="18"/>
              </w:rPr>
              <w:t>9.0%</w:t>
            </w:r>
            <w:r>
              <w:rPr>
                <w:rFonts w:ascii="Arial"/>
                <w:sz w:val="18"/>
              </w:rPr>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568" w:right="0"/>
              <w:jc w:val="left"/>
              <w:rPr>
                <w:rFonts w:ascii="Arial" w:hAnsi="Arial" w:cs="Arial" w:eastAsia="Arial" w:hint="default"/>
                <w:sz w:val="18"/>
                <w:szCs w:val="18"/>
              </w:rPr>
            </w:pPr>
            <w:r>
              <w:rPr>
                <w:rFonts w:ascii="Arial"/>
                <w:sz w:val="18"/>
              </w:rPr>
              <w:t>(8,364)</w:t>
            </w:r>
          </w:p>
        </w:tc>
        <w:tc>
          <w:tcPr>
            <w:tcW w:w="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82" w:right="0"/>
              <w:jc w:val="left"/>
              <w:rPr>
                <w:rFonts w:ascii="Arial" w:hAnsi="Arial" w:cs="Arial" w:eastAsia="Arial" w:hint="default"/>
                <w:sz w:val="18"/>
                <w:szCs w:val="18"/>
              </w:rPr>
            </w:pPr>
            <w:r>
              <w:rPr>
                <w:rFonts w:ascii="Arial"/>
                <w:sz w:val="18"/>
              </w:rPr>
              <w:t>20%</w:t>
            </w:r>
          </w:p>
        </w:tc>
        <w:tc>
          <w:tcPr>
            <w:tcW w:w="134"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1"/>
              <w:jc w:val="right"/>
              <w:rPr>
                <w:rFonts w:ascii="Arial" w:hAnsi="Arial" w:cs="Arial" w:eastAsia="Arial" w:hint="default"/>
                <w:sz w:val="18"/>
                <w:szCs w:val="18"/>
              </w:rPr>
            </w:pPr>
            <w:r>
              <w:rPr>
                <w:rFonts w:ascii="Arial"/>
                <w:spacing w:val="-1"/>
                <w:sz w:val="18"/>
              </w:rPr>
              <w:t>31,335</w:t>
            </w:r>
          </w:p>
        </w:tc>
        <w:tc>
          <w:tcPr>
            <w:tcW w:w="9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261" w:right="0"/>
              <w:jc w:val="left"/>
              <w:rPr>
                <w:rFonts w:ascii="Arial" w:hAnsi="Arial" w:cs="Arial" w:eastAsia="Arial" w:hint="default"/>
                <w:sz w:val="18"/>
                <w:szCs w:val="18"/>
              </w:rPr>
            </w:pPr>
            <w:r>
              <w:rPr>
                <w:rFonts w:ascii="Arial"/>
                <w:sz w:val="18"/>
              </w:rPr>
              <w:t>7.5%</w:t>
            </w:r>
          </w:p>
        </w:tc>
        <w:tc>
          <w:tcPr>
            <w:tcW w:w="135"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82" w:right="0"/>
              <w:jc w:val="left"/>
              <w:rPr>
                <w:rFonts w:ascii="Arial" w:hAnsi="Arial" w:cs="Arial" w:eastAsia="Arial" w:hint="default"/>
                <w:sz w:val="18"/>
                <w:szCs w:val="18"/>
              </w:rPr>
            </w:pPr>
            <w:r>
              <w:rPr>
                <w:rFonts w:ascii="Arial"/>
                <w:sz w:val="18"/>
              </w:rPr>
              <w:t>(6,267)</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3"/>
              <w:jc w:val="right"/>
              <w:rPr>
                <w:rFonts w:ascii="Arial" w:hAnsi="Arial" w:cs="Arial" w:eastAsia="Arial" w:hint="default"/>
                <w:sz w:val="18"/>
                <w:szCs w:val="18"/>
              </w:rPr>
            </w:pPr>
            <w:r>
              <w:rPr>
                <w:rFonts w:ascii="Arial"/>
                <w:w w:val="95"/>
                <w:sz w:val="18"/>
              </w:rPr>
              <w:t>20%</w:t>
            </w:r>
            <w:r>
              <w:rPr>
                <w:rFonts w:ascii="Arial"/>
                <w:sz w:val="18"/>
              </w:rPr>
            </w:r>
          </w:p>
        </w:tc>
      </w:tr>
      <w:tr>
        <w:trPr>
          <w:trHeight w:val="313" w:hRule="exact"/>
        </w:trPr>
        <w:tc>
          <w:tcPr>
            <w:tcW w:w="599"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三到四年</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
              <w:jc w:val="right"/>
              <w:rPr>
                <w:rFonts w:ascii="Arial" w:hAnsi="Arial" w:cs="Arial" w:eastAsia="Arial" w:hint="default"/>
                <w:sz w:val="18"/>
                <w:szCs w:val="18"/>
              </w:rPr>
            </w:pPr>
            <w:r>
              <w:rPr>
                <w:rFonts w:ascii="Arial"/>
                <w:w w:val="95"/>
                <w:sz w:val="18"/>
              </w:rPr>
              <w:t>3,641</w:t>
            </w:r>
            <w:r>
              <w:rPr>
                <w:rFonts w:ascii="Arial"/>
                <w:sz w:val="18"/>
              </w:rPr>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3"/>
              <w:jc w:val="right"/>
              <w:rPr>
                <w:rFonts w:ascii="Arial" w:hAnsi="Arial" w:cs="Arial" w:eastAsia="Arial" w:hint="default"/>
                <w:sz w:val="18"/>
                <w:szCs w:val="18"/>
              </w:rPr>
            </w:pPr>
            <w:r>
              <w:rPr>
                <w:rFonts w:ascii="Arial"/>
                <w:sz w:val="18"/>
              </w:rPr>
              <w:t>0.8%</w:t>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568" w:right="0"/>
              <w:jc w:val="left"/>
              <w:rPr>
                <w:rFonts w:ascii="Arial" w:hAnsi="Arial" w:cs="Arial" w:eastAsia="Arial" w:hint="default"/>
                <w:sz w:val="18"/>
                <w:szCs w:val="18"/>
              </w:rPr>
            </w:pPr>
            <w:r>
              <w:rPr>
                <w:rFonts w:ascii="Arial"/>
                <w:sz w:val="18"/>
              </w:rPr>
              <w:t>(1,092)</w:t>
            </w:r>
          </w:p>
        </w:tc>
        <w:tc>
          <w:tcPr>
            <w:tcW w:w="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80" w:right="0"/>
              <w:jc w:val="left"/>
              <w:rPr>
                <w:rFonts w:ascii="Arial" w:hAnsi="Arial" w:cs="Arial" w:eastAsia="Arial" w:hint="default"/>
                <w:sz w:val="18"/>
                <w:szCs w:val="18"/>
              </w:rPr>
            </w:pPr>
            <w:r>
              <w:rPr>
                <w:rFonts w:ascii="Arial"/>
                <w:sz w:val="18"/>
              </w:rPr>
              <w:t>30%</w:t>
            </w:r>
          </w:p>
        </w:tc>
        <w:tc>
          <w:tcPr>
            <w:tcW w:w="134"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1"/>
              <w:jc w:val="right"/>
              <w:rPr>
                <w:rFonts w:ascii="Arial" w:hAnsi="Arial" w:cs="Arial" w:eastAsia="Arial" w:hint="default"/>
                <w:sz w:val="18"/>
                <w:szCs w:val="18"/>
              </w:rPr>
            </w:pPr>
            <w:r>
              <w:rPr>
                <w:rFonts w:ascii="Arial"/>
                <w:w w:val="95"/>
                <w:sz w:val="18"/>
              </w:rPr>
              <w:t>6,062</w:t>
            </w:r>
            <w:r>
              <w:rPr>
                <w:rFonts w:ascii="Arial"/>
                <w:sz w:val="18"/>
              </w:rPr>
            </w:r>
          </w:p>
        </w:tc>
        <w:tc>
          <w:tcPr>
            <w:tcW w:w="9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261" w:right="0"/>
              <w:jc w:val="left"/>
              <w:rPr>
                <w:rFonts w:ascii="Arial" w:hAnsi="Arial" w:cs="Arial" w:eastAsia="Arial" w:hint="default"/>
                <w:sz w:val="18"/>
                <w:szCs w:val="18"/>
              </w:rPr>
            </w:pPr>
            <w:r>
              <w:rPr>
                <w:rFonts w:ascii="Arial"/>
                <w:sz w:val="18"/>
              </w:rPr>
              <w:t>1.5%</w:t>
            </w:r>
          </w:p>
        </w:tc>
        <w:tc>
          <w:tcPr>
            <w:tcW w:w="135"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82" w:right="0"/>
              <w:jc w:val="left"/>
              <w:rPr>
                <w:rFonts w:ascii="Arial" w:hAnsi="Arial" w:cs="Arial" w:eastAsia="Arial" w:hint="default"/>
                <w:sz w:val="18"/>
                <w:szCs w:val="18"/>
              </w:rPr>
            </w:pPr>
            <w:r>
              <w:rPr>
                <w:rFonts w:ascii="Arial"/>
                <w:sz w:val="18"/>
              </w:rPr>
              <w:t>(1,810)</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5"/>
              <w:jc w:val="right"/>
              <w:rPr>
                <w:rFonts w:ascii="Arial" w:hAnsi="Arial" w:cs="Arial" w:eastAsia="Arial" w:hint="default"/>
                <w:sz w:val="18"/>
                <w:szCs w:val="18"/>
              </w:rPr>
            </w:pPr>
            <w:r>
              <w:rPr>
                <w:rFonts w:ascii="Arial"/>
                <w:w w:val="95"/>
                <w:sz w:val="18"/>
              </w:rPr>
              <w:t>30%</w:t>
            </w:r>
            <w:r>
              <w:rPr>
                <w:rFonts w:ascii="Arial"/>
                <w:sz w:val="18"/>
              </w:rPr>
            </w:r>
          </w:p>
        </w:tc>
      </w:tr>
      <w:tr>
        <w:trPr>
          <w:trHeight w:val="313" w:hRule="exact"/>
        </w:trPr>
        <w:tc>
          <w:tcPr>
            <w:tcW w:w="599"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Style w:val="TableParagraph"/>
              <w:spacing w:line="234" w:lineRule="exact"/>
              <w:ind w:left="135" w:right="0"/>
              <w:jc w:val="left"/>
              <w:rPr>
                <w:rFonts w:ascii="宋体" w:hAnsi="宋体" w:cs="宋体" w:eastAsia="宋体" w:hint="default"/>
                <w:sz w:val="18"/>
                <w:szCs w:val="18"/>
              </w:rPr>
            </w:pPr>
            <w:r>
              <w:rPr>
                <w:rFonts w:ascii="宋体" w:hAnsi="宋体" w:cs="宋体" w:eastAsia="宋体" w:hint="default"/>
                <w:sz w:val="18"/>
                <w:szCs w:val="18"/>
              </w:rPr>
              <w:t>四到五年</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
              <w:jc w:val="right"/>
              <w:rPr>
                <w:rFonts w:ascii="Arial" w:hAnsi="Arial" w:cs="Arial" w:eastAsia="Arial" w:hint="default"/>
                <w:sz w:val="18"/>
                <w:szCs w:val="18"/>
              </w:rPr>
            </w:pPr>
            <w:r>
              <w:rPr>
                <w:rFonts w:ascii="Arial"/>
                <w:w w:val="95"/>
                <w:sz w:val="18"/>
              </w:rPr>
              <w:t>4,212</w:t>
            </w:r>
            <w:r>
              <w:rPr>
                <w:rFonts w:ascii="Arial"/>
                <w:sz w:val="18"/>
              </w:rPr>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w w:val="95"/>
                <w:sz w:val="18"/>
              </w:rPr>
              <w:t>0.9%</w:t>
            </w:r>
            <w:r>
              <w:rPr>
                <w:rFonts w:ascii="Arial"/>
                <w:sz w:val="18"/>
              </w:rPr>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568" w:right="0"/>
              <w:jc w:val="left"/>
              <w:rPr>
                <w:rFonts w:ascii="Arial" w:hAnsi="Arial" w:cs="Arial" w:eastAsia="Arial" w:hint="default"/>
                <w:sz w:val="18"/>
                <w:szCs w:val="18"/>
              </w:rPr>
            </w:pPr>
            <w:r>
              <w:rPr>
                <w:rFonts w:ascii="Arial"/>
                <w:sz w:val="18"/>
              </w:rPr>
              <w:t>(2,527)</w:t>
            </w:r>
          </w:p>
        </w:tc>
        <w:tc>
          <w:tcPr>
            <w:tcW w:w="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82" w:right="0"/>
              <w:jc w:val="left"/>
              <w:rPr>
                <w:rFonts w:ascii="Arial" w:hAnsi="Arial" w:cs="Arial" w:eastAsia="Arial" w:hint="default"/>
                <w:sz w:val="18"/>
                <w:szCs w:val="18"/>
              </w:rPr>
            </w:pPr>
            <w:r>
              <w:rPr>
                <w:rFonts w:ascii="Arial"/>
                <w:sz w:val="18"/>
              </w:rPr>
              <w:t>60%</w:t>
            </w:r>
          </w:p>
        </w:tc>
        <w:tc>
          <w:tcPr>
            <w:tcW w:w="134"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1"/>
              <w:jc w:val="right"/>
              <w:rPr>
                <w:rFonts w:ascii="Arial" w:hAnsi="Arial" w:cs="Arial" w:eastAsia="Arial" w:hint="default"/>
                <w:sz w:val="18"/>
                <w:szCs w:val="18"/>
              </w:rPr>
            </w:pPr>
            <w:r>
              <w:rPr>
                <w:rFonts w:ascii="Arial"/>
                <w:w w:val="95"/>
                <w:sz w:val="18"/>
              </w:rPr>
              <w:t>4,321</w:t>
            </w:r>
            <w:r>
              <w:rPr>
                <w:rFonts w:ascii="Arial"/>
                <w:sz w:val="18"/>
              </w:rPr>
            </w:r>
          </w:p>
        </w:tc>
        <w:tc>
          <w:tcPr>
            <w:tcW w:w="9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261" w:right="0"/>
              <w:jc w:val="left"/>
              <w:rPr>
                <w:rFonts w:ascii="Arial" w:hAnsi="Arial" w:cs="Arial" w:eastAsia="Arial" w:hint="default"/>
                <w:sz w:val="18"/>
                <w:szCs w:val="18"/>
              </w:rPr>
            </w:pPr>
            <w:r>
              <w:rPr>
                <w:rFonts w:ascii="Arial"/>
                <w:sz w:val="18"/>
              </w:rPr>
              <w:t>1.0%</w:t>
            </w:r>
          </w:p>
        </w:tc>
        <w:tc>
          <w:tcPr>
            <w:tcW w:w="135"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82" w:right="0"/>
              <w:jc w:val="left"/>
              <w:rPr>
                <w:rFonts w:ascii="Arial" w:hAnsi="Arial" w:cs="Arial" w:eastAsia="Arial" w:hint="default"/>
                <w:sz w:val="18"/>
                <w:szCs w:val="18"/>
              </w:rPr>
            </w:pPr>
            <w:r>
              <w:rPr>
                <w:rFonts w:ascii="Arial"/>
                <w:sz w:val="18"/>
              </w:rPr>
              <w:t>(2,593)</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3"/>
              <w:jc w:val="right"/>
              <w:rPr>
                <w:rFonts w:ascii="Arial" w:hAnsi="Arial" w:cs="Arial" w:eastAsia="Arial" w:hint="default"/>
                <w:sz w:val="18"/>
                <w:szCs w:val="18"/>
              </w:rPr>
            </w:pPr>
            <w:r>
              <w:rPr>
                <w:rFonts w:ascii="Arial"/>
                <w:w w:val="95"/>
                <w:sz w:val="18"/>
              </w:rPr>
              <w:t>60%</w:t>
            </w:r>
            <w:r>
              <w:rPr>
                <w:rFonts w:ascii="Arial"/>
                <w:sz w:val="18"/>
              </w:rPr>
            </w:r>
          </w:p>
        </w:tc>
      </w:tr>
      <w:tr>
        <w:trPr>
          <w:trHeight w:val="312" w:hRule="exact"/>
        </w:trPr>
        <w:tc>
          <w:tcPr>
            <w:tcW w:w="599"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95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
              <w:jc w:val="right"/>
              <w:rPr>
                <w:rFonts w:ascii="Arial" w:hAnsi="Arial" w:cs="Arial" w:eastAsia="Arial" w:hint="default"/>
                <w:sz w:val="18"/>
                <w:szCs w:val="18"/>
              </w:rPr>
            </w:pPr>
            <w:r>
              <w:rPr>
                <w:rFonts w:ascii="Arial"/>
                <w:w w:val="95"/>
                <w:sz w:val="18"/>
              </w:rPr>
              <w:t>1,200</w:t>
            </w:r>
            <w:r>
              <w:rPr>
                <w:rFonts w:ascii="Arial"/>
                <w:sz w:val="18"/>
              </w:rPr>
            </w:r>
          </w:p>
        </w:tc>
        <w:tc>
          <w:tcPr>
            <w:tcW w:w="82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4"/>
              <w:jc w:val="right"/>
              <w:rPr>
                <w:rFonts w:ascii="Arial" w:hAnsi="Arial" w:cs="Arial" w:eastAsia="Arial" w:hint="default"/>
                <w:sz w:val="18"/>
                <w:szCs w:val="18"/>
              </w:rPr>
            </w:pPr>
            <w:r>
              <w:rPr>
                <w:rFonts w:ascii="Arial"/>
                <w:w w:val="95"/>
                <w:sz w:val="18"/>
              </w:rPr>
              <w:t>0.3%</w:t>
            </w:r>
            <w:r>
              <w:rPr>
                <w:rFonts w:ascii="Arial"/>
                <w:sz w:val="18"/>
              </w:rPr>
            </w:r>
          </w:p>
        </w:tc>
        <w:tc>
          <w:tcPr>
            <w:tcW w:w="14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568" w:right="0"/>
              <w:jc w:val="left"/>
              <w:rPr>
                <w:rFonts w:ascii="Arial" w:hAnsi="Arial" w:cs="Arial" w:eastAsia="Arial" w:hint="default"/>
                <w:sz w:val="18"/>
                <w:szCs w:val="18"/>
              </w:rPr>
            </w:pPr>
            <w:r>
              <w:rPr>
                <w:rFonts w:ascii="Arial"/>
                <w:sz w:val="18"/>
              </w:rPr>
              <w:t>(1,200)</w:t>
            </w:r>
          </w:p>
        </w:tc>
        <w:tc>
          <w:tcPr>
            <w:tcW w:w="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19" w:right="0"/>
              <w:jc w:val="left"/>
              <w:rPr>
                <w:rFonts w:ascii="Arial" w:hAnsi="Arial" w:cs="Arial" w:eastAsia="Arial" w:hint="default"/>
                <w:sz w:val="18"/>
                <w:szCs w:val="18"/>
              </w:rPr>
            </w:pPr>
            <w:r>
              <w:rPr>
                <w:rFonts w:ascii="Arial"/>
                <w:sz w:val="18"/>
              </w:rPr>
              <w:t>100%</w:t>
            </w:r>
          </w:p>
        </w:tc>
        <w:tc>
          <w:tcPr>
            <w:tcW w:w="134" w:type="dxa"/>
            <w:tcBorders>
              <w:top w:val="nil" w:sz="6" w:space="0" w:color="auto"/>
              <w:left w:val="nil" w:sz="6" w:space="0" w:color="auto"/>
              <w:bottom w:val="single" w:sz="4" w:space="0" w:color="000000"/>
              <w:right w:val="nil" w:sz="6" w:space="0" w:color="auto"/>
            </w:tcBorders>
          </w:tcPr>
          <w:p>
            <w:pPr/>
          </w:p>
        </w:tc>
        <w:tc>
          <w:tcPr>
            <w:tcW w:w="74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0"/>
              <w:jc w:val="right"/>
              <w:rPr>
                <w:rFonts w:ascii="Arial" w:hAnsi="Arial" w:cs="Arial" w:eastAsia="Arial" w:hint="default"/>
                <w:sz w:val="18"/>
                <w:szCs w:val="18"/>
              </w:rPr>
            </w:pPr>
            <w:r>
              <w:rPr>
                <w:rFonts w:ascii="Arial"/>
                <w:w w:val="95"/>
                <w:sz w:val="18"/>
              </w:rPr>
              <w:t>144</w:t>
            </w:r>
            <w:r>
              <w:rPr>
                <w:rFonts w:ascii="Arial"/>
                <w:sz w:val="18"/>
              </w:rPr>
            </w:r>
          </w:p>
        </w:tc>
        <w:tc>
          <w:tcPr>
            <w:tcW w:w="9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261" w:right="0"/>
              <w:jc w:val="left"/>
              <w:rPr>
                <w:rFonts w:ascii="Arial" w:hAnsi="Arial" w:cs="Arial" w:eastAsia="Arial" w:hint="default"/>
                <w:sz w:val="18"/>
                <w:szCs w:val="18"/>
              </w:rPr>
            </w:pPr>
            <w:r>
              <w:rPr>
                <w:rFonts w:ascii="Arial"/>
                <w:sz w:val="18"/>
              </w:rPr>
              <w:t>0.0%</w:t>
            </w:r>
          </w:p>
        </w:tc>
        <w:tc>
          <w:tcPr>
            <w:tcW w:w="135" w:type="dxa"/>
            <w:tcBorders>
              <w:top w:val="nil" w:sz="6" w:space="0" w:color="auto"/>
              <w:left w:val="nil" w:sz="6" w:space="0" w:color="auto"/>
              <w:bottom w:val="single" w:sz="4" w:space="0" w:color="000000"/>
              <w:right w:val="nil" w:sz="6" w:space="0" w:color="auto"/>
            </w:tcBorders>
          </w:tcPr>
          <w:p>
            <w:pPr/>
          </w:p>
        </w:tc>
        <w:tc>
          <w:tcPr>
            <w:tcW w:w="85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331" w:right="0"/>
              <w:jc w:val="left"/>
              <w:rPr>
                <w:rFonts w:ascii="Arial" w:hAnsi="Arial" w:cs="Arial" w:eastAsia="Arial" w:hint="default"/>
                <w:sz w:val="18"/>
                <w:szCs w:val="18"/>
              </w:rPr>
            </w:pPr>
            <w:r>
              <w:rPr>
                <w:rFonts w:ascii="Arial"/>
                <w:sz w:val="18"/>
              </w:rPr>
              <w:t>(144)</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65" w:right="0"/>
              <w:jc w:val="left"/>
              <w:rPr>
                <w:rFonts w:ascii="Arial" w:hAnsi="Arial" w:cs="Arial" w:eastAsia="Arial" w:hint="default"/>
                <w:sz w:val="18"/>
                <w:szCs w:val="18"/>
              </w:rPr>
            </w:pPr>
            <w:r>
              <w:rPr>
                <w:rFonts w:ascii="Arial"/>
                <w:sz w:val="18"/>
              </w:rPr>
              <w:t>100%</w:t>
            </w:r>
          </w:p>
        </w:tc>
      </w:tr>
      <w:tr>
        <w:trPr>
          <w:trHeight w:val="289" w:hRule="exact"/>
        </w:trPr>
        <w:tc>
          <w:tcPr>
            <w:tcW w:w="599" w:type="dxa"/>
            <w:tcBorders>
              <w:top w:val="nil" w:sz="6" w:space="0" w:color="auto"/>
              <w:left w:val="nil" w:sz="6" w:space="0" w:color="auto"/>
              <w:bottom w:val="single" w:sz="1" w:space="0" w:color="FFFF99"/>
              <w:right w:val="nil" w:sz="6" w:space="0" w:color="auto"/>
            </w:tcBorders>
          </w:tcPr>
          <w:p>
            <w:pPr/>
          </w:p>
        </w:tc>
        <w:tc>
          <w:tcPr>
            <w:tcW w:w="1119" w:type="dxa"/>
            <w:tcBorders>
              <w:top w:val="nil" w:sz="6" w:space="0" w:color="auto"/>
              <w:left w:val="nil" w:sz="6" w:space="0" w:color="auto"/>
              <w:bottom w:val="single" w:sz="1" w:space="0" w:color="FFFF99"/>
              <w:right w:val="nil" w:sz="6" w:space="0" w:color="auto"/>
            </w:tcBorders>
          </w:tcPr>
          <w:p>
            <w:pPr/>
          </w:p>
        </w:tc>
        <w:tc>
          <w:tcPr>
            <w:tcW w:w="958"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1"/>
              <w:jc w:val="right"/>
              <w:rPr>
                <w:rFonts w:ascii="Arial" w:hAnsi="Arial" w:cs="Arial" w:eastAsia="Arial" w:hint="default"/>
                <w:sz w:val="18"/>
                <w:szCs w:val="18"/>
              </w:rPr>
            </w:pPr>
            <w:r>
              <w:rPr>
                <w:rFonts w:ascii="Arial"/>
                <w:spacing w:val="-1"/>
                <w:sz w:val="18"/>
              </w:rPr>
              <w:t>462,587</w:t>
            </w:r>
          </w:p>
        </w:tc>
        <w:tc>
          <w:tcPr>
            <w:tcW w:w="826"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53"/>
              <w:jc w:val="right"/>
              <w:rPr>
                <w:rFonts w:ascii="Arial" w:hAnsi="Arial" w:cs="Arial" w:eastAsia="Arial" w:hint="default"/>
                <w:sz w:val="18"/>
                <w:szCs w:val="18"/>
              </w:rPr>
            </w:pPr>
            <w:r>
              <w:rPr>
                <w:rFonts w:ascii="Arial"/>
                <w:spacing w:val="-1"/>
                <w:sz w:val="18"/>
              </w:rPr>
              <w:t>100.0%</w:t>
            </w:r>
          </w:p>
        </w:tc>
        <w:tc>
          <w:tcPr>
            <w:tcW w:w="1444"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42"/>
              <w:ind w:left="470" w:right="0"/>
              <w:jc w:val="left"/>
              <w:rPr>
                <w:rFonts w:ascii="Arial" w:hAnsi="Arial" w:cs="Arial" w:eastAsia="Arial" w:hint="default"/>
                <w:sz w:val="18"/>
                <w:szCs w:val="18"/>
              </w:rPr>
            </w:pPr>
            <w:r>
              <w:rPr>
                <w:rFonts w:ascii="Arial"/>
                <w:sz w:val="18"/>
              </w:rPr>
              <w:t>(36,859)</w:t>
            </w:r>
          </w:p>
        </w:tc>
        <w:tc>
          <w:tcPr>
            <w:tcW w:w="860" w:type="dxa"/>
            <w:gridSpan w:val="2"/>
            <w:tcBorders>
              <w:top w:val="nil" w:sz="6" w:space="0" w:color="auto"/>
              <w:left w:val="nil" w:sz="6" w:space="0" w:color="auto"/>
              <w:bottom w:val="single" w:sz="12" w:space="0" w:color="000000"/>
              <w:right w:val="nil" w:sz="6" w:space="0" w:color="auto"/>
            </w:tcBorders>
          </w:tcPr>
          <w:p>
            <w:pPr/>
          </w:p>
        </w:tc>
        <w:tc>
          <w:tcPr>
            <w:tcW w:w="134" w:type="dxa"/>
            <w:tcBorders>
              <w:top w:val="single" w:sz="4" w:space="0" w:color="000000"/>
              <w:left w:val="nil" w:sz="6" w:space="0" w:color="auto"/>
              <w:bottom w:val="single" w:sz="12" w:space="0" w:color="000000"/>
              <w:right w:val="nil" w:sz="6" w:space="0" w:color="auto"/>
            </w:tcBorders>
          </w:tcPr>
          <w:p>
            <w:pPr/>
          </w:p>
        </w:tc>
        <w:tc>
          <w:tcPr>
            <w:tcW w:w="7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61"/>
              <w:jc w:val="right"/>
              <w:rPr>
                <w:rFonts w:ascii="Arial" w:hAnsi="Arial" w:cs="Arial" w:eastAsia="Arial" w:hint="default"/>
                <w:sz w:val="18"/>
                <w:szCs w:val="18"/>
              </w:rPr>
            </w:pPr>
            <w:r>
              <w:rPr>
                <w:rFonts w:ascii="Arial"/>
                <w:spacing w:val="-1"/>
                <w:sz w:val="18"/>
              </w:rPr>
              <w:t>416,415</w:t>
            </w:r>
          </w:p>
        </w:tc>
        <w:tc>
          <w:tcPr>
            <w:tcW w:w="936"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42"/>
              <w:ind w:left="62" w:right="0"/>
              <w:jc w:val="left"/>
              <w:rPr>
                <w:rFonts w:ascii="Arial" w:hAnsi="Arial" w:cs="Arial" w:eastAsia="Arial" w:hint="default"/>
                <w:sz w:val="18"/>
                <w:szCs w:val="18"/>
              </w:rPr>
            </w:pPr>
            <w:r>
              <w:rPr>
                <w:rFonts w:ascii="Arial"/>
                <w:sz w:val="18"/>
              </w:rPr>
              <w:t>100.0%</w:t>
            </w:r>
          </w:p>
        </w:tc>
        <w:tc>
          <w:tcPr>
            <w:tcW w:w="135" w:type="dxa"/>
            <w:tcBorders>
              <w:top w:val="single" w:sz="4" w:space="0" w:color="000000"/>
              <w:left w:val="nil" w:sz="6" w:space="0" w:color="auto"/>
              <w:bottom w:val="single" w:sz="12" w:space="0" w:color="000000"/>
              <w:right w:val="nil" w:sz="6" w:space="0" w:color="auto"/>
            </w:tcBorders>
          </w:tcPr>
          <w:p>
            <w:pPr/>
          </w:p>
        </w:tc>
        <w:tc>
          <w:tcPr>
            <w:tcW w:w="857"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81" w:right="0"/>
              <w:jc w:val="left"/>
              <w:rPr>
                <w:rFonts w:ascii="Arial" w:hAnsi="Arial" w:cs="Arial" w:eastAsia="Arial" w:hint="default"/>
                <w:sz w:val="18"/>
                <w:szCs w:val="18"/>
              </w:rPr>
            </w:pPr>
            <w:r>
              <w:rPr>
                <w:rFonts w:ascii="Arial"/>
                <w:sz w:val="18"/>
              </w:rPr>
              <w:t>(34,040)</w:t>
            </w:r>
          </w:p>
        </w:tc>
        <w:tc>
          <w:tcPr>
            <w:tcW w:w="684" w:type="dxa"/>
            <w:tcBorders>
              <w:top w:val="nil" w:sz="6" w:space="0" w:color="auto"/>
              <w:left w:val="nil" w:sz="6" w:space="0" w:color="auto"/>
              <w:bottom w:val="single" w:sz="1" w:space="0" w:color="FFFF99"/>
              <w:right w:val="nil" w:sz="6" w:space="0" w:color="auto"/>
            </w:tcBorders>
          </w:tcPr>
          <w:p>
            <w:pPr/>
          </w:p>
        </w:tc>
      </w:tr>
    </w:tbl>
    <w:p>
      <w:pPr>
        <w:spacing w:after="0"/>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3352" type="#_x0000_t75" stroked="false">
            <v:imagedata r:id="rId10" o:title=""/>
          </v:shape>
        </w:pict>
      </w:r>
    </w:p>
    <w:p>
      <w:pPr>
        <w:spacing w:line="240" w:lineRule="auto" w:before="4"/>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56"/>
        <w:gridCol w:w="2718"/>
        <w:gridCol w:w="1227"/>
        <w:gridCol w:w="1172"/>
        <w:gridCol w:w="1932"/>
        <w:gridCol w:w="1299"/>
      </w:tblGrid>
      <w:tr>
        <w:trPr>
          <w:trHeight w:val="495" w:hRule="exact"/>
        </w:trPr>
        <w:tc>
          <w:tcPr>
            <w:tcW w:w="75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945"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42"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72"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r>
      <w:tr>
        <w:trPr>
          <w:trHeight w:val="746" w:hRule="exact"/>
        </w:trPr>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(5)</w:t>
            </w:r>
          </w:p>
        </w:tc>
        <w:tc>
          <w:tcPr>
            <w:tcW w:w="39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142" w:right="0"/>
              <w:jc w:val="left"/>
              <w:rPr>
                <w:rFonts w:ascii="Arial" w:hAnsi="Arial" w:cs="Arial" w:eastAsia="Arial" w:hint="default"/>
                <w:sz w:val="24"/>
                <w:szCs w:val="24"/>
              </w:rPr>
            </w:pPr>
            <w:r>
              <w:rPr>
                <w:rFonts w:ascii="黑体" w:hAnsi="黑体" w:cs="黑体" w:eastAsia="黑体" w:hint="default"/>
                <w:sz w:val="24"/>
                <w:szCs w:val="24"/>
              </w:rPr>
              <w:t>其他应收款和长期应收款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72"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r>
      <w:tr>
        <w:trPr>
          <w:trHeight w:val="740" w:hRule="exact"/>
        </w:trPr>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320" w:right="0"/>
              <w:jc w:val="left"/>
              <w:rPr>
                <w:rFonts w:ascii="Arial" w:hAnsi="Arial" w:cs="Arial" w:eastAsia="Arial" w:hint="default"/>
                <w:sz w:val="24"/>
                <w:szCs w:val="24"/>
              </w:rPr>
            </w:pPr>
            <w:r>
              <w:rPr>
                <w:rFonts w:ascii="Arial"/>
                <w:sz w:val="24"/>
              </w:rPr>
              <w:t>(e)</w:t>
            </w:r>
          </w:p>
        </w:tc>
        <w:tc>
          <w:tcPr>
            <w:tcW w:w="511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7"/>
              <w:ind w:left="159" w:right="0"/>
              <w:jc w:val="left"/>
              <w:rPr>
                <w:rFonts w:ascii="宋体" w:hAnsi="宋体" w:cs="宋体" w:eastAsia="宋体" w:hint="default"/>
                <w:sz w:val="24"/>
                <w:szCs w:val="24"/>
              </w:rPr>
            </w:pPr>
            <w:r>
              <w:rPr>
                <w:rFonts w:ascii="宋体" w:hAnsi="宋体" w:cs="宋体" w:eastAsia="宋体" w:hint="default"/>
                <w:sz w:val="24"/>
                <w:szCs w:val="24"/>
              </w:rPr>
              <w:t>本年度实际核销的其他应收款分析如下：</w:t>
            </w:r>
          </w:p>
        </w:tc>
        <w:tc>
          <w:tcPr>
            <w:tcW w:w="1932"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r>
      <w:tr>
        <w:trPr>
          <w:trHeight w:val="913" w:hRule="exact"/>
        </w:trPr>
        <w:tc>
          <w:tcPr>
            <w:tcW w:w="756" w:type="dxa"/>
            <w:tcBorders>
              <w:top w:val="nil" w:sz="6" w:space="0" w:color="auto"/>
              <w:left w:val="nil" w:sz="6" w:space="0" w:color="auto"/>
              <w:bottom w:val="nil" w:sz="6" w:space="0" w:color="auto"/>
              <w:right w:val="nil" w:sz="6" w:space="0" w:color="auto"/>
            </w:tcBorders>
          </w:tcPr>
          <w:p>
            <w:pPr/>
          </w:p>
        </w:tc>
        <w:tc>
          <w:tcPr>
            <w:tcW w:w="2718"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76" w:lineRule="auto"/>
              <w:ind w:left="398" w:right="107" w:firstLine="180"/>
              <w:jc w:val="left"/>
              <w:rPr>
                <w:rFonts w:ascii="宋体" w:hAnsi="宋体" w:cs="宋体" w:eastAsia="宋体" w:hint="default"/>
                <w:sz w:val="18"/>
                <w:szCs w:val="18"/>
              </w:rPr>
            </w:pPr>
            <w:r>
              <w:rPr>
                <w:rFonts w:ascii="宋体" w:hAnsi="宋体" w:cs="宋体" w:eastAsia="宋体" w:hint="default"/>
                <w:sz w:val="18"/>
                <w:szCs w:val="18"/>
              </w:rPr>
              <w:t>其他应 收款性质</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核销金额</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0"/>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4" w:lineRule="exact"/>
              <w:ind w:left="372" w:right="205" w:hanging="180"/>
              <w:jc w:val="left"/>
              <w:rPr>
                <w:rFonts w:ascii="宋体" w:hAnsi="宋体" w:cs="宋体" w:eastAsia="宋体" w:hint="default"/>
                <w:sz w:val="18"/>
                <w:szCs w:val="18"/>
              </w:rPr>
            </w:pPr>
            <w:r>
              <w:rPr>
                <w:rFonts w:ascii="宋体" w:hAnsi="宋体" w:cs="宋体" w:eastAsia="宋体" w:hint="default"/>
                <w:sz w:val="18"/>
                <w:szCs w:val="18"/>
              </w:rPr>
              <w:t>是否因关联 交易产生</w:t>
            </w:r>
          </w:p>
        </w:tc>
      </w:tr>
      <w:tr>
        <w:trPr>
          <w:trHeight w:val="468" w:hRule="exact"/>
        </w:trPr>
        <w:tc>
          <w:tcPr>
            <w:tcW w:w="756" w:type="dxa"/>
            <w:tcBorders>
              <w:top w:val="nil" w:sz="6" w:space="0" w:color="auto"/>
              <w:left w:val="nil" w:sz="6" w:space="0" w:color="auto"/>
              <w:bottom w:val="nil" w:sz="6" w:space="0" w:color="auto"/>
              <w:right w:val="nil" w:sz="6" w:space="0" w:color="auto"/>
            </w:tcBorders>
          </w:tcPr>
          <w:p>
            <w:pPr/>
          </w:p>
        </w:tc>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59" w:right="0"/>
              <w:jc w:val="left"/>
              <w:rPr>
                <w:rFonts w:ascii="宋体" w:hAnsi="宋体" w:cs="宋体" w:eastAsia="宋体" w:hint="default"/>
                <w:sz w:val="18"/>
                <w:szCs w:val="18"/>
              </w:rPr>
            </w:pPr>
            <w:r>
              <w:rPr>
                <w:rFonts w:ascii="宋体" w:hAnsi="宋体" w:cs="宋体" w:eastAsia="宋体" w:hint="default"/>
                <w:sz w:val="18"/>
                <w:szCs w:val="18"/>
              </w:rPr>
              <w:t>常州顺鼎电器有限公司</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758"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09"/>
              <w:jc w:val="right"/>
              <w:rPr>
                <w:rFonts w:ascii="Arial" w:hAnsi="Arial" w:cs="Arial" w:eastAsia="Arial" w:hint="default"/>
                <w:sz w:val="18"/>
                <w:szCs w:val="18"/>
              </w:rPr>
            </w:pPr>
            <w:r>
              <w:rPr>
                <w:rFonts w:ascii="Arial"/>
                <w:spacing w:val="-5"/>
                <w:sz w:val="18"/>
              </w:rPr>
              <w:t>116</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90"/>
              <w:jc w:val="right"/>
              <w:rPr>
                <w:rFonts w:ascii="宋体" w:hAnsi="宋体" w:cs="宋体" w:eastAsia="宋体" w:hint="default"/>
                <w:sz w:val="18"/>
                <w:szCs w:val="18"/>
              </w:rPr>
            </w:pPr>
            <w:r>
              <w:rPr>
                <w:rFonts w:ascii="宋体" w:hAnsi="宋体" w:cs="宋体" w:eastAsia="宋体" w:hint="default"/>
                <w:sz w:val="18"/>
                <w:szCs w:val="18"/>
              </w:rPr>
              <w:t>长时间催讨无结果</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0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10" w:hRule="exact"/>
        </w:trPr>
        <w:tc>
          <w:tcPr>
            <w:tcW w:w="756" w:type="dxa"/>
            <w:tcBorders>
              <w:top w:val="nil" w:sz="6" w:space="0" w:color="auto"/>
              <w:left w:val="nil" w:sz="6" w:space="0" w:color="auto"/>
              <w:bottom w:val="nil" w:sz="6" w:space="0" w:color="auto"/>
              <w:right w:val="nil" w:sz="6" w:space="0" w:color="auto"/>
            </w:tcBorders>
          </w:tcPr>
          <w:p>
            <w:pPr/>
          </w:p>
        </w:tc>
        <w:tc>
          <w:tcPr>
            <w:tcW w:w="2718" w:type="dxa"/>
            <w:tcBorders>
              <w:top w:val="nil" w:sz="6" w:space="0" w:color="auto"/>
              <w:left w:val="nil" w:sz="6" w:space="0" w:color="auto"/>
              <w:bottom w:val="nil" w:sz="6" w:space="0" w:color="auto"/>
              <w:right w:val="nil" w:sz="6" w:space="0" w:color="auto"/>
            </w:tcBorders>
          </w:tcPr>
          <w:p>
            <w:pPr>
              <w:pStyle w:val="TableParagraph"/>
              <w:spacing w:line="247" w:lineRule="exact"/>
              <w:ind w:left="159" w:right="0"/>
              <w:jc w:val="left"/>
              <w:rPr>
                <w:rFonts w:ascii="Arial" w:hAnsi="Arial" w:cs="Arial" w:eastAsia="Arial" w:hint="default"/>
                <w:sz w:val="18"/>
                <w:szCs w:val="18"/>
              </w:rPr>
            </w:pPr>
            <w:r>
              <w:rPr>
                <w:rFonts w:ascii="宋体" w:hAnsi="宋体" w:cs="宋体" w:eastAsia="宋体" w:hint="default"/>
                <w:sz w:val="18"/>
                <w:szCs w:val="18"/>
              </w:rPr>
              <w:t>其他</w:t>
            </w:r>
            <w:r>
              <w:rPr>
                <w:rFonts w:ascii="Arial" w:hAnsi="Arial" w:cs="Arial" w:eastAsia="Arial" w:hint="default"/>
                <w:sz w:val="18"/>
                <w:szCs w:val="18"/>
              </w:rPr>
              <w:t>(</w:t>
            </w:r>
            <w:r>
              <w:rPr>
                <w:rFonts w:ascii="宋体" w:hAnsi="宋体" w:cs="宋体" w:eastAsia="宋体" w:hint="default"/>
                <w:sz w:val="18"/>
                <w:szCs w:val="18"/>
              </w:rPr>
              <w:t>单笔金额较小</w:t>
            </w:r>
            <w:r>
              <w:rPr>
                <w:rFonts w:ascii="Arial" w:hAnsi="Arial" w:cs="Arial" w:eastAsia="Arial" w:hint="default"/>
                <w:sz w:val="18"/>
                <w:szCs w:val="18"/>
              </w:rPr>
              <w:t>)</w:t>
            </w:r>
          </w:p>
        </w:tc>
        <w:tc>
          <w:tcPr>
            <w:tcW w:w="1227"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7"/>
              <w:jc w:val="right"/>
              <w:rPr>
                <w:rFonts w:ascii="Arial" w:hAnsi="Arial" w:cs="Arial" w:eastAsia="Arial" w:hint="default"/>
                <w:sz w:val="18"/>
                <w:szCs w:val="18"/>
              </w:rPr>
            </w:pPr>
            <w:r>
              <w:rPr>
                <w:rFonts w:ascii="Arial"/>
                <w:w w:val="95"/>
                <w:sz w:val="18"/>
              </w:rPr>
              <w:t>1,969</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34" w:lineRule="exact"/>
              <w:ind w:right="190"/>
              <w:jc w:val="right"/>
              <w:rPr>
                <w:rFonts w:ascii="宋体" w:hAnsi="宋体" w:cs="宋体" w:eastAsia="宋体" w:hint="default"/>
                <w:sz w:val="18"/>
                <w:szCs w:val="18"/>
              </w:rPr>
            </w:pPr>
            <w:r>
              <w:rPr>
                <w:rFonts w:ascii="宋体" w:hAnsi="宋体" w:cs="宋体" w:eastAsia="宋体" w:hint="default"/>
                <w:sz w:val="18"/>
                <w:szCs w:val="18"/>
              </w:rPr>
              <w:t>长时间催讨无结果</w:t>
            </w:r>
          </w:p>
        </w:tc>
        <w:tc>
          <w:tcPr>
            <w:tcW w:w="1299" w:type="dxa"/>
            <w:tcBorders>
              <w:top w:val="nil" w:sz="6" w:space="0" w:color="auto"/>
              <w:left w:val="nil" w:sz="6" w:space="0" w:color="auto"/>
              <w:bottom w:val="nil" w:sz="6" w:space="0" w:color="auto"/>
              <w:right w:val="nil" w:sz="6" w:space="0" w:color="auto"/>
            </w:tcBorders>
          </w:tcPr>
          <w:p>
            <w:pPr>
              <w:pStyle w:val="TableParagraph"/>
              <w:spacing w:line="234" w:lineRule="exact"/>
              <w:ind w:right="20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07" w:hRule="exact"/>
        </w:trPr>
        <w:tc>
          <w:tcPr>
            <w:tcW w:w="756" w:type="dxa"/>
            <w:tcBorders>
              <w:top w:val="nil" w:sz="6" w:space="0" w:color="auto"/>
              <w:left w:val="nil" w:sz="6" w:space="0" w:color="auto"/>
              <w:bottom w:val="nil" w:sz="6" w:space="0" w:color="auto"/>
              <w:right w:val="nil" w:sz="6" w:space="0" w:color="auto"/>
            </w:tcBorders>
          </w:tcPr>
          <w:p>
            <w:pPr/>
          </w:p>
        </w:tc>
        <w:tc>
          <w:tcPr>
            <w:tcW w:w="2718"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1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7"/>
              <w:jc w:val="right"/>
              <w:rPr>
                <w:rFonts w:ascii="Arial" w:hAnsi="Arial" w:cs="Arial" w:eastAsia="Arial" w:hint="default"/>
                <w:sz w:val="18"/>
                <w:szCs w:val="18"/>
              </w:rPr>
            </w:pPr>
            <w:r>
              <w:rPr>
                <w:rFonts w:ascii="Arial"/>
                <w:w w:val="95"/>
                <w:sz w:val="18"/>
              </w:rPr>
              <w:t>2,085</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r>
      <w:tr>
        <w:trPr>
          <w:trHeight w:val="1008" w:hRule="exact"/>
        </w:trPr>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(f)</w:t>
            </w:r>
          </w:p>
        </w:tc>
        <w:tc>
          <w:tcPr>
            <w:tcW w:w="834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34"/>
                <w:szCs w:val="34"/>
              </w:rPr>
            </w:pPr>
          </w:p>
          <w:p>
            <w:pPr>
              <w:pStyle w:val="TableParagraph"/>
              <w:spacing w:line="312" w:lineRule="exact"/>
              <w:ind w:left="159" w:right="198"/>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2"/>
                <w:sz w:val="24"/>
                <w:szCs w:val="24"/>
              </w:rPr>
              <w:t> </w:t>
            </w:r>
            <w:r>
              <w:rPr>
                <w:rFonts w:ascii="Arial" w:hAnsi="Arial" w:cs="Arial" w:eastAsia="Arial" w:hint="default"/>
                <w:sz w:val="24"/>
                <w:szCs w:val="24"/>
              </w:rPr>
              <w:t>2012</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12</w:t>
            </w:r>
            <w:r>
              <w:rPr>
                <w:rFonts w:ascii="Arial" w:hAnsi="Arial" w:cs="Arial" w:eastAsia="Arial"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日及</w:t>
            </w:r>
            <w:r>
              <w:rPr>
                <w:rFonts w:ascii="宋体" w:hAnsi="宋体" w:cs="宋体" w:eastAsia="宋体" w:hint="default"/>
                <w:spacing w:val="-52"/>
                <w:sz w:val="24"/>
                <w:szCs w:val="24"/>
              </w:rPr>
              <w:t> </w:t>
            </w:r>
            <w:r>
              <w:rPr>
                <w:rFonts w:ascii="Arial" w:hAnsi="Arial" w:cs="Arial" w:eastAsia="Arial" w:hint="default"/>
                <w:spacing w:val="-5"/>
                <w:sz w:val="24"/>
                <w:szCs w:val="24"/>
              </w:rPr>
              <w:t>2011</w:t>
            </w:r>
            <w:r>
              <w:rPr>
                <w:rFonts w:ascii="Arial" w:hAnsi="Arial" w:cs="Arial" w:eastAsia="Arial" w:hint="default"/>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Arial" w:hAnsi="Arial" w:cs="Arial" w:eastAsia="Arial" w:hint="default"/>
                <w:sz w:val="24"/>
                <w:szCs w:val="24"/>
              </w:rPr>
              <w:t>12</w:t>
            </w:r>
            <w:r>
              <w:rPr>
                <w:rFonts w:ascii="Arial" w:hAnsi="Arial" w:cs="Arial" w:eastAsia="Arial"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日，其他应收款和长期应收款中 无应收持有本公司</w:t>
            </w:r>
            <w:r>
              <w:rPr>
                <w:rFonts w:ascii="宋体" w:hAnsi="宋体" w:cs="宋体" w:eastAsia="宋体" w:hint="default"/>
                <w:spacing w:val="-62"/>
                <w:sz w:val="24"/>
                <w:szCs w:val="24"/>
              </w:rPr>
              <w:t> </w:t>
            </w:r>
            <w:r>
              <w:rPr>
                <w:rFonts w:ascii="Arial" w:hAnsi="Arial" w:cs="Arial" w:eastAsia="Arial" w:hint="default"/>
                <w:sz w:val="24"/>
                <w:szCs w:val="24"/>
              </w:rPr>
              <w:t>5%(</w:t>
            </w:r>
            <w:r>
              <w:rPr>
                <w:rFonts w:ascii="宋体" w:hAnsi="宋体" w:cs="宋体" w:eastAsia="宋体" w:hint="default"/>
                <w:sz w:val="24"/>
                <w:szCs w:val="24"/>
              </w:rPr>
              <w:t>含</w:t>
            </w:r>
            <w:r>
              <w:rPr>
                <w:rFonts w:ascii="宋体" w:hAnsi="宋体" w:cs="宋体" w:eastAsia="宋体" w:hint="default"/>
                <w:spacing w:val="-62"/>
                <w:sz w:val="24"/>
                <w:szCs w:val="24"/>
              </w:rPr>
              <w:t> </w:t>
            </w:r>
            <w:r>
              <w:rPr>
                <w:rFonts w:ascii="Arial" w:hAnsi="Arial" w:cs="Arial" w:eastAsia="Arial" w:hint="default"/>
                <w:sz w:val="24"/>
                <w:szCs w:val="24"/>
              </w:rPr>
              <w:t>5%)</w:t>
            </w:r>
            <w:r>
              <w:rPr>
                <w:rFonts w:ascii="宋体" w:hAnsi="宋体" w:cs="宋体" w:eastAsia="宋体" w:hint="default"/>
                <w:sz w:val="24"/>
                <w:szCs w:val="24"/>
              </w:rPr>
              <w:t>以上表决权股份的股东的款项。</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24"/>
        <w:gridCol w:w="3212"/>
        <w:gridCol w:w="928"/>
        <w:gridCol w:w="1123"/>
        <w:gridCol w:w="1188"/>
        <w:gridCol w:w="1810"/>
      </w:tblGrid>
      <w:tr>
        <w:trPr>
          <w:trHeight w:val="472" w:hRule="exact"/>
        </w:trPr>
        <w:tc>
          <w:tcPr>
            <w:tcW w:w="724"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(g)</w:t>
            </w:r>
          </w:p>
        </w:tc>
        <w:tc>
          <w:tcPr>
            <w:tcW w:w="8262" w:type="dxa"/>
            <w:gridSpan w:val="5"/>
            <w:tcBorders>
              <w:top w:val="nil" w:sz="6" w:space="0" w:color="auto"/>
              <w:left w:val="nil" w:sz="6" w:space="0" w:color="auto"/>
              <w:bottom w:val="nil" w:sz="6" w:space="0" w:color="auto"/>
              <w:right w:val="nil" w:sz="6" w:space="0" w:color="auto"/>
            </w:tcBorders>
          </w:tcPr>
          <w:p>
            <w:pPr>
              <w:pStyle w:val="TableParagraph"/>
              <w:spacing w:line="265" w:lineRule="exact"/>
              <w:ind w:left="232"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日，余额前五名的其他应收款分析如下：</w:t>
            </w:r>
          </w:p>
        </w:tc>
      </w:tr>
      <w:tr>
        <w:trPr>
          <w:trHeight w:val="1330" w:hRule="exact"/>
        </w:trPr>
        <w:tc>
          <w:tcPr>
            <w:tcW w:w="724" w:type="dxa"/>
            <w:tcBorders>
              <w:top w:val="nil" w:sz="6" w:space="0" w:color="auto"/>
              <w:left w:val="nil" w:sz="6" w:space="0" w:color="auto"/>
              <w:bottom w:val="nil" w:sz="6" w:space="0" w:color="auto"/>
              <w:right w:val="nil" w:sz="6" w:space="0" w:color="auto"/>
            </w:tcBorders>
          </w:tcPr>
          <w:p>
            <w:pPr/>
          </w:p>
        </w:tc>
        <w:tc>
          <w:tcPr>
            <w:tcW w:w="3212"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0" w:lineRule="exact" w:before="207"/>
              <w:ind w:left="99" w:right="106"/>
              <w:jc w:val="left"/>
              <w:rPr>
                <w:rFonts w:ascii="宋体" w:hAnsi="宋体" w:cs="宋体" w:eastAsia="宋体" w:hint="default"/>
                <w:sz w:val="24"/>
                <w:szCs w:val="24"/>
              </w:rPr>
            </w:pPr>
            <w:r>
              <w:rPr>
                <w:rFonts w:ascii="宋体" w:hAnsi="宋体" w:cs="宋体" w:eastAsia="宋体" w:hint="default"/>
                <w:sz w:val="24"/>
                <w:szCs w:val="24"/>
              </w:rPr>
              <w:t>与本集 团关系</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10"/>
              <w:ind w:right="103"/>
              <w:jc w:val="right"/>
              <w:rPr>
                <w:rFonts w:ascii="宋体" w:hAnsi="宋体" w:cs="宋体" w:eastAsia="宋体" w:hint="default"/>
                <w:sz w:val="24"/>
                <w:szCs w:val="24"/>
              </w:rPr>
            </w:pPr>
            <w:r>
              <w:rPr>
                <w:rFonts w:ascii="宋体" w:hAnsi="宋体" w:cs="宋体" w:eastAsia="宋体" w:hint="default"/>
                <w:sz w:val="24"/>
                <w:szCs w:val="24"/>
              </w:rPr>
              <w:t>金额</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10"/>
              <w:ind w:right="103"/>
              <w:jc w:val="right"/>
              <w:rPr>
                <w:rFonts w:ascii="宋体" w:hAnsi="宋体" w:cs="宋体" w:eastAsia="宋体" w:hint="default"/>
                <w:sz w:val="24"/>
                <w:szCs w:val="24"/>
              </w:rPr>
            </w:pPr>
            <w:r>
              <w:rPr>
                <w:rFonts w:ascii="宋体" w:hAnsi="宋体" w:cs="宋体" w:eastAsia="宋体" w:hint="default"/>
                <w:sz w:val="24"/>
                <w:szCs w:val="24"/>
              </w:rPr>
              <w:t>年限</w:t>
            </w:r>
          </w:p>
        </w:tc>
        <w:tc>
          <w:tcPr>
            <w:tcW w:w="1810" w:type="dxa"/>
            <w:tcBorders>
              <w:top w:val="nil" w:sz="6" w:space="0" w:color="auto"/>
              <w:left w:val="nil" w:sz="6" w:space="0" w:color="auto"/>
              <w:bottom w:val="nil" w:sz="6" w:space="0" w:color="auto"/>
              <w:right w:val="nil" w:sz="6" w:space="0" w:color="auto"/>
            </w:tcBorders>
          </w:tcPr>
          <w:p>
            <w:pPr>
              <w:pStyle w:val="TableParagraph"/>
              <w:spacing w:line="312" w:lineRule="exact" w:before="169"/>
              <w:ind w:left="264" w:right="103"/>
              <w:jc w:val="left"/>
              <w:rPr>
                <w:rFonts w:ascii="宋体" w:hAnsi="宋体" w:cs="宋体" w:eastAsia="宋体" w:hint="default"/>
                <w:sz w:val="24"/>
                <w:szCs w:val="24"/>
              </w:rPr>
            </w:pPr>
            <w:r>
              <w:rPr>
                <w:rFonts w:ascii="宋体" w:hAnsi="宋体" w:cs="宋体" w:eastAsia="宋体" w:hint="default"/>
                <w:sz w:val="24"/>
                <w:szCs w:val="24"/>
              </w:rPr>
              <w:t>占其他应收款 和长期应收款</w:t>
            </w:r>
          </w:p>
          <w:p>
            <w:pPr>
              <w:pStyle w:val="TableParagraph"/>
              <w:spacing w:line="281" w:lineRule="exact"/>
              <w:ind w:left="744" w:right="0"/>
              <w:jc w:val="left"/>
              <w:rPr>
                <w:rFonts w:ascii="宋体" w:hAnsi="宋体" w:cs="宋体" w:eastAsia="宋体" w:hint="default"/>
                <w:sz w:val="24"/>
                <w:szCs w:val="24"/>
              </w:rPr>
            </w:pPr>
            <w:r>
              <w:rPr>
                <w:rFonts w:ascii="宋体" w:hAnsi="宋体" w:cs="宋体" w:eastAsia="宋体" w:hint="default"/>
                <w:sz w:val="24"/>
                <w:szCs w:val="24"/>
              </w:rPr>
              <w:t>总额比例</w:t>
            </w:r>
          </w:p>
        </w:tc>
      </w:tr>
      <w:tr>
        <w:trPr>
          <w:trHeight w:val="583" w:hRule="exact"/>
        </w:trPr>
        <w:tc>
          <w:tcPr>
            <w:tcW w:w="724" w:type="dxa"/>
            <w:tcBorders>
              <w:top w:val="nil" w:sz="6" w:space="0" w:color="auto"/>
              <w:left w:val="nil" w:sz="6" w:space="0" w:color="auto"/>
              <w:bottom w:val="nil" w:sz="6" w:space="0" w:color="auto"/>
              <w:right w:val="nil" w:sz="6" w:space="0" w:color="auto"/>
            </w:tcBorders>
          </w:tcPr>
          <w:p>
            <w:pPr/>
          </w:p>
        </w:tc>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32" w:right="0"/>
              <w:jc w:val="left"/>
              <w:rPr>
                <w:rFonts w:ascii="宋体" w:hAnsi="宋体" w:cs="宋体" w:eastAsia="宋体" w:hint="default"/>
                <w:sz w:val="24"/>
                <w:szCs w:val="24"/>
              </w:rPr>
            </w:pPr>
            <w:r>
              <w:rPr>
                <w:rFonts w:ascii="宋体" w:hAnsi="宋体" w:cs="宋体" w:eastAsia="宋体" w:hint="default"/>
                <w:sz w:val="24"/>
                <w:szCs w:val="24"/>
              </w:rPr>
              <w:t>北京市通州代理支库</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6"/>
              <w:jc w:val="right"/>
              <w:rPr>
                <w:rFonts w:ascii="宋体" w:hAnsi="宋体" w:cs="宋体" w:eastAsia="宋体" w:hint="default"/>
                <w:sz w:val="24"/>
                <w:szCs w:val="24"/>
              </w:rPr>
            </w:pPr>
            <w:r>
              <w:rPr>
                <w:rFonts w:ascii="宋体" w:hAnsi="宋体" w:cs="宋体" w:eastAsia="宋体" w:hint="default"/>
                <w:sz w:val="24"/>
                <w:szCs w:val="24"/>
              </w:rPr>
              <w:t>第三方</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24"/>
                <w:szCs w:val="24"/>
              </w:rPr>
            </w:pPr>
            <w:r>
              <w:rPr>
                <w:rFonts w:ascii="Arial"/>
                <w:spacing w:val="-1"/>
                <w:sz w:val="24"/>
              </w:rPr>
              <w:t>7,576</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3"/>
              <w:jc w:val="right"/>
              <w:rPr>
                <w:rFonts w:ascii="宋体" w:hAnsi="宋体" w:cs="宋体" w:eastAsia="宋体" w:hint="default"/>
                <w:sz w:val="24"/>
                <w:szCs w:val="24"/>
              </w:rPr>
            </w:pPr>
            <w:r>
              <w:rPr>
                <w:rFonts w:ascii="宋体" w:hAnsi="宋体" w:cs="宋体" w:eastAsia="宋体" w:hint="default"/>
                <w:sz w:val="24"/>
                <w:szCs w:val="24"/>
              </w:rPr>
              <w:t>一到二年</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24"/>
                <w:szCs w:val="24"/>
              </w:rPr>
            </w:pPr>
            <w:r>
              <w:rPr>
                <w:rFonts w:ascii="Arial"/>
                <w:sz w:val="24"/>
              </w:rPr>
              <w:t>0.8%</w:t>
            </w:r>
          </w:p>
        </w:tc>
      </w:tr>
      <w:tr>
        <w:trPr>
          <w:trHeight w:val="391" w:hRule="exact"/>
        </w:trPr>
        <w:tc>
          <w:tcPr>
            <w:tcW w:w="724" w:type="dxa"/>
            <w:tcBorders>
              <w:top w:val="nil" w:sz="6" w:space="0" w:color="auto"/>
              <w:left w:val="nil" w:sz="6" w:space="0" w:color="auto"/>
              <w:bottom w:val="nil" w:sz="6" w:space="0" w:color="auto"/>
              <w:right w:val="nil" w:sz="6" w:space="0" w:color="auto"/>
            </w:tcBorders>
          </w:tcPr>
          <w:p>
            <w:pPr/>
          </w:p>
        </w:tc>
        <w:tc>
          <w:tcPr>
            <w:tcW w:w="3212" w:type="dxa"/>
            <w:tcBorders>
              <w:top w:val="nil" w:sz="6" w:space="0" w:color="auto"/>
              <w:left w:val="nil" w:sz="6" w:space="0" w:color="auto"/>
              <w:bottom w:val="nil" w:sz="6" w:space="0" w:color="auto"/>
              <w:right w:val="nil" w:sz="6" w:space="0" w:color="auto"/>
            </w:tcBorders>
          </w:tcPr>
          <w:p>
            <w:pPr>
              <w:pStyle w:val="TableParagraph"/>
              <w:spacing w:line="301" w:lineRule="exact"/>
              <w:ind w:left="232" w:right="0"/>
              <w:jc w:val="left"/>
              <w:rPr>
                <w:rFonts w:ascii="宋体" w:hAnsi="宋体" w:cs="宋体" w:eastAsia="宋体" w:hint="default"/>
                <w:sz w:val="24"/>
                <w:szCs w:val="24"/>
              </w:rPr>
            </w:pPr>
            <w:r>
              <w:rPr>
                <w:rFonts w:ascii="宋体" w:hAnsi="宋体" w:cs="宋体" w:eastAsia="宋体" w:hint="default"/>
                <w:sz w:val="24"/>
                <w:szCs w:val="24"/>
              </w:rPr>
              <w:t>昌荣传媒有限公司</w:t>
            </w:r>
          </w:p>
        </w:tc>
        <w:tc>
          <w:tcPr>
            <w:tcW w:w="928" w:type="dxa"/>
            <w:tcBorders>
              <w:top w:val="nil" w:sz="6" w:space="0" w:color="auto"/>
              <w:left w:val="nil" w:sz="6" w:space="0" w:color="auto"/>
              <w:bottom w:val="nil" w:sz="6" w:space="0" w:color="auto"/>
              <w:right w:val="nil" w:sz="6" w:space="0" w:color="auto"/>
            </w:tcBorders>
          </w:tcPr>
          <w:p>
            <w:pPr>
              <w:pStyle w:val="TableParagraph"/>
              <w:spacing w:line="301" w:lineRule="exact"/>
              <w:ind w:right="106"/>
              <w:jc w:val="right"/>
              <w:rPr>
                <w:rFonts w:ascii="宋体" w:hAnsi="宋体" w:cs="宋体" w:eastAsia="宋体" w:hint="default"/>
                <w:sz w:val="24"/>
                <w:szCs w:val="24"/>
              </w:rPr>
            </w:pPr>
            <w:r>
              <w:rPr>
                <w:rFonts w:ascii="宋体" w:hAnsi="宋体" w:cs="宋体" w:eastAsia="宋体" w:hint="default"/>
                <w:sz w:val="24"/>
                <w:szCs w:val="24"/>
              </w:rPr>
              <w:t>第三方</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4,680</w:t>
            </w:r>
          </w:p>
        </w:tc>
        <w:tc>
          <w:tcPr>
            <w:tcW w:w="1188" w:type="dxa"/>
            <w:tcBorders>
              <w:top w:val="nil" w:sz="6" w:space="0" w:color="auto"/>
              <w:left w:val="nil" w:sz="6" w:space="0" w:color="auto"/>
              <w:bottom w:val="nil" w:sz="6" w:space="0" w:color="auto"/>
              <w:right w:val="nil" w:sz="6" w:space="0" w:color="auto"/>
            </w:tcBorders>
          </w:tcPr>
          <w:p>
            <w:pPr>
              <w:pStyle w:val="TableParagraph"/>
              <w:spacing w:line="301" w:lineRule="exact"/>
              <w:ind w:right="103"/>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1"/>
              <w:jc w:val="right"/>
              <w:rPr>
                <w:rFonts w:ascii="Arial" w:hAnsi="Arial" w:cs="Arial" w:eastAsia="Arial" w:hint="default"/>
                <w:sz w:val="24"/>
                <w:szCs w:val="24"/>
              </w:rPr>
            </w:pPr>
            <w:r>
              <w:rPr>
                <w:rFonts w:ascii="Arial"/>
                <w:sz w:val="24"/>
              </w:rPr>
              <w:t>0.5%</w:t>
            </w:r>
          </w:p>
        </w:tc>
      </w:tr>
      <w:tr>
        <w:trPr>
          <w:trHeight w:val="391" w:hRule="exact"/>
        </w:trPr>
        <w:tc>
          <w:tcPr>
            <w:tcW w:w="724" w:type="dxa"/>
            <w:tcBorders>
              <w:top w:val="nil" w:sz="6" w:space="0" w:color="auto"/>
              <w:left w:val="nil" w:sz="6" w:space="0" w:color="auto"/>
              <w:bottom w:val="nil" w:sz="6" w:space="0" w:color="auto"/>
              <w:right w:val="nil" w:sz="6" w:space="0" w:color="auto"/>
            </w:tcBorders>
          </w:tcPr>
          <w:p>
            <w:pPr/>
          </w:p>
        </w:tc>
        <w:tc>
          <w:tcPr>
            <w:tcW w:w="3212" w:type="dxa"/>
            <w:tcBorders>
              <w:top w:val="nil" w:sz="6" w:space="0" w:color="auto"/>
              <w:left w:val="nil" w:sz="6" w:space="0" w:color="auto"/>
              <w:bottom w:val="nil" w:sz="6" w:space="0" w:color="auto"/>
              <w:right w:val="nil" w:sz="6" w:space="0" w:color="auto"/>
            </w:tcBorders>
          </w:tcPr>
          <w:p>
            <w:pPr>
              <w:pStyle w:val="TableParagraph"/>
              <w:spacing w:line="301" w:lineRule="exact"/>
              <w:ind w:left="232" w:right="0"/>
              <w:jc w:val="left"/>
              <w:rPr>
                <w:rFonts w:ascii="宋体" w:hAnsi="宋体" w:cs="宋体" w:eastAsia="宋体" w:hint="default"/>
                <w:sz w:val="24"/>
                <w:szCs w:val="24"/>
              </w:rPr>
            </w:pPr>
            <w:r>
              <w:rPr>
                <w:rFonts w:ascii="宋体" w:hAnsi="宋体" w:cs="宋体" w:eastAsia="宋体" w:hint="default"/>
                <w:sz w:val="24"/>
                <w:szCs w:val="24"/>
              </w:rPr>
              <w:t>南京市财政局</w:t>
            </w:r>
          </w:p>
        </w:tc>
        <w:tc>
          <w:tcPr>
            <w:tcW w:w="928" w:type="dxa"/>
            <w:tcBorders>
              <w:top w:val="nil" w:sz="6" w:space="0" w:color="auto"/>
              <w:left w:val="nil" w:sz="6" w:space="0" w:color="auto"/>
              <w:bottom w:val="nil" w:sz="6" w:space="0" w:color="auto"/>
              <w:right w:val="nil" w:sz="6" w:space="0" w:color="auto"/>
            </w:tcBorders>
          </w:tcPr>
          <w:p>
            <w:pPr>
              <w:pStyle w:val="TableParagraph"/>
              <w:spacing w:line="301" w:lineRule="exact"/>
              <w:ind w:right="106"/>
              <w:jc w:val="right"/>
              <w:rPr>
                <w:rFonts w:ascii="宋体" w:hAnsi="宋体" w:cs="宋体" w:eastAsia="宋体" w:hint="default"/>
                <w:sz w:val="24"/>
                <w:szCs w:val="24"/>
              </w:rPr>
            </w:pPr>
            <w:r>
              <w:rPr>
                <w:rFonts w:ascii="宋体" w:hAnsi="宋体" w:cs="宋体" w:eastAsia="宋体" w:hint="default"/>
                <w:sz w:val="24"/>
                <w:szCs w:val="24"/>
              </w:rPr>
              <w:t>第三方</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4,523</w:t>
            </w:r>
          </w:p>
        </w:tc>
        <w:tc>
          <w:tcPr>
            <w:tcW w:w="1188" w:type="dxa"/>
            <w:tcBorders>
              <w:top w:val="nil" w:sz="6" w:space="0" w:color="auto"/>
              <w:left w:val="nil" w:sz="6" w:space="0" w:color="auto"/>
              <w:bottom w:val="nil" w:sz="6" w:space="0" w:color="auto"/>
              <w:right w:val="nil" w:sz="6" w:space="0" w:color="auto"/>
            </w:tcBorders>
          </w:tcPr>
          <w:p>
            <w:pPr>
              <w:pStyle w:val="TableParagraph"/>
              <w:spacing w:line="301" w:lineRule="exact"/>
              <w:ind w:right="103"/>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1"/>
              <w:jc w:val="right"/>
              <w:rPr>
                <w:rFonts w:ascii="Arial" w:hAnsi="Arial" w:cs="Arial" w:eastAsia="Arial" w:hint="default"/>
                <w:sz w:val="24"/>
                <w:szCs w:val="24"/>
              </w:rPr>
            </w:pPr>
            <w:r>
              <w:rPr>
                <w:rFonts w:ascii="Arial"/>
                <w:sz w:val="24"/>
              </w:rPr>
              <w:t>0.5%</w:t>
            </w:r>
          </w:p>
        </w:tc>
      </w:tr>
      <w:tr>
        <w:trPr>
          <w:trHeight w:val="391" w:hRule="exact"/>
        </w:trPr>
        <w:tc>
          <w:tcPr>
            <w:tcW w:w="724" w:type="dxa"/>
            <w:tcBorders>
              <w:top w:val="nil" w:sz="6" w:space="0" w:color="auto"/>
              <w:left w:val="nil" w:sz="6" w:space="0" w:color="auto"/>
              <w:bottom w:val="nil" w:sz="6" w:space="0" w:color="auto"/>
              <w:right w:val="nil" w:sz="6" w:space="0" w:color="auto"/>
            </w:tcBorders>
          </w:tcPr>
          <w:p>
            <w:pPr/>
          </w:p>
        </w:tc>
        <w:tc>
          <w:tcPr>
            <w:tcW w:w="3212" w:type="dxa"/>
            <w:tcBorders>
              <w:top w:val="nil" w:sz="6" w:space="0" w:color="auto"/>
              <w:left w:val="nil" w:sz="6" w:space="0" w:color="auto"/>
              <w:bottom w:val="nil" w:sz="6" w:space="0" w:color="auto"/>
              <w:right w:val="nil" w:sz="6" w:space="0" w:color="auto"/>
            </w:tcBorders>
          </w:tcPr>
          <w:p>
            <w:pPr>
              <w:pStyle w:val="TableParagraph"/>
              <w:spacing w:line="301" w:lineRule="exact"/>
              <w:ind w:left="232" w:right="0"/>
              <w:jc w:val="left"/>
              <w:rPr>
                <w:rFonts w:ascii="宋体" w:hAnsi="宋体" w:cs="宋体" w:eastAsia="宋体" w:hint="default"/>
                <w:sz w:val="24"/>
                <w:szCs w:val="24"/>
              </w:rPr>
            </w:pPr>
            <w:r>
              <w:rPr>
                <w:rFonts w:ascii="宋体" w:hAnsi="宋体" w:cs="宋体" w:eastAsia="宋体" w:hint="default"/>
                <w:sz w:val="24"/>
                <w:szCs w:val="24"/>
              </w:rPr>
              <w:t>北京移动通信有限责任公司</w:t>
            </w:r>
          </w:p>
        </w:tc>
        <w:tc>
          <w:tcPr>
            <w:tcW w:w="928" w:type="dxa"/>
            <w:tcBorders>
              <w:top w:val="nil" w:sz="6" w:space="0" w:color="auto"/>
              <w:left w:val="nil" w:sz="6" w:space="0" w:color="auto"/>
              <w:bottom w:val="nil" w:sz="6" w:space="0" w:color="auto"/>
              <w:right w:val="nil" w:sz="6" w:space="0" w:color="auto"/>
            </w:tcBorders>
          </w:tcPr>
          <w:p>
            <w:pPr>
              <w:pStyle w:val="TableParagraph"/>
              <w:spacing w:line="301" w:lineRule="exact"/>
              <w:ind w:right="106"/>
              <w:jc w:val="right"/>
              <w:rPr>
                <w:rFonts w:ascii="宋体" w:hAnsi="宋体" w:cs="宋体" w:eastAsia="宋体" w:hint="default"/>
                <w:sz w:val="24"/>
                <w:szCs w:val="24"/>
              </w:rPr>
            </w:pPr>
            <w:r>
              <w:rPr>
                <w:rFonts w:ascii="宋体" w:hAnsi="宋体" w:cs="宋体" w:eastAsia="宋体" w:hint="default"/>
                <w:sz w:val="24"/>
                <w:szCs w:val="24"/>
              </w:rPr>
              <w:t>第三方</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3,873</w:t>
            </w:r>
          </w:p>
        </w:tc>
        <w:tc>
          <w:tcPr>
            <w:tcW w:w="1188" w:type="dxa"/>
            <w:tcBorders>
              <w:top w:val="nil" w:sz="6" w:space="0" w:color="auto"/>
              <w:left w:val="nil" w:sz="6" w:space="0" w:color="auto"/>
              <w:bottom w:val="nil" w:sz="6" w:space="0" w:color="auto"/>
              <w:right w:val="nil" w:sz="6" w:space="0" w:color="auto"/>
            </w:tcBorders>
          </w:tcPr>
          <w:p>
            <w:pPr>
              <w:pStyle w:val="TableParagraph"/>
              <w:spacing w:line="301" w:lineRule="exact"/>
              <w:ind w:right="103"/>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1"/>
              <w:jc w:val="right"/>
              <w:rPr>
                <w:rFonts w:ascii="Arial" w:hAnsi="Arial" w:cs="Arial" w:eastAsia="Arial" w:hint="default"/>
                <w:sz w:val="24"/>
                <w:szCs w:val="24"/>
              </w:rPr>
            </w:pPr>
            <w:r>
              <w:rPr>
                <w:rFonts w:ascii="Arial"/>
                <w:sz w:val="24"/>
              </w:rPr>
              <w:t>0.4%</w:t>
            </w:r>
          </w:p>
        </w:tc>
      </w:tr>
      <w:tr>
        <w:trPr>
          <w:trHeight w:val="383" w:hRule="exact"/>
        </w:trPr>
        <w:tc>
          <w:tcPr>
            <w:tcW w:w="724" w:type="dxa"/>
            <w:tcBorders>
              <w:top w:val="nil" w:sz="6" w:space="0" w:color="auto"/>
              <w:left w:val="nil" w:sz="6" w:space="0" w:color="auto"/>
              <w:bottom w:val="nil" w:sz="6" w:space="0" w:color="auto"/>
              <w:right w:val="nil" w:sz="6" w:space="0" w:color="auto"/>
            </w:tcBorders>
          </w:tcPr>
          <w:p>
            <w:pPr/>
          </w:p>
        </w:tc>
        <w:tc>
          <w:tcPr>
            <w:tcW w:w="3212" w:type="dxa"/>
            <w:tcBorders>
              <w:top w:val="nil" w:sz="6" w:space="0" w:color="auto"/>
              <w:left w:val="nil" w:sz="6" w:space="0" w:color="auto"/>
              <w:bottom w:val="nil" w:sz="6" w:space="0" w:color="auto"/>
              <w:right w:val="nil" w:sz="6" w:space="0" w:color="auto"/>
            </w:tcBorders>
          </w:tcPr>
          <w:p>
            <w:pPr>
              <w:pStyle w:val="TableParagraph"/>
              <w:spacing w:line="301" w:lineRule="exact"/>
              <w:ind w:left="232" w:right="0"/>
              <w:jc w:val="left"/>
              <w:rPr>
                <w:rFonts w:ascii="宋体" w:hAnsi="宋体" w:cs="宋体" w:eastAsia="宋体" w:hint="default"/>
                <w:sz w:val="24"/>
                <w:szCs w:val="24"/>
              </w:rPr>
            </w:pPr>
            <w:r>
              <w:rPr>
                <w:rFonts w:ascii="宋体" w:hAnsi="宋体" w:cs="宋体" w:eastAsia="宋体" w:hint="default"/>
                <w:sz w:val="24"/>
                <w:szCs w:val="24"/>
              </w:rPr>
              <w:t>重庆北部新区财政局</w:t>
            </w:r>
          </w:p>
        </w:tc>
        <w:tc>
          <w:tcPr>
            <w:tcW w:w="928" w:type="dxa"/>
            <w:tcBorders>
              <w:top w:val="nil" w:sz="6" w:space="0" w:color="auto"/>
              <w:left w:val="nil" w:sz="6" w:space="0" w:color="auto"/>
              <w:bottom w:val="nil" w:sz="6" w:space="0" w:color="auto"/>
              <w:right w:val="nil" w:sz="6" w:space="0" w:color="auto"/>
            </w:tcBorders>
          </w:tcPr>
          <w:p>
            <w:pPr>
              <w:pStyle w:val="TableParagraph"/>
              <w:spacing w:line="301" w:lineRule="exact"/>
              <w:ind w:right="106"/>
              <w:jc w:val="right"/>
              <w:rPr>
                <w:rFonts w:ascii="宋体" w:hAnsi="宋体" w:cs="宋体" w:eastAsia="宋体" w:hint="default"/>
                <w:sz w:val="24"/>
                <w:szCs w:val="24"/>
              </w:rPr>
            </w:pPr>
            <w:r>
              <w:rPr>
                <w:rFonts w:ascii="宋体" w:hAnsi="宋体" w:cs="宋体" w:eastAsia="宋体" w:hint="default"/>
                <w:sz w:val="24"/>
                <w:szCs w:val="24"/>
              </w:rPr>
              <w:t>第三方</w:t>
            </w:r>
          </w:p>
        </w:tc>
        <w:tc>
          <w:tcPr>
            <w:tcW w:w="112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3,850</w:t>
            </w:r>
          </w:p>
        </w:tc>
        <w:tc>
          <w:tcPr>
            <w:tcW w:w="1188" w:type="dxa"/>
            <w:tcBorders>
              <w:top w:val="nil" w:sz="6" w:space="0" w:color="auto"/>
              <w:left w:val="nil" w:sz="6" w:space="0" w:color="auto"/>
              <w:bottom w:val="nil" w:sz="6" w:space="0" w:color="auto"/>
              <w:right w:val="nil" w:sz="6" w:space="0" w:color="auto"/>
            </w:tcBorders>
          </w:tcPr>
          <w:p>
            <w:pPr>
              <w:pStyle w:val="TableParagraph"/>
              <w:spacing w:line="301" w:lineRule="exact"/>
              <w:ind w:right="103"/>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81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1"/>
              <w:jc w:val="right"/>
              <w:rPr>
                <w:rFonts w:ascii="Arial" w:hAnsi="Arial" w:cs="Arial" w:eastAsia="Arial" w:hint="default"/>
                <w:sz w:val="24"/>
                <w:szCs w:val="24"/>
              </w:rPr>
            </w:pPr>
            <w:r>
              <w:rPr>
                <w:rFonts w:ascii="Arial"/>
                <w:sz w:val="24"/>
              </w:rPr>
              <w:t>0.4%</w:t>
            </w:r>
          </w:p>
        </w:tc>
      </w:tr>
      <w:tr>
        <w:trPr>
          <w:trHeight w:val="377" w:hRule="exact"/>
        </w:trPr>
        <w:tc>
          <w:tcPr>
            <w:tcW w:w="724" w:type="dxa"/>
            <w:tcBorders>
              <w:top w:val="nil" w:sz="6" w:space="0" w:color="auto"/>
              <w:left w:val="nil" w:sz="6" w:space="0" w:color="auto"/>
              <w:bottom w:val="nil" w:sz="6" w:space="0" w:color="auto"/>
              <w:right w:val="nil" w:sz="6" w:space="0" w:color="auto"/>
            </w:tcBorders>
          </w:tcPr>
          <w:p>
            <w:pPr/>
          </w:p>
        </w:tc>
        <w:tc>
          <w:tcPr>
            <w:tcW w:w="3212"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1123"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2"/>
              <w:jc w:val="right"/>
              <w:rPr>
                <w:rFonts w:ascii="Arial" w:hAnsi="Arial" w:cs="Arial" w:eastAsia="Arial" w:hint="default"/>
                <w:sz w:val="24"/>
                <w:szCs w:val="24"/>
              </w:rPr>
            </w:pPr>
            <w:r>
              <w:rPr>
                <w:rFonts w:ascii="Arial"/>
                <w:spacing w:val="-1"/>
                <w:sz w:val="24"/>
              </w:rPr>
              <w:t>24,502</w:t>
            </w:r>
          </w:p>
        </w:tc>
        <w:tc>
          <w:tcPr>
            <w:tcW w:w="1188" w:type="dxa"/>
            <w:tcBorders>
              <w:top w:val="nil" w:sz="6" w:space="0" w:color="auto"/>
              <w:left w:val="nil" w:sz="6" w:space="0" w:color="auto"/>
              <w:bottom w:val="nil" w:sz="6" w:space="0" w:color="auto"/>
              <w:right w:val="nil" w:sz="6" w:space="0" w:color="auto"/>
            </w:tcBorders>
          </w:tcPr>
          <w:p>
            <w:pPr/>
          </w:p>
        </w:tc>
        <w:tc>
          <w:tcPr>
            <w:tcW w:w="1810"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1"/>
              <w:jc w:val="right"/>
              <w:rPr>
                <w:rFonts w:ascii="Arial" w:hAnsi="Arial" w:cs="Arial" w:eastAsia="Arial" w:hint="default"/>
                <w:sz w:val="24"/>
                <w:szCs w:val="24"/>
              </w:rPr>
            </w:pPr>
            <w:r>
              <w:rPr>
                <w:rFonts w:ascii="Arial"/>
                <w:sz w:val="24"/>
              </w:rPr>
              <w:t>2.6%</w:t>
            </w:r>
          </w:p>
        </w:tc>
      </w:tr>
    </w:tbl>
    <w:p>
      <w:pPr>
        <w:spacing w:after="0" w:line="240" w:lineRule="auto"/>
        <w:jc w:val="right"/>
        <w:rPr>
          <w:rFonts w:ascii="Arial" w:hAnsi="Arial" w:cs="Arial" w:eastAsia="Arial"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677"/>
        <w:gridCol w:w="1065"/>
        <w:gridCol w:w="544"/>
        <w:gridCol w:w="495"/>
        <w:gridCol w:w="1304"/>
        <w:gridCol w:w="617"/>
        <w:gridCol w:w="623"/>
        <w:gridCol w:w="240"/>
        <w:gridCol w:w="493"/>
        <w:gridCol w:w="365"/>
        <w:gridCol w:w="602"/>
        <w:gridCol w:w="523"/>
        <w:gridCol w:w="1012"/>
        <w:gridCol w:w="235"/>
        <w:gridCol w:w="569"/>
      </w:tblGrid>
      <w:tr>
        <w:trPr>
          <w:trHeight w:val="497"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exact"/>
              <w:ind w:right="34"/>
              <w:jc w:val="center"/>
              <w:rPr>
                <w:rFonts w:ascii="黑体" w:hAnsi="黑体" w:cs="黑体" w:eastAsia="黑体" w:hint="default"/>
                <w:sz w:val="24"/>
                <w:szCs w:val="24"/>
              </w:rPr>
            </w:pPr>
            <w:r>
              <w:rPr>
                <w:rFonts w:ascii="黑体" w:hAnsi="黑体" w:cs="黑体" w:eastAsia="黑体" w:hint="default"/>
                <w:sz w:val="24"/>
                <w:szCs w:val="24"/>
              </w:rPr>
              <w:t>五</w:t>
            </w:r>
          </w:p>
        </w:tc>
        <w:tc>
          <w:tcPr>
            <w:tcW w:w="3408" w:type="dxa"/>
            <w:gridSpan w:val="4"/>
            <w:tcBorders>
              <w:top w:val="nil" w:sz="6" w:space="0" w:color="auto"/>
              <w:left w:val="nil" w:sz="6" w:space="0" w:color="auto"/>
              <w:bottom w:val="nil" w:sz="6" w:space="0" w:color="auto"/>
              <w:right w:val="nil" w:sz="6" w:space="0" w:color="auto"/>
            </w:tcBorders>
          </w:tcPr>
          <w:p>
            <w:pPr>
              <w:pStyle w:val="TableParagraph"/>
              <w:spacing w:line="257" w:lineRule="exact"/>
              <w:ind w:left="18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617"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493" w:type="dxa"/>
            <w:tcBorders>
              <w:top w:val="nil" w:sz="6" w:space="0" w:color="auto"/>
              <w:left w:val="nil" w:sz="6" w:space="0" w:color="auto"/>
              <w:bottom w:val="nil" w:sz="6" w:space="0" w:color="auto"/>
              <w:right w:val="nil" w:sz="6" w:space="0" w:color="auto"/>
            </w:tcBorders>
          </w:tcPr>
          <w:p>
            <w:pPr/>
          </w:p>
        </w:tc>
        <w:tc>
          <w:tcPr>
            <w:tcW w:w="365"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r>
      <w:tr>
        <w:trPr>
          <w:trHeight w:val="713"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16" w:right="0"/>
              <w:jc w:val="center"/>
              <w:rPr>
                <w:rFonts w:ascii="Arial" w:hAnsi="Arial" w:cs="Arial" w:eastAsia="Arial" w:hint="default"/>
                <w:sz w:val="24"/>
                <w:szCs w:val="24"/>
              </w:rPr>
            </w:pPr>
            <w:r>
              <w:rPr>
                <w:rFonts w:ascii="Arial"/>
                <w:sz w:val="24"/>
              </w:rPr>
              <w:t>(5)</w:t>
            </w:r>
          </w:p>
        </w:tc>
        <w:tc>
          <w:tcPr>
            <w:tcW w:w="340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8"/>
              <w:ind w:left="183" w:right="0"/>
              <w:jc w:val="left"/>
              <w:rPr>
                <w:rFonts w:ascii="Arial" w:hAnsi="Arial" w:cs="Arial" w:eastAsia="Arial" w:hint="default"/>
                <w:sz w:val="24"/>
                <w:szCs w:val="24"/>
              </w:rPr>
            </w:pPr>
            <w:r>
              <w:rPr>
                <w:rFonts w:ascii="黑体" w:hAnsi="黑体" w:cs="黑体" w:eastAsia="黑体" w:hint="default"/>
                <w:sz w:val="24"/>
                <w:szCs w:val="24"/>
              </w:rPr>
              <w:t>其他应收款和长期应收款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617"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493" w:type="dxa"/>
            <w:tcBorders>
              <w:top w:val="nil" w:sz="6" w:space="0" w:color="auto"/>
              <w:left w:val="nil" w:sz="6" w:space="0" w:color="auto"/>
              <w:bottom w:val="nil" w:sz="6" w:space="0" w:color="auto"/>
              <w:right w:val="nil" w:sz="6" w:space="0" w:color="auto"/>
            </w:tcBorders>
          </w:tcPr>
          <w:p>
            <w:pPr/>
          </w:p>
        </w:tc>
        <w:tc>
          <w:tcPr>
            <w:tcW w:w="365"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r>
      <w:tr>
        <w:trPr>
          <w:trHeight w:val="705"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6" w:right="0"/>
              <w:jc w:val="center"/>
              <w:rPr>
                <w:rFonts w:ascii="Arial" w:hAnsi="Arial" w:cs="Arial" w:eastAsia="Arial" w:hint="default"/>
                <w:sz w:val="24"/>
                <w:szCs w:val="24"/>
              </w:rPr>
            </w:pPr>
            <w:r>
              <w:rPr>
                <w:rFonts w:ascii="Arial"/>
                <w:sz w:val="24"/>
              </w:rPr>
              <w:t>(h)</w:t>
            </w:r>
          </w:p>
        </w:tc>
        <w:tc>
          <w:tcPr>
            <w:tcW w:w="4025"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42"/>
              <w:ind w:left="199" w:right="-15"/>
              <w:jc w:val="left"/>
              <w:rPr>
                <w:rFonts w:ascii="宋体" w:hAnsi="宋体" w:cs="宋体" w:eastAsia="宋体" w:hint="default"/>
                <w:sz w:val="24"/>
                <w:szCs w:val="24"/>
              </w:rPr>
            </w:pPr>
            <w:r>
              <w:rPr>
                <w:rFonts w:ascii="宋体" w:hAnsi="宋体" w:cs="宋体" w:eastAsia="宋体" w:hint="default"/>
                <w:sz w:val="24"/>
                <w:szCs w:val="24"/>
              </w:rPr>
              <w:t>应收关联方的其他应收款分析如下：</w:t>
            </w:r>
          </w:p>
        </w:tc>
        <w:tc>
          <w:tcPr>
            <w:tcW w:w="623"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493" w:type="dxa"/>
            <w:tcBorders>
              <w:top w:val="nil" w:sz="6" w:space="0" w:color="auto"/>
              <w:left w:val="nil" w:sz="6" w:space="0" w:color="auto"/>
              <w:bottom w:val="nil" w:sz="6" w:space="0" w:color="auto"/>
              <w:right w:val="nil" w:sz="6" w:space="0" w:color="auto"/>
            </w:tcBorders>
          </w:tcPr>
          <w:p>
            <w:pPr/>
          </w:p>
        </w:tc>
        <w:tc>
          <w:tcPr>
            <w:tcW w:w="365"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r>
      <w:tr>
        <w:trPr>
          <w:trHeight w:val="502" w:hRule="exact"/>
        </w:trPr>
        <w:tc>
          <w:tcPr>
            <w:tcW w:w="677"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544" w:type="dxa"/>
            <w:tcBorders>
              <w:top w:val="nil" w:sz="6" w:space="0" w:color="auto"/>
              <w:left w:val="nil" w:sz="6" w:space="0" w:color="auto"/>
              <w:bottom w:val="nil" w:sz="6" w:space="0" w:color="auto"/>
              <w:right w:val="nil" w:sz="6" w:space="0" w:color="auto"/>
            </w:tcBorders>
          </w:tcPr>
          <w:p>
            <w:pPr/>
          </w:p>
        </w:tc>
        <w:tc>
          <w:tcPr>
            <w:tcW w:w="17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与本集团关系</w:t>
            </w:r>
          </w:p>
        </w:tc>
        <w:tc>
          <w:tcPr>
            <w:tcW w:w="1973"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11" w:right="-7"/>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365" w:type="dxa"/>
            <w:tcBorders>
              <w:top w:val="nil" w:sz="6" w:space="0" w:color="auto"/>
              <w:left w:val="nil" w:sz="6" w:space="0" w:color="auto"/>
              <w:bottom w:val="single" w:sz="4" w:space="0" w:color="000000"/>
              <w:right w:val="nil" w:sz="6" w:space="0" w:color="auto"/>
            </w:tcBorders>
          </w:tcPr>
          <w:p>
            <w:pPr/>
          </w:p>
        </w:tc>
        <w:tc>
          <w:tcPr>
            <w:tcW w:w="602" w:type="dxa"/>
            <w:tcBorders>
              <w:top w:val="nil" w:sz="6" w:space="0" w:color="auto"/>
              <w:left w:val="nil" w:sz="6" w:space="0" w:color="auto"/>
              <w:bottom w:val="single" w:sz="4" w:space="0" w:color="000000"/>
              <w:right w:val="nil" w:sz="6" w:space="0" w:color="auto"/>
            </w:tcBorders>
          </w:tcPr>
          <w:p>
            <w:pPr/>
          </w:p>
        </w:tc>
        <w:tc>
          <w:tcPr>
            <w:tcW w:w="2340"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1164" w:hRule="exact"/>
        </w:trPr>
        <w:tc>
          <w:tcPr>
            <w:tcW w:w="677"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544" w:type="dxa"/>
            <w:tcBorders>
              <w:top w:val="nil" w:sz="6" w:space="0" w:color="auto"/>
              <w:left w:val="nil" w:sz="6" w:space="0" w:color="auto"/>
              <w:bottom w:val="nil" w:sz="6" w:space="0" w:color="auto"/>
              <w:right w:val="nil" w:sz="6" w:space="0" w:color="auto"/>
            </w:tcBorders>
          </w:tcPr>
          <w:p>
            <w:pPr/>
          </w:p>
        </w:tc>
        <w:tc>
          <w:tcPr>
            <w:tcW w:w="495" w:type="dxa"/>
            <w:tcBorders>
              <w:top w:val="nil" w:sz="6" w:space="0" w:color="auto"/>
              <w:left w:val="nil" w:sz="6" w:space="0" w:color="auto"/>
              <w:bottom w:val="nil" w:sz="6" w:space="0" w:color="auto"/>
              <w:right w:val="nil" w:sz="6" w:space="0" w:color="auto"/>
            </w:tcBorders>
          </w:tcPr>
          <w:p>
            <w:pPr/>
          </w:p>
        </w:tc>
        <w:tc>
          <w:tcPr>
            <w:tcW w:w="1304" w:type="dxa"/>
            <w:tcBorders>
              <w:top w:val="single" w:sz="4" w:space="0" w:color="000000"/>
              <w:left w:val="nil" w:sz="6" w:space="0" w:color="auto"/>
              <w:bottom w:val="nil" w:sz="6" w:space="0" w:color="auto"/>
              <w:right w:val="nil" w:sz="6" w:space="0" w:color="auto"/>
            </w:tcBorders>
          </w:tcPr>
          <w:p>
            <w:pPr/>
          </w:p>
        </w:tc>
        <w:tc>
          <w:tcPr>
            <w:tcW w:w="61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5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56" w:type="dxa"/>
            <w:gridSpan w:val="3"/>
            <w:tcBorders>
              <w:top w:val="single" w:sz="4" w:space="0" w:color="000000"/>
              <w:left w:val="nil" w:sz="6" w:space="0" w:color="auto"/>
              <w:bottom w:val="nil" w:sz="6" w:space="0" w:color="auto"/>
              <w:right w:val="nil" w:sz="6" w:space="0" w:color="auto"/>
            </w:tcBorders>
          </w:tcPr>
          <w:p>
            <w:pPr>
              <w:pStyle w:val="TableParagraph"/>
              <w:spacing w:line="237" w:lineRule="auto" w:before="11"/>
              <w:ind w:left="87" w:right="366"/>
              <w:jc w:val="both"/>
              <w:rPr>
                <w:rFonts w:ascii="Arial" w:hAnsi="Arial" w:cs="Arial" w:eastAsia="Arial" w:hint="default"/>
                <w:sz w:val="18"/>
                <w:szCs w:val="18"/>
              </w:rPr>
            </w:pPr>
            <w:r>
              <w:rPr>
                <w:rFonts w:ascii="宋体" w:hAnsi="宋体" w:cs="宋体" w:eastAsia="宋体" w:hint="default"/>
                <w:sz w:val="18"/>
                <w:szCs w:val="18"/>
              </w:rPr>
              <w:t>占其他应收 款和长期应 收款总额的 比例 </w:t>
            </w:r>
            <w:r>
              <w:rPr>
                <w:rFonts w:ascii="Arial" w:hAnsi="Arial" w:cs="Arial" w:eastAsia="Arial" w:hint="default"/>
                <w:sz w:val="18"/>
                <w:szCs w:val="18"/>
              </w:rPr>
              <w:t>(%)</w:t>
            </w:r>
          </w:p>
        </w:tc>
        <w:tc>
          <w:tcPr>
            <w:tcW w:w="967" w:type="dxa"/>
            <w:gridSpan w:val="2"/>
            <w:tcBorders>
              <w:top w:val="nil" w:sz="6" w:space="0" w:color="auto"/>
              <w:left w:val="nil" w:sz="6" w:space="0" w:color="auto"/>
              <w:bottom w:val="nil" w:sz="6" w:space="0" w:color="auto"/>
              <w:right w:val="nil" w:sz="6" w:space="0" w:color="auto"/>
            </w:tcBorders>
          </w:tcPr>
          <w:p>
            <w:pPr>
              <w:pStyle w:val="TableParagraph"/>
              <w:spacing w:line="234" w:lineRule="exact" w:before="13"/>
              <w:ind w:left="-7" w:right="0"/>
              <w:jc w:val="left"/>
              <w:rPr>
                <w:rFonts w:ascii="宋体" w:hAnsi="宋体" w:cs="宋体" w:eastAsia="宋体" w:hint="default"/>
                <w:sz w:val="18"/>
                <w:szCs w:val="18"/>
              </w:rPr>
            </w:pPr>
            <w:r>
              <w:rPr>
                <w:rFonts w:ascii="宋体" w:hAnsi="宋体" w:cs="宋体" w:eastAsia="宋体" w:hint="default"/>
                <w:sz w:val="18"/>
                <w:szCs w:val="18"/>
              </w:rPr>
              <w:t>坏账准</w:t>
            </w:r>
          </w:p>
          <w:p>
            <w:pPr>
              <w:pStyle w:val="TableParagraph"/>
              <w:spacing w:line="234" w:lineRule="exact"/>
              <w:ind w:right="76"/>
              <w:jc w:val="center"/>
              <w:rPr>
                <w:rFonts w:ascii="宋体" w:hAnsi="宋体" w:cs="宋体" w:eastAsia="宋体" w:hint="default"/>
                <w:sz w:val="18"/>
                <w:szCs w:val="18"/>
              </w:rPr>
            </w:pPr>
            <w:r>
              <w:rPr>
                <w:rFonts w:ascii="宋体" w:hAnsi="宋体" w:cs="宋体" w:eastAsia="宋体" w:hint="default"/>
                <w:sz w:val="18"/>
                <w:szCs w:val="18"/>
              </w:rPr>
              <w:t>备</w:t>
            </w:r>
          </w:p>
        </w:tc>
        <w:tc>
          <w:tcPr>
            <w:tcW w:w="52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12" w:type="dxa"/>
            <w:tcBorders>
              <w:top w:val="single" w:sz="4" w:space="0" w:color="000000"/>
              <w:left w:val="nil" w:sz="6" w:space="0" w:color="auto"/>
              <w:bottom w:val="nil" w:sz="6" w:space="0" w:color="auto"/>
              <w:right w:val="nil" w:sz="6" w:space="0" w:color="auto"/>
            </w:tcBorders>
          </w:tcPr>
          <w:p>
            <w:pPr>
              <w:pStyle w:val="TableParagraph"/>
              <w:spacing w:line="237" w:lineRule="auto" w:before="11"/>
              <w:ind w:left="6" w:right="103"/>
              <w:jc w:val="both"/>
              <w:rPr>
                <w:rFonts w:ascii="Arial" w:hAnsi="Arial" w:cs="Arial" w:eastAsia="Arial" w:hint="default"/>
                <w:sz w:val="18"/>
                <w:szCs w:val="18"/>
              </w:rPr>
            </w:pPr>
            <w:r>
              <w:rPr>
                <w:rFonts w:ascii="宋体" w:hAnsi="宋体" w:cs="宋体" w:eastAsia="宋体" w:hint="default"/>
                <w:sz w:val="18"/>
                <w:szCs w:val="18"/>
              </w:rPr>
              <w:t>占其他应收 款和长期应 收款总额的 比例 </w:t>
            </w:r>
            <w:r>
              <w:rPr>
                <w:rFonts w:ascii="Arial" w:hAnsi="Arial" w:cs="Arial" w:eastAsia="Arial" w:hint="default"/>
                <w:sz w:val="18"/>
                <w:szCs w:val="18"/>
              </w:rPr>
              <w:t>(%)</w:t>
            </w:r>
          </w:p>
        </w:tc>
        <w:tc>
          <w:tcPr>
            <w:tcW w:w="235" w:type="dxa"/>
            <w:tcBorders>
              <w:top w:val="single" w:sz="4" w:space="0" w:color="000000"/>
              <w:left w:val="nil" w:sz="6" w:space="0" w:color="auto"/>
              <w:bottom w:val="nil" w:sz="6" w:space="0" w:color="auto"/>
              <w:right w:val="nil" w:sz="6" w:space="0" w:color="auto"/>
            </w:tcBorders>
          </w:tcPr>
          <w:p>
            <w:pPr/>
          </w:p>
        </w:tc>
        <w:tc>
          <w:tcPr>
            <w:tcW w:w="569" w:type="dxa"/>
            <w:tcBorders>
              <w:top w:val="single" w:sz="4" w:space="0" w:color="000000"/>
              <w:left w:val="nil" w:sz="6" w:space="0" w:color="auto"/>
              <w:bottom w:val="nil" w:sz="6" w:space="0" w:color="auto"/>
              <w:right w:val="nil" w:sz="6" w:space="0" w:color="auto"/>
            </w:tcBorders>
          </w:tcPr>
          <w:p>
            <w:pPr>
              <w:pStyle w:val="TableParagraph"/>
              <w:spacing w:line="232" w:lineRule="exact" w:before="33"/>
              <w:ind w:left="167" w:right="38" w:hanging="32"/>
              <w:jc w:val="left"/>
              <w:rPr>
                <w:rFonts w:ascii="宋体" w:hAnsi="宋体" w:cs="宋体" w:eastAsia="宋体" w:hint="default"/>
                <w:sz w:val="18"/>
                <w:szCs w:val="18"/>
              </w:rPr>
            </w:pPr>
            <w:r>
              <w:rPr>
                <w:rFonts w:ascii="宋体" w:hAnsi="宋体" w:cs="宋体" w:eastAsia="宋体" w:hint="default"/>
                <w:sz w:val="18"/>
                <w:szCs w:val="18"/>
              </w:rPr>
              <w:t>坏账 准备</w:t>
            </w:r>
          </w:p>
        </w:tc>
      </w:tr>
      <w:tr>
        <w:trPr>
          <w:trHeight w:val="425" w:hRule="exact"/>
        </w:trPr>
        <w:tc>
          <w:tcPr>
            <w:tcW w:w="677" w:type="dxa"/>
            <w:tcBorders>
              <w:top w:val="nil" w:sz="6" w:space="0" w:color="auto"/>
              <w:left w:val="nil" w:sz="6" w:space="0" w:color="auto"/>
              <w:bottom w:val="nil" w:sz="6" w:space="0" w:color="auto"/>
              <w:right w:val="nil" w:sz="6" w:space="0" w:color="auto"/>
            </w:tcBorders>
          </w:tcPr>
          <w:p>
            <w:pPr/>
          </w:p>
        </w:tc>
        <w:tc>
          <w:tcPr>
            <w:tcW w:w="16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0"/>
              <w:ind w:left="113" w:right="0"/>
              <w:jc w:val="left"/>
              <w:rPr>
                <w:rFonts w:ascii="宋体" w:hAnsi="宋体" w:cs="宋体" w:eastAsia="宋体" w:hint="default"/>
                <w:sz w:val="18"/>
                <w:szCs w:val="18"/>
              </w:rPr>
            </w:pPr>
            <w:r>
              <w:rPr>
                <w:rFonts w:ascii="宋体" w:hAnsi="宋体" w:cs="宋体" w:eastAsia="宋体" w:hint="default"/>
                <w:sz w:val="18"/>
                <w:szCs w:val="18"/>
              </w:rPr>
              <w:t>银河诺富特酒店</w:t>
            </w:r>
          </w:p>
        </w:tc>
        <w:tc>
          <w:tcPr>
            <w:tcW w:w="1799" w:type="dxa"/>
            <w:gridSpan w:val="2"/>
            <w:vMerge w:val="restart"/>
            <w:tcBorders>
              <w:top w:val="nil" w:sz="6" w:space="0" w:color="auto"/>
              <w:left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32" w:lineRule="exact"/>
              <w:ind w:left="245" w:right="133" w:hanging="197"/>
              <w:jc w:val="left"/>
              <w:rPr>
                <w:rFonts w:ascii="宋体" w:hAnsi="宋体" w:cs="宋体" w:eastAsia="宋体" w:hint="default"/>
                <w:sz w:val="18"/>
                <w:szCs w:val="18"/>
              </w:rPr>
            </w:pPr>
            <w:r>
              <w:rPr>
                <w:rFonts w:ascii="宋体" w:hAnsi="宋体" w:cs="宋体" w:eastAsia="宋体" w:hint="default"/>
                <w:spacing w:val="12"/>
                <w:sz w:val="18"/>
                <w:szCs w:val="18"/>
              </w:rPr>
              <w:t>本公司关联方</w:t>
            </w:r>
            <w:r>
              <w:rPr>
                <w:rFonts w:ascii="Arial" w:hAnsi="Arial" w:cs="Arial" w:eastAsia="Arial" w:hint="default"/>
                <w:spacing w:val="12"/>
                <w:sz w:val="18"/>
                <w:szCs w:val="18"/>
              </w:rPr>
              <w:t>-</w:t>
            </w:r>
            <w:r>
              <w:rPr>
                <w:rFonts w:ascii="宋体" w:hAnsi="宋体" w:cs="宋体" w:eastAsia="宋体" w:hint="default"/>
                <w:spacing w:val="12"/>
                <w:sz w:val="18"/>
                <w:szCs w:val="18"/>
              </w:rPr>
              <w:t>苏宁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置业之子公司</w:t>
            </w:r>
          </w:p>
        </w:tc>
        <w:tc>
          <w:tcPr>
            <w:tcW w:w="617" w:type="dxa"/>
            <w:tcBorders>
              <w:top w:val="nil" w:sz="6" w:space="0" w:color="auto"/>
              <w:left w:val="nil" w:sz="6" w:space="0" w:color="auto"/>
              <w:bottom w:val="nil" w:sz="6" w:space="0" w:color="auto"/>
              <w:right w:val="nil" w:sz="6" w:space="0" w:color="auto"/>
            </w:tcBorders>
          </w:tcPr>
          <w:p>
            <w:pPr/>
          </w:p>
        </w:tc>
        <w:tc>
          <w:tcPr>
            <w:tcW w:w="1356" w:type="dxa"/>
            <w:gridSpan w:val="3"/>
            <w:tcBorders>
              <w:top w:val="nil" w:sz="6" w:space="0" w:color="auto"/>
              <w:left w:val="nil" w:sz="6" w:space="0" w:color="auto"/>
              <w:bottom w:val="nil" w:sz="6" w:space="0" w:color="auto"/>
              <w:right w:val="nil" w:sz="6" w:space="0" w:color="auto"/>
            </w:tcBorders>
          </w:tcPr>
          <w:p>
            <w:pPr/>
          </w:p>
        </w:tc>
        <w:tc>
          <w:tcPr>
            <w:tcW w:w="365"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r>
      <w:tr>
        <w:trPr>
          <w:trHeight w:val="274" w:hRule="exact"/>
        </w:trPr>
        <w:tc>
          <w:tcPr>
            <w:tcW w:w="677" w:type="dxa"/>
            <w:tcBorders>
              <w:top w:val="nil" w:sz="6" w:space="0" w:color="auto"/>
              <w:left w:val="nil" w:sz="6" w:space="0" w:color="auto"/>
              <w:bottom w:val="nil" w:sz="6" w:space="0" w:color="auto"/>
              <w:right w:val="nil" w:sz="6" w:space="0" w:color="auto"/>
            </w:tcBorders>
          </w:tcPr>
          <w:p>
            <w:pPr/>
          </w:p>
        </w:tc>
        <w:tc>
          <w:tcPr>
            <w:tcW w:w="1609" w:type="dxa"/>
            <w:gridSpan w:val="2"/>
            <w:tcBorders>
              <w:top w:val="nil" w:sz="6" w:space="0" w:color="auto"/>
              <w:left w:val="nil" w:sz="6" w:space="0" w:color="auto"/>
              <w:bottom w:val="nil" w:sz="6" w:space="0" w:color="auto"/>
              <w:right w:val="nil" w:sz="6" w:space="0" w:color="auto"/>
            </w:tcBorders>
          </w:tcPr>
          <w:p>
            <w:pPr/>
          </w:p>
        </w:tc>
        <w:tc>
          <w:tcPr>
            <w:tcW w:w="1799" w:type="dxa"/>
            <w:gridSpan w:val="2"/>
            <w:vMerge/>
            <w:tcBorders>
              <w:left w:val="nil" w:sz="6" w:space="0" w:color="auto"/>
              <w:bottom w:val="nil" w:sz="6" w:space="0" w:color="auto"/>
              <w:right w:val="nil" w:sz="6" w:space="0" w:color="auto"/>
            </w:tcBorders>
          </w:tcPr>
          <w:p>
            <w:pP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Arial" w:hAnsi="Arial" w:cs="Arial" w:eastAsia="Arial" w:hint="default"/>
                <w:sz w:val="18"/>
                <w:szCs w:val="18"/>
              </w:rPr>
            </w:pPr>
            <w:r>
              <w:rPr>
                <w:rFonts w:ascii="Arial"/>
                <w:w w:val="95"/>
                <w:sz w:val="18"/>
              </w:rPr>
              <w:t>507</w:t>
            </w:r>
            <w:r>
              <w:rPr>
                <w:rFonts w:ascii="Arial"/>
                <w:sz w:val="18"/>
              </w:rPr>
            </w:r>
          </w:p>
        </w:tc>
        <w:tc>
          <w:tcPr>
            <w:tcW w:w="135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
              <w:ind w:left="462" w:right="0"/>
              <w:jc w:val="left"/>
              <w:rPr>
                <w:rFonts w:ascii="Arial" w:hAnsi="Arial" w:cs="Arial" w:eastAsia="Arial" w:hint="default"/>
                <w:sz w:val="18"/>
                <w:szCs w:val="18"/>
              </w:rPr>
            </w:pPr>
            <w:r>
              <w:rPr>
                <w:rFonts w:ascii="Arial"/>
                <w:sz w:val="18"/>
              </w:rPr>
              <w:t>0.05%</w:t>
            </w:r>
          </w:p>
        </w:tc>
        <w:tc>
          <w:tcPr>
            <w:tcW w:w="365"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3" w:right="0"/>
              <w:jc w:val="left"/>
              <w:rPr>
                <w:rFonts w:ascii="Arial" w:hAnsi="Arial" w:cs="Arial" w:eastAsia="Arial" w:hint="default"/>
                <w:sz w:val="18"/>
                <w:szCs w:val="18"/>
              </w:rPr>
            </w:pPr>
            <w:r>
              <w:rPr>
                <w:rFonts w:ascii="Arial"/>
                <w:w w:val="99"/>
                <w:sz w:val="18"/>
              </w:rPr>
              <w:t>-</w:t>
            </w:r>
            <w:r>
              <w:rPr>
                <w:rFonts w:ascii="Arial"/>
                <w:sz w:val="18"/>
              </w:rPr>
            </w: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83" w:right="0"/>
              <w:jc w:val="center"/>
              <w:rPr>
                <w:rFonts w:ascii="Arial" w:hAnsi="Arial" w:cs="Arial" w:eastAsia="Arial" w:hint="default"/>
                <w:sz w:val="18"/>
                <w:szCs w:val="18"/>
              </w:rPr>
            </w:pPr>
            <w:r>
              <w:rPr>
                <w:rFonts w:ascii="Arial"/>
                <w:w w:val="99"/>
                <w:sz w:val="18"/>
              </w:rPr>
              <w:t>-</w:t>
            </w:r>
            <w:r>
              <w:rPr>
                <w:rFonts w:ascii="Arial"/>
                <w:sz w:val="18"/>
              </w:rPr>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3"/>
              <w:jc w:val="right"/>
              <w:rPr>
                <w:rFonts w:ascii="Arial" w:hAnsi="Arial" w:cs="Arial" w:eastAsia="Arial" w:hint="default"/>
                <w:sz w:val="18"/>
                <w:szCs w:val="18"/>
              </w:rPr>
            </w:pPr>
            <w:r>
              <w:rPr>
                <w:rFonts w:ascii="Arial"/>
                <w:w w:val="99"/>
                <w:sz w:val="18"/>
              </w:rPr>
              <w:t>-</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506" w:hRule="exact"/>
        </w:trPr>
        <w:tc>
          <w:tcPr>
            <w:tcW w:w="677" w:type="dxa"/>
            <w:vMerge w:val="restart"/>
            <w:tcBorders>
              <w:top w:val="nil" w:sz="6" w:space="0" w:color="auto"/>
              <w:left w:val="nil" w:sz="6" w:space="0" w:color="auto"/>
              <w:right w:val="nil" w:sz="6" w:space="0" w:color="auto"/>
            </w:tcBorders>
          </w:tcPr>
          <w:p>
            <w:pPr/>
          </w:p>
        </w:tc>
        <w:tc>
          <w:tcPr>
            <w:tcW w:w="1609" w:type="dxa"/>
            <w:gridSpan w:val="2"/>
            <w:vMerge w:val="restart"/>
            <w:tcBorders>
              <w:top w:val="nil" w:sz="6" w:space="0" w:color="auto"/>
              <w:left w:val="nil" w:sz="6" w:space="0" w:color="auto"/>
              <w:right w:val="nil" w:sz="6" w:space="0" w:color="auto"/>
            </w:tcBorders>
          </w:tcPr>
          <w:p>
            <w:pPr>
              <w:pStyle w:val="TableParagraph"/>
              <w:spacing w:line="230" w:lineRule="auto" w:before="7"/>
              <w:ind w:left="293" w:right="46" w:hanging="180"/>
              <w:jc w:val="both"/>
              <w:rPr>
                <w:rFonts w:ascii="Arial" w:hAnsi="Arial" w:cs="Arial" w:eastAsia="Arial" w:hint="default"/>
                <w:sz w:val="18"/>
                <w:szCs w:val="18"/>
              </w:rPr>
            </w:pPr>
            <w:r>
              <w:rPr>
                <w:rFonts w:ascii="宋体" w:hAnsi="宋体" w:cs="宋体" w:eastAsia="宋体" w:hint="default"/>
                <w:sz w:val="18"/>
                <w:szCs w:val="18"/>
              </w:rPr>
              <w:t>成都鸿业置业有限 </w:t>
            </w:r>
            <w:r>
              <w:rPr>
                <w:rFonts w:ascii="宋体" w:hAnsi="宋体" w:cs="宋体" w:eastAsia="宋体" w:hint="default"/>
                <w:spacing w:val="7"/>
                <w:sz w:val="18"/>
                <w:szCs w:val="18"/>
              </w:rPr>
              <w:t>公司</w:t>
            </w:r>
            <w:r>
              <w:rPr>
                <w:rFonts w:ascii="Arial" w:hAnsi="Arial" w:cs="Arial" w:eastAsia="Arial" w:hint="default"/>
                <w:spacing w:val="7"/>
                <w:sz w:val="18"/>
                <w:szCs w:val="18"/>
              </w:rPr>
              <w:t>(</w:t>
            </w:r>
            <w:r>
              <w:rPr>
                <w:rFonts w:ascii="Arial" w:hAnsi="Arial" w:cs="Arial" w:eastAsia="Arial" w:hint="default"/>
                <w:spacing w:val="7"/>
                <w:sz w:val="18"/>
                <w:szCs w:val="18"/>
              </w:rPr>
              <w:t>“</w:t>
            </w:r>
            <w:r>
              <w:rPr>
                <w:rFonts w:ascii="宋体" w:hAnsi="宋体" w:cs="宋体" w:eastAsia="宋体" w:hint="default"/>
                <w:spacing w:val="7"/>
                <w:sz w:val="18"/>
                <w:szCs w:val="18"/>
              </w:rPr>
              <w:t>成都鸿业</w:t>
            </w:r>
            <w:r>
              <w:rPr>
                <w:rFonts w:ascii="宋体" w:hAnsi="宋体" w:cs="宋体" w:eastAsia="宋体" w:hint="default"/>
                <w:spacing w:val="9"/>
                <w:sz w:val="18"/>
                <w:szCs w:val="18"/>
              </w:rPr>
              <w:t> </w:t>
            </w:r>
            <w:r>
              <w:rPr>
                <w:rFonts w:ascii="宋体" w:hAnsi="宋体" w:cs="宋体" w:eastAsia="宋体" w:hint="default"/>
                <w:sz w:val="18"/>
                <w:szCs w:val="18"/>
              </w:rPr>
              <w:t>置业</w:t>
            </w:r>
            <w:r>
              <w:rPr>
                <w:rFonts w:ascii="Arial" w:hAnsi="Arial" w:cs="Arial" w:eastAsia="Arial" w:hint="default"/>
                <w:sz w:val="18"/>
                <w:szCs w:val="18"/>
              </w:rPr>
              <w:t>”</w:t>
            </w:r>
            <w:r>
              <w:rPr>
                <w:rFonts w:ascii="Arial" w:hAnsi="Arial" w:cs="Arial" w:eastAsia="Arial" w:hint="default"/>
                <w:sz w:val="18"/>
                <w:szCs w:val="18"/>
              </w:rPr>
              <w:t>)</w:t>
            </w:r>
          </w:p>
        </w:tc>
        <w:tc>
          <w:tcPr>
            <w:tcW w:w="1799" w:type="dxa"/>
            <w:gridSpan w:val="2"/>
            <w:tcBorders>
              <w:top w:val="nil" w:sz="6" w:space="0" w:color="auto"/>
              <w:left w:val="nil" w:sz="6" w:space="0" w:color="auto"/>
              <w:bottom w:val="nil" w:sz="6" w:space="0" w:color="auto"/>
              <w:right w:val="nil" w:sz="6" w:space="0" w:color="auto"/>
            </w:tcBorders>
          </w:tcPr>
          <w:p>
            <w:pPr>
              <w:pStyle w:val="TableParagraph"/>
              <w:spacing w:line="232" w:lineRule="exact" w:before="23"/>
              <w:ind w:left="245" w:right="133" w:hanging="197"/>
              <w:jc w:val="left"/>
              <w:rPr>
                <w:rFonts w:ascii="宋体" w:hAnsi="宋体" w:cs="宋体" w:eastAsia="宋体" w:hint="default"/>
                <w:sz w:val="18"/>
                <w:szCs w:val="18"/>
              </w:rPr>
            </w:pPr>
            <w:r>
              <w:rPr>
                <w:rFonts w:ascii="宋体" w:hAnsi="宋体" w:cs="宋体" w:eastAsia="宋体" w:hint="default"/>
                <w:spacing w:val="12"/>
                <w:sz w:val="18"/>
                <w:szCs w:val="18"/>
              </w:rPr>
              <w:t>本公司关联方</w:t>
            </w:r>
            <w:r>
              <w:rPr>
                <w:rFonts w:ascii="Arial" w:hAnsi="Arial" w:cs="Arial" w:eastAsia="Arial" w:hint="default"/>
                <w:spacing w:val="12"/>
                <w:sz w:val="18"/>
                <w:szCs w:val="18"/>
              </w:rPr>
              <w:t>-</w:t>
            </w:r>
            <w:r>
              <w:rPr>
                <w:rFonts w:ascii="宋体" w:hAnsi="宋体" w:cs="宋体" w:eastAsia="宋体" w:hint="default"/>
                <w:spacing w:val="12"/>
                <w:sz w:val="18"/>
                <w:szCs w:val="18"/>
              </w:rPr>
              <w:t>苏宁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置业之子公司</w:t>
            </w:r>
          </w:p>
        </w:tc>
        <w:tc>
          <w:tcPr>
            <w:tcW w:w="617"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493" w:type="dxa"/>
            <w:tcBorders>
              <w:top w:val="nil" w:sz="6" w:space="0" w:color="auto"/>
              <w:left w:val="nil" w:sz="6" w:space="0" w:color="auto"/>
              <w:bottom w:val="nil" w:sz="6" w:space="0" w:color="auto"/>
              <w:right w:val="nil" w:sz="6" w:space="0" w:color="auto"/>
            </w:tcBorders>
          </w:tcPr>
          <w:p>
            <w:pPr/>
          </w:p>
        </w:tc>
        <w:tc>
          <w:tcPr>
            <w:tcW w:w="365"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r>
      <w:tr>
        <w:trPr>
          <w:trHeight w:val="269" w:hRule="exact"/>
        </w:trPr>
        <w:tc>
          <w:tcPr>
            <w:tcW w:w="677" w:type="dxa"/>
            <w:vMerge/>
            <w:tcBorders>
              <w:left w:val="nil" w:sz="6" w:space="0" w:color="auto"/>
              <w:bottom w:val="nil" w:sz="6" w:space="0" w:color="auto"/>
              <w:right w:val="nil" w:sz="6" w:space="0" w:color="auto"/>
            </w:tcBorders>
          </w:tcPr>
          <w:p>
            <w:pPr/>
          </w:p>
        </w:tc>
        <w:tc>
          <w:tcPr>
            <w:tcW w:w="1609" w:type="dxa"/>
            <w:gridSpan w:val="2"/>
            <w:vMerge/>
            <w:tcBorders>
              <w:left w:val="nil" w:sz="6" w:space="0" w:color="auto"/>
              <w:bottom w:val="nil" w:sz="6" w:space="0" w:color="auto"/>
              <w:right w:val="nil" w:sz="6" w:space="0" w:color="auto"/>
            </w:tcBorders>
          </w:tcPr>
          <w:p>
            <w:pPr/>
          </w:p>
        </w:tc>
        <w:tc>
          <w:tcPr>
            <w:tcW w:w="495"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single" w:sz="4" w:space="0" w:color="000000"/>
              <w:right w:val="nil" w:sz="6" w:space="0" w:color="auto"/>
            </w:tcBorders>
          </w:tcPr>
          <w:p>
            <w:pPr/>
          </w:p>
        </w:tc>
        <w:tc>
          <w:tcPr>
            <w:tcW w:w="617"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88"/>
              <w:jc w:val="right"/>
              <w:rPr>
                <w:rFonts w:ascii="Arial" w:hAnsi="Arial" w:cs="Arial" w:eastAsia="Arial" w:hint="default"/>
                <w:sz w:val="18"/>
                <w:szCs w:val="18"/>
              </w:rPr>
            </w:pPr>
            <w:r>
              <w:rPr>
                <w:rFonts w:ascii="Arial"/>
                <w:w w:val="99"/>
                <w:sz w:val="18"/>
              </w:rPr>
              <w:t>-</w:t>
            </w:r>
            <w:r>
              <w:rPr>
                <w:rFonts w:ascii="Arial"/>
                <w:sz w:val="18"/>
              </w:rPr>
            </w:r>
          </w:p>
        </w:tc>
        <w:tc>
          <w:tcPr>
            <w:tcW w:w="623" w:type="dxa"/>
            <w:tcBorders>
              <w:top w:val="nil" w:sz="6" w:space="0" w:color="auto"/>
              <w:left w:val="nil" w:sz="6" w:space="0" w:color="auto"/>
              <w:bottom w:val="single" w:sz="4" w:space="0" w:color="000000"/>
              <w:right w:val="nil" w:sz="6" w:space="0" w:color="auto"/>
            </w:tcBorders>
          </w:tcPr>
          <w:p>
            <w:pPr/>
          </w:p>
        </w:tc>
        <w:tc>
          <w:tcPr>
            <w:tcW w:w="240" w:type="dxa"/>
            <w:tcBorders>
              <w:top w:val="nil" w:sz="6" w:space="0" w:color="auto"/>
              <w:left w:val="nil" w:sz="6" w:space="0" w:color="auto"/>
              <w:bottom w:val="single" w:sz="4" w:space="0" w:color="000000"/>
              <w:right w:val="nil" w:sz="6" w:space="0" w:color="auto"/>
            </w:tcBorders>
          </w:tcPr>
          <w:p>
            <w:pP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0" w:right="0"/>
              <w:jc w:val="left"/>
              <w:rPr>
                <w:rFonts w:ascii="Arial" w:hAnsi="Arial" w:cs="Arial" w:eastAsia="Arial" w:hint="default"/>
                <w:sz w:val="18"/>
                <w:szCs w:val="18"/>
              </w:rPr>
            </w:pPr>
            <w:r>
              <w:rPr>
                <w:rFonts w:ascii="Arial"/>
                <w:w w:val="99"/>
                <w:sz w:val="18"/>
              </w:rPr>
              <w:t>-</w:t>
            </w:r>
            <w:r>
              <w:rPr>
                <w:rFonts w:ascii="Arial"/>
                <w:sz w:val="18"/>
              </w:rPr>
            </w:r>
          </w:p>
        </w:tc>
        <w:tc>
          <w:tcPr>
            <w:tcW w:w="365" w:type="dxa"/>
            <w:tcBorders>
              <w:top w:val="nil" w:sz="6" w:space="0" w:color="auto"/>
              <w:left w:val="nil" w:sz="6" w:space="0" w:color="auto"/>
              <w:bottom w:val="single" w:sz="4" w:space="0" w:color="000000"/>
              <w:right w:val="nil" w:sz="6" w:space="0" w:color="auto"/>
            </w:tcBorders>
          </w:tcPr>
          <w:p>
            <w:pPr/>
          </w:p>
        </w:tc>
        <w:tc>
          <w:tcPr>
            <w:tcW w:w="60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53" w:right="0"/>
              <w:jc w:val="left"/>
              <w:rPr>
                <w:rFonts w:ascii="Arial" w:hAnsi="Arial" w:cs="Arial" w:eastAsia="Arial" w:hint="default"/>
                <w:sz w:val="18"/>
                <w:szCs w:val="18"/>
              </w:rPr>
            </w:pPr>
            <w:r>
              <w:rPr>
                <w:rFonts w:ascii="Arial"/>
                <w:w w:val="99"/>
                <w:sz w:val="18"/>
              </w:rPr>
              <w:t>-</w:t>
            </w:r>
            <w:r>
              <w:rPr>
                <w:rFonts w:ascii="Arial"/>
                <w:sz w:val="18"/>
              </w:rPr>
            </w:r>
          </w:p>
        </w:tc>
        <w:tc>
          <w:tcPr>
            <w:tcW w:w="52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32" w:right="0"/>
              <w:jc w:val="left"/>
              <w:rPr>
                <w:rFonts w:ascii="Arial" w:hAnsi="Arial" w:cs="Arial" w:eastAsia="Arial" w:hint="default"/>
                <w:sz w:val="18"/>
                <w:szCs w:val="18"/>
              </w:rPr>
            </w:pPr>
            <w:r>
              <w:rPr>
                <w:rFonts w:ascii="Arial"/>
                <w:sz w:val="18"/>
              </w:rPr>
              <w:t>250</w:t>
            </w:r>
          </w:p>
        </w:tc>
        <w:tc>
          <w:tcPr>
            <w:tcW w:w="101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1"/>
              <w:jc w:val="right"/>
              <w:rPr>
                <w:rFonts w:ascii="Arial" w:hAnsi="Arial" w:cs="Arial" w:eastAsia="Arial" w:hint="default"/>
                <w:sz w:val="18"/>
                <w:szCs w:val="18"/>
              </w:rPr>
            </w:pPr>
            <w:r>
              <w:rPr>
                <w:rFonts w:ascii="Arial"/>
                <w:sz w:val="18"/>
              </w:rPr>
              <w:t>0.03%</w:t>
            </w:r>
          </w:p>
        </w:tc>
        <w:tc>
          <w:tcPr>
            <w:tcW w:w="235"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07" w:hRule="exact"/>
        </w:trPr>
        <w:tc>
          <w:tcPr>
            <w:tcW w:w="677"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544" w:type="dxa"/>
            <w:tcBorders>
              <w:top w:val="nil" w:sz="6" w:space="0" w:color="auto"/>
              <w:left w:val="nil" w:sz="6" w:space="0" w:color="auto"/>
              <w:bottom w:val="nil" w:sz="6" w:space="0" w:color="auto"/>
              <w:right w:val="nil" w:sz="6" w:space="0" w:color="auto"/>
            </w:tcBorders>
          </w:tcPr>
          <w:p>
            <w:pPr/>
          </w:p>
        </w:tc>
        <w:tc>
          <w:tcPr>
            <w:tcW w:w="495" w:type="dxa"/>
            <w:tcBorders>
              <w:top w:val="nil" w:sz="6" w:space="0" w:color="auto"/>
              <w:left w:val="nil" w:sz="6" w:space="0" w:color="auto"/>
              <w:bottom w:val="nil" w:sz="6" w:space="0" w:color="auto"/>
              <w:right w:val="nil" w:sz="6" w:space="0" w:color="auto"/>
            </w:tcBorders>
          </w:tcPr>
          <w:p>
            <w:pPr/>
          </w:p>
        </w:tc>
        <w:tc>
          <w:tcPr>
            <w:tcW w:w="1304" w:type="dxa"/>
            <w:tcBorders>
              <w:top w:val="single" w:sz="4" w:space="0" w:color="000000"/>
              <w:left w:val="nil" w:sz="6" w:space="0" w:color="auto"/>
              <w:bottom w:val="single" w:sz="12" w:space="0" w:color="000000"/>
              <w:right w:val="nil" w:sz="6" w:space="0" w:color="auto"/>
            </w:tcBorders>
          </w:tcPr>
          <w:p>
            <w:pPr/>
          </w:p>
        </w:tc>
        <w:tc>
          <w:tcPr>
            <w:tcW w:w="617"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85"/>
              <w:jc w:val="right"/>
              <w:rPr>
                <w:rFonts w:ascii="Arial" w:hAnsi="Arial" w:cs="Arial" w:eastAsia="Arial" w:hint="default"/>
                <w:sz w:val="18"/>
                <w:szCs w:val="18"/>
              </w:rPr>
            </w:pPr>
            <w:r>
              <w:rPr>
                <w:rFonts w:ascii="Arial"/>
                <w:w w:val="95"/>
                <w:sz w:val="18"/>
              </w:rPr>
              <w:t>507</w:t>
            </w:r>
            <w:r>
              <w:rPr>
                <w:rFonts w:ascii="Arial"/>
                <w:sz w:val="18"/>
              </w:rPr>
            </w:r>
          </w:p>
        </w:tc>
        <w:tc>
          <w:tcPr>
            <w:tcW w:w="135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2"/>
              <w:ind w:left="462" w:right="0"/>
              <w:jc w:val="left"/>
              <w:rPr>
                <w:rFonts w:ascii="Arial" w:hAnsi="Arial" w:cs="Arial" w:eastAsia="Arial" w:hint="default"/>
                <w:sz w:val="18"/>
                <w:szCs w:val="18"/>
              </w:rPr>
            </w:pPr>
            <w:r>
              <w:rPr>
                <w:rFonts w:ascii="Arial"/>
                <w:sz w:val="18"/>
              </w:rPr>
              <w:t>0.05%</w:t>
            </w:r>
          </w:p>
        </w:tc>
        <w:tc>
          <w:tcPr>
            <w:tcW w:w="365" w:type="dxa"/>
            <w:tcBorders>
              <w:top w:val="single" w:sz="4" w:space="0" w:color="000000"/>
              <w:left w:val="nil" w:sz="6" w:space="0" w:color="auto"/>
              <w:bottom w:val="single" w:sz="12" w:space="0" w:color="000000"/>
              <w:right w:val="nil" w:sz="6" w:space="0" w:color="auto"/>
            </w:tcBorders>
          </w:tcPr>
          <w:p>
            <w:pPr/>
          </w:p>
        </w:tc>
        <w:tc>
          <w:tcPr>
            <w:tcW w:w="60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53" w:right="0"/>
              <w:jc w:val="left"/>
              <w:rPr>
                <w:rFonts w:ascii="Arial" w:hAnsi="Arial" w:cs="Arial" w:eastAsia="Arial" w:hint="default"/>
                <w:sz w:val="18"/>
                <w:szCs w:val="18"/>
              </w:rPr>
            </w:pPr>
            <w:r>
              <w:rPr>
                <w:rFonts w:ascii="Arial"/>
                <w:w w:val="99"/>
                <w:sz w:val="18"/>
              </w:rPr>
              <w:t>-</w:t>
            </w:r>
            <w:r>
              <w:rPr>
                <w:rFonts w:ascii="Arial"/>
                <w:sz w:val="18"/>
              </w:rPr>
            </w:r>
          </w:p>
        </w:tc>
        <w:tc>
          <w:tcPr>
            <w:tcW w:w="523"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32" w:right="0"/>
              <w:jc w:val="left"/>
              <w:rPr>
                <w:rFonts w:ascii="Arial" w:hAnsi="Arial" w:cs="Arial" w:eastAsia="Arial" w:hint="default"/>
                <w:sz w:val="18"/>
                <w:szCs w:val="18"/>
              </w:rPr>
            </w:pPr>
            <w:r>
              <w:rPr>
                <w:rFonts w:ascii="Arial"/>
                <w:sz w:val="18"/>
              </w:rPr>
              <w:t>250</w:t>
            </w:r>
          </w:p>
        </w:tc>
        <w:tc>
          <w:tcPr>
            <w:tcW w:w="101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1"/>
              <w:jc w:val="right"/>
              <w:rPr>
                <w:rFonts w:ascii="Arial" w:hAnsi="Arial" w:cs="Arial" w:eastAsia="Arial" w:hint="default"/>
                <w:sz w:val="18"/>
                <w:szCs w:val="18"/>
              </w:rPr>
            </w:pPr>
            <w:r>
              <w:rPr>
                <w:rFonts w:ascii="Arial"/>
                <w:sz w:val="18"/>
              </w:rPr>
              <w:t>0.03%</w:t>
            </w:r>
          </w:p>
        </w:tc>
        <w:tc>
          <w:tcPr>
            <w:tcW w:w="235" w:type="dxa"/>
            <w:tcBorders>
              <w:top w:val="nil" w:sz="6" w:space="0" w:color="auto"/>
              <w:left w:val="nil" w:sz="6" w:space="0" w:color="auto"/>
              <w:bottom w:val="nil" w:sz="6" w:space="0" w:color="auto"/>
              <w:right w:val="nil" w:sz="6" w:space="0" w:color="auto"/>
            </w:tcBorders>
          </w:tcPr>
          <w:p>
            <w:pPr/>
          </w:p>
        </w:tc>
        <w:tc>
          <w:tcPr>
            <w:tcW w:w="569"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865"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right="62"/>
              <w:jc w:val="center"/>
              <w:rPr>
                <w:rFonts w:ascii="Arial" w:hAnsi="Arial" w:cs="Arial" w:eastAsia="Arial" w:hint="default"/>
                <w:sz w:val="24"/>
                <w:szCs w:val="24"/>
              </w:rPr>
            </w:pPr>
            <w:r>
              <w:rPr>
                <w:rFonts w:ascii="Arial"/>
                <w:sz w:val="24"/>
              </w:rPr>
              <w:t>(i)</w:t>
            </w:r>
          </w:p>
        </w:tc>
        <w:tc>
          <w:tcPr>
            <w:tcW w:w="5381"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99" w:right="0"/>
              <w:jc w:val="left"/>
              <w:rPr>
                <w:rFonts w:ascii="宋体" w:hAnsi="宋体" w:cs="宋体" w:eastAsia="宋体" w:hint="default"/>
                <w:sz w:val="24"/>
                <w:szCs w:val="24"/>
              </w:rPr>
            </w:pPr>
            <w:r>
              <w:rPr>
                <w:rFonts w:ascii="宋体" w:hAnsi="宋体" w:cs="宋体" w:eastAsia="宋体" w:hint="default"/>
                <w:sz w:val="24"/>
                <w:szCs w:val="24"/>
              </w:rPr>
              <w:t>其他应收款和长期应收款中包括以下外币余额：</w:t>
            </w:r>
          </w:p>
        </w:tc>
        <w:tc>
          <w:tcPr>
            <w:tcW w:w="365" w:type="dxa"/>
            <w:tcBorders>
              <w:top w:val="single" w:sz="12" w:space="0" w:color="000000"/>
              <w:left w:val="nil" w:sz="6" w:space="0" w:color="auto"/>
              <w:bottom w:val="nil" w:sz="6" w:space="0" w:color="auto"/>
              <w:right w:val="nil" w:sz="6" w:space="0" w:color="auto"/>
            </w:tcBorders>
          </w:tcPr>
          <w:p>
            <w:pPr/>
          </w:p>
        </w:tc>
        <w:tc>
          <w:tcPr>
            <w:tcW w:w="602" w:type="dxa"/>
            <w:tcBorders>
              <w:top w:val="single" w:sz="12" w:space="0" w:color="000000"/>
              <w:left w:val="nil" w:sz="6" w:space="0" w:color="auto"/>
              <w:bottom w:val="nil" w:sz="6" w:space="0" w:color="auto"/>
              <w:right w:val="nil" w:sz="6" w:space="0" w:color="auto"/>
            </w:tcBorders>
          </w:tcPr>
          <w:p>
            <w:pPr/>
          </w:p>
        </w:tc>
        <w:tc>
          <w:tcPr>
            <w:tcW w:w="523" w:type="dxa"/>
            <w:tcBorders>
              <w:top w:val="single" w:sz="12" w:space="0" w:color="000000"/>
              <w:left w:val="nil" w:sz="6" w:space="0" w:color="auto"/>
              <w:bottom w:val="nil" w:sz="6" w:space="0" w:color="auto"/>
              <w:right w:val="nil" w:sz="6" w:space="0" w:color="auto"/>
            </w:tcBorders>
          </w:tcPr>
          <w:p>
            <w:pPr/>
          </w:p>
        </w:tc>
        <w:tc>
          <w:tcPr>
            <w:tcW w:w="1012" w:type="dxa"/>
            <w:tcBorders>
              <w:top w:val="single" w:sz="12"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69" w:type="dxa"/>
            <w:tcBorders>
              <w:top w:val="single" w:sz="12" w:space="0" w:color="000000"/>
              <w:left w:val="nil" w:sz="6" w:space="0" w:color="auto"/>
              <w:bottom w:val="nil" w:sz="6" w:space="0" w:color="auto"/>
              <w:right w:val="nil" w:sz="6" w:space="0" w:color="auto"/>
            </w:tcBorders>
          </w:tcPr>
          <w:p>
            <w:pPr/>
          </w:p>
        </w:tc>
      </w:tr>
      <w:tr>
        <w:trPr>
          <w:trHeight w:val="547" w:hRule="exact"/>
        </w:trPr>
        <w:tc>
          <w:tcPr>
            <w:tcW w:w="677"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single" w:sz="4" w:space="0" w:color="000000"/>
              <w:right w:val="nil" w:sz="6" w:space="0" w:color="auto"/>
            </w:tcBorders>
          </w:tcPr>
          <w:p>
            <w:pPr/>
          </w:p>
        </w:tc>
        <w:tc>
          <w:tcPr>
            <w:tcW w:w="544" w:type="dxa"/>
            <w:tcBorders>
              <w:top w:val="nil" w:sz="6" w:space="0" w:color="auto"/>
              <w:left w:val="nil" w:sz="6" w:space="0" w:color="auto"/>
              <w:bottom w:val="single" w:sz="4" w:space="0" w:color="000000"/>
              <w:right w:val="nil" w:sz="6" w:space="0" w:color="auto"/>
            </w:tcBorders>
          </w:tcPr>
          <w:p>
            <w:pPr/>
          </w:p>
        </w:tc>
        <w:tc>
          <w:tcPr>
            <w:tcW w:w="179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617" w:type="dxa"/>
            <w:tcBorders>
              <w:top w:val="nil" w:sz="6" w:space="0" w:color="auto"/>
              <w:left w:val="nil" w:sz="6" w:space="0" w:color="auto"/>
              <w:bottom w:val="single" w:sz="4" w:space="0" w:color="000000"/>
              <w:right w:val="nil" w:sz="6" w:space="0" w:color="auto"/>
            </w:tcBorders>
          </w:tcPr>
          <w:p>
            <w:pPr/>
          </w:p>
        </w:tc>
        <w:tc>
          <w:tcPr>
            <w:tcW w:w="623" w:type="dxa"/>
            <w:tcBorders>
              <w:top w:val="nil" w:sz="6" w:space="0" w:color="auto"/>
              <w:left w:val="nil" w:sz="6" w:space="0" w:color="auto"/>
              <w:bottom w:val="single" w:sz="4" w:space="0" w:color="000000"/>
              <w:right w:val="nil" w:sz="6" w:space="0" w:color="auto"/>
            </w:tcBorders>
          </w:tcPr>
          <w:p>
            <w:pPr/>
          </w:p>
        </w:tc>
        <w:tc>
          <w:tcPr>
            <w:tcW w:w="240" w:type="dxa"/>
            <w:tcBorders>
              <w:top w:val="nil" w:sz="6" w:space="0" w:color="auto"/>
              <w:left w:val="nil" w:sz="6" w:space="0" w:color="auto"/>
              <w:bottom w:val="single" w:sz="4" w:space="0" w:color="000000"/>
              <w:right w:val="nil" w:sz="6" w:space="0" w:color="auto"/>
            </w:tcBorders>
          </w:tcPr>
          <w:p>
            <w:pPr/>
          </w:p>
        </w:tc>
        <w:tc>
          <w:tcPr>
            <w:tcW w:w="493" w:type="dxa"/>
            <w:tcBorders>
              <w:top w:val="nil" w:sz="6" w:space="0" w:color="auto"/>
              <w:left w:val="nil" w:sz="6" w:space="0" w:color="auto"/>
              <w:bottom w:val="single" w:sz="4" w:space="0" w:color="000000"/>
              <w:right w:val="nil" w:sz="6" w:space="0" w:color="auto"/>
            </w:tcBorders>
          </w:tcPr>
          <w:p>
            <w:pPr/>
          </w:p>
        </w:tc>
        <w:tc>
          <w:tcPr>
            <w:tcW w:w="365" w:type="dxa"/>
            <w:tcBorders>
              <w:top w:val="nil" w:sz="6" w:space="0" w:color="auto"/>
              <w:left w:val="nil" w:sz="6" w:space="0" w:color="auto"/>
              <w:bottom w:val="single" w:sz="4" w:space="0" w:color="000000"/>
              <w:right w:val="nil" w:sz="6" w:space="0" w:color="auto"/>
            </w:tcBorders>
          </w:tcPr>
          <w:p>
            <w:pPr/>
          </w:p>
        </w:tc>
        <w:tc>
          <w:tcPr>
            <w:tcW w:w="2138"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35" w:type="dxa"/>
            <w:tcBorders>
              <w:top w:val="nil" w:sz="6" w:space="0" w:color="auto"/>
              <w:left w:val="nil" w:sz="6" w:space="0" w:color="auto"/>
              <w:bottom w:val="single" w:sz="4" w:space="0" w:color="000000"/>
              <w:right w:val="nil" w:sz="6" w:space="0" w:color="auto"/>
            </w:tcBorders>
          </w:tcPr>
          <w:p>
            <w:pPr/>
          </w:p>
        </w:tc>
        <w:tc>
          <w:tcPr>
            <w:tcW w:w="569" w:type="dxa"/>
            <w:tcBorders>
              <w:top w:val="nil" w:sz="6" w:space="0" w:color="auto"/>
              <w:left w:val="nil" w:sz="6" w:space="0" w:color="auto"/>
              <w:bottom w:val="single" w:sz="4" w:space="0" w:color="000000"/>
              <w:right w:val="nil" w:sz="6" w:space="0" w:color="auto"/>
            </w:tcBorders>
          </w:tcPr>
          <w:p>
            <w:pPr/>
          </w:p>
        </w:tc>
      </w:tr>
      <w:tr>
        <w:trPr>
          <w:trHeight w:val="459" w:hRule="exact"/>
        </w:trPr>
        <w:tc>
          <w:tcPr>
            <w:tcW w:w="677" w:type="dxa"/>
            <w:tcBorders>
              <w:top w:val="nil" w:sz="6" w:space="0" w:color="auto"/>
              <w:left w:val="nil" w:sz="6" w:space="0" w:color="auto"/>
              <w:bottom w:val="nil" w:sz="6" w:space="0" w:color="auto"/>
              <w:right w:val="nil" w:sz="6" w:space="0" w:color="auto"/>
            </w:tcBorders>
          </w:tcPr>
          <w:p>
            <w:pPr/>
          </w:p>
        </w:tc>
        <w:tc>
          <w:tcPr>
            <w:tcW w:w="1065" w:type="dxa"/>
            <w:tcBorders>
              <w:top w:val="single" w:sz="4" w:space="0" w:color="000000"/>
              <w:left w:val="nil" w:sz="6" w:space="0" w:color="auto"/>
              <w:bottom w:val="nil" w:sz="6" w:space="0" w:color="auto"/>
              <w:right w:val="nil" w:sz="6" w:space="0" w:color="auto"/>
            </w:tcBorders>
          </w:tcPr>
          <w:p>
            <w:pPr/>
          </w:p>
        </w:tc>
        <w:tc>
          <w:tcPr>
            <w:tcW w:w="103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8"/>
              <w:ind w:left="5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498"/>
              <w:jc w:val="right"/>
              <w:rPr>
                <w:rFonts w:ascii="宋体" w:hAnsi="宋体" w:cs="宋体" w:eastAsia="宋体" w:hint="default"/>
                <w:sz w:val="18"/>
                <w:szCs w:val="18"/>
              </w:rPr>
            </w:pPr>
            <w:r>
              <w:rPr>
                <w:rFonts w:ascii="宋体" w:hAnsi="宋体" w:cs="宋体" w:eastAsia="宋体" w:hint="default"/>
                <w:sz w:val="18"/>
                <w:szCs w:val="18"/>
              </w:rPr>
              <w:t>汇率</w:t>
            </w:r>
          </w:p>
        </w:tc>
        <w:tc>
          <w:tcPr>
            <w:tcW w:w="12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5"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098"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602" w:type="dxa"/>
            <w:tcBorders>
              <w:top w:val="single" w:sz="4" w:space="0" w:color="000000"/>
              <w:left w:val="nil" w:sz="6" w:space="0" w:color="auto"/>
              <w:bottom w:val="nil" w:sz="6" w:space="0" w:color="auto"/>
              <w:right w:val="nil" w:sz="6" w:space="0" w:color="auto"/>
            </w:tcBorders>
          </w:tcPr>
          <w:p>
            <w:pPr/>
          </w:p>
        </w:tc>
        <w:tc>
          <w:tcPr>
            <w:tcW w:w="52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6"/>
              <w:jc w:val="right"/>
              <w:rPr>
                <w:rFonts w:ascii="宋体" w:hAnsi="宋体" w:cs="宋体" w:eastAsia="宋体" w:hint="default"/>
                <w:sz w:val="18"/>
                <w:szCs w:val="18"/>
              </w:rPr>
            </w:pPr>
            <w:r>
              <w:rPr>
                <w:rFonts w:ascii="宋体" w:hAnsi="宋体" w:cs="宋体" w:eastAsia="宋体" w:hint="default"/>
                <w:sz w:val="18"/>
                <w:szCs w:val="18"/>
              </w:rPr>
              <w:t>汇率</w:t>
            </w:r>
          </w:p>
        </w:tc>
        <w:tc>
          <w:tcPr>
            <w:tcW w:w="181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
              <w:ind w:left="563"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469" w:hRule="exact"/>
        </w:trPr>
        <w:tc>
          <w:tcPr>
            <w:tcW w:w="677"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99"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0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3" w:right="0"/>
              <w:jc w:val="left"/>
              <w:rPr>
                <w:rFonts w:ascii="Arial" w:hAnsi="Arial" w:cs="Arial" w:eastAsia="Arial" w:hint="default"/>
                <w:sz w:val="18"/>
                <w:szCs w:val="18"/>
              </w:rPr>
            </w:pPr>
            <w:r>
              <w:rPr>
                <w:rFonts w:ascii="Arial"/>
                <w:sz w:val="18"/>
              </w:rPr>
              <w:t>35,277</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496"/>
              <w:jc w:val="right"/>
              <w:rPr>
                <w:rFonts w:ascii="Arial" w:hAnsi="Arial" w:cs="Arial" w:eastAsia="Arial" w:hint="default"/>
                <w:sz w:val="18"/>
                <w:szCs w:val="18"/>
              </w:rPr>
            </w:pPr>
            <w:r>
              <w:rPr>
                <w:rFonts w:ascii="Arial"/>
                <w:spacing w:val="-1"/>
                <w:sz w:val="18"/>
              </w:rPr>
              <w:t>0.8108</w:t>
            </w:r>
          </w:p>
        </w:tc>
        <w:tc>
          <w:tcPr>
            <w:tcW w:w="12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56" w:right="0"/>
              <w:jc w:val="left"/>
              <w:rPr>
                <w:rFonts w:ascii="Arial" w:hAnsi="Arial" w:cs="Arial" w:eastAsia="Arial" w:hint="default"/>
                <w:sz w:val="18"/>
                <w:szCs w:val="18"/>
              </w:rPr>
            </w:pPr>
            <w:r>
              <w:rPr>
                <w:rFonts w:ascii="Arial"/>
                <w:sz w:val="18"/>
              </w:rPr>
              <w:t>28,603</w:t>
            </w:r>
          </w:p>
        </w:tc>
        <w:tc>
          <w:tcPr>
            <w:tcW w:w="109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491" w:right="0"/>
              <w:jc w:val="left"/>
              <w:rPr>
                <w:rFonts w:ascii="Arial" w:hAnsi="Arial" w:cs="Arial" w:eastAsia="Arial" w:hint="default"/>
                <w:sz w:val="18"/>
                <w:szCs w:val="18"/>
              </w:rPr>
            </w:pPr>
            <w:r>
              <w:rPr>
                <w:rFonts w:ascii="Arial"/>
                <w:sz w:val="18"/>
              </w:rPr>
              <w:t>64,402</w:t>
            </w:r>
          </w:p>
        </w:tc>
        <w:tc>
          <w:tcPr>
            <w:tcW w:w="602"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5" w:right="4"/>
              <w:jc w:val="right"/>
              <w:rPr>
                <w:rFonts w:ascii="Arial" w:hAnsi="Arial" w:cs="Arial" w:eastAsia="Arial" w:hint="default"/>
                <w:sz w:val="18"/>
                <w:szCs w:val="18"/>
              </w:rPr>
            </w:pPr>
            <w:r>
              <w:rPr>
                <w:rFonts w:ascii="Arial"/>
                <w:spacing w:val="-1"/>
                <w:sz w:val="18"/>
              </w:rPr>
              <w:t>0.8107</w:t>
            </w:r>
          </w:p>
        </w:tc>
        <w:tc>
          <w:tcPr>
            <w:tcW w:w="181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926" w:right="0"/>
              <w:jc w:val="left"/>
              <w:rPr>
                <w:rFonts w:ascii="Arial" w:hAnsi="Arial" w:cs="Arial" w:eastAsia="Arial" w:hint="default"/>
                <w:sz w:val="18"/>
                <w:szCs w:val="18"/>
              </w:rPr>
            </w:pPr>
            <w:r>
              <w:rPr>
                <w:rFonts w:ascii="Arial"/>
                <w:spacing w:val="-3"/>
                <w:sz w:val="18"/>
              </w:rPr>
              <w:t>52,211</w:t>
            </w:r>
          </w:p>
        </w:tc>
      </w:tr>
      <w:tr>
        <w:trPr>
          <w:trHeight w:val="309" w:hRule="exact"/>
        </w:trPr>
        <w:tc>
          <w:tcPr>
            <w:tcW w:w="677"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0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19" w:right="0"/>
              <w:jc w:val="left"/>
              <w:rPr>
                <w:rFonts w:ascii="Arial" w:hAnsi="Arial" w:cs="Arial" w:eastAsia="Arial" w:hint="default"/>
                <w:sz w:val="18"/>
                <w:szCs w:val="18"/>
              </w:rPr>
            </w:pPr>
            <w:r>
              <w:rPr>
                <w:rFonts w:ascii="Arial"/>
                <w:sz w:val="18"/>
              </w:rPr>
              <w:t>4,080,425</w:t>
            </w:r>
          </w:p>
        </w:tc>
        <w:tc>
          <w:tcPr>
            <w:tcW w:w="1304"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496"/>
              <w:jc w:val="right"/>
              <w:rPr>
                <w:rFonts w:ascii="Arial" w:hAnsi="Arial" w:cs="Arial" w:eastAsia="Arial" w:hint="default"/>
                <w:sz w:val="18"/>
                <w:szCs w:val="18"/>
              </w:rPr>
            </w:pPr>
            <w:r>
              <w:rPr>
                <w:rFonts w:ascii="Arial"/>
                <w:spacing w:val="-1"/>
                <w:sz w:val="18"/>
              </w:rPr>
              <w:t>0.0730</w:t>
            </w:r>
          </w:p>
        </w:tc>
        <w:tc>
          <w:tcPr>
            <w:tcW w:w="12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255" w:right="0"/>
              <w:jc w:val="left"/>
              <w:rPr>
                <w:rFonts w:ascii="Arial" w:hAnsi="Arial" w:cs="Arial" w:eastAsia="Arial" w:hint="default"/>
                <w:sz w:val="18"/>
                <w:szCs w:val="18"/>
              </w:rPr>
            </w:pPr>
            <w:r>
              <w:rPr>
                <w:rFonts w:ascii="Arial"/>
                <w:sz w:val="18"/>
              </w:rPr>
              <w:t>297,871</w:t>
            </w:r>
          </w:p>
        </w:tc>
        <w:tc>
          <w:tcPr>
            <w:tcW w:w="109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6"/>
              <w:ind w:left="240" w:right="0"/>
              <w:jc w:val="left"/>
              <w:rPr>
                <w:rFonts w:ascii="Arial" w:hAnsi="Arial" w:cs="Arial" w:eastAsia="Arial" w:hint="default"/>
                <w:sz w:val="18"/>
                <w:szCs w:val="18"/>
              </w:rPr>
            </w:pPr>
            <w:r>
              <w:rPr>
                <w:rFonts w:ascii="Arial"/>
                <w:sz w:val="18"/>
              </w:rPr>
              <w:t>3,721,850</w:t>
            </w:r>
          </w:p>
        </w:tc>
        <w:tc>
          <w:tcPr>
            <w:tcW w:w="602"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3" w:right="4"/>
              <w:jc w:val="right"/>
              <w:rPr>
                <w:rFonts w:ascii="Arial" w:hAnsi="Arial" w:cs="Arial" w:eastAsia="Arial" w:hint="default"/>
                <w:sz w:val="18"/>
                <w:szCs w:val="18"/>
              </w:rPr>
            </w:pPr>
            <w:r>
              <w:rPr>
                <w:rFonts w:ascii="Arial"/>
                <w:spacing w:val="-3"/>
                <w:sz w:val="18"/>
              </w:rPr>
              <w:t>0.0811</w:t>
            </w:r>
          </w:p>
        </w:tc>
        <w:tc>
          <w:tcPr>
            <w:tcW w:w="181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6"/>
              <w:ind w:left="813" w:right="0"/>
              <w:jc w:val="left"/>
              <w:rPr>
                <w:rFonts w:ascii="Arial" w:hAnsi="Arial" w:cs="Arial" w:eastAsia="Arial" w:hint="default"/>
                <w:sz w:val="18"/>
                <w:szCs w:val="18"/>
              </w:rPr>
            </w:pPr>
            <w:r>
              <w:rPr>
                <w:rFonts w:ascii="Arial"/>
                <w:sz w:val="18"/>
              </w:rPr>
              <w:t>301,842</w:t>
            </w:r>
          </w:p>
        </w:tc>
      </w:tr>
      <w:tr>
        <w:trPr>
          <w:trHeight w:val="307" w:hRule="exact"/>
        </w:trPr>
        <w:tc>
          <w:tcPr>
            <w:tcW w:w="677"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544" w:type="dxa"/>
            <w:tcBorders>
              <w:top w:val="nil" w:sz="6" w:space="0" w:color="auto"/>
              <w:left w:val="nil" w:sz="6" w:space="0" w:color="auto"/>
              <w:bottom w:val="nil" w:sz="6" w:space="0" w:color="auto"/>
              <w:right w:val="nil" w:sz="6" w:space="0" w:color="auto"/>
            </w:tcBorders>
          </w:tcPr>
          <w:p>
            <w:pPr/>
          </w:p>
        </w:tc>
        <w:tc>
          <w:tcPr>
            <w:tcW w:w="495" w:type="dxa"/>
            <w:tcBorders>
              <w:top w:val="nil" w:sz="6" w:space="0" w:color="auto"/>
              <w:left w:val="nil" w:sz="6" w:space="0" w:color="auto"/>
              <w:bottom w:val="nil" w:sz="6" w:space="0" w:color="auto"/>
              <w:right w:val="nil" w:sz="6" w:space="0" w:color="auto"/>
            </w:tcBorders>
          </w:tcPr>
          <w:p>
            <w:pPr/>
          </w:p>
        </w:tc>
        <w:tc>
          <w:tcPr>
            <w:tcW w:w="1304" w:type="dxa"/>
            <w:tcBorders>
              <w:top w:val="single" w:sz="4" w:space="0" w:color="000000"/>
              <w:left w:val="nil" w:sz="6" w:space="0" w:color="auto"/>
              <w:bottom w:val="single" w:sz="12" w:space="0" w:color="000000"/>
              <w:right w:val="nil" w:sz="6" w:space="0" w:color="auto"/>
            </w:tcBorders>
          </w:tcPr>
          <w:p>
            <w:pPr/>
          </w:p>
        </w:tc>
        <w:tc>
          <w:tcPr>
            <w:tcW w:w="12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255" w:right="0"/>
              <w:jc w:val="left"/>
              <w:rPr>
                <w:rFonts w:ascii="Arial" w:hAnsi="Arial" w:cs="Arial" w:eastAsia="Arial" w:hint="default"/>
                <w:sz w:val="18"/>
                <w:szCs w:val="18"/>
              </w:rPr>
            </w:pPr>
            <w:r>
              <w:rPr>
                <w:rFonts w:ascii="Arial"/>
                <w:sz w:val="18"/>
              </w:rPr>
              <w:t>326,474</w:t>
            </w:r>
          </w:p>
        </w:tc>
        <w:tc>
          <w:tcPr>
            <w:tcW w:w="240" w:type="dxa"/>
            <w:tcBorders>
              <w:top w:val="nil" w:sz="6" w:space="0" w:color="auto"/>
              <w:left w:val="nil" w:sz="6" w:space="0" w:color="auto"/>
              <w:bottom w:val="nil" w:sz="6" w:space="0" w:color="auto"/>
              <w:right w:val="nil" w:sz="6" w:space="0" w:color="auto"/>
            </w:tcBorders>
          </w:tcPr>
          <w:p>
            <w:pPr/>
          </w:p>
        </w:tc>
        <w:tc>
          <w:tcPr>
            <w:tcW w:w="493" w:type="dxa"/>
            <w:tcBorders>
              <w:top w:val="nil" w:sz="6" w:space="0" w:color="auto"/>
              <w:left w:val="nil" w:sz="6" w:space="0" w:color="auto"/>
              <w:bottom w:val="nil" w:sz="6" w:space="0" w:color="auto"/>
              <w:right w:val="nil" w:sz="6" w:space="0" w:color="auto"/>
            </w:tcBorders>
          </w:tcPr>
          <w:p>
            <w:pPr/>
          </w:p>
        </w:tc>
        <w:tc>
          <w:tcPr>
            <w:tcW w:w="365"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81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2"/>
              <w:ind w:left="813" w:right="0"/>
              <w:jc w:val="left"/>
              <w:rPr>
                <w:rFonts w:ascii="Arial" w:hAnsi="Arial" w:cs="Arial" w:eastAsia="Arial" w:hint="default"/>
                <w:sz w:val="18"/>
                <w:szCs w:val="18"/>
              </w:rPr>
            </w:pPr>
            <w:r>
              <w:rPr>
                <w:rFonts w:ascii="Arial"/>
                <w:sz w:val="18"/>
              </w:rPr>
              <w:t>354,053</w:t>
            </w:r>
          </w:p>
        </w:tc>
      </w:tr>
      <w:tr>
        <w:trPr>
          <w:trHeight w:val="936"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left="16" w:right="0"/>
              <w:jc w:val="center"/>
              <w:rPr>
                <w:rFonts w:ascii="Arial" w:hAnsi="Arial" w:cs="Arial" w:eastAsia="Arial" w:hint="default"/>
                <w:sz w:val="24"/>
                <w:szCs w:val="24"/>
              </w:rPr>
            </w:pPr>
            <w:r>
              <w:rPr>
                <w:rFonts w:ascii="Arial"/>
                <w:sz w:val="24"/>
              </w:rPr>
              <w:t>(6)</w:t>
            </w:r>
          </w:p>
        </w:tc>
        <w:tc>
          <w:tcPr>
            <w:tcW w:w="16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99" w:right="0"/>
              <w:jc w:val="left"/>
              <w:rPr>
                <w:rFonts w:ascii="黑体" w:hAnsi="黑体" w:cs="黑体" w:eastAsia="黑体" w:hint="default"/>
                <w:sz w:val="24"/>
                <w:szCs w:val="24"/>
              </w:rPr>
            </w:pPr>
            <w:r>
              <w:rPr>
                <w:rFonts w:ascii="黑体" w:hAnsi="黑体" w:cs="黑体" w:eastAsia="黑体" w:hint="default"/>
                <w:sz w:val="24"/>
                <w:szCs w:val="24"/>
              </w:rPr>
              <w:t>预付款项</w:t>
            </w:r>
          </w:p>
        </w:tc>
        <w:tc>
          <w:tcPr>
            <w:tcW w:w="495" w:type="dxa"/>
            <w:tcBorders>
              <w:top w:val="nil" w:sz="6" w:space="0" w:color="auto"/>
              <w:left w:val="nil" w:sz="6" w:space="0" w:color="auto"/>
              <w:bottom w:val="nil" w:sz="6" w:space="0" w:color="auto"/>
              <w:right w:val="nil" w:sz="6" w:space="0" w:color="auto"/>
            </w:tcBorders>
          </w:tcPr>
          <w:p>
            <w:pPr/>
          </w:p>
        </w:tc>
        <w:tc>
          <w:tcPr>
            <w:tcW w:w="1304" w:type="dxa"/>
            <w:tcBorders>
              <w:top w:val="single" w:sz="12" w:space="0" w:color="000000"/>
              <w:left w:val="nil" w:sz="6" w:space="0" w:color="auto"/>
              <w:bottom w:val="nil" w:sz="6" w:space="0" w:color="auto"/>
              <w:right w:val="nil" w:sz="6" w:space="0" w:color="auto"/>
            </w:tcBorders>
          </w:tcPr>
          <w:p>
            <w:pPr/>
          </w:p>
        </w:tc>
        <w:tc>
          <w:tcPr>
            <w:tcW w:w="617" w:type="dxa"/>
            <w:tcBorders>
              <w:top w:val="single" w:sz="12" w:space="0" w:color="000000"/>
              <w:left w:val="nil" w:sz="6" w:space="0" w:color="auto"/>
              <w:bottom w:val="nil" w:sz="6" w:space="0" w:color="auto"/>
              <w:right w:val="nil" w:sz="6" w:space="0" w:color="auto"/>
            </w:tcBorders>
          </w:tcPr>
          <w:p>
            <w:pPr/>
          </w:p>
        </w:tc>
        <w:tc>
          <w:tcPr>
            <w:tcW w:w="623" w:type="dxa"/>
            <w:tcBorders>
              <w:top w:val="single" w:sz="12"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493" w:type="dxa"/>
            <w:tcBorders>
              <w:top w:val="nil" w:sz="6" w:space="0" w:color="auto"/>
              <w:left w:val="nil" w:sz="6" w:space="0" w:color="auto"/>
              <w:bottom w:val="nil" w:sz="6" w:space="0" w:color="auto"/>
              <w:right w:val="nil" w:sz="6" w:space="0" w:color="auto"/>
            </w:tcBorders>
          </w:tcPr>
          <w:p>
            <w:pPr/>
          </w:p>
        </w:tc>
        <w:tc>
          <w:tcPr>
            <w:tcW w:w="365"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012" w:type="dxa"/>
            <w:tcBorders>
              <w:top w:val="single" w:sz="12" w:space="0" w:color="000000"/>
              <w:left w:val="nil" w:sz="6" w:space="0" w:color="auto"/>
              <w:bottom w:val="nil" w:sz="6" w:space="0" w:color="auto"/>
              <w:right w:val="nil" w:sz="6" w:space="0" w:color="auto"/>
            </w:tcBorders>
          </w:tcPr>
          <w:p>
            <w:pPr/>
          </w:p>
        </w:tc>
        <w:tc>
          <w:tcPr>
            <w:tcW w:w="235" w:type="dxa"/>
            <w:tcBorders>
              <w:top w:val="single" w:sz="12" w:space="0" w:color="000000"/>
              <w:left w:val="nil" w:sz="6" w:space="0" w:color="auto"/>
              <w:bottom w:val="nil" w:sz="6" w:space="0" w:color="auto"/>
              <w:right w:val="nil" w:sz="6" w:space="0" w:color="auto"/>
            </w:tcBorders>
          </w:tcPr>
          <w:p>
            <w:pPr/>
          </w:p>
        </w:tc>
        <w:tc>
          <w:tcPr>
            <w:tcW w:w="569" w:type="dxa"/>
            <w:tcBorders>
              <w:top w:val="single" w:sz="12" w:space="0" w:color="000000"/>
              <w:left w:val="nil" w:sz="6" w:space="0" w:color="auto"/>
              <w:bottom w:val="nil" w:sz="6" w:space="0" w:color="auto"/>
              <w:right w:val="nil" w:sz="6" w:space="0" w:color="auto"/>
            </w:tcBorders>
          </w:tcPr>
          <w:p>
            <w:pPr/>
          </w:p>
        </w:tc>
      </w:tr>
      <w:tr>
        <w:trPr>
          <w:trHeight w:val="749"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6" w:right="0"/>
              <w:jc w:val="center"/>
              <w:rPr>
                <w:rFonts w:ascii="Arial" w:hAnsi="Arial" w:cs="Arial" w:eastAsia="Arial" w:hint="default"/>
                <w:sz w:val="24"/>
                <w:szCs w:val="24"/>
              </w:rPr>
            </w:pPr>
            <w:r>
              <w:rPr>
                <w:rFonts w:ascii="Arial"/>
                <w:sz w:val="24"/>
              </w:rPr>
              <w:t>(a)</w:t>
            </w:r>
          </w:p>
        </w:tc>
        <w:tc>
          <w:tcPr>
            <w:tcW w:w="340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83"/>
              <w:ind w:left="199" w:right="0"/>
              <w:jc w:val="left"/>
              <w:rPr>
                <w:rFonts w:ascii="宋体" w:hAnsi="宋体" w:cs="宋体" w:eastAsia="宋体" w:hint="default"/>
                <w:sz w:val="24"/>
                <w:szCs w:val="24"/>
              </w:rPr>
            </w:pPr>
            <w:r>
              <w:rPr>
                <w:rFonts w:ascii="宋体" w:hAnsi="宋体" w:cs="宋体" w:eastAsia="宋体" w:hint="default"/>
                <w:sz w:val="24"/>
                <w:szCs w:val="24"/>
              </w:rPr>
              <w:t>预付款项账龄分析如下：</w:t>
            </w:r>
          </w:p>
        </w:tc>
        <w:tc>
          <w:tcPr>
            <w:tcW w:w="617"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493" w:type="dxa"/>
            <w:tcBorders>
              <w:top w:val="nil" w:sz="6" w:space="0" w:color="auto"/>
              <w:left w:val="nil" w:sz="6" w:space="0" w:color="auto"/>
              <w:bottom w:val="nil" w:sz="6" w:space="0" w:color="auto"/>
              <w:right w:val="nil" w:sz="6" w:space="0" w:color="auto"/>
            </w:tcBorders>
          </w:tcPr>
          <w:p>
            <w:pPr/>
          </w:p>
        </w:tc>
        <w:tc>
          <w:tcPr>
            <w:tcW w:w="365"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r>
      <w:tr>
        <w:trPr>
          <w:trHeight w:val="552" w:hRule="exact"/>
        </w:trPr>
        <w:tc>
          <w:tcPr>
            <w:tcW w:w="677"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544" w:type="dxa"/>
            <w:tcBorders>
              <w:top w:val="nil" w:sz="6" w:space="0" w:color="auto"/>
              <w:left w:val="nil" w:sz="6" w:space="0" w:color="auto"/>
              <w:bottom w:val="single" w:sz="4" w:space="0" w:color="000000"/>
              <w:right w:val="nil" w:sz="6" w:space="0" w:color="auto"/>
            </w:tcBorders>
          </w:tcPr>
          <w:p>
            <w:pPr/>
          </w:p>
        </w:tc>
        <w:tc>
          <w:tcPr>
            <w:tcW w:w="241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84"/>
              <w:ind w:left="396"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623" w:type="dxa"/>
            <w:tcBorders>
              <w:top w:val="nil" w:sz="6" w:space="0" w:color="auto"/>
              <w:left w:val="nil" w:sz="6" w:space="0" w:color="auto"/>
              <w:bottom w:val="single" w:sz="4" w:space="0" w:color="000000"/>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493" w:type="dxa"/>
            <w:tcBorders>
              <w:top w:val="nil" w:sz="6" w:space="0" w:color="auto"/>
              <w:left w:val="nil" w:sz="6" w:space="0" w:color="auto"/>
              <w:bottom w:val="single" w:sz="4" w:space="0" w:color="000000"/>
              <w:right w:val="nil" w:sz="6" w:space="0" w:color="auto"/>
            </w:tcBorders>
          </w:tcPr>
          <w:p>
            <w:pPr/>
          </w:p>
        </w:tc>
        <w:tc>
          <w:tcPr>
            <w:tcW w:w="365" w:type="dxa"/>
            <w:tcBorders>
              <w:top w:val="nil" w:sz="6" w:space="0" w:color="auto"/>
              <w:left w:val="nil" w:sz="6" w:space="0" w:color="auto"/>
              <w:bottom w:val="single" w:sz="4" w:space="0" w:color="000000"/>
              <w:right w:val="nil" w:sz="6" w:space="0" w:color="auto"/>
            </w:tcBorders>
          </w:tcPr>
          <w:p>
            <w:pPr/>
          </w:p>
        </w:tc>
        <w:tc>
          <w:tcPr>
            <w:tcW w:w="2138"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84"/>
              <w:ind w:left="-35" w:right="0"/>
              <w:jc w:val="left"/>
              <w:rPr>
                <w:rFonts w:ascii="宋体" w:hAnsi="宋体" w:cs="宋体" w:eastAsia="宋体" w:hint="default"/>
                <w:sz w:val="22"/>
                <w:szCs w:val="22"/>
              </w:rPr>
            </w:pPr>
            <w:r>
              <w:rPr>
                <w:rFonts w:ascii="Arial" w:hAnsi="Arial" w:cs="Arial" w:eastAsia="Arial" w:hint="default"/>
                <w:spacing w:val="-5"/>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6"/>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35" w:type="dxa"/>
            <w:tcBorders>
              <w:top w:val="nil" w:sz="6" w:space="0" w:color="auto"/>
              <w:left w:val="nil" w:sz="6" w:space="0" w:color="auto"/>
              <w:bottom w:val="single" w:sz="4" w:space="0" w:color="000000"/>
              <w:right w:val="nil" w:sz="6" w:space="0" w:color="auto"/>
            </w:tcBorders>
          </w:tcPr>
          <w:p>
            <w:pPr/>
          </w:p>
        </w:tc>
        <w:tc>
          <w:tcPr>
            <w:tcW w:w="569" w:type="dxa"/>
            <w:tcBorders>
              <w:top w:val="nil" w:sz="6" w:space="0" w:color="auto"/>
              <w:left w:val="nil" w:sz="6" w:space="0" w:color="auto"/>
              <w:bottom w:val="single" w:sz="4" w:space="0" w:color="000000"/>
              <w:right w:val="nil" w:sz="6" w:space="0" w:color="auto"/>
            </w:tcBorders>
          </w:tcPr>
          <w:p>
            <w:pPr/>
          </w:p>
        </w:tc>
      </w:tr>
      <w:tr>
        <w:trPr>
          <w:trHeight w:val="560" w:hRule="exact"/>
        </w:trPr>
        <w:tc>
          <w:tcPr>
            <w:tcW w:w="677"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544" w:type="dxa"/>
            <w:tcBorders>
              <w:top w:val="single" w:sz="4" w:space="0" w:color="000000"/>
              <w:left w:val="nil" w:sz="6" w:space="0" w:color="auto"/>
              <w:bottom w:val="nil" w:sz="6" w:space="0" w:color="auto"/>
              <w:right w:val="nil" w:sz="6" w:space="0" w:color="auto"/>
            </w:tcBorders>
          </w:tcPr>
          <w:p>
            <w:pPr/>
          </w:p>
        </w:tc>
        <w:tc>
          <w:tcPr>
            <w:tcW w:w="495" w:type="dxa"/>
            <w:tcBorders>
              <w:top w:val="single" w:sz="4" w:space="0" w:color="000000"/>
              <w:left w:val="nil" w:sz="6" w:space="0" w:color="auto"/>
              <w:bottom w:val="nil" w:sz="6" w:space="0" w:color="auto"/>
              <w:right w:val="nil" w:sz="6" w:space="0" w:color="auto"/>
            </w:tcBorders>
          </w:tcPr>
          <w:p>
            <w:pP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114"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24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
              <w:ind w:left="34" w:right="0"/>
              <w:jc w:val="left"/>
              <w:rPr>
                <w:rFonts w:ascii="宋体" w:hAnsi="宋体" w:cs="宋体" w:eastAsia="宋体" w:hint="default"/>
                <w:sz w:val="22"/>
                <w:szCs w:val="22"/>
              </w:rPr>
            </w:pPr>
            <w:r>
              <w:rPr>
                <w:rFonts w:ascii="宋体" w:hAnsi="宋体" w:cs="宋体" w:eastAsia="宋体" w:hint="default"/>
                <w:sz w:val="22"/>
                <w:szCs w:val="22"/>
              </w:rPr>
              <w:t>占总额比例</w:t>
            </w:r>
          </w:p>
        </w:tc>
        <w:tc>
          <w:tcPr>
            <w:tcW w:w="240" w:type="dxa"/>
            <w:tcBorders>
              <w:top w:val="nil" w:sz="6" w:space="0" w:color="auto"/>
              <w:left w:val="nil" w:sz="6" w:space="0" w:color="auto"/>
              <w:bottom w:val="nil" w:sz="6" w:space="0" w:color="auto"/>
              <w:right w:val="nil" w:sz="6" w:space="0" w:color="auto"/>
            </w:tcBorders>
          </w:tcPr>
          <w:p>
            <w:pPr/>
          </w:p>
        </w:tc>
        <w:tc>
          <w:tcPr>
            <w:tcW w:w="493" w:type="dxa"/>
            <w:tcBorders>
              <w:top w:val="single" w:sz="4" w:space="0" w:color="000000"/>
              <w:left w:val="nil" w:sz="6" w:space="0" w:color="auto"/>
              <w:bottom w:val="nil" w:sz="6" w:space="0" w:color="auto"/>
              <w:right w:val="nil" w:sz="6" w:space="0" w:color="auto"/>
            </w:tcBorders>
          </w:tcPr>
          <w:p>
            <w:pPr/>
          </w:p>
        </w:tc>
        <w:tc>
          <w:tcPr>
            <w:tcW w:w="365" w:type="dxa"/>
            <w:tcBorders>
              <w:top w:val="single" w:sz="4" w:space="0" w:color="000000"/>
              <w:left w:val="nil" w:sz="6" w:space="0" w:color="auto"/>
              <w:bottom w:val="nil" w:sz="6" w:space="0" w:color="auto"/>
              <w:right w:val="nil" w:sz="6" w:space="0" w:color="auto"/>
            </w:tcBorders>
          </w:tcPr>
          <w:p>
            <w:pPr/>
          </w:p>
        </w:tc>
        <w:tc>
          <w:tcPr>
            <w:tcW w:w="60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169" w:right="-9"/>
              <w:jc w:val="left"/>
              <w:rPr>
                <w:rFonts w:ascii="宋体" w:hAnsi="宋体" w:cs="宋体" w:eastAsia="宋体" w:hint="default"/>
                <w:sz w:val="22"/>
                <w:szCs w:val="22"/>
              </w:rPr>
            </w:pPr>
            <w:r>
              <w:rPr>
                <w:rFonts w:ascii="宋体" w:hAnsi="宋体" w:cs="宋体" w:eastAsia="宋体" w:hint="default"/>
                <w:sz w:val="22"/>
                <w:szCs w:val="22"/>
              </w:rPr>
              <w:t>金额</w:t>
            </w:r>
          </w:p>
        </w:tc>
        <w:tc>
          <w:tcPr>
            <w:tcW w:w="523" w:type="dxa"/>
            <w:tcBorders>
              <w:top w:val="single" w:sz="4" w:space="0" w:color="000000"/>
              <w:left w:val="nil" w:sz="6" w:space="0" w:color="auto"/>
              <w:bottom w:val="nil" w:sz="6" w:space="0" w:color="auto"/>
              <w:right w:val="nil" w:sz="6" w:space="0" w:color="auto"/>
            </w:tcBorders>
          </w:tcPr>
          <w:p>
            <w:pPr/>
          </w:p>
        </w:tc>
        <w:tc>
          <w:tcPr>
            <w:tcW w:w="181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342" w:right="0"/>
              <w:jc w:val="left"/>
              <w:rPr>
                <w:rFonts w:ascii="宋体" w:hAnsi="宋体" w:cs="宋体" w:eastAsia="宋体" w:hint="default"/>
                <w:sz w:val="22"/>
                <w:szCs w:val="22"/>
              </w:rPr>
            </w:pPr>
            <w:r>
              <w:rPr>
                <w:rFonts w:ascii="宋体" w:hAnsi="宋体" w:cs="宋体" w:eastAsia="宋体" w:hint="default"/>
                <w:sz w:val="22"/>
                <w:szCs w:val="22"/>
              </w:rPr>
              <w:t>占总额比例</w:t>
            </w:r>
          </w:p>
        </w:tc>
      </w:tr>
      <w:tr>
        <w:trPr>
          <w:trHeight w:val="577" w:hRule="exact"/>
        </w:trPr>
        <w:tc>
          <w:tcPr>
            <w:tcW w:w="677"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98"/>
              <w:ind w:left="199" w:right="-19"/>
              <w:jc w:val="left"/>
              <w:rPr>
                <w:rFonts w:ascii="宋体" w:hAnsi="宋体" w:cs="宋体" w:eastAsia="宋体" w:hint="default"/>
                <w:sz w:val="22"/>
                <w:szCs w:val="22"/>
              </w:rPr>
            </w:pPr>
            <w:r>
              <w:rPr>
                <w:rFonts w:ascii="宋体" w:hAnsi="宋体" w:cs="宋体" w:eastAsia="宋体" w:hint="default"/>
                <w:sz w:val="22"/>
                <w:szCs w:val="22"/>
              </w:rPr>
              <w:t>一年以内</w:t>
            </w:r>
          </w:p>
        </w:tc>
        <w:tc>
          <w:tcPr>
            <w:tcW w:w="544" w:type="dxa"/>
            <w:tcBorders>
              <w:top w:val="nil" w:sz="6" w:space="0" w:color="auto"/>
              <w:left w:val="nil" w:sz="6" w:space="0" w:color="auto"/>
              <w:bottom w:val="single" w:sz="12" w:space="0" w:color="000000"/>
              <w:right w:val="nil" w:sz="6" w:space="0" w:color="auto"/>
            </w:tcBorders>
          </w:tcPr>
          <w:p>
            <w:pPr/>
          </w:p>
        </w:tc>
        <w:tc>
          <w:tcPr>
            <w:tcW w:w="17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67" w:right="0"/>
              <w:jc w:val="left"/>
              <w:rPr>
                <w:rFonts w:ascii="Arial" w:hAnsi="Arial" w:cs="Arial" w:eastAsia="Arial" w:hint="default"/>
                <w:sz w:val="22"/>
                <w:szCs w:val="22"/>
              </w:rPr>
            </w:pPr>
            <w:r>
              <w:rPr>
                <w:rFonts w:ascii="Arial"/>
                <w:sz w:val="22"/>
              </w:rPr>
              <w:t>3,104,874</w:t>
            </w:r>
          </w:p>
        </w:tc>
        <w:tc>
          <w:tcPr>
            <w:tcW w:w="617" w:type="dxa"/>
            <w:tcBorders>
              <w:top w:val="nil" w:sz="6" w:space="0" w:color="auto"/>
              <w:left w:val="nil" w:sz="6" w:space="0" w:color="auto"/>
              <w:bottom w:val="single" w:sz="12" w:space="0" w:color="000000"/>
              <w:right w:val="nil" w:sz="6" w:space="0" w:color="auto"/>
            </w:tcBorders>
          </w:tcPr>
          <w:p>
            <w:pPr/>
          </w:p>
        </w:tc>
        <w:tc>
          <w:tcPr>
            <w:tcW w:w="623"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45" w:right="0"/>
              <w:jc w:val="left"/>
              <w:rPr>
                <w:rFonts w:ascii="Arial" w:hAnsi="Arial" w:cs="Arial" w:eastAsia="Arial" w:hint="default"/>
                <w:sz w:val="22"/>
                <w:szCs w:val="22"/>
              </w:rPr>
            </w:pPr>
            <w:r>
              <w:rPr>
                <w:rFonts w:ascii="Arial"/>
                <w:sz w:val="22"/>
              </w:rPr>
              <w:t>100%</w:t>
            </w:r>
          </w:p>
        </w:tc>
        <w:tc>
          <w:tcPr>
            <w:tcW w:w="240" w:type="dxa"/>
            <w:tcBorders>
              <w:top w:val="nil" w:sz="6" w:space="0" w:color="auto"/>
              <w:left w:val="nil" w:sz="6" w:space="0" w:color="auto"/>
              <w:bottom w:val="nil" w:sz="6" w:space="0" w:color="auto"/>
              <w:right w:val="nil" w:sz="6" w:space="0" w:color="auto"/>
            </w:tcBorders>
          </w:tcPr>
          <w:p>
            <w:pPr/>
          </w:p>
        </w:tc>
        <w:tc>
          <w:tcPr>
            <w:tcW w:w="493" w:type="dxa"/>
            <w:tcBorders>
              <w:top w:val="nil" w:sz="6" w:space="0" w:color="auto"/>
              <w:left w:val="nil" w:sz="6" w:space="0" w:color="auto"/>
              <w:bottom w:val="single" w:sz="12" w:space="0" w:color="000000"/>
              <w:right w:val="nil" w:sz="6" w:space="0" w:color="auto"/>
            </w:tcBorders>
          </w:tcPr>
          <w:p>
            <w:pPr/>
          </w:p>
        </w:tc>
        <w:tc>
          <w:tcPr>
            <w:tcW w:w="967"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7" w:right="-10"/>
              <w:jc w:val="left"/>
              <w:rPr>
                <w:rFonts w:ascii="Arial" w:hAnsi="Arial" w:cs="Arial" w:eastAsia="Arial" w:hint="default"/>
                <w:sz w:val="22"/>
                <w:szCs w:val="22"/>
              </w:rPr>
            </w:pPr>
            <w:r>
              <w:rPr>
                <w:rFonts w:ascii="Arial"/>
                <w:sz w:val="22"/>
              </w:rPr>
              <w:t>2,334,507</w:t>
            </w:r>
          </w:p>
        </w:tc>
        <w:tc>
          <w:tcPr>
            <w:tcW w:w="523" w:type="dxa"/>
            <w:tcBorders>
              <w:top w:val="nil" w:sz="6" w:space="0" w:color="auto"/>
              <w:left w:val="nil" w:sz="6" w:space="0" w:color="auto"/>
              <w:bottom w:val="single" w:sz="12" w:space="0" w:color="000000"/>
              <w:right w:val="nil" w:sz="6" w:space="0" w:color="auto"/>
            </w:tcBorders>
          </w:tcPr>
          <w:p>
            <w:pPr/>
          </w:p>
        </w:tc>
        <w:tc>
          <w:tcPr>
            <w:tcW w:w="181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880" w:right="0"/>
              <w:jc w:val="left"/>
              <w:rPr>
                <w:rFonts w:ascii="Arial" w:hAnsi="Arial" w:cs="Arial" w:eastAsia="Arial" w:hint="default"/>
                <w:sz w:val="22"/>
                <w:szCs w:val="22"/>
              </w:rPr>
            </w:pPr>
            <w:r>
              <w:rPr>
                <w:rFonts w:ascii="Arial"/>
                <w:sz w:val="22"/>
              </w:rPr>
              <w:t>100%</w:t>
            </w:r>
          </w:p>
        </w:tc>
      </w:tr>
    </w:tbl>
    <w:p>
      <w:pPr>
        <w:spacing w:after="0" w:line="240" w:lineRule="auto"/>
        <w:jc w:val="left"/>
        <w:rPr>
          <w:rFonts w:ascii="Arial" w:hAnsi="Arial" w:cs="Arial" w:eastAsia="Arial" w:hint="default"/>
          <w:sz w:val="22"/>
          <w:szCs w:val="22"/>
        </w:rPr>
        <w:sectPr>
          <w:footerReference w:type="default" r:id="rId74"/>
          <w:pgSz w:w="11910" w:h="16850"/>
          <w:pgMar w:footer="1340" w:header="795" w:top="2020" w:bottom="154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1595800" type="#_x0000_t75" stroked="false">
            <v:imagedata r:id="rId10" o:title=""/>
          </v:shape>
        </w:pict>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649"/>
        <w:gridCol w:w="2555"/>
        <w:gridCol w:w="849"/>
        <w:gridCol w:w="1640"/>
        <w:gridCol w:w="235"/>
        <w:gridCol w:w="859"/>
        <w:gridCol w:w="1325"/>
        <w:gridCol w:w="1482"/>
      </w:tblGrid>
      <w:tr>
        <w:trPr>
          <w:trHeight w:val="497" w:hRule="exact"/>
        </w:trPr>
        <w:tc>
          <w:tcPr>
            <w:tcW w:w="649" w:type="dxa"/>
            <w:tcBorders>
              <w:top w:val="nil" w:sz="6" w:space="0" w:color="auto"/>
              <w:left w:val="nil" w:sz="6" w:space="0" w:color="auto"/>
              <w:bottom w:val="nil" w:sz="6" w:space="0" w:color="auto"/>
              <w:right w:val="nil" w:sz="6" w:space="0" w:color="auto"/>
            </w:tcBorders>
          </w:tcPr>
          <w:p>
            <w:pPr>
              <w:pStyle w:val="TableParagraph"/>
              <w:spacing w:line="240" w:lineRule="exact"/>
              <w:ind w:right="207"/>
              <w:jc w:val="right"/>
              <w:rPr>
                <w:rFonts w:ascii="黑体" w:hAnsi="黑体" w:cs="黑体" w:eastAsia="黑体" w:hint="default"/>
                <w:sz w:val="24"/>
                <w:szCs w:val="24"/>
              </w:rPr>
            </w:pPr>
            <w:r>
              <w:rPr>
                <w:rFonts w:ascii="黑体" w:hAnsi="黑体" w:cs="黑体" w:eastAsia="黑体" w:hint="default"/>
                <w:sz w:val="24"/>
                <w:szCs w:val="24"/>
              </w:rPr>
              <w:t>五</w:t>
            </w:r>
          </w:p>
        </w:tc>
        <w:tc>
          <w:tcPr>
            <w:tcW w:w="3403"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5"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4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748" w:hRule="exact"/>
        </w:trPr>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53"/>
              <w:jc w:val="right"/>
              <w:rPr>
                <w:rFonts w:ascii="Arial" w:hAnsi="Arial" w:cs="Arial" w:eastAsia="Arial" w:hint="default"/>
                <w:sz w:val="24"/>
                <w:szCs w:val="24"/>
              </w:rPr>
            </w:pPr>
            <w:r>
              <w:rPr>
                <w:rFonts w:ascii="Arial"/>
                <w:spacing w:val="-1"/>
                <w:sz w:val="24"/>
              </w:rPr>
              <w:t>(6)</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55" w:right="0"/>
              <w:jc w:val="left"/>
              <w:rPr>
                <w:rFonts w:ascii="Arial" w:hAnsi="Arial" w:cs="Arial" w:eastAsia="Arial" w:hint="default"/>
                <w:sz w:val="24"/>
                <w:szCs w:val="24"/>
              </w:rPr>
            </w:pPr>
            <w:r>
              <w:rPr>
                <w:rFonts w:ascii="黑体" w:hAnsi="黑体" w:cs="黑体" w:eastAsia="黑体" w:hint="default"/>
                <w:sz w:val="24"/>
                <w:szCs w:val="24"/>
              </w:rPr>
              <w:t>预付款项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849"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750" w:hRule="exact"/>
        </w:trPr>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53"/>
              <w:jc w:val="right"/>
              <w:rPr>
                <w:rFonts w:ascii="Arial" w:hAnsi="Arial" w:cs="Arial" w:eastAsia="Arial" w:hint="default"/>
                <w:sz w:val="24"/>
                <w:szCs w:val="24"/>
              </w:rPr>
            </w:pPr>
            <w:r>
              <w:rPr>
                <w:rFonts w:ascii="Arial"/>
                <w:spacing w:val="-1"/>
                <w:sz w:val="24"/>
              </w:rPr>
              <w:t>(b)</w:t>
            </w:r>
          </w:p>
        </w:tc>
        <w:tc>
          <w:tcPr>
            <w:tcW w:w="7463"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77"/>
              <w:ind w:left="155"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日，余额前五名的预付款项分析如下：</w:t>
            </w:r>
          </w:p>
        </w:tc>
        <w:tc>
          <w:tcPr>
            <w:tcW w:w="1482" w:type="dxa"/>
            <w:tcBorders>
              <w:top w:val="nil" w:sz="6" w:space="0" w:color="auto"/>
              <w:left w:val="nil" w:sz="6" w:space="0" w:color="auto"/>
              <w:bottom w:val="nil" w:sz="6" w:space="0" w:color="auto"/>
              <w:right w:val="nil" w:sz="6" w:space="0" w:color="auto"/>
            </w:tcBorders>
          </w:tcPr>
          <w:p>
            <w:pPr/>
          </w:p>
        </w:tc>
      </w:tr>
      <w:tr>
        <w:trPr>
          <w:trHeight w:val="1076" w:hRule="exact"/>
        </w:trPr>
        <w:tc>
          <w:tcPr>
            <w:tcW w:w="649"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73" w:lineRule="exact"/>
              <w:ind w:left="-18" w:right="0"/>
              <w:jc w:val="left"/>
              <w:rPr>
                <w:rFonts w:ascii="宋体" w:hAnsi="宋体" w:cs="宋体" w:eastAsia="宋体" w:hint="default"/>
                <w:sz w:val="21"/>
                <w:szCs w:val="21"/>
              </w:rPr>
            </w:pPr>
            <w:r>
              <w:rPr>
                <w:rFonts w:ascii="宋体" w:hAnsi="宋体" w:cs="宋体" w:eastAsia="宋体" w:hint="default"/>
                <w:sz w:val="21"/>
                <w:szCs w:val="21"/>
              </w:rPr>
              <w:t>与本集团</w:t>
            </w:r>
          </w:p>
          <w:p>
            <w:pPr>
              <w:pStyle w:val="TableParagraph"/>
              <w:spacing w:line="273" w:lineRule="exact"/>
              <w:ind w:left="402" w:right="0"/>
              <w:jc w:val="left"/>
              <w:rPr>
                <w:rFonts w:ascii="宋体" w:hAnsi="宋体" w:cs="宋体" w:eastAsia="宋体" w:hint="default"/>
                <w:sz w:val="21"/>
                <w:szCs w:val="21"/>
              </w:rPr>
            </w:pPr>
            <w:r>
              <w:rPr>
                <w:rFonts w:ascii="宋体" w:hAnsi="宋体" w:cs="宋体" w:eastAsia="宋体" w:hint="default"/>
                <w:sz w:val="21"/>
                <w:szCs w:val="21"/>
              </w:rPr>
              <w:t>关系</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82"/>
              <w:jc w:val="right"/>
              <w:rPr>
                <w:rFonts w:ascii="宋体" w:hAnsi="宋体" w:cs="宋体" w:eastAsia="宋体" w:hint="default"/>
                <w:sz w:val="21"/>
                <w:szCs w:val="21"/>
              </w:rPr>
            </w:pPr>
            <w:r>
              <w:rPr>
                <w:rFonts w:ascii="宋体" w:hAnsi="宋体" w:cs="宋体" w:eastAsia="宋体" w:hint="default"/>
                <w:sz w:val="21"/>
                <w:szCs w:val="21"/>
              </w:rPr>
              <w:t>金额</w:t>
            </w:r>
          </w:p>
        </w:tc>
        <w:tc>
          <w:tcPr>
            <w:tcW w:w="235"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72" w:lineRule="exact"/>
              <w:ind w:left="144" w:right="79"/>
              <w:jc w:val="both"/>
              <w:rPr>
                <w:rFonts w:ascii="宋体" w:hAnsi="宋体" w:cs="宋体" w:eastAsia="宋体" w:hint="default"/>
                <w:sz w:val="21"/>
                <w:szCs w:val="21"/>
              </w:rPr>
            </w:pPr>
            <w:r>
              <w:rPr>
                <w:rFonts w:ascii="宋体" w:hAnsi="宋体" w:cs="宋体" w:eastAsia="宋体" w:hint="default"/>
                <w:sz w:val="21"/>
                <w:szCs w:val="21"/>
              </w:rPr>
              <w:t>占预付</w:t>
            </w:r>
            <w:r>
              <w:rPr>
                <w:rFonts w:ascii="宋体" w:hAnsi="宋体" w:cs="宋体" w:eastAsia="宋体" w:hint="default"/>
                <w:spacing w:val="-102"/>
                <w:sz w:val="21"/>
                <w:szCs w:val="21"/>
              </w:rPr>
              <w:t> </w:t>
            </w:r>
            <w:r>
              <w:rPr>
                <w:rFonts w:ascii="宋体" w:hAnsi="宋体" w:cs="宋体" w:eastAsia="宋体" w:hint="default"/>
                <w:sz w:val="21"/>
                <w:szCs w:val="21"/>
              </w:rPr>
              <w:t>账款总</w:t>
            </w:r>
            <w:r>
              <w:rPr>
                <w:rFonts w:ascii="宋体" w:hAnsi="宋体" w:cs="宋体" w:eastAsia="宋体" w:hint="default"/>
                <w:spacing w:val="-102"/>
                <w:sz w:val="21"/>
                <w:szCs w:val="21"/>
              </w:rPr>
              <w:t> </w:t>
            </w:r>
            <w:r>
              <w:rPr>
                <w:rFonts w:ascii="宋体" w:hAnsi="宋体" w:cs="宋体" w:eastAsia="宋体" w:hint="default"/>
                <w:sz w:val="21"/>
                <w:szCs w:val="21"/>
              </w:rPr>
              <w:t>额比例</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预付时间</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640" w:hRule="exact"/>
        </w:trPr>
        <w:tc>
          <w:tcPr>
            <w:tcW w:w="649"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Style w:val="TableParagraph"/>
              <w:spacing w:line="274" w:lineRule="exact" w:before="38"/>
              <w:ind w:left="407" w:right="145" w:hanging="252"/>
              <w:jc w:val="left"/>
              <w:rPr>
                <w:rFonts w:ascii="宋体" w:hAnsi="宋体" w:cs="宋体" w:eastAsia="宋体" w:hint="default"/>
                <w:sz w:val="21"/>
                <w:szCs w:val="21"/>
              </w:rPr>
            </w:pPr>
            <w:r>
              <w:rPr>
                <w:rFonts w:ascii="宋体" w:hAnsi="宋体" w:cs="宋体" w:eastAsia="宋体" w:hint="default"/>
                <w:spacing w:val="12"/>
                <w:sz w:val="21"/>
                <w:szCs w:val="21"/>
              </w:rPr>
              <w:t>三星</w:t>
            </w:r>
            <w:r>
              <w:rPr>
                <w:rFonts w:ascii="Arial" w:hAnsi="Arial" w:cs="Arial" w:eastAsia="Arial" w:hint="default"/>
                <w:spacing w:val="12"/>
                <w:sz w:val="21"/>
                <w:szCs w:val="21"/>
              </w:rPr>
              <w:t>(</w:t>
            </w:r>
            <w:r>
              <w:rPr>
                <w:rFonts w:ascii="Arial" w:hAnsi="Arial" w:cs="Arial" w:eastAsia="Arial" w:hint="default"/>
                <w:spacing w:val="-34"/>
                <w:sz w:val="21"/>
                <w:szCs w:val="21"/>
              </w:rPr>
              <w:t> </w:t>
            </w:r>
            <w:r>
              <w:rPr>
                <w:rFonts w:ascii="宋体" w:hAnsi="宋体" w:cs="宋体" w:eastAsia="宋体" w:hint="default"/>
                <w:spacing w:val="12"/>
                <w:sz w:val="21"/>
                <w:szCs w:val="21"/>
              </w:rPr>
              <w:t>中国</w:t>
            </w:r>
            <w:r>
              <w:rPr>
                <w:rFonts w:ascii="Arial" w:hAnsi="Arial" w:cs="Arial" w:eastAsia="Arial" w:hint="default"/>
                <w:spacing w:val="12"/>
                <w:sz w:val="21"/>
                <w:szCs w:val="21"/>
              </w:rPr>
              <w:t>)</w:t>
            </w:r>
            <w:r>
              <w:rPr>
                <w:rFonts w:ascii="Arial" w:hAnsi="Arial" w:cs="Arial" w:eastAsia="Arial" w:hint="default"/>
                <w:spacing w:val="-34"/>
                <w:sz w:val="21"/>
                <w:szCs w:val="21"/>
              </w:rPr>
              <w:t> </w:t>
            </w:r>
            <w:r>
              <w:rPr>
                <w:rFonts w:ascii="宋体" w:hAnsi="宋体" w:cs="宋体" w:eastAsia="宋体" w:hint="default"/>
                <w:spacing w:val="14"/>
                <w:sz w:val="21"/>
                <w:szCs w:val="21"/>
              </w:rPr>
              <w:t>投资有限公</w:t>
            </w:r>
            <w:r>
              <w:rPr>
                <w:rFonts w:ascii="宋体" w:hAnsi="宋体" w:cs="宋体" w:eastAsia="宋体" w:hint="default"/>
                <w:spacing w:val="-97"/>
                <w:sz w:val="21"/>
                <w:szCs w:val="21"/>
              </w:rPr>
              <w:t> </w:t>
            </w:r>
            <w:r>
              <w:rPr>
                <w:rFonts w:ascii="宋体" w:hAnsi="宋体" w:cs="宋体" w:eastAsia="宋体" w:hint="default"/>
                <w:sz w:val="21"/>
                <w:szCs w:val="21"/>
              </w:rPr>
              <w:t>司</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65"/>
              <w:jc w:val="right"/>
              <w:rPr>
                <w:rFonts w:ascii="宋体" w:hAnsi="宋体" w:cs="宋体" w:eastAsia="宋体" w:hint="default"/>
                <w:sz w:val="21"/>
                <w:szCs w:val="21"/>
              </w:rPr>
            </w:pPr>
            <w:r>
              <w:rPr>
                <w:rFonts w:ascii="宋体" w:hAnsi="宋体" w:cs="宋体" w:eastAsia="宋体" w:hint="default"/>
                <w:sz w:val="21"/>
                <w:szCs w:val="21"/>
              </w:rPr>
              <w:t>第三方</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82"/>
              <w:jc w:val="right"/>
              <w:rPr>
                <w:rFonts w:ascii="Arial" w:hAnsi="Arial" w:cs="Arial" w:eastAsia="Arial" w:hint="default"/>
                <w:sz w:val="21"/>
                <w:szCs w:val="21"/>
              </w:rPr>
            </w:pPr>
            <w:r>
              <w:rPr>
                <w:rFonts w:ascii="Arial"/>
                <w:spacing w:val="-1"/>
                <w:sz w:val="21"/>
              </w:rPr>
              <w:t>182,762</w:t>
            </w:r>
          </w:p>
        </w:tc>
        <w:tc>
          <w:tcPr>
            <w:tcW w:w="235"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79"/>
              <w:jc w:val="right"/>
              <w:rPr>
                <w:rFonts w:ascii="Arial" w:hAnsi="Arial" w:cs="Arial" w:eastAsia="Arial" w:hint="default"/>
                <w:sz w:val="21"/>
                <w:szCs w:val="21"/>
              </w:rPr>
            </w:pPr>
            <w:r>
              <w:rPr>
                <w:rFonts w:ascii="Arial"/>
                <w:spacing w:val="-1"/>
                <w:sz w:val="21"/>
              </w:rPr>
              <w:t>5.9%</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采购预付款</w:t>
            </w:r>
          </w:p>
        </w:tc>
      </w:tr>
      <w:tr>
        <w:trPr>
          <w:trHeight w:val="354" w:hRule="exact"/>
        </w:trPr>
        <w:tc>
          <w:tcPr>
            <w:tcW w:w="649"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Style w:val="TableParagraph"/>
              <w:spacing w:line="286" w:lineRule="exact"/>
              <w:ind w:left="155" w:right="0"/>
              <w:jc w:val="left"/>
              <w:rPr>
                <w:rFonts w:ascii="宋体" w:hAnsi="宋体" w:cs="宋体" w:eastAsia="宋体" w:hint="default"/>
                <w:sz w:val="21"/>
                <w:szCs w:val="21"/>
              </w:rPr>
            </w:pPr>
            <w:r>
              <w:rPr>
                <w:rFonts w:ascii="宋体" w:hAnsi="宋体" w:cs="宋体" w:eastAsia="宋体" w:hint="default"/>
                <w:sz w:val="21"/>
                <w:szCs w:val="21"/>
              </w:rPr>
              <w:t>联想</w:t>
            </w:r>
            <w:r>
              <w:rPr>
                <w:rFonts w:ascii="Arial" w:hAnsi="Arial" w:cs="Arial" w:eastAsia="Arial" w:hint="default"/>
                <w:sz w:val="21"/>
                <w:szCs w:val="21"/>
              </w:rPr>
              <w:t>(</w:t>
            </w:r>
            <w:r>
              <w:rPr>
                <w:rFonts w:ascii="宋体" w:hAnsi="宋体" w:cs="宋体" w:eastAsia="宋体" w:hint="default"/>
                <w:sz w:val="21"/>
                <w:szCs w:val="21"/>
              </w:rPr>
              <w:t>北京</w:t>
            </w:r>
            <w:r>
              <w:rPr>
                <w:rFonts w:ascii="Arial" w:hAnsi="Arial" w:cs="Arial" w:eastAsia="Arial" w:hint="default"/>
                <w:sz w:val="21"/>
                <w:szCs w:val="21"/>
              </w:rPr>
              <w:t>)</w:t>
            </w:r>
            <w:r>
              <w:rPr>
                <w:rFonts w:ascii="宋体" w:hAnsi="宋体" w:cs="宋体" w:eastAsia="宋体" w:hint="default"/>
                <w:sz w:val="21"/>
                <w:szCs w:val="21"/>
              </w:rPr>
              <w:t>有限公司</w:t>
            </w:r>
          </w:p>
        </w:tc>
        <w:tc>
          <w:tcPr>
            <w:tcW w:w="849" w:type="dxa"/>
            <w:tcBorders>
              <w:top w:val="nil" w:sz="6" w:space="0" w:color="auto"/>
              <w:left w:val="nil" w:sz="6" w:space="0" w:color="auto"/>
              <w:bottom w:val="nil" w:sz="6" w:space="0" w:color="auto"/>
              <w:right w:val="nil" w:sz="6" w:space="0" w:color="auto"/>
            </w:tcBorders>
          </w:tcPr>
          <w:p>
            <w:pPr>
              <w:pStyle w:val="TableParagraph"/>
              <w:spacing w:line="271" w:lineRule="exact"/>
              <w:ind w:right="65"/>
              <w:jc w:val="right"/>
              <w:rPr>
                <w:rFonts w:ascii="宋体" w:hAnsi="宋体" w:cs="宋体" w:eastAsia="宋体" w:hint="default"/>
                <w:sz w:val="21"/>
                <w:szCs w:val="21"/>
              </w:rPr>
            </w:pPr>
            <w:r>
              <w:rPr>
                <w:rFonts w:ascii="宋体" w:hAnsi="宋体" w:cs="宋体" w:eastAsia="宋体" w:hint="default"/>
                <w:sz w:val="21"/>
                <w:szCs w:val="21"/>
              </w:rPr>
              <w:t>第三方</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2"/>
              <w:jc w:val="right"/>
              <w:rPr>
                <w:rFonts w:ascii="Arial" w:hAnsi="Arial" w:cs="Arial" w:eastAsia="Arial" w:hint="default"/>
                <w:sz w:val="21"/>
                <w:szCs w:val="21"/>
              </w:rPr>
            </w:pPr>
            <w:r>
              <w:rPr>
                <w:rFonts w:ascii="Arial"/>
                <w:spacing w:val="-1"/>
                <w:sz w:val="21"/>
              </w:rPr>
              <w:t>134,867</w:t>
            </w:r>
          </w:p>
        </w:tc>
        <w:tc>
          <w:tcPr>
            <w:tcW w:w="235"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9"/>
              <w:jc w:val="right"/>
              <w:rPr>
                <w:rFonts w:ascii="Arial" w:hAnsi="Arial" w:cs="Arial" w:eastAsia="Arial" w:hint="default"/>
                <w:sz w:val="21"/>
                <w:szCs w:val="21"/>
              </w:rPr>
            </w:pPr>
            <w:r>
              <w:rPr>
                <w:rFonts w:ascii="Arial"/>
                <w:spacing w:val="-1"/>
                <w:sz w:val="21"/>
              </w:rPr>
              <w:t>4.3%</w:t>
            </w:r>
          </w:p>
        </w:tc>
        <w:tc>
          <w:tcPr>
            <w:tcW w:w="1325" w:type="dxa"/>
            <w:tcBorders>
              <w:top w:val="nil" w:sz="6" w:space="0" w:color="auto"/>
              <w:left w:val="nil" w:sz="6" w:space="0" w:color="auto"/>
              <w:bottom w:val="nil" w:sz="6" w:space="0" w:color="auto"/>
              <w:right w:val="nil" w:sz="6" w:space="0" w:color="auto"/>
            </w:tcBorders>
          </w:tcPr>
          <w:p>
            <w:pPr>
              <w:pStyle w:val="TableParagraph"/>
              <w:spacing w:line="271" w:lineRule="exact"/>
              <w:ind w:left="26"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82" w:type="dxa"/>
            <w:tcBorders>
              <w:top w:val="nil" w:sz="6" w:space="0" w:color="auto"/>
              <w:left w:val="nil" w:sz="6" w:space="0" w:color="auto"/>
              <w:bottom w:val="nil" w:sz="6" w:space="0" w:color="auto"/>
              <w:right w:val="nil" w:sz="6" w:space="0" w:color="auto"/>
            </w:tcBorders>
          </w:tcPr>
          <w:p>
            <w:pPr>
              <w:pStyle w:val="TableParagraph"/>
              <w:spacing w:line="271" w:lineRule="exact"/>
              <w:ind w:left="28" w:right="0"/>
              <w:jc w:val="center"/>
              <w:rPr>
                <w:rFonts w:ascii="宋体" w:hAnsi="宋体" w:cs="宋体" w:eastAsia="宋体" w:hint="default"/>
                <w:sz w:val="21"/>
                <w:szCs w:val="21"/>
              </w:rPr>
            </w:pPr>
            <w:r>
              <w:rPr>
                <w:rFonts w:ascii="宋体" w:hAnsi="宋体" w:cs="宋体" w:eastAsia="宋体" w:hint="default"/>
                <w:sz w:val="21"/>
                <w:szCs w:val="21"/>
              </w:rPr>
              <w:t>采购预付款</w:t>
            </w:r>
          </w:p>
        </w:tc>
      </w:tr>
      <w:tr>
        <w:trPr>
          <w:trHeight w:val="624" w:hRule="exact"/>
        </w:trPr>
        <w:tc>
          <w:tcPr>
            <w:tcW w:w="649"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Style w:val="TableParagraph"/>
              <w:spacing w:line="272" w:lineRule="exact" w:before="24"/>
              <w:ind w:left="381" w:right="164" w:hanging="226"/>
              <w:jc w:val="left"/>
              <w:rPr>
                <w:rFonts w:ascii="宋体" w:hAnsi="宋体" w:cs="宋体" w:eastAsia="宋体" w:hint="default"/>
                <w:sz w:val="21"/>
                <w:szCs w:val="21"/>
              </w:rPr>
            </w:pPr>
            <w:r>
              <w:rPr>
                <w:rFonts w:ascii="宋体" w:hAnsi="宋体" w:cs="宋体" w:eastAsia="宋体" w:hint="default"/>
                <w:spacing w:val="10"/>
                <w:sz w:val="21"/>
                <w:szCs w:val="21"/>
              </w:rPr>
              <w:t>合肥荣事达三洋电器股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份有限公司</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65"/>
              <w:jc w:val="right"/>
              <w:rPr>
                <w:rFonts w:ascii="宋体" w:hAnsi="宋体" w:cs="宋体" w:eastAsia="宋体" w:hint="default"/>
                <w:sz w:val="21"/>
                <w:szCs w:val="21"/>
              </w:rPr>
            </w:pPr>
            <w:r>
              <w:rPr>
                <w:rFonts w:ascii="宋体" w:hAnsi="宋体" w:cs="宋体" w:eastAsia="宋体" w:hint="default"/>
                <w:sz w:val="21"/>
                <w:szCs w:val="21"/>
              </w:rPr>
              <w:t>第三方</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82"/>
              <w:jc w:val="right"/>
              <w:rPr>
                <w:rFonts w:ascii="Arial" w:hAnsi="Arial" w:cs="Arial" w:eastAsia="Arial" w:hint="default"/>
                <w:sz w:val="21"/>
                <w:szCs w:val="21"/>
              </w:rPr>
            </w:pPr>
            <w:r>
              <w:rPr>
                <w:rFonts w:ascii="Arial"/>
                <w:spacing w:val="-1"/>
                <w:sz w:val="21"/>
              </w:rPr>
              <w:t>98,743</w:t>
            </w:r>
          </w:p>
        </w:tc>
        <w:tc>
          <w:tcPr>
            <w:tcW w:w="235"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79"/>
              <w:jc w:val="right"/>
              <w:rPr>
                <w:rFonts w:ascii="Arial" w:hAnsi="Arial" w:cs="Arial" w:eastAsia="Arial" w:hint="default"/>
                <w:sz w:val="21"/>
                <w:szCs w:val="21"/>
              </w:rPr>
            </w:pPr>
            <w:r>
              <w:rPr>
                <w:rFonts w:ascii="Arial"/>
                <w:spacing w:val="-1"/>
                <w:sz w:val="21"/>
              </w:rPr>
              <w:t>3.2%</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采购预付款</w:t>
            </w:r>
          </w:p>
        </w:tc>
      </w:tr>
      <w:tr>
        <w:trPr>
          <w:trHeight w:val="623" w:hRule="exact"/>
        </w:trPr>
        <w:tc>
          <w:tcPr>
            <w:tcW w:w="649"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Style w:val="TableParagraph"/>
              <w:spacing w:line="272" w:lineRule="exact" w:before="24"/>
              <w:ind w:left="381" w:right="164" w:hanging="226"/>
              <w:jc w:val="left"/>
              <w:rPr>
                <w:rFonts w:ascii="宋体" w:hAnsi="宋体" w:cs="宋体" w:eastAsia="宋体" w:hint="default"/>
                <w:sz w:val="21"/>
                <w:szCs w:val="21"/>
              </w:rPr>
            </w:pPr>
            <w:r>
              <w:rPr>
                <w:rFonts w:ascii="宋体" w:hAnsi="宋体" w:cs="宋体" w:eastAsia="宋体" w:hint="default"/>
                <w:spacing w:val="10"/>
                <w:sz w:val="21"/>
                <w:szCs w:val="21"/>
              </w:rPr>
              <w:t>天津红孩子商贸有限公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司</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65"/>
              <w:jc w:val="right"/>
              <w:rPr>
                <w:rFonts w:ascii="宋体" w:hAnsi="宋体" w:cs="宋体" w:eastAsia="宋体" w:hint="default"/>
                <w:sz w:val="21"/>
                <w:szCs w:val="21"/>
              </w:rPr>
            </w:pPr>
            <w:r>
              <w:rPr>
                <w:rFonts w:ascii="宋体" w:hAnsi="宋体" w:cs="宋体" w:eastAsia="宋体" w:hint="default"/>
                <w:sz w:val="21"/>
                <w:szCs w:val="21"/>
              </w:rPr>
              <w:t>第三方</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82"/>
              <w:jc w:val="right"/>
              <w:rPr>
                <w:rFonts w:ascii="Arial" w:hAnsi="Arial" w:cs="Arial" w:eastAsia="Arial" w:hint="default"/>
                <w:sz w:val="21"/>
                <w:szCs w:val="21"/>
              </w:rPr>
            </w:pPr>
            <w:r>
              <w:rPr>
                <w:rFonts w:ascii="Arial"/>
                <w:spacing w:val="-1"/>
                <w:sz w:val="21"/>
              </w:rPr>
              <w:t>80,000</w:t>
            </w:r>
          </w:p>
        </w:tc>
        <w:tc>
          <w:tcPr>
            <w:tcW w:w="235"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79"/>
              <w:jc w:val="right"/>
              <w:rPr>
                <w:rFonts w:ascii="Arial" w:hAnsi="Arial" w:cs="Arial" w:eastAsia="Arial" w:hint="default"/>
                <w:sz w:val="21"/>
                <w:szCs w:val="21"/>
              </w:rPr>
            </w:pPr>
            <w:r>
              <w:rPr>
                <w:rFonts w:ascii="Arial"/>
                <w:spacing w:val="-1"/>
                <w:sz w:val="21"/>
              </w:rPr>
              <w:t>2.6%</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采购预付款</w:t>
            </w:r>
          </w:p>
        </w:tc>
      </w:tr>
      <w:tr>
        <w:trPr>
          <w:trHeight w:val="349" w:hRule="exact"/>
        </w:trPr>
        <w:tc>
          <w:tcPr>
            <w:tcW w:w="649"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Style w:val="TableParagraph"/>
              <w:spacing w:line="286" w:lineRule="exact"/>
              <w:ind w:left="155" w:right="0"/>
              <w:jc w:val="left"/>
              <w:rPr>
                <w:rFonts w:ascii="宋体" w:hAnsi="宋体" w:cs="宋体" w:eastAsia="宋体" w:hint="default"/>
                <w:sz w:val="21"/>
                <w:szCs w:val="21"/>
              </w:rPr>
            </w:pPr>
            <w:r>
              <w:rPr>
                <w:rFonts w:ascii="宋体" w:hAnsi="宋体" w:cs="宋体" w:eastAsia="宋体" w:hint="default"/>
                <w:sz w:val="21"/>
                <w:szCs w:val="21"/>
              </w:rPr>
              <w:t>佳能</w:t>
            </w:r>
            <w:r>
              <w:rPr>
                <w:rFonts w:ascii="Arial" w:hAnsi="Arial" w:cs="Arial" w:eastAsia="Arial" w:hint="default"/>
                <w:sz w:val="21"/>
                <w:szCs w:val="21"/>
              </w:rPr>
              <w:t>(</w:t>
            </w:r>
            <w:r>
              <w:rPr>
                <w:rFonts w:ascii="宋体" w:hAnsi="宋体" w:cs="宋体" w:eastAsia="宋体" w:hint="default"/>
                <w:sz w:val="21"/>
                <w:szCs w:val="21"/>
              </w:rPr>
              <w:t>中国</w:t>
            </w:r>
            <w:r>
              <w:rPr>
                <w:rFonts w:ascii="Arial" w:hAnsi="Arial" w:cs="Arial" w:eastAsia="Arial" w:hint="default"/>
                <w:sz w:val="21"/>
                <w:szCs w:val="21"/>
              </w:rPr>
              <w:t>)</w:t>
            </w:r>
            <w:r>
              <w:rPr>
                <w:rFonts w:ascii="宋体" w:hAnsi="宋体" w:cs="宋体" w:eastAsia="宋体" w:hint="default"/>
                <w:sz w:val="21"/>
                <w:szCs w:val="21"/>
              </w:rPr>
              <w:t>有限公司</w:t>
            </w:r>
          </w:p>
        </w:tc>
        <w:tc>
          <w:tcPr>
            <w:tcW w:w="849" w:type="dxa"/>
            <w:tcBorders>
              <w:top w:val="nil" w:sz="6" w:space="0" w:color="auto"/>
              <w:left w:val="nil" w:sz="6" w:space="0" w:color="auto"/>
              <w:bottom w:val="nil" w:sz="6" w:space="0" w:color="auto"/>
              <w:right w:val="nil" w:sz="6" w:space="0" w:color="auto"/>
            </w:tcBorders>
          </w:tcPr>
          <w:p>
            <w:pPr>
              <w:pStyle w:val="TableParagraph"/>
              <w:spacing w:line="271" w:lineRule="exact"/>
              <w:ind w:right="65"/>
              <w:jc w:val="right"/>
              <w:rPr>
                <w:rFonts w:ascii="宋体" w:hAnsi="宋体" w:cs="宋体" w:eastAsia="宋体" w:hint="default"/>
                <w:sz w:val="21"/>
                <w:szCs w:val="21"/>
              </w:rPr>
            </w:pPr>
            <w:r>
              <w:rPr>
                <w:rFonts w:ascii="宋体" w:hAnsi="宋体" w:cs="宋体" w:eastAsia="宋体" w:hint="default"/>
                <w:sz w:val="21"/>
                <w:szCs w:val="21"/>
              </w:rPr>
              <w:t>第三方</w:t>
            </w:r>
          </w:p>
        </w:tc>
        <w:tc>
          <w:tcPr>
            <w:tcW w:w="1640"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84"/>
              <w:jc w:val="right"/>
              <w:rPr>
                <w:rFonts w:ascii="Arial" w:hAnsi="Arial" w:cs="Arial" w:eastAsia="Arial" w:hint="default"/>
                <w:sz w:val="21"/>
                <w:szCs w:val="21"/>
              </w:rPr>
            </w:pPr>
            <w:r>
              <w:rPr>
                <w:rFonts w:ascii="Arial"/>
                <w:spacing w:val="-1"/>
                <w:sz w:val="21"/>
              </w:rPr>
              <w:t>72,677</w:t>
            </w:r>
          </w:p>
        </w:tc>
        <w:tc>
          <w:tcPr>
            <w:tcW w:w="235"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79"/>
              <w:jc w:val="right"/>
              <w:rPr>
                <w:rFonts w:ascii="Arial" w:hAnsi="Arial" w:cs="Arial" w:eastAsia="Arial" w:hint="default"/>
                <w:sz w:val="21"/>
                <w:szCs w:val="21"/>
              </w:rPr>
            </w:pPr>
            <w:r>
              <w:rPr>
                <w:rFonts w:ascii="Arial"/>
                <w:spacing w:val="-1"/>
                <w:sz w:val="21"/>
              </w:rPr>
              <w:t>2.3%</w:t>
            </w:r>
          </w:p>
        </w:tc>
        <w:tc>
          <w:tcPr>
            <w:tcW w:w="1325" w:type="dxa"/>
            <w:tcBorders>
              <w:top w:val="nil" w:sz="6" w:space="0" w:color="auto"/>
              <w:left w:val="nil" w:sz="6" w:space="0" w:color="auto"/>
              <w:bottom w:val="nil" w:sz="6" w:space="0" w:color="auto"/>
              <w:right w:val="nil" w:sz="6" w:space="0" w:color="auto"/>
            </w:tcBorders>
          </w:tcPr>
          <w:p>
            <w:pPr>
              <w:pStyle w:val="TableParagraph"/>
              <w:spacing w:line="271" w:lineRule="exact"/>
              <w:ind w:left="26"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82" w:type="dxa"/>
            <w:tcBorders>
              <w:top w:val="nil" w:sz="6" w:space="0" w:color="auto"/>
              <w:left w:val="nil" w:sz="6" w:space="0" w:color="auto"/>
              <w:bottom w:val="nil" w:sz="6" w:space="0" w:color="auto"/>
              <w:right w:val="nil" w:sz="6" w:space="0" w:color="auto"/>
            </w:tcBorders>
          </w:tcPr>
          <w:p>
            <w:pPr>
              <w:pStyle w:val="TableParagraph"/>
              <w:spacing w:line="271" w:lineRule="exact"/>
              <w:ind w:left="28" w:right="0"/>
              <w:jc w:val="center"/>
              <w:rPr>
                <w:rFonts w:ascii="宋体" w:hAnsi="宋体" w:cs="宋体" w:eastAsia="宋体" w:hint="default"/>
                <w:sz w:val="21"/>
                <w:szCs w:val="21"/>
              </w:rPr>
            </w:pPr>
            <w:r>
              <w:rPr>
                <w:rFonts w:ascii="宋体" w:hAnsi="宋体" w:cs="宋体" w:eastAsia="宋体" w:hint="default"/>
                <w:sz w:val="21"/>
                <w:szCs w:val="21"/>
              </w:rPr>
              <w:t>采购预付款</w:t>
            </w:r>
          </w:p>
        </w:tc>
      </w:tr>
      <w:tr>
        <w:trPr>
          <w:trHeight w:val="344" w:hRule="exact"/>
        </w:trPr>
        <w:tc>
          <w:tcPr>
            <w:tcW w:w="649"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
        </w:tc>
        <w:tc>
          <w:tcPr>
            <w:tcW w:w="849" w:type="dxa"/>
            <w:tcBorders>
              <w:top w:val="nil" w:sz="6" w:space="0" w:color="auto"/>
              <w:left w:val="nil" w:sz="6" w:space="0" w:color="auto"/>
              <w:bottom w:val="nil" w:sz="6" w:space="0" w:color="auto"/>
              <w:right w:val="nil" w:sz="6" w:space="0" w:color="auto"/>
            </w:tcBorders>
          </w:tcPr>
          <w:p>
            <w:pPr/>
          </w:p>
        </w:tc>
        <w:tc>
          <w:tcPr>
            <w:tcW w:w="1640"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84"/>
              <w:jc w:val="right"/>
              <w:rPr>
                <w:rFonts w:ascii="Arial" w:hAnsi="Arial" w:cs="Arial" w:eastAsia="Arial" w:hint="default"/>
                <w:sz w:val="21"/>
                <w:szCs w:val="21"/>
              </w:rPr>
            </w:pPr>
            <w:r>
              <w:rPr>
                <w:rFonts w:ascii="Arial"/>
                <w:spacing w:val="-1"/>
                <w:sz w:val="21"/>
              </w:rPr>
              <w:t>569,049</w:t>
            </w:r>
          </w:p>
        </w:tc>
        <w:tc>
          <w:tcPr>
            <w:tcW w:w="235" w:type="dxa"/>
            <w:tcBorders>
              <w:top w:val="nil" w:sz="6" w:space="0" w:color="auto"/>
              <w:left w:val="nil" w:sz="6" w:space="0" w:color="auto"/>
              <w:bottom w:val="nil" w:sz="6" w:space="0" w:color="auto"/>
              <w:right w:val="nil" w:sz="6" w:space="0" w:color="auto"/>
            </w:tcBorders>
          </w:tcPr>
          <w:p>
            <w:pPr/>
          </w:p>
        </w:tc>
        <w:tc>
          <w:tcPr>
            <w:tcW w:w="859"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79"/>
              <w:jc w:val="right"/>
              <w:rPr>
                <w:rFonts w:ascii="Arial" w:hAnsi="Arial" w:cs="Arial" w:eastAsia="Arial" w:hint="default"/>
                <w:sz w:val="21"/>
                <w:szCs w:val="21"/>
              </w:rPr>
            </w:pPr>
            <w:r>
              <w:rPr>
                <w:rFonts w:ascii="Arial"/>
                <w:spacing w:val="-1"/>
                <w:sz w:val="21"/>
              </w:rPr>
              <w:t>18.3%</w:t>
            </w:r>
          </w:p>
        </w:tc>
        <w:tc>
          <w:tcPr>
            <w:tcW w:w="1325"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697"/>
        <w:gridCol w:w="8887"/>
      </w:tblGrid>
      <w:tr>
        <w:trPr>
          <w:trHeight w:val="569"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(c)</w:t>
            </w:r>
          </w:p>
        </w:tc>
        <w:tc>
          <w:tcPr>
            <w:tcW w:w="8887" w:type="dxa"/>
            <w:tcBorders>
              <w:top w:val="nil" w:sz="6" w:space="0" w:color="auto"/>
              <w:left w:val="nil" w:sz="6" w:space="0" w:color="auto"/>
              <w:bottom w:val="nil" w:sz="6" w:space="0" w:color="auto"/>
              <w:right w:val="nil" w:sz="6" w:space="0" w:color="auto"/>
            </w:tcBorders>
          </w:tcPr>
          <w:p>
            <w:pPr>
              <w:pStyle w:val="TableParagraph"/>
              <w:spacing w:line="254" w:lineRule="exact"/>
              <w:ind w:left="217"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80"/>
                <w:sz w:val="24"/>
                <w:szCs w:val="24"/>
              </w:rPr>
              <w:t> </w:t>
            </w:r>
            <w:r>
              <w:rPr>
                <w:rFonts w:ascii="Arial" w:hAnsi="Arial" w:cs="Arial" w:eastAsia="Arial" w:hint="default"/>
                <w:w w:val="99"/>
                <w:sz w:val="24"/>
                <w:szCs w:val="24"/>
              </w:rPr>
              <w:t>20</w:t>
            </w:r>
            <w:r>
              <w:rPr>
                <w:rFonts w:ascii="Arial" w:hAnsi="Arial" w:cs="Arial" w:eastAsia="Arial" w:hint="default"/>
                <w:spacing w:val="-2"/>
                <w:w w:val="99"/>
                <w:sz w:val="24"/>
                <w:szCs w:val="24"/>
              </w:rPr>
              <w:t>1</w:t>
            </w:r>
            <w:r>
              <w:rPr>
                <w:rFonts w:ascii="Arial" w:hAnsi="Arial" w:cs="Arial" w:eastAsia="Arial" w:hint="default"/>
                <w:w w:val="99"/>
                <w:sz w:val="24"/>
                <w:szCs w:val="24"/>
              </w:rPr>
              <w:t>2</w:t>
            </w:r>
            <w:r>
              <w:rPr>
                <w:rFonts w:ascii="Arial" w:hAnsi="Arial" w:cs="Arial" w:eastAsia="Arial" w:hint="default"/>
                <w:spacing w:val="-25"/>
                <w:sz w:val="24"/>
                <w:szCs w:val="24"/>
              </w:rPr>
              <w:t> </w:t>
            </w:r>
            <w:r>
              <w:rPr>
                <w:rFonts w:ascii="宋体" w:hAnsi="宋体" w:cs="宋体" w:eastAsia="宋体" w:hint="default"/>
                <w:sz w:val="24"/>
                <w:szCs w:val="24"/>
              </w:rPr>
              <w:t>年</w:t>
            </w:r>
            <w:r>
              <w:rPr>
                <w:rFonts w:ascii="宋体" w:hAnsi="宋体" w:cs="宋体" w:eastAsia="宋体" w:hint="default"/>
                <w:spacing w:val="-82"/>
                <w:sz w:val="24"/>
                <w:szCs w:val="24"/>
              </w:rPr>
              <w:t> </w:t>
            </w:r>
            <w:r>
              <w:rPr>
                <w:rFonts w:ascii="Arial" w:hAnsi="Arial" w:cs="Arial" w:eastAsia="Arial" w:hint="default"/>
                <w:spacing w:val="-2"/>
                <w:w w:val="99"/>
                <w:sz w:val="24"/>
                <w:szCs w:val="24"/>
              </w:rPr>
              <w:t>1</w:t>
            </w:r>
            <w:r>
              <w:rPr>
                <w:rFonts w:ascii="Arial" w:hAnsi="Arial" w:cs="Arial" w:eastAsia="Arial" w:hint="default"/>
                <w:w w:val="99"/>
                <w:sz w:val="24"/>
                <w:szCs w:val="24"/>
              </w:rPr>
              <w:t>2</w:t>
            </w:r>
            <w:r>
              <w:rPr>
                <w:rFonts w:ascii="Arial" w:hAnsi="Arial" w:cs="Arial" w:eastAsia="Arial" w:hint="default"/>
                <w:spacing w:val="-25"/>
                <w:sz w:val="24"/>
                <w:szCs w:val="24"/>
              </w:rPr>
              <w:t> </w:t>
            </w:r>
            <w:r>
              <w:rPr>
                <w:rFonts w:ascii="宋体" w:hAnsi="宋体" w:cs="宋体" w:eastAsia="宋体" w:hint="default"/>
                <w:sz w:val="24"/>
                <w:szCs w:val="24"/>
              </w:rPr>
              <w:t>月</w:t>
            </w:r>
            <w:r>
              <w:rPr>
                <w:rFonts w:ascii="宋体" w:hAnsi="宋体" w:cs="宋体" w:eastAsia="宋体" w:hint="default"/>
                <w:spacing w:val="-80"/>
                <w:sz w:val="24"/>
                <w:szCs w:val="24"/>
              </w:rPr>
              <w:t> </w:t>
            </w:r>
            <w:r>
              <w:rPr>
                <w:rFonts w:ascii="Arial" w:hAnsi="Arial" w:cs="Arial" w:eastAsia="Arial" w:hint="default"/>
                <w:spacing w:val="-2"/>
                <w:w w:val="99"/>
                <w:sz w:val="24"/>
                <w:szCs w:val="24"/>
              </w:rPr>
              <w:t>3</w:t>
            </w:r>
            <w:r>
              <w:rPr>
                <w:rFonts w:ascii="Arial" w:hAnsi="Arial" w:cs="Arial" w:eastAsia="Arial" w:hint="default"/>
                <w:w w:val="99"/>
                <w:sz w:val="24"/>
                <w:szCs w:val="24"/>
              </w:rPr>
              <w:t>1</w:t>
            </w:r>
            <w:r>
              <w:rPr>
                <w:rFonts w:ascii="Arial" w:hAnsi="Arial" w:cs="Arial" w:eastAsia="Arial" w:hint="default"/>
                <w:spacing w:val="-25"/>
                <w:sz w:val="24"/>
                <w:szCs w:val="24"/>
              </w:rPr>
              <w:t> </w:t>
            </w:r>
            <w:r>
              <w:rPr>
                <w:rFonts w:ascii="宋体" w:hAnsi="宋体" w:cs="宋体" w:eastAsia="宋体" w:hint="default"/>
                <w:spacing w:val="-3"/>
                <w:sz w:val="24"/>
                <w:szCs w:val="24"/>
              </w:rPr>
              <w:t>日</w:t>
            </w:r>
            <w:r>
              <w:rPr>
                <w:rFonts w:ascii="宋体" w:hAnsi="宋体" w:cs="宋体" w:eastAsia="宋体" w:hint="default"/>
                <w:sz w:val="24"/>
                <w:szCs w:val="24"/>
              </w:rPr>
              <w:t>及</w:t>
            </w:r>
            <w:r>
              <w:rPr>
                <w:rFonts w:ascii="宋体" w:hAnsi="宋体" w:cs="宋体" w:eastAsia="宋体" w:hint="default"/>
                <w:spacing w:val="-80"/>
                <w:sz w:val="24"/>
                <w:szCs w:val="24"/>
              </w:rPr>
              <w:t> </w:t>
            </w:r>
            <w:r>
              <w:rPr>
                <w:rFonts w:ascii="Arial" w:hAnsi="Arial" w:cs="Arial" w:eastAsia="Arial" w:hint="default"/>
                <w:w w:val="99"/>
                <w:sz w:val="24"/>
                <w:szCs w:val="24"/>
              </w:rPr>
              <w:t>2</w:t>
            </w:r>
            <w:r>
              <w:rPr>
                <w:rFonts w:ascii="Arial" w:hAnsi="Arial" w:cs="Arial" w:eastAsia="Arial" w:hint="default"/>
                <w:spacing w:val="-2"/>
                <w:w w:val="99"/>
                <w:sz w:val="24"/>
                <w:szCs w:val="24"/>
              </w:rPr>
              <w:t>0</w:t>
            </w:r>
            <w:r>
              <w:rPr>
                <w:rFonts w:ascii="Arial" w:hAnsi="Arial" w:cs="Arial" w:eastAsia="Arial" w:hint="default"/>
                <w:spacing w:val="-18"/>
                <w:w w:val="99"/>
                <w:sz w:val="24"/>
                <w:szCs w:val="24"/>
              </w:rPr>
              <w:t>1</w:t>
            </w:r>
            <w:r>
              <w:rPr>
                <w:rFonts w:ascii="Arial" w:hAnsi="Arial" w:cs="Arial" w:eastAsia="Arial" w:hint="default"/>
                <w:w w:val="99"/>
                <w:sz w:val="24"/>
                <w:szCs w:val="24"/>
              </w:rPr>
              <w:t>1</w:t>
            </w:r>
            <w:r>
              <w:rPr>
                <w:rFonts w:ascii="Arial" w:hAnsi="Arial" w:cs="Arial" w:eastAsia="Arial" w:hint="default"/>
                <w:spacing w:val="-25"/>
                <w:sz w:val="24"/>
                <w:szCs w:val="24"/>
              </w:rPr>
              <w:t> </w:t>
            </w:r>
            <w:r>
              <w:rPr>
                <w:rFonts w:ascii="宋体" w:hAnsi="宋体" w:cs="宋体" w:eastAsia="宋体" w:hint="default"/>
                <w:sz w:val="24"/>
                <w:szCs w:val="24"/>
              </w:rPr>
              <w:t>年</w:t>
            </w:r>
            <w:r>
              <w:rPr>
                <w:rFonts w:ascii="宋体" w:hAnsi="宋体" w:cs="宋体" w:eastAsia="宋体" w:hint="default"/>
                <w:spacing w:val="-80"/>
                <w:sz w:val="24"/>
                <w:szCs w:val="24"/>
              </w:rPr>
              <w:t> </w:t>
            </w:r>
            <w:r>
              <w:rPr>
                <w:rFonts w:ascii="Arial" w:hAnsi="Arial" w:cs="Arial" w:eastAsia="Arial" w:hint="default"/>
                <w:spacing w:val="-2"/>
                <w:w w:val="99"/>
                <w:sz w:val="24"/>
                <w:szCs w:val="24"/>
              </w:rPr>
              <w:t>1</w:t>
            </w:r>
            <w:r>
              <w:rPr>
                <w:rFonts w:ascii="Arial" w:hAnsi="Arial" w:cs="Arial" w:eastAsia="Arial" w:hint="default"/>
                <w:w w:val="99"/>
                <w:sz w:val="24"/>
                <w:szCs w:val="24"/>
              </w:rPr>
              <w:t>2</w:t>
            </w:r>
            <w:r>
              <w:rPr>
                <w:rFonts w:ascii="Arial" w:hAnsi="Arial" w:cs="Arial" w:eastAsia="Arial" w:hint="default"/>
                <w:spacing w:val="-25"/>
                <w:sz w:val="24"/>
                <w:szCs w:val="24"/>
              </w:rPr>
              <w:t> </w:t>
            </w:r>
            <w:r>
              <w:rPr>
                <w:rFonts w:ascii="宋体" w:hAnsi="宋体" w:cs="宋体" w:eastAsia="宋体" w:hint="default"/>
                <w:sz w:val="24"/>
                <w:szCs w:val="24"/>
              </w:rPr>
              <w:t>月</w:t>
            </w:r>
            <w:r>
              <w:rPr>
                <w:rFonts w:ascii="宋体" w:hAnsi="宋体" w:cs="宋体" w:eastAsia="宋体" w:hint="default"/>
                <w:spacing w:val="-82"/>
                <w:sz w:val="24"/>
                <w:szCs w:val="24"/>
              </w:rPr>
              <w:t> </w:t>
            </w:r>
            <w:r>
              <w:rPr>
                <w:rFonts w:ascii="Arial" w:hAnsi="Arial" w:cs="Arial" w:eastAsia="Arial" w:hint="default"/>
                <w:w w:val="99"/>
                <w:sz w:val="24"/>
                <w:szCs w:val="24"/>
              </w:rPr>
              <w:t>31</w:t>
            </w:r>
            <w:r>
              <w:rPr>
                <w:rFonts w:ascii="Arial" w:hAnsi="Arial" w:cs="Arial" w:eastAsia="Arial" w:hint="default"/>
                <w:spacing w:val="-25"/>
                <w:sz w:val="24"/>
                <w:szCs w:val="24"/>
              </w:rPr>
              <w:t> </w:t>
            </w:r>
            <w:r>
              <w:rPr>
                <w:rFonts w:ascii="宋体" w:hAnsi="宋体" w:cs="宋体" w:eastAsia="宋体" w:hint="default"/>
                <w:sz w:val="24"/>
                <w:szCs w:val="24"/>
              </w:rPr>
              <w:t>日</w:t>
            </w:r>
            <w:r>
              <w:rPr>
                <w:rFonts w:ascii="宋体" w:hAnsi="宋体" w:cs="宋体" w:eastAsia="宋体" w:hint="default"/>
                <w:spacing w:val="-123"/>
                <w:sz w:val="24"/>
                <w:szCs w:val="24"/>
              </w:rPr>
              <w:t>，</w:t>
            </w:r>
            <w:r>
              <w:rPr>
                <w:rFonts w:ascii="宋体" w:hAnsi="宋体" w:cs="宋体" w:eastAsia="宋体" w:hint="default"/>
                <w:sz w:val="24"/>
                <w:szCs w:val="24"/>
              </w:rPr>
              <w:t>预付款项中无预付持有本公司</w:t>
            </w:r>
            <w:r>
              <w:rPr>
                <w:rFonts w:ascii="宋体" w:hAnsi="宋体" w:cs="宋体" w:eastAsia="宋体" w:hint="default"/>
                <w:spacing w:val="-79"/>
                <w:sz w:val="24"/>
                <w:szCs w:val="24"/>
              </w:rPr>
              <w:t> </w:t>
            </w:r>
            <w:r>
              <w:rPr>
                <w:rFonts w:ascii="Arial" w:hAnsi="Arial" w:cs="Arial" w:eastAsia="Arial" w:hint="default"/>
                <w:w w:val="99"/>
                <w:sz w:val="24"/>
                <w:szCs w:val="24"/>
              </w:rPr>
              <w:t>5</w:t>
            </w:r>
            <w:r>
              <w:rPr>
                <w:rFonts w:ascii="Arial" w:hAnsi="Arial" w:cs="Arial" w:eastAsia="Arial" w:hint="default"/>
                <w:w w:val="99"/>
                <w:sz w:val="24"/>
                <w:szCs w:val="24"/>
              </w:rPr>
              <w:t>%</w:t>
            </w:r>
            <w:r>
              <w:rPr>
                <w:rFonts w:ascii="Arial" w:hAnsi="Arial" w:cs="Arial" w:eastAsia="Arial" w:hint="default"/>
                <w:spacing w:val="-1"/>
                <w:w w:val="99"/>
                <w:sz w:val="24"/>
                <w:szCs w:val="24"/>
              </w:rPr>
              <w:t>(</w:t>
            </w:r>
            <w:r>
              <w:rPr>
                <w:rFonts w:ascii="宋体" w:hAnsi="宋体" w:cs="宋体" w:eastAsia="宋体" w:hint="default"/>
                <w:sz w:val="24"/>
                <w:szCs w:val="24"/>
              </w:rPr>
              <w:t>含</w:t>
            </w:r>
          </w:p>
          <w:p>
            <w:pPr>
              <w:pStyle w:val="TableParagraph"/>
              <w:spacing w:line="320" w:lineRule="exact"/>
              <w:ind w:left="217" w:right="0"/>
              <w:jc w:val="left"/>
              <w:rPr>
                <w:rFonts w:ascii="宋体" w:hAnsi="宋体" w:cs="宋体" w:eastAsia="宋体" w:hint="default"/>
                <w:sz w:val="24"/>
                <w:szCs w:val="24"/>
              </w:rPr>
            </w:pPr>
            <w:r>
              <w:rPr>
                <w:rFonts w:ascii="Arial" w:hAnsi="Arial" w:cs="Arial" w:eastAsia="Arial" w:hint="default"/>
                <w:sz w:val="24"/>
                <w:szCs w:val="24"/>
              </w:rPr>
              <w:t>5%)</w:t>
            </w:r>
            <w:r>
              <w:rPr>
                <w:rFonts w:ascii="宋体" w:hAnsi="宋体" w:cs="宋体" w:eastAsia="宋体" w:hint="default"/>
                <w:sz w:val="24"/>
                <w:szCs w:val="24"/>
              </w:rPr>
              <w:t>以上表决权股份的股东的款项。</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03"/>
        <w:gridCol w:w="1050"/>
        <w:gridCol w:w="562"/>
        <w:gridCol w:w="605"/>
        <w:gridCol w:w="1032"/>
        <w:gridCol w:w="103"/>
        <w:gridCol w:w="709"/>
        <w:gridCol w:w="877"/>
        <w:gridCol w:w="108"/>
        <w:gridCol w:w="898"/>
        <w:gridCol w:w="262"/>
        <w:gridCol w:w="881"/>
        <w:gridCol w:w="903"/>
        <w:gridCol w:w="245"/>
        <w:gridCol w:w="670"/>
      </w:tblGrid>
      <w:tr>
        <w:trPr>
          <w:trHeight w:val="496"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5" w:lineRule="exact"/>
              <w:ind w:right="7"/>
              <w:jc w:val="center"/>
              <w:rPr>
                <w:rFonts w:ascii="Arial" w:hAnsi="Arial" w:cs="Arial" w:eastAsia="Arial" w:hint="default"/>
                <w:sz w:val="24"/>
                <w:szCs w:val="24"/>
              </w:rPr>
            </w:pPr>
            <w:r>
              <w:rPr>
                <w:rFonts w:ascii="Arial"/>
                <w:sz w:val="24"/>
              </w:rPr>
              <w:t>(d)</w:t>
            </w:r>
          </w:p>
        </w:tc>
        <w:tc>
          <w:tcPr>
            <w:tcW w:w="4061" w:type="dxa"/>
            <w:gridSpan w:val="6"/>
            <w:tcBorders>
              <w:top w:val="nil" w:sz="6" w:space="0" w:color="auto"/>
              <w:left w:val="nil" w:sz="6" w:space="0" w:color="auto"/>
              <w:bottom w:val="nil" w:sz="6" w:space="0" w:color="auto"/>
              <w:right w:val="nil" w:sz="6" w:space="0" w:color="auto"/>
            </w:tcBorders>
          </w:tcPr>
          <w:p>
            <w:pPr>
              <w:pStyle w:val="TableParagraph"/>
              <w:spacing w:line="247" w:lineRule="exact"/>
              <w:ind w:left="209" w:right="0"/>
              <w:jc w:val="left"/>
              <w:rPr>
                <w:rFonts w:ascii="宋体" w:hAnsi="宋体" w:cs="宋体" w:eastAsia="宋体" w:hint="default"/>
                <w:sz w:val="24"/>
                <w:szCs w:val="24"/>
              </w:rPr>
            </w:pPr>
            <w:r>
              <w:rPr>
                <w:rFonts w:ascii="宋体" w:hAnsi="宋体" w:cs="宋体" w:eastAsia="宋体" w:hint="default"/>
                <w:sz w:val="24"/>
                <w:szCs w:val="24"/>
              </w:rPr>
              <w:t>预付关联方的预付款项分析如下：</w:t>
            </w:r>
          </w:p>
        </w:tc>
        <w:tc>
          <w:tcPr>
            <w:tcW w:w="877"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r>
      <w:tr>
        <w:trPr>
          <w:trHeight w:val="502" w:hRule="exact"/>
        </w:trPr>
        <w:tc>
          <w:tcPr>
            <w:tcW w:w="703"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
        </w:tc>
        <w:tc>
          <w:tcPr>
            <w:tcW w:w="2696"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56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96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833"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788" w:hRule="exact"/>
        </w:trPr>
        <w:tc>
          <w:tcPr>
            <w:tcW w:w="703"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
        </w:tc>
        <w:tc>
          <w:tcPr>
            <w:tcW w:w="16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449" w:right="0"/>
              <w:jc w:val="left"/>
              <w:rPr>
                <w:rFonts w:ascii="宋体" w:hAnsi="宋体" w:cs="宋体" w:eastAsia="宋体" w:hint="default"/>
                <w:sz w:val="18"/>
                <w:szCs w:val="18"/>
              </w:rPr>
            </w:pPr>
            <w:r>
              <w:rPr>
                <w:rFonts w:ascii="宋体" w:hAnsi="宋体" w:cs="宋体" w:eastAsia="宋体" w:hint="default"/>
                <w:sz w:val="18"/>
                <w:szCs w:val="18"/>
              </w:rPr>
              <w:t>与本集团关系</w:t>
            </w:r>
          </w:p>
        </w:tc>
        <w:tc>
          <w:tcPr>
            <w:tcW w:w="103" w:type="dxa"/>
            <w:tcBorders>
              <w:top w:val="single" w:sz="4" w:space="0" w:color="000000"/>
              <w:left w:val="nil" w:sz="6" w:space="0" w:color="auto"/>
              <w:bottom w:val="nil" w:sz="6" w:space="0" w:color="auto"/>
              <w:right w:val="nil" w:sz="6" w:space="0" w:color="auto"/>
            </w:tcBorders>
          </w:tcPr>
          <w:p>
            <w:pPr/>
          </w:p>
        </w:tc>
        <w:tc>
          <w:tcPr>
            <w:tcW w:w="70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77" w:type="dxa"/>
            <w:tcBorders>
              <w:top w:val="single" w:sz="4" w:space="0" w:color="000000"/>
              <w:left w:val="nil" w:sz="6" w:space="0" w:color="auto"/>
              <w:bottom w:val="nil" w:sz="6" w:space="0" w:color="auto"/>
              <w:right w:val="nil" w:sz="6" w:space="0" w:color="auto"/>
            </w:tcBorders>
          </w:tcPr>
          <w:p>
            <w:pPr>
              <w:pStyle w:val="TableParagraph"/>
              <w:spacing w:line="232" w:lineRule="exact" w:before="35"/>
              <w:ind w:left="95" w:right="48" w:firstLine="4"/>
              <w:jc w:val="both"/>
              <w:rPr>
                <w:rFonts w:ascii="Arial" w:hAnsi="Arial" w:cs="Arial" w:eastAsia="Arial" w:hint="default"/>
                <w:sz w:val="18"/>
                <w:szCs w:val="18"/>
              </w:rPr>
            </w:pPr>
            <w:r>
              <w:rPr>
                <w:rFonts w:ascii="宋体" w:hAnsi="宋体" w:cs="宋体" w:eastAsia="宋体" w:hint="default"/>
                <w:sz w:val="18"/>
                <w:szCs w:val="18"/>
              </w:rPr>
              <w:t>占预付款 项总额的 比例 </w:t>
            </w:r>
            <w:r>
              <w:rPr>
                <w:rFonts w:ascii="Arial" w:hAnsi="Arial" w:cs="Arial" w:eastAsia="Arial" w:hint="default"/>
                <w:sz w:val="18"/>
                <w:szCs w:val="18"/>
              </w:rPr>
              <w:t>(%)</w:t>
            </w:r>
          </w:p>
        </w:tc>
        <w:tc>
          <w:tcPr>
            <w:tcW w:w="108" w:type="dxa"/>
            <w:tcBorders>
              <w:top w:val="single" w:sz="4" w:space="0" w:color="000000"/>
              <w:left w:val="nil" w:sz="6" w:space="0" w:color="auto"/>
              <w:bottom w:val="nil" w:sz="6" w:space="0" w:color="auto"/>
              <w:right w:val="nil" w:sz="6" w:space="0" w:color="auto"/>
            </w:tcBorders>
          </w:tcPr>
          <w:p>
            <w:pPr/>
          </w:p>
        </w:tc>
        <w:tc>
          <w:tcPr>
            <w:tcW w:w="898" w:type="dxa"/>
            <w:tcBorders>
              <w:top w:val="single" w:sz="4" w:space="0" w:color="000000"/>
              <w:left w:val="nil" w:sz="6" w:space="0" w:color="auto"/>
              <w:bottom w:val="nil" w:sz="6" w:space="0" w:color="auto"/>
              <w:right w:val="nil" w:sz="6" w:space="0" w:color="auto"/>
            </w:tcBorders>
          </w:tcPr>
          <w:p>
            <w:pPr>
              <w:pStyle w:val="TableParagraph"/>
              <w:spacing w:line="230" w:lineRule="exact" w:before="36"/>
              <w:ind w:left="388" w:right="146"/>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262" w:type="dxa"/>
            <w:tcBorders>
              <w:top w:val="nil" w:sz="6" w:space="0" w:color="auto"/>
              <w:left w:val="nil" w:sz="6" w:space="0" w:color="auto"/>
              <w:bottom w:val="nil" w:sz="6" w:space="0" w:color="auto"/>
              <w:right w:val="nil" w:sz="6" w:space="0" w:color="auto"/>
            </w:tcBorders>
          </w:tcPr>
          <w:p>
            <w:pPr/>
          </w:p>
        </w:tc>
        <w:tc>
          <w:tcPr>
            <w:tcW w:w="88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03" w:type="dxa"/>
            <w:tcBorders>
              <w:top w:val="single" w:sz="4" w:space="0" w:color="000000"/>
              <w:left w:val="nil" w:sz="6" w:space="0" w:color="auto"/>
              <w:bottom w:val="nil" w:sz="6" w:space="0" w:color="auto"/>
              <w:right w:val="nil" w:sz="6" w:space="0" w:color="auto"/>
            </w:tcBorders>
          </w:tcPr>
          <w:p>
            <w:pPr>
              <w:pStyle w:val="TableParagraph"/>
              <w:spacing w:line="232" w:lineRule="exact" w:before="35"/>
              <w:ind w:left="19" w:right="149" w:firstLine="4"/>
              <w:jc w:val="both"/>
              <w:rPr>
                <w:rFonts w:ascii="Arial" w:hAnsi="Arial" w:cs="Arial" w:eastAsia="Arial" w:hint="default"/>
                <w:sz w:val="18"/>
                <w:szCs w:val="18"/>
              </w:rPr>
            </w:pPr>
            <w:r>
              <w:rPr>
                <w:rFonts w:ascii="宋体" w:hAnsi="宋体" w:cs="宋体" w:eastAsia="宋体" w:hint="default"/>
                <w:sz w:val="18"/>
                <w:szCs w:val="18"/>
              </w:rPr>
              <w:t>占预付款 项总额的 比例 </w:t>
            </w:r>
            <w:r>
              <w:rPr>
                <w:rFonts w:ascii="Arial" w:hAnsi="Arial" w:cs="Arial" w:eastAsia="Arial" w:hint="default"/>
                <w:sz w:val="18"/>
                <w:szCs w:val="18"/>
              </w:rPr>
              <w:t>(%)</w:t>
            </w:r>
          </w:p>
        </w:tc>
        <w:tc>
          <w:tcPr>
            <w:tcW w:w="245" w:type="dxa"/>
            <w:tcBorders>
              <w:top w:val="single" w:sz="4" w:space="0" w:color="000000"/>
              <w:left w:val="nil" w:sz="6" w:space="0" w:color="auto"/>
              <w:bottom w:val="nil" w:sz="6" w:space="0" w:color="auto"/>
              <w:right w:val="nil" w:sz="6" w:space="0" w:color="auto"/>
            </w:tcBorders>
          </w:tcPr>
          <w:p>
            <w:pPr/>
          </w:p>
        </w:tc>
        <w:tc>
          <w:tcPr>
            <w:tcW w:w="670" w:type="dxa"/>
            <w:tcBorders>
              <w:top w:val="single" w:sz="4" w:space="0" w:color="000000"/>
              <w:left w:val="nil" w:sz="6" w:space="0" w:color="auto"/>
              <w:bottom w:val="nil" w:sz="6" w:space="0" w:color="auto"/>
              <w:right w:val="nil" w:sz="6" w:space="0" w:color="auto"/>
            </w:tcBorders>
          </w:tcPr>
          <w:p>
            <w:pPr>
              <w:pStyle w:val="TableParagraph"/>
              <w:spacing w:line="230" w:lineRule="exact" w:before="36"/>
              <w:ind w:left="156" w:right="151"/>
              <w:jc w:val="left"/>
              <w:rPr>
                <w:rFonts w:ascii="宋体" w:hAnsi="宋体" w:cs="宋体" w:eastAsia="宋体" w:hint="default"/>
                <w:sz w:val="18"/>
                <w:szCs w:val="18"/>
              </w:rPr>
            </w:pPr>
            <w:r>
              <w:rPr>
                <w:rFonts w:ascii="宋体" w:hAnsi="宋体" w:cs="宋体" w:eastAsia="宋体" w:hint="default"/>
                <w:sz w:val="18"/>
                <w:szCs w:val="18"/>
              </w:rPr>
              <w:t>坏账 准备</w:t>
            </w:r>
          </w:p>
        </w:tc>
      </w:tr>
      <w:tr>
        <w:trPr>
          <w:trHeight w:val="514" w:hRule="exact"/>
        </w:trPr>
        <w:tc>
          <w:tcPr>
            <w:tcW w:w="703" w:type="dxa"/>
            <w:vMerge w:val="restart"/>
            <w:tcBorders>
              <w:top w:val="nil" w:sz="6" w:space="0" w:color="auto"/>
              <w:left w:val="nil" w:sz="6" w:space="0" w:color="auto"/>
              <w:right w:val="nil" w:sz="6" w:space="0" w:color="auto"/>
            </w:tcBorders>
          </w:tcPr>
          <w:p>
            <w:pPr/>
          </w:p>
        </w:tc>
        <w:tc>
          <w:tcPr>
            <w:tcW w:w="1612" w:type="dxa"/>
            <w:gridSpan w:val="2"/>
            <w:vMerge w:val="restart"/>
            <w:tcBorders>
              <w:top w:val="nil" w:sz="6" w:space="0" w:color="auto"/>
              <w:left w:val="nil" w:sz="6" w:space="0" w:color="auto"/>
              <w:right w:val="nil" w:sz="6" w:space="0" w:color="auto"/>
            </w:tcBorders>
          </w:tcPr>
          <w:p>
            <w:pPr>
              <w:pStyle w:val="TableParagraph"/>
              <w:spacing w:line="235" w:lineRule="exact" w:before="7"/>
              <w:ind w:left="118" w:right="0"/>
              <w:jc w:val="left"/>
              <w:rPr>
                <w:rFonts w:ascii="宋体" w:hAnsi="宋体" w:cs="宋体" w:eastAsia="宋体" w:hint="default"/>
                <w:sz w:val="18"/>
                <w:szCs w:val="18"/>
              </w:rPr>
            </w:pPr>
            <w:r>
              <w:rPr>
                <w:rFonts w:ascii="宋体" w:hAnsi="宋体" w:cs="宋体" w:eastAsia="宋体" w:hint="default"/>
                <w:spacing w:val="16"/>
                <w:sz w:val="18"/>
                <w:szCs w:val="18"/>
              </w:rPr>
              <w:t>青岛苏宁置业有</w:t>
            </w:r>
          </w:p>
          <w:p>
            <w:pPr>
              <w:pStyle w:val="TableParagraph"/>
              <w:spacing w:line="230" w:lineRule="exact" w:before="26"/>
              <w:ind w:left="317" w:right="72"/>
              <w:jc w:val="left"/>
              <w:rPr>
                <w:rFonts w:ascii="Arial" w:hAnsi="Arial" w:cs="Arial" w:eastAsia="Arial" w:hint="default"/>
                <w:sz w:val="18"/>
                <w:szCs w:val="18"/>
              </w:rPr>
            </w:pPr>
            <w:r>
              <w:rPr>
                <w:rFonts w:ascii="宋体" w:hAnsi="宋体" w:cs="宋体" w:eastAsia="宋体" w:hint="default"/>
                <w:spacing w:val="22"/>
                <w:sz w:val="18"/>
                <w:szCs w:val="18"/>
              </w:rPr>
              <w:t>限公司</w:t>
            </w:r>
            <w:r>
              <w:rPr>
                <w:rFonts w:ascii="宋体" w:hAnsi="宋体" w:cs="宋体" w:eastAsia="宋体" w:hint="default"/>
                <w:spacing w:val="-57"/>
                <w:sz w:val="18"/>
                <w:szCs w:val="18"/>
              </w:rPr>
              <w:t> </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pacing w:val="-19"/>
                <w:sz w:val="18"/>
                <w:szCs w:val="18"/>
              </w:rPr>
              <w:t> </w:t>
            </w:r>
            <w:r>
              <w:rPr>
                <w:rFonts w:ascii="宋体" w:hAnsi="宋体" w:cs="宋体" w:eastAsia="宋体" w:hint="default"/>
                <w:spacing w:val="16"/>
                <w:sz w:val="18"/>
                <w:szCs w:val="18"/>
              </w:rPr>
              <w:t>青岛</w:t>
            </w:r>
            <w:r>
              <w:rPr>
                <w:rFonts w:ascii="宋体" w:hAnsi="宋体" w:cs="宋体" w:eastAsia="宋体" w:hint="default"/>
                <w:spacing w:val="-57"/>
                <w:sz w:val="18"/>
                <w:szCs w:val="18"/>
              </w:rPr>
              <w:t> </w:t>
            </w:r>
            <w:r>
              <w:rPr>
                <w:rFonts w:ascii="宋体" w:hAnsi="宋体" w:cs="宋体" w:eastAsia="宋体" w:hint="default"/>
                <w:sz w:val="18"/>
                <w:szCs w:val="18"/>
              </w:rPr>
              <w:t>苏宁置业</w:t>
            </w:r>
            <w:r>
              <w:rPr>
                <w:rFonts w:ascii="Arial" w:hAnsi="Arial" w:cs="Arial" w:eastAsia="Arial" w:hint="default"/>
                <w:sz w:val="18"/>
                <w:szCs w:val="18"/>
              </w:rPr>
              <w:t>”</w:t>
            </w:r>
            <w:r>
              <w:rPr>
                <w:rFonts w:ascii="Arial" w:hAnsi="Arial" w:cs="Arial" w:eastAsia="Arial" w:hint="default"/>
                <w:sz w:val="18"/>
                <w:szCs w:val="18"/>
              </w:rPr>
              <w:t>)</w:t>
            </w:r>
          </w:p>
        </w:tc>
        <w:tc>
          <w:tcPr>
            <w:tcW w:w="1637" w:type="dxa"/>
            <w:gridSpan w:val="2"/>
            <w:tcBorders>
              <w:top w:val="nil" w:sz="6" w:space="0" w:color="auto"/>
              <w:left w:val="nil" w:sz="6" w:space="0" w:color="auto"/>
              <w:bottom w:val="nil" w:sz="6" w:space="0" w:color="auto"/>
              <w:right w:val="nil" w:sz="6" w:space="0" w:color="auto"/>
            </w:tcBorders>
          </w:tcPr>
          <w:p>
            <w:pPr>
              <w:pStyle w:val="TableParagraph"/>
              <w:spacing w:line="232" w:lineRule="exact" w:before="32"/>
              <w:ind w:left="494" w:right="60" w:hanging="420"/>
              <w:jc w:val="lef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 置业之子公司</w:t>
            </w:r>
          </w:p>
        </w:tc>
        <w:tc>
          <w:tcPr>
            <w:tcW w:w="103"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r>
      <w:tr>
        <w:trPr>
          <w:trHeight w:val="270" w:hRule="exact"/>
        </w:trPr>
        <w:tc>
          <w:tcPr>
            <w:tcW w:w="703" w:type="dxa"/>
            <w:vMerge/>
            <w:tcBorders>
              <w:left w:val="nil" w:sz="6" w:space="0" w:color="auto"/>
              <w:bottom w:val="nil" w:sz="6" w:space="0" w:color="auto"/>
              <w:right w:val="nil" w:sz="6" w:space="0" w:color="auto"/>
            </w:tcBorders>
          </w:tcPr>
          <w:p>
            <w:pPr/>
          </w:p>
        </w:tc>
        <w:tc>
          <w:tcPr>
            <w:tcW w:w="1612" w:type="dxa"/>
            <w:gridSpan w:val="2"/>
            <w:vMerge/>
            <w:tcBorders>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single" w:sz="4" w:space="0" w:color="000000"/>
              <w:right w:val="nil" w:sz="6" w:space="0" w:color="auto"/>
            </w:tcBorders>
          </w:tcPr>
          <w:p>
            <w:pPr/>
          </w:p>
        </w:tc>
        <w:tc>
          <w:tcPr>
            <w:tcW w:w="709"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93"/>
              <w:jc w:val="right"/>
              <w:rPr>
                <w:rFonts w:ascii="Arial" w:hAnsi="Arial" w:cs="Arial" w:eastAsia="Arial" w:hint="default"/>
                <w:sz w:val="18"/>
                <w:szCs w:val="18"/>
              </w:rPr>
            </w:pPr>
            <w:r>
              <w:rPr>
                <w:rFonts w:ascii="Arial"/>
                <w:w w:val="99"/>
                <w:sz w:val="18"/>
              </w:rPr>
              <w:t>-</w:t>
            </w:r>
            <w:r>
              <w:rPr>
                <w:rFonts w:ascii="Arial"/>
                <w:sz w:val="18"/>
              </w:rPr>
            </w:r>
          </w:p>
        </w:tc>
        <w:tc>
          <w:tcPr>
            <w:tcW w:w="877"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0"/>
              <w:jc w:val="right"/>
              <w:rPr>
                <w:rFonts w:ascii="Arial" w:hAnsi="Arial" w:cs="Arial" w:eastAsia="Arial" w:hint="default"/>
                <w:sz w:val="18"/>
                <w:szCs w:val="18"/>
              </w:rPr>
            </w:pPr>
            <w:r>
              <w:rPr>
                <w:rFonts w:ascii="Arial"/>
                <w:w w:val="99"/>
                <w:sz w:val="18"/>
              </w:rPr>
              <w:t>-</w:t>
            </w:r>
            <w:r>
              <w:rPr>
                <w:rFonts w:ascii="Arial"/>
                <w:sz w:val="18"/>
              </w:rPr>
            </w:r>
          </w:p>
        </w:tc>
        <w:tc>
          <w:tcPr>
            <w:tcW w:w="108" w:type="dxa"/>
            <w:tcBorders>
              <w:top w:val="nil" w:sz="6" w:space="0" w:color="auto"/>
              <w:left w:val="nil" w:sz="6" w:space="0" w:color="auto"/>
              <w:bottom w:val="single" w:sz="4" w:space="0" w:color="000000"/>
              <w:right w:val="nil" w:sz="6" w:space="0" w:color="auto"/>
            </w:tcBorders>
          </w:tcPr>
          <w:p>
            <w:pPr/>
          </w:p>
        </w:tc>
        <w:tc>
          <w:tcPr>
            <w:tcW w:w="898"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w w:val="99"/>
                <w:sz w:val="18"/>
              </w:rPr>
              <w:t>-</w:t>
            </w:r>
            <w:r>
              <w:rPr>
                <w:rFonts w:ascii="Arial"/>
                <w:sz w:val="18"/>
              </w:rPr>
            </w:r>
          </w:p>
        </w:tc>
        <w:tc>
          <w:tcPr>
            <w:tcW w:w="262"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182" w:right="0"/>
              <w:jc w:val="left"/>
              <w:rPr>
                <w:rFonts w:ascii="Arial" w:hAnsi="Arial" w:cs="Arial" w:eastAsia="Arial" w:hint="default"/>
                <w:sz w:val="18"/>
                <w:szCs w:val="18"/>
              </w:rPr>
            </w:pPr>
            <w:r>
              <w:rPr>
                <w:rFonts w:ascii="Arial"/>
                <w:sz w:val="18"/>
              </w:rPr>
              <w:t>29,973</w:t>
            </w:r>
          </w:p>
        </w:tc>
        <w:tc>
          <w:tcPr>
            <w:tcW w:w="903"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75"/>
              <w:jc w:val="right"/>
              <w:rPr>
                <w:rFonts w:ascii="Arial" w:hAnsi="Arial" w:cs="Arial" w:eastAsia="Arial" w:hint="default"/>
                <w:sz w:val="18"/>
                <w:szCs w:val="18"/>
              </w:rPr>
            </w:pPr>
            <w:r>
              <w:rPr>
                <w:rFonts w:ascii="Arial"/>
                <w:sz w:val="18"/>
              </w:rPr>
              <w:t>0.8%</w:t>
            </w:r>
          </w:p>
        </w:tc>
        <w:tc>
          <w:tcPr>
            <w:tcW w:w="245"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07" w:hRule="exact"/>
        </w:trPr>
        <w:tc>
          <w:tcPr>
            <w:tcW w:w="703"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
        </w:tc>
        <w:tc>
          <w:tcPr>
            <w:tcW w:w="103" w:type="dxa"/>
            <w:tcBorders>
              <w:top w:val="single" w:sz="4" w:space="0" w:color="000000"/>
              <w:left w:val="nil" w:sz="6" w:space="0" w:color="auto"/>
              <w:bottom w:val="single" w:sz="12" w:space="0" w:color="000000"/>
              <w:right w:val="nil" w:sz="6" w:space="0" w:color="auto"/>
            </w:tcBorders>
          </w:tcPr>
          <w:p>
            <w:pPr/>
          </w:p>
        </w:tc>
        <w:tc>
          <w:tcPr>
            <w:tcW w:w="709"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93"/>
              <w:jc w:val="right"/>
              <w:rPr>
                <w:rFonts w:ascii="Arial" w:hAnsi="Arial" w:cs="Arial" w:eastAsia="Arial" w:hint="default"/>
                <w:sz w:val="18"/>
                <w:szCs w:val="18"/>
              </w:rPr>
            </w:pPr>
            <w:r>
              <w:rPr>
                <w:rFonts w:ascii="Arial"/>
                <w:w w:val="99"/>
                <w:sz w:val="18"/>
              </w:rPr>
              <w:t>-</w:t>
            </w:r>
            <w:r>
              <w:rPr>
                <w:rFonts w:ascii="Arial"/>
                <w:sz w:val="18"/>
              </w:rPr>
            </w:r>
          </w:p>
        </w:tc>
        <w:tc>
          <w:tcPr>
            <w:tcW w:w="877"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0"/>
              <w:jc w:val="right"/>
              <w:rPr>
                <w:rFonts w:ascii="Arial" w:hAnsi="Arial" w:cs="Arial" w:eastAsia="Arial" w:hint="default"/>
                <w:sz w:val="18"/>
                <w:szCs w:val="18"/>
              </w:rPr>
            </w:pPr>
            <w:r>
              <w:rPr>
                <w:rFonts w:ascii="Arial"/>
                <w:w w:val="99"/>
                <w:sz w:val="18"/>
              </w:rPr>
              <w:t>-</w:t>
            </w:r>
            <w:r>
              <w:rPr>
                <w:rFonts w:ascii="Arial"/>
                <w:sz w:val="18"/>
              </w:rPr>
            </w:r>
          </w:p>
        </w:tc>
        <w:tc>
          <w:tcPr>
            <w:tcW w:w="108" w:type="dxa"/>
            <w:tcBorders>
              <w:top w:val="single" w:sz="4" w:space="0" w:color="000000"/>
              <w:left w:val="nil" w:sz="6" w:space="0" w:color="auto"/>
              <w:bottom w:val="single" w:sz="12" w:space="0" w:color="000000"/>
              <w:right w:val="nil" w:sz="6" w:space="0" w:color="auto"/>
            </w:tcBorders>
          </w:tcPr>
          <w:p>
            <w:pPr/>
          </w:p>
        </w:tc>
        <w:tc>
          <w:tcPr>
            <w:tcW w:w="898"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6"/>
              <w:jc w:val="right"/>
              <w:rPr>
                <w:rFonts w:ascii="Arial" w:hAnsi="Arial" w:cs="Arial" w:eastAsia="Arial" w:hint="default"/>
                <w:sz w:val="18"/>
                <w:szCs w:val="18"/>
              </w:rPr>
            </w:pPr>
            <w:r>
              <w:rPr>
                <w:rFonts w:ascii="Arial"/>
                <w:w w:val="99"/>
                <w:sz w:val="18"/>
              </w:rPr>
              <w:t>-</w:t>
            </w:r>
            <w:r>
              <w:rPr>
                <w:rFonts w:ascii="Arial"/>
                <w:sz w:val="18"/>
              </w:rPr>
            </w:r>
          </w:p>
        </w:tc>
        <w:tc>
          <w:tcPr>
            <w:tcW w:w="262" w:type="dxa"/>
            <w:tcBorders>
              <w:top w:val="nil" w:sz="6" w:space="0" w:color="auto"/>
              <w:left w:val="nil" w:sz="6" w:space="0" w:color="auto"/>
              <w:bottom w:val="nil" w:sz="6" w:space="0" w:color="auto"/>
              <w:right w:val="nil" w:sz="6" w:space="0" w:color="auto"/>
            </w:tcBorders>
          </w:tcPr>
          <w:p>
            <w:pPr/>
          </w:p>
        </w:tc>
        <w:tc>
          <w:tcPr>
            <w:tcW w:w="881"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182" w:right="0"/>
              <w:jc w:val="left"/>
              <w:rPr>
                <w:rFonts w:ascii="Arial" w:hAnsi="Arial" w:cs="Arial" w:eastAsia="Arial" w:hint="default"/>
                <w:sz w:val="18"/>
                <w:szCs w:val="18"/>
              </w:rPr>
            </w:pPr>
            <w:r>
              <w:rPr>
                <w:rFonts w:ascii="Arial"/>
                <w:sz w:val="18"/>
              </w:rPr>
              <w:t>29,973</w:t>
            </w:r>
          </w:p>
        </w:tc>
        <w:tc>
          <w:tcPr>
            <w:tcW w:w="903"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75"/>
              <w:jc w:val="right"/>
              <w:rPr>
                <w:rFonts w:ascii="Arial" w:hAnsi="Arial" w:cs="Arial" w:eastAsia="Arial" w:hint="default"/>
                <w:sz w:val="18"/>
                <w:szCs w:val="18"/>
              </w:rPr>
            </w:pPr>
            <w:r>
              <w:rPr>
                <w:rFonts w:ascii="Arial"/>
                <w:sz w:val="18"/>
              </w:rPr>
              <w:t>0.8%</w:t>
            </w:r>
          </w:p>
        </w:tc>
        <w:tc>
          <w:tcPr>
            <w:tcW w:w="245" w:type="dxa"/>
            <w:tcBorders>
              <w:top w:val="nil" w:sz="6" w:space="0" w:color="auto"/>
              <w:left w:val="nil" w:sz="6" w:space="0" w:color="auto"/>
              <w:bottom w:val="nil" w:sz="6" w:space="0" w:color="auto"/>
              <w:right w:val="nil" w:sz="6" w:space="0" w:color="auto"/>
            </w:tcBorders>
          </w:tcPr>
          <w:p>
            <w:pPr/>
          </w:p>
        </w:tc>
        <w:tc>
          <w:tcPr>
            <w:tcW w:w="670"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920"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right="7"/>
              <w:jc w:val="center"/>
              <w:rPr>
                <w:rFonts w:ascii="Arial" w:hAnsi="Arial" w:cs="Arial" w:eastAsia="Arial" w:hint="default"/>
                <w:sz w:val="24"/>
                <w:szCs w:val="24"/>
              </w:rPr>
            </w:pPr>
            <w:r>
              <w:rPr>
                <w:rFonts w:ascii="Arial"/>
                <w:sz w:val="24"/>
              </w:rPr>
              <w:t>(e)</w:t>
            </w:r>
          </w:p>
        </w:tc>
        <w:tc>
          <w:tcPr>
            <w:tcW w:w="406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left="209" w:right="0"/>
              <w:jc w:val="left"/>
              <w:rPr>
                <w:rFonts w:ascii="宋体" w:hAnsi="宋体" w:cs="宋体" w:eastAsia="宋体" w:hint="default"/>
                <w:sz w:val="24"/>
                <w:szCs w:val="24"/>
              </w:rPr>
            </w:pPr>
            <w:r>
              <w:rPr>
                <w:rFonts w:ascii="宋体" w:hAnsi="宋体" w:cs="宋体" w:eastAsia="宋体" w:hint="default"/>
                <w:sz w:val="24"/>
                <w:szCs w:val="24"/>
              </w:rPr>
              <w:t>预付款项中包括以下外币余额：</w:t>
            </w:r>
          </w:p>
        </w:tc>
        <w:tc>
          <w:tcPr>
            <w:tcW w:w="877" w:type="dxa"/>
            <w:tcBorders>
              <w:top w:val="single" w:sz="12" w:space="0" w:color="000000"/>
              <w:left w:val="nil" w:sz="6" w:space="0" w:color="auto"/>
              <w:bottom w:val="nil" w:sz="6" w:space="0" w:color="auto"/>
              <w:right w:val="nil" w:sz="6" w:space="0" w:color="auto"/>
            </w:tcBorders>
          </w:tcPr>
          <w:p>
            <w:pPr/>
          </w:p>
        </w:tc>
        <w:tc>
          <w:tcPr>
            <w:tcW w:w="108" w:type="dxa"/>
            <w:tcBorders>
              <w:top w:val="single" w:sz="12" w:space="0" w:color="000000"/>
              <w:left w:val="nil" w:sz="6" w:space="0" w:color="auto"/>
              <w:bottom w:val="nil" w:sz="6" w:space="0" w:color="auto"/>
              <w:right w:val="nil" w:sz="6" w:space="0" w:color="auto"/>
            </w:tcBorders>
          </w:tcPr>
          <w:p>
            <w:pPr/>
          </w:p>
        </w:tc>
        <w:tc>
          <w:tcPr>
            <w:tcW w:w="898" w:type="dxa"/>
            <w:tcBorders>
              <w:top w:val="single" w:sz="12" w:space="0" w:color="000000"/>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881" w:type="dxa"/>
            <w:tcBorders>
              <w:top w:val="single" w:sz="12" w:space="0" w:color="000000"/>
              <w:left w:val="nil" w:sz="6" w:space="0" w:color="auto"/>
              <w:bottom w:val="nil" w:sz="6" w:space="0" w:color="auto"/>
              <w:right w:val="nil" w:sz="6" w:space="0" w:color="auto"/>
            </w:tcBorders>
          </w:tcPr>
          <w:p>
            <w:pPr/>
          </w:p>
        </w:tc>
        <w:tc>
          <w:tcPr>
            <w:tcW w:w="903" w:type="dxa"/>
            <w:tcBorders>
              <w:top w:val="single" w:sz="12"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670" w:type="dxa"/>
            <w:tcBorders>
              <w:top w:val="single" w:sz="12" w:space="0" w:color="000000"/>
              <w:left w:val="nil" w:sz="6" w:space="0" w:color="auto"/>
              <w:bottom w:val="nil" w:sz="6" w:space="0" w:color="auto"/>
              <w:right w:val="nil" w:sz="6" w:space="0" w:color="auto"/>
            </w:tcBorders>
          </w:tcPr>
          <w:p>
            <w:pPr/>
          </w:p>
        </w:tc>
      </w:tr>
      <w:tr>
        <w:trPr>
          <w:trHeight w:val="489" w:hRule="exact"/>
        </w:trPr>
        <w:tc>
          <w:tcPr>
            <w:tcW w:w="703"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single" w:sz="4" w:space="0" w:color="000000"/>
              <w:right w:val="nil" w:sz="6" w:space="0" w:color="auto"/>
            </w:tcBorders>
          </w:tcPr>
          <w:p>
            <w:pPr/>
          </w:p>
        </w:tc>
        <w:tc>
          <w:tcPr>
            <w:tcW w:w="2450"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405"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877"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single" w:sz="4" w:space="0" w:color="000000"/>
              <w:right w:val="nil" w:sz="6" w:space="0" w:color="auto"/>
            </w:tcBorders>
          </w:tcPr>
          <w:p>
            <w:pPr/>
          </w:p>
        </w:tc>
        <w:tc>
          <w:tcPr>
            <w:tcW w:w="2943"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22"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45" w:type="dxa"/>
            <w:tcBorders>
              <w:top w:val="nil" w:sz="6" w:space="0" w:color="auto"/>
              <w:left w:val="nil" w:sz="6" w:space="0" w:color="auto"/>
              <w:bottom w:val="single" w:sz="4" w:space="0" w:color="000000"/>
              <w:right w:val="nil" w:sz="6" w:space="0" w:color="auto"/>
            </w:tcBorders>
          </w:tcPr>
          <w:p>
            <w:pPr/>
          </w:p>
        </w:tc>
        <w:tc>
          <w:tcPr>
            <w:tcW w:w="670" w:type="dxa"/>
            <w:tcBorders>
              <w:top w:val="nil" w:sz="6" w:space="0" w:color="auto"/>
              <w:left w:val="nil" w:sz="6" w:space="0" w:color="auto"/>
              <w:bottom w:val="single" w:sz="4" w:space="0" w:color="000000"/>
              <w:right w:val="nil" w:sz="6" w:space="0" w:color="auto"/>
            </w:tcBorders>
          </w:tcPr>
          <w:p>
            <w:pPr/>
          </w:p>
        </w:tc>
      </w:tr>
      <w:tr>
        <w:trPr>
          <w:trHeight w:val="460" w:hRule="exact"/>
        </w:trPr>
        <w:tc>
          <w:tcPr>
            <w:tcW w:w="703"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116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3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16"/>
              <w:jc w:val="right"/>
              <w:rPr>
                <w:rFonts w:ascii="宋体" w:hAnsi="宋体" w:cs="宋体" w:eastAsia="宋体" w:hint="default"/>
                <w:sz w:val="18"/>
                <w:szCs w:val="18"/>
              </w:rPr>
            </w:pPr>
            <w:r>
              <w:rPr>
                <w:rFonts w:ascii="宋体" w:hAnsi="宋体" w:cs="宋体" w:eastAsia="宋体" w:hint="default"/>
                <w:sz w:val="18"/>
                <w:szCs w:val="18"/>
              </w:rPr>
              <w:t>汇率</w:t>
            </w:r>
          </w:p>
        </w:tc>
        <w:tc>
          <w:tcPr>
            <w:tcW w:w="179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3"/>
              <w:ind w:left="314"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89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48"/>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262" w:type="dxa"/>
            <w:tcBorders>
              <w:top w:val="single" w:sz="4" w:space="0" w:color="000000"/>
              <w:left w:val="nil" w:sz="6" w:space="0" w:color="auto"/>
              <w:bottom w:val="nil" w:sz="6" w:space="0" w:color="auto"/>
              <w:right w:val="nil" w:sz="6" w:space="0" w:color="auto"/>
            </w:tcBorders>
          </w:tcPr>
          <w:p>
            <w:pPr/>
          </w:p>
        </w:tc>
        <w:tc>
          <w:tcPr>
            <w:tcW w:w="88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9"/>
              <w:jc w:val="right"/>
              <w:rPr>
                <w:rFonts w:ascii="宋体" w:hAnsi="宋体" w:cs="宋体" w:eastAsia="宋体" w:hint="default"/>
                <w:sz w:val="18"/>
                <w:szCs w:val="18"/>
              </w:rPr>
            </w:pPr>
            <w:r>
              <w:rPr>
                <w:rFonts w:ascii="宋体" w:hAnsi="宋体" w:cs="宋体" w:eastAsia="宋体" w:hint="default"/>
                <w:sz w:val="18"/>
                <w:szCs w:val="18"/>
              </w:rPr>
              <w:t>汇率</w:t>
            </w:r>
          </w:p>
        </w:tc>
        <w:tc>
          <w:tcPr>
            <w:tcW w:w="1817"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8"/>
              <w:ind w:left="715"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469" w:hRule="exact"/>
        </w:trPr>
        <w:tc>
          <w:tcPr>
            <w:tcW w:w="703"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09"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1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52" w:right="0"/>
              <w:jc w:val="left"/>
              <w:rPr>
                <w:rFonts w:ascii="Arial" w:hAnsi="Arial" w:cs="Arial" w:eastAsia="Arial" w:hint="default"/>
                <w:sz w:val="18"/>
                <w:szCs w:val="18"/>
              </w:rPr>
            </w:pPr>
            <w:r>
              <w:rPr>
                <w:rFonts w:ascii="Arial"/>
                <w:sz w:val="18"/>
              </w:rPr>
              <w:t>34,543</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15"/>
              <w:jc w:val="right"/>
              <w:rPr>
                <w:rFonts w:ascii="Arial" w:hAnsi="Arial" w:cs="Arial" w:eastAsia="Arial" w:hint="default"/>
                <w:sz w:val="18"/>
                <w:szCs w:val="18"/>
              </w:rPr>
            </w:pPr>
            <w:r>
              <w:rPr>
                <w:rFonts w:ascii="Arial"/>
                <w:spacing w:val="-1"/>
                <w:sz w:val="18"/>
              </w:rPr>
              <w:t>0.8108</w:t>
            </w:r>
          </w:p>
        </w:tc>
        <w:tc>
          <w:tcPr>
            <w:tcW w:w="179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664" w:right="0"/>
              <w:jc w:val="left"/>
              <w:rPr>
                <w:rFonts w:ascii="Arial" w:hAnsi="Arial" w:cs="Arial" w:eastAsia="Arial" w:hint="default"/>
                <w:sz w:val="18"/>
                <w:szCs w:val="18"/>
              </w:rPr>
            </w:pPr>
            <w:r>
              <w:rPr>
                <w:rFonts w:ascii="Arial"/>
                <w:sz w:val="18"/>
              </w:rPr>
              <w:t>28,007</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6"/>
              <w:jc w:val="right"/>
              <w:rPr>
                <w:rFonts w:ascii="Arial" w:hAnsi="Arial" w:cs="Arial" w:eastAsia="Arial" w:hint="default"/>
                <w:sz w:val="18"/>
                <w:szCs w:val="18"/>
              </w:rPr>
            </w:pPr>
            <w:r>
              <w:rPr>
                <w:rFonts w:ascii="Arial"/>
                <w:spacing w:val="-1"/>
                <w:sz w:val="18"/>
              </w:rPr>
              <w:t>46,387</w:t>
            </w:r>
          </w:p>
        </w:tc>
        <w:tc>
          <w:tcPr>
            <w:tcW w:w="262"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Arial" w:hAnsi="Arial" w:cs="Arial" w:eastAsia="Arial" w:hint="default"/>
                <w:sz w:val="18"/>
                <w:szCs w:val="18"/>
              </w:rPr>
            </w:pPr>
            <w:r>
              <w:rPr>
                <w:rFonts w:ascii="Arial"/>
                <w:spacing w:val="-1"/>
                <w:sz w:val="18"/>
              </w:rPr>
              <w:t>0.8301</w:t>
            </w:r>
          </w:p>
        </w:tc>
        <w:tc>
          <w:tcPr>
            <w:tcW w:w="903"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w w:val="99"/>
                <w:sz w:val="18"/>
              </w:rPr>
              <w:t>3</w:t>
            </w:r>
            <w:r>
              <w:rPr>
                <w:rFonts w:ascii="Arial"/>
                <w:sz w:val="18"/>
              </w:rPr>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Arial" w:hAnsi="Arial" w:cs="Arial" w:eastAsia="Arial" w:hint="default"/>
                <w:sz w:val="18"/>
                <w:szCs w:val="18"/>
              </w:rPr>
            </w:pPr>
            <w:r>
              <w:rPr>
                <w:rFonts w:ascii="Arial"/>
                <w:sz w:val="18"/>
              </w:rPr>
              <w:t>8,506</w:t>
            </w:r>
          </w:p>
        </w:tc>
      </w:tr>
      <w:tr>
        <w:trPr>
          <w:trHeight w:val="310" w:hRule="exact"/>
        </w:trPr>
        <w:tc>
          <w:tcPr>
            <w:tcW w:w="703"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35" w:lineRule="exact"/>
              <w:ind w:left="209"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1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251" w:right="0"/>
              <w:jc w:val="left"/>
              <w:rPr>
                <w:rFonts w:ascii="Arial" w:hAnsi="Arial" w:cs="Arial" w:eastAsia="Arial" w:hint="default"/>
                <w:sz w:val="18"/>
                <w:szCs w:val="18"/>
              </w:rPr>
            </w:pPr>
            <w:r>
              <w:rPr>
                <w:rFonts w:ascii="Arial"/>
                <w:sz w:val="18"/>
              </w:rPr>
              <w:t>341,319</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w:hAnsi="Arial" w:cs="Arial" w:eastAsia="Arial" w:hint="default"/>
                <w:sz w:val="18"/>
                <w:szCs w:val="18"/>
              </w:rPr>
            </w:pPr>
            <w:r>
              <w:rPr>
                <w:rFonts w:ascii="Arial"/>
                <w:spacing w:val="-1"/>
                <w:sz w:val="18"/>
              </w:rPr>
              <w:t>0.0730</w:t>
            </w:r>
          </w:p>
        </w:tc>
        <w:tc>
          <w:tcPr>
            <w:tcW w:w="179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5"/>
              <w:ind w:left="664" w:right="0"/>
              <w:jc w:val="left"/>
              <w:rPr>
                <w:rFonts w:ascii="Arial" w:hAnsi="Arial" w:cs="Arial" w:eastAsia="Arial" w:hint="default"/>
                <w:sz w:val="18"/>
                <w:szCs w:val="18"/>
              </w:rPr>
            </w:pPr>
            <w:r>
              <w:rPr>
                <w:rFonts w:ascii="Arial"/>
                <w:sz w:val="18"/>
              </w:rPr>
              <w:t>24,916</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6"/>
              <w:jc w:val="right"/>
              <w:rPr>
                <w:rFonts w:ascii="Arial" w:hAnsi="Arial" w:cs="Arial" w:eastAsia="Arial" w:hint="default"/>
                <w:sz w:val="18"/>
                <w:szCs w:val="18"/>
              </w:rPr>
            </w:pPr>
            <w:r>
              <w:rPr>
                <w:rFonts w:ascii="Arial"/>
                <w:spacing w:val="-1"/>
                <w:sz w:val="18"/>
              </w:rPr>
              <w:t>156,434</w:t>
            </w:r>
          </w:p>
        </w:tc>
        <w:tc>
          <w:tcPr>
            <w:tcW w:w="262"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right"/>
              <w:rPr>
                <w:rFonts w:ascii="Arial" w:hAnsi="Arial" w:cs="Arial" w:eastAsia="Arial" w:hint="default"/>
                <w:sz w:val="18"/>
                <w:szCs w:val="18"/>
              </w:rPr>
            </w:pPr>
            <w:r>
              <w:rPr>
                <w:rFonts w:ascii="Arial"/>
                <w:spacing w:val="-1"/>
                <w:sz w:val="18"/>
              </w:rPr>
              <w:t>0.0830</w:t>
            </w:r>
            <w:r>
              <w:rPr>
                <w:rFonts w:ascii="Arial"/>
                <w:sz w:val="18"/>
              </w:rPr>
            </w:r>
          </w:p>
        </w:tc>
        <w:tc>
          <w:tcPr>
            <w:tcW w:w="903" w:type="dxa"/>
            <w:tcBorders>
              <w:top w:val="nil" w:sz="6" w:space="0" w:color="auto"/>
              <w:left w:val="nil" w:sz="6" w:space="0" w:color="auto"/>
              <w:bottom w:val="single" w:sz="4" w:space="0" w:color="000000"/>
              <w:right w:val="nil" w:sz="6" w:space="0" w:color="auto"/>
            </w:tcBorders>
          </w:tcPr>
          <w:p>
            <w:pPr/>
          </w:p>
        </w:tc>
        <w:tc>
          <w:tcPr>
            <w:tcW w:w="24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9"/>
              <w:jc w:val="right"/>
              <w:rPr>
                <w:rFonts w:ascii="Arial" w:hAnsi="Arial" w:cs="Arial" w:eastAsia="Arial" w:hint="default"/>
                <w:sz w:val="18"/>
                <w:szCs w:val="18"/>
              </w:rPr>
            </w:pPr>
            <w:r>
              <w:rPr>
                <w:rFonts w:ascii="Arial"/>
                <w:w w:val="99"/>
                <w:sz w:val="18"/>
              </w:rPr>
              <w:t>1</w:t>
            </w:r>
            <w:r>
              <w:rPr>
                <w:rFonts w:ascii="Arial"/>
                <w:sz w:val="18"/>
              </w:rPr>
            </w:r>
          </w:p>
        </w:tc>
        <w:tc>
          <w:tcPr>
            <w:tcW w:w="67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19" w:right="0"/>
              <w:jc w:val="left"/>
              <w:rPr>
                <w:rFonts w:ascii="Arial" w:hAnsi="Arial" w:cs="Arial" w:eastAsia="Arial" w:hint="default"/>
                <w:sz w:val="18"/>
                <w:szCs w:val="18"/>
              </w:rPr>
            </w:pPr>
            <w:r>
              <w:rPr>
                <w:rFonts w:ascii="Arial"/>
                <w:sz w:val="18"/>
              </w:rPr>
              <w:t>2,984</w:t>
            </w:r>
          </w:p>
        </w:tc>
      </w:tr>
      <w:tr>
        <w:trPr>
          <w:trHeight w:val="307" w:hRule="exact"/>
        </w:trPr>
        <w:tc>
          <w:tcPr>
            <w:tcW w:w="703"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1167" w:type="dxa"/>
            <w:gridSpan w:val="2"/>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
        </w:tc>
        <w:tc>
          <w:tcPr>
            <w:tcW w:w="179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2"/>
              <w:ind w:left="662" w:right="0"/>
              <w:jc w:val="left"/>
              <w:rPr>
                <w:rFonts w:ascii="Arial" w:hAnsi="Arial" w:cs="Arial" w:eastAsia="Arial" w:hint="default"/>
                <w:sz w:val="18"/>
                <w:szCs w:val="18"/>
              </w:rPr>
            </w:pPr>
            <w:r>
              <w:rPr>
                <w:rFonts w:ascii="Arial"/>
                <w:sz w:val="18"/>
              </w:rPr>
              <w:t>52,923</w:t>
            </w:r>
          </w:p>
        </w:tc>
        <w:tc>
          <w:tcPr>
            <w:tcW w:w="898"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
        </w:tc>
        <w:tc>
          <w:tcPr>
            <w:tcW w:w="903" w:type="dxa"/>
            <w:tcBorders>
              <w:top w:val="single" w:sz="4" w:space="0" w:color="000000"/>
              <w:left w:val="nil" w:sz="6" w:space="0" w:color="auto"/>
              <w:bottom w:val="single" w:sz="12" w:space="0" w:color="000000"/>
              <w:right w:val="nil" w:sz="6" w:space="0" w:color="auto"/>
            </w:tcBorders>
          </w:tcPr>
          <w:p>
            <w:pPr/>
          </w:p>
        </w:tc>
        <w:tc>
          <w:tcPr>
            <w:tcW w:w="245"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9"/>
              <w:jc w:val="right"/>
              <w:rPr>
                <w:rFonts w:ascii="Arial" w:hAnsi="Arial" w:cs="Arial" w:eastAsia="Arial" w:hint="default"/>
                <w:sz w:val="18"/>
                <w:szCs w:val="18"/>
              </w:rPr>
            </w:pPr>
            <w:r>
              <w:rPr>
                <w:rFonts w:ascii="Arial"/>
                <w:w w:val="99"/>
                <w:sz w:val="18"/>
              </w:rPr>
              <w:t>5</w:t>
            </w:r>
            <w:r>
              <w:rPr>
                <w:rFonts w:ascii="Arial"/>
                <w:sz w:val="18"/>
              </w:rPr>
            </w:r>
          </w:p>
        </w:tc>
        <w:tc>
          <w:tcPr>
            <w:tcW w:w="670"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19" w:right="0"/>
              <w:jc w:val="left"/>
              <w:rPr>
                <w:rFonts w:ascii="Arial" w:hAnsi="Arial" w:cs="Arial" w:eastAsia="Arial" w:hint="default"/>
                <w:sz w:val="18"/>
                <w:szCs w:val="18"/>
              </w:rPr>
            </w:pPr>
            <w:r>
              <w:rPr>
                <w:rFonts w:ascii="Arial"/>
                <w:sz w:val="18"/>
              </w:rPr>
              <w:t>1,490</w:t>
            </w:r>
          </w:p>
        </w:tc>
      </w:tr>
    </w:tbl>
    <w:p>
      <w:pPr>
        <w:spacing w:after="0" w:line="240" w:lineRule="auto"/>
        <w:jc w:val="left"/>
        <w:rPr>
          <w:rFonts w:ascii="Arial" w:hAnsi="Arial" w:cs="Arial" w:eastAsia="Arial" w:hint="default"/>
          <w:sz w:val="18"/>
          <w:szCs w:val="18"/>
        </w:rPr>
        <w:sectPr>
          <w:footerReference w:type="default" r:id="rId75"/>
          <w:pgSz w:w="11910" w:h="16850"/>
          <w:pgMar w:footer="708" w:header="795" w:top="2020" w:bottom="900" w:left="1420" w:right="0"/>
          <w:pgNumType w:start="15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3400" type="#_x0000_t75" stroked="false">
            <v:imagedata r:id="rId10" o:title=""/>
          </v:shape>
        </w:pict>
      </w:r>
    </w:p>
    <w:p>
      <w:pPr>
        <w:spacing w:line="240" w:lineRule="auto" w:before="2"/>
        <w:rPr>
          <w:rFonts w:ascii="Times New Roman" w:hAnsi="Times New Roman" w:cs="Times New Roman" w:eastAsia="Times New Roman" w:hint="default"/>
          <w:sz w:val="13"/>
          <w:szCs w:val="13"/>
        </w:rPr>
      </w:pPr>
    </w:p>
    <w:tbl>
      <w:tblPr>
        <w:tblW w:w="0" w:type="auto"/>
        <w:jc w:val="left"/>
        <w:tblInd w:w="188" w:type="dxa"/>
        <w:tblLayout w:type="fixed"/>
        <w:tblCellMar>
          <w:top w:w="0" w:type="dxa"/>
          <w:left w:w="0" w:type="dxa"/>
          <w:bottom w:w="0" w:type="dxa"/>
          <w:right w:w="0" w:type="dxa"/>
        </w:tblCellMar>
        <w:tblLook w:val="01E0"/>
      </w:tblPr>
      <w:tblGrid>
        <w:gridCol w:w="709"/>
        <w:gridCol w:w="1130"/>
        <w:gridCol w:w="1196"/>
        <w:gridCol w:w="235"/>
        <w:gridCol w:w="1094"/>
        <w:gridCol w:w="230"/>
        <w:gridCol w:w="1186"/>
        <w:gridCol w:w="228"/>
        <w:gridCol w:w="1222"/>
        <w:gridCol w:w="236"/>
        <w:gridCol w:w="979"/>
        <w:gridCol w:w="235"/>
        <w:gridCol w:w="1332"/>
      </w:tblGrid>
      <w:tr>
        <w:trPr>
          <w:trHeight w:val="457"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exact"/>
              <w:ind w:right="67"/>
              <w:jc w:val="center"/>
              <w:rPr>
                <w:rFonts w:ascii="黑体" w:hAnsi="黑体" w:cs="黑体" w:eastAsia="黑体" w:hint="default"/>
                <w:sz w:val="24"/>
                <w:szCs w:val="24"/>
              </w:rPr>
            </w:pPr>
            <w:r>
              <w:rPr>
                <w:rFonts w:ascii="黑体" w:hAnsi="黑体" w:cs="黑体" w:eastAsia="黑体" w:hint="default"/>
                <w:sz w:val="24"/>
                <w:szCs w:val="24"/>
              </w:rPr>
              <w:t>五</w:t>
            </w:r>
          </w:p>
        </w:tc>
        <w:tc>
          <w:tcPr>
            <w:tcW w:w="3655" w:type="dxa"/>
            <w:gridSpan w:val="4"/>
            <w:tcBorders>
              <w:top w:val="nil" w:sz="6" w:space="0" w:color="auto"/>
              <w:left w:val="nil" w:sz="6" w:space="0" w:color="auto"/>
              <w:bottom w:val="nil" w:sz="6" w:space="0" w:color="auto"/>
              <w:right w:val="nil" w:sz="6" w:space="0" w:color="auto"/>
            </w:tcBorders>
          </w:tcPr>
          <w:p>
            <w:pPr>
              <w:pStyle w:val="TableParagraph"/>
              <w:spacing w:line="257" w:lineRule="exact"/>
              <w:ind w:left="215"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0"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r>
      <w:tr>
        <w:trPr>
          <w:trHeight w:val="663"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3"/>
              <w:jc w:val="center"/>
              <w:rPr>
                <w:rFonts w:ascii="Arial" w:hAnsi="Arial" w:cs="Arial" w:eastAsia="Arial" w:hint="default"/>
                <w:sz w:val="24"/>
                <w:szCs w:val="24"/>
              </w:rPr>
            </w:pPr>
            <w:r>
              <w:rPr>
                <w:rFonts w:ascii="Arial"/>
                <w:sz w:val="24"/>
              </w:rPr>
              <w:t>(7)</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16"/>
              <w:jc w:val="center"/>
              <w:rPr>
                <w:rFonts w:ascii="黑体" w:hAnsi="黑体" w:cs="黑体" w:eastAsia="黑体" w:hint="default"/>
                <w:sz w:val="24"/>
                <w:szCs w:val="24"/>
              </w:rPr>
            </w:pPr>
            <w:r>
              <w:rPr>
                <w:rFonts w:ascii="黑体" w:hAnsi="黑体" w:cs="黑体" w:eastAsia="黑体" w:hint="default"/>
                <w:sz w:val="24"/>
                <w:szCs w:val="24"/>
              </w:rPr>
              <w:t>存货</w:t>
            </w:r>
          </w:p>
        </w:tc>
        <w:tc>
          <w:tcPr>
            <w:tcW w:w="1196"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r>
      <w:tr>
        <w:trPr>
          <w:trHeight w:val="671"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3"/>
              <w:jc w:val="center"/>
              <w:rPr>
                <w:rFonts w:ascii="Arial" w:hAnsi="Arial" w:cs="Arial" w:eastAsia="Arial" w:hint="default"/>
                <w:sz w:val="24"/>
                <w:szCs w:val="24"/>
              </w:rPr>
            </w:pPr>
            <w:r>
              <w:rPr>
                <w:rFonts w:ascii="Arial"/>
                <w:sz w:val="24"/>
              </w:rPr>
              <w:t>(a)</w:t>
            </w:r>
          </w:p>
        </w:tc>
        <w:tc>
          <w:tcPr>
            <w:tcW w:w="23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3"/>
              <w:ind w:left="215" w:right="0"/>
              <w:jc w:val="left"/>
              <w:rPr>
                <w:rFonts w:ascii="宋体" w:hAnsi="宋体" w:cs="宋体" w:eastAsia="宋体" w:hint="default"/>
                <w:sz w:val="24"/>
                <w:szCs w:val="24"/>
              </w:rPr>
            </w:pPr>
            <w:r>
              <w:rPr>
                <w:rFonts w:ascii="宋体" w:hAnsi="宋体" w:cs="宋体" w:eastAsia="宋体" w:hint="default"/>
                <w:sz w:val="24"/>
                <w:szCs w:val="24"/>
              </w:rPr>
              <w:t>存货分类如下：</w:t>
            </w:r>
          </w:p>
        </w:tc>
        <w:tc>
          <w:tcPr>
            <w:tcW w:w="23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r>
      <w:tr>
        <w:trPr>
          <w:trHeight w:val="535" w:hRule="exact"/>
        </w:trPr>
        <w:tc>
          <w:tcPr>
            <w:tcW w:w="709"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3942"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139"/>
              <w:ind w:left="929"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4232"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39"/>
              <w:ind w:left="1202"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708" w:hRule="exact"/>
        </w:trPr>
        <w:tc>
          <w:tcPr>
            <w:tcW w:w="709"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196" w:type="dxa"/>
            <w:tcBorders>
              <w:top w:val="single" w:sz="4" w:space="0" w:color="000000"/>
              <w:left w:val="nil" w:sz="6" w:space="0" w:color="auto"/>
              <w:bottom w:val="nil" w:sz="6" w:space="0" w:color="auto"/>
              <w:right w:val="nil" w:sz="6" w:space="0" w:color="auto"/>
            </w:tcBorders>
          </w:tcPr>
          <w:p>
            <w:pPr>
              <w:pStyle w:val="TableParagraph"/>
              <w:spacing w:line="203" w:lineRule="exact"/>
              <w:ind w:left="751"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40" w:lineRule="auto" w:before="38"/>
              <w:ind w:left="751"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35" w:type="dxa"/>
            <w:tcBorders>
              <w:top w:val="single" w:sz="4" w:space="0" w:color="000000"/>
              <w:left w:val="nil" w:sz="6" w:space="0" w:color="auto"/>
              <w:bottom w:val="nil" w:sz="6" w:space="0" w:color="auto"/>
              <w:right w:val="nil" w:sz="6" w:space="0" w:color="auto"/>
            </w:tcBorders>
          </w:tcPr>
          <w:p>
            <w:pPr/>
          </w:p>
        </w:tc>
        <w:tc>
          <w:tcPr>
            <w:tcW w:w="1094" w:type="dxa"/>
            <w:tcBorders>
              <w:top w:val="single" w:sz="4" w:space="0" w:color="000000"/>
              <w:left w:val="nil" w:sz="6" w:space="0" w:color="auto"/>
              <w:bottom w:val="nil" w:sz="6" w:space="0" w:color="auto"/>
              <w:right w:val="nil" w:sz="6" w:space="0" w:color="auto"/>
            </w:tcBorders>
          </w:tcPr>
          <w:p>
            <w:pPr>
              <w:pStyle w:val="TableParagraph"/>
              <w:spacing w:line="203" w:lineRule="exact"/>
              <w:ind w:left="470" w:right="0"/>
              <w:jc w:val="left"/>
              <w:rPr>
                <w:rFonts w:ascii="宋体" w:hAnsi="宋体" w:cs="宋体" w:eastAsia="宋体" w:hint="default"/>
                <w:sz w:val="18"/>
                <w:szCs w:val="18"/>
              </w:rPr>
            </w:pPr>
            <w:r>
              <w:rPr>
                <w:rFonts w:ascii="宋体" w:hAnsi="宋体" w:cs="宋体" w:eastAsia="宋体" w:hint="default"/>
                <w:sz w:val="18"/>
                <w:szCs w:val="18"/>
              </w:rPr>
              <w:t>存货跌</w:t>
            </w:r>
          </w:p>
          <w:p>
            <w:pPr>
              <w:pStyle w:val="TableParagraph"/>
              <w:spacing w:line="240" w:lineRule="auto" w:before="38"/>
              <w:ind w:left="470" w:right="0"/>
              <w:jc w:val="left"/>
              <w:rPr>
                <w:rFonts w:ascii="宋体" w:hAnsi="宋体" w:cs="宋体" w:eastAsia="宋体" w:hint="default"/>
                <w:sz w:val="18"/>
                <w:szCs w:val="18"/>
              </w:rPr>
            </w:pPr>
            <w:r>
              <w:rPr>
                <w:rFonts w:ascii="宋体" w:hAnsi="宋体" w:cs="宋体" w:eastAsia="宋体" w:hint="default"/>
                <w:sz w:val="18"/>
                <w:szCs w:val="18"/>
              </w:rPr>
              <w:t>价准备</w:t>
            </w:r>
          </w:p>
        </w:tc>
        <w:tc>
          <w:tcPr>
            <w:tcW w:w="230" w:type="dxa"/>
            <w:tcBorders>
              <w:top w:val="single" w:sz="4" w:space="0" w:color="000000"/>
              <w:left w:val="nil" w:sz="6" w:space="0" w:color="auto"/>
              <w:bottom w:val="nil" w:sz="6" w:space="0" w:color="auto"/>
              <w:right w:val="nil" w:sz="6" w:space="0" w:color="auto"/>
            </w:tcBorders>
          </w:tcPr>
          <w:p>
            <w:pPr/>
          </w:p>
        </w:tc>
        <w:tc>
          <w:tcPr>
            <w:tcW w:w="1186" w:type="dxa"/>
            <w:tcBorders>
              <w:top w:val="single" w:sz="4" w:space="0" w:color="000000"/>
              <w:left w:val="nil" w:sz="6" w:space="0" w:color="auto"/>
              <w:bottom w:val="nil" w:sz="6" w:space="0" w:color="auto"/>
              <w:right w:val="nil" w:sz="6" w:space="0" w:color="auto"/>
            </w:tcBorders>
          </w:tcPr>
          <w:p>
            <w:pPr>
              <w:pStyle w:val="TableParagraph"/>
              <w:spacing w:line="203" w:lineRule="exact"/>
              <w:ind w:left="742"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40" w:lineRule="auto" w:before="38"/>
              <w:ind w:left="74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228" w:type="dxa"/>
            <w:tcBorders>
              <w:top w:val="nil" w:sz="6" w:space="0" w:color="auto"/>
              <w:left w:val="nil" w:sz="6" w:space="0" w:color="auto"/>
              <w:bottom w:val="nil" w:sz="6" w:space="0" w:color="auto"/>
              <w:right w:val="nil" w:sz="6" w:space="0" w:color="auto"/>
            </w:tcBorders>
          </w:tcPr>
          <w:p>
            <w:pPr/>
          </w:p>
        </w:tc>
        <w:tc>
          <w:tcPr>
            <w:tcW w:w="1222" w:type="dxa"/>
            <w:tcBorders>
              <w:top w:val="single" w:sz="4" w:space="0" w:color="000000"/>
              <w:left w:val="nil" w:sz="6" w:space="0" w:color="auto"/>
              <w:bottom w:val="nil" w:sz="6" w:space="0" w:color="auto"/>
              <w:right w:val="nil" w:sz="6" w:space="0" w:color="auto"/>
            </w:tcBorders>
          </w:tcPr>
          <w:p>
            <w:pPr>
              <w:pStyle w:val="TableParagraph"/>
              <w:spacing w:line="203" w:lineRule="exact"/>
              <w:ind w:left="777"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40" w:lineRule="auto" w:before="38"/>
              <w:ind w:left="777"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36" w:type="dxa"/>
            <w:tcBorders>
              <w:top w:val="single" w:sz="4" w:space="0" w:color="000000"/>
              <w:left w:val="nil" w:sz="6" w:space="0" w:color="auto"/>
              <w:bottom w:val="nil" w:sz="6" w:space="0" w:color="auto"/>
              <w:right w:val="nil" w:sz="6" w:space="0" w:color="auto"/>
            </w:tcBorders>
          </w:tcPr>
          <w:p>
            <w:pPr/>
          </w:p>
        </w:tc>
        <w:tc>
          <w:tcPr>
            <w:tcW w:w="979" w:type="dxa"/>
            <w:tcBorders>
              <w:top w:val="single" w:sz="4" w:space="0" w:color="000000"/>
              <w:left w:val="nil" w:sz="6" w:space="0" w:color="auto"/>
              <w:bottom w:val="nil" w:sz="6" w:space="0" w:color="auto"/>
              <w:right w:val="nil" w:sz="6" w:space="0" w:color="auto"/>
            </w:tcBorders>
          </w:tcPr>
          <w:p>
            <w:pPr>
              <w:pStyle w:val="TableParagraph"/>
              <w:spacing w:line="203" w:lineRule="exact"/>
              <w:ind w:left="355" w:right="0"/>
              <w:jc w:val="left"/>
              <w:rPr>
                <w:rFonts w:ascii="宋体" w:hAnsi="宋体" w:cs="宋体" w:eastAsia="宋体" w:hint="default"/>
                <w:sz w:val="18"/>
                <w:szCs w:val="18"/>
              </w:rPr>
            </w:pPr>
            <w:r>
              <w:rPr>
                <w:rFonts w:ascii="宋体" w:hAnsi="宋体" w:cs="宋体" w:eastAsia="宋体" w:hint="default"/>
                <w:sz w:val="18"/>
                <w:szCs w:val="18"/>
              </w:rPr>
              <w:t>存货跌</w:t>
            </w:r>
          </w:p>
          <w:p>
            <w:pPr>
              <w:pStyle w:val="TableParagraph"/>
              <w:spacing w:line="240" w:lineRule="auto" w:before="38"/>
              <w:ind w:left="355" w:right="0"/>
              <w:jc w:val="left"/>
              <w:rPr>
                <w:rFonts w:ascii="宋体" w:hAnsi="宋体" w:cs="宋体" w:eastAsia="宋体" w:hint="default"/>
                <w:sz w:val="18"/>
                <w:szCs w:val="18"/>
              </w:rPr>
            </w:pPr>
            <w:r>
              <w:rPr>
                <w:rFonts w:ascii="宋体" w:hAnsi="宋体" w:cs="宋体" w:eastAsia="宋体" w:hint="default"/>
                <w:sz w:val="18"/>
                <w:szCs w:val="18"/>
              </w:rPr>
              <w:t>价准备</w:t>
            </w:r>
          </w:p>
        </w:tc>
        <w:tc>
          <w:tcPr>
            <w:tcW w:w="235" w:type="dxa"/>
            <w:tcBorders>
              <w:top w:val="single" w:sz="4" w:space="0" w:color="000000"/>
              <w:left w:val="nil" w:sz="6" w:space="0" w:color="auto"/>
              <w:bottom w:val="nil" w:sz="6" w:space="0" w:color="auto"/>
              <w:right w:val="nil" w:sz="6" w:space="0" w:color="auto"/>
            </w:tcBorders>
          </w:tcPr>
          <w:p>
            <w:pPr/>
          </w:p>
        </w:tc>
        <w:tc>
          <w:tcPr>
            <w:tcW w:w="1332" w:type="dxa"/>
            <w:tcBorders>
              <w:top w:val="single" w:sz="4" w:space="0" w:color="000000"/>
              <w:left w:val="nil" w:sz="6" w:space="0" w:color="auto"/>
              <w:bottom w:val="nil" w:sz="6" w:space="0" w:color="auto"/>
              <w:right w:val="nil" w:sz="6" w:space="0" w:color="auto"/>
            </w:tcBorders>
          </w:tcPr>
          <w:p>
            <w:pPr>
              <w:pStyle w:val="TableParagraph"/>
              <w:spacing w:line="203" w:lineRule="exact"/>
              <w:ind w:left="16" w:right="0"/>
              <w:jc w:val="center"/>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40" w:lineRule="auto" w:before="38"/>
              <w:ind w:left="16" w:right="0"/>
              <w:jc w:val="center"/>
              <w:rPr>
                <w:rFonts w:ascii="宋体" w:hAnsi="宋体" w:cs="宋体" w:eastAsia="宋体" w:hint="default"/>
                <w:sz w:val="18"/>
                <w:szCs w:val="18"/>
              </w:rPr>
            </w:pPr>
            <w:r>
              <w:rPr>
                <w:rFonts w:ascii="宋体" w:hAnsi="宋体" w:cs="宋体" w:eastAsia="宋体" w:hint="default"/>
                <w:sz w:val="18"/>
                <w:szCs w:val="18"/>
              </w:rPr>
              <w:t>价值</w:t>
            </w:r>
          </w:p>
        </w:tc>
      </w:tr>
      <w:tr>
        <w:trPr>
          <w:trHeight w:val="464" w:hRule="exact"/>
        </w:trPr>
        <w:tc>
          <w:tcPr>
            <w:tcW w:w="709"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59"/>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81"/>
              <w:jc w:val="right"/>
              <w:rPr>
                <w:rFonts w:ascii="Arial" w:hAnsi="Arial" w:cs="Arial" w:eastAsia="Arial" w:hint="default"/>
                <w:sz w:val="18"/>
                <w:szCs w:val="18"/>
              </w:rPr>
            </w:pPr>
            <w:r>
              <w:rPr>
                <w:rFonts w:ascii="Arial"/>
                <w:spacing w:val="-1"/>
                <w:sz w:val="18"/>
              </w:rPr>
              <w:t>17,279,077</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80"/>
              <w:jc w:val="right"/>
              <w:rPr>
                <w:rFonts w:ascii="Arial" w:hAnsi="Arial" w:cs="Arial" w:eastAsia="Arial" w:hint="default"/>
                <w:sz w:val="18"/>
                <w:szCs w:val="18"/>
              </w:rPr>
            </w:pPr>
            <w:r>
              <w:rPr>
                <w:rFonts w:ascii="Arial"/>
                <w:spacing w:val="-1"/>
                <w:sz w:val="18"/>
              </w:rPr>
              <w:t>(109,990)</w:t>
            </w:r>
          </w:p>
        </w:tc>
        <w:tc>
          <w:tcPr>
            <w:tcW w:w="230"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81"/>
              <w:jc w:val="right"/>
              <w:rPr>
                <w:rFonts w:ascii="Arial" w:hAnsi="Arial" w:cs="Arial" w:eastAsia="Arial" w:hint="default"/>
                <w:sz w:val="18"/>
                <w:szCs w:val="18"/>
              </w:rPr>
            </w:pPr>
            <w:r>
              <w:rPr>
                <w:rFonts w:ascii="Arial"/>
                <w:spacing w:val="-1"/>
                <w:sz w:val="18"/>
              </w:rPr>
              <w:t>17,169,087</w:t>
            </w:r>
          </w:p>
        </w:tc>
        <w:tc>
          <w:tcPr>
            <w:tcW w:w="228"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82"/>
              <w:jc w:val="right"/>
              <w:rPr>
                <w:rFonts w:ascii="Arial" w:hAnsi="Arial" w:cs="Arial" w:eastAsia="Arial" w:hint="default"/>
                <w:sz w:val="18"/>
                <w:szCs w:val="18"/>
              </w:rPr>
            </w:pPr>
            <w:r>
              <w:rPr>
                <w:rFonts w:ascii="Arial"/>
                <w:spacing w:val="-1"/>
                <w:sz w:val="18"/>
              </w:rPr>
              <w:t>13,390,755</w:t>
            </w:r>
          </w:p>
        </w:tc>
        <w:tc>
          <w:tcPr>
            <w:tcW w:w="236"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82"/>
              <w:jc w:val="right"/>
              <w:rPr>
                <w:rFonts w:ascii="Arial" w:hAnsi="Arial" w:cs="Arial" w:eastAsia="Arial" w:hint="default"/>
                <w:sz w:val="18"/>
                <w:szCs w:val="18"/>
              </w:rPr>
            </w:pPr>
            <w:r>
              <w:rPr>
                <w:rFonts w:ascii="Arial"/>
                <w:spacing w:val="-1"/>
                <w:sz w:val="18"/>
              </w:rPr>
              <w:t>(41,534)</w:t>
            </w:r>
          </w:p>
        </w:tc>
        <w:tc>
          <w:tcPr>
            <w:tcW w:w="235"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3" w:right="0"/>
              <w:jc w:val="center"/>
              <w:rPr>
                <w:rFonts w:ascii="Arial" w:hAnsi="Arial" w:cs="Arial" w:eastAsia="Arial" w:hint="default"/>
                <w:sz w:val="18"/>
                <w:szCs w:val="18"/>
              </w:rPr>
            </w:pPr>
            <w:r>
              <w:rPr>
                <w:rFonts w:ascii="Arial"/>
                <w:sz w:val="18"/>
              </w:rPr>
              <w:t>13,349,221</w:t>
            </w:r>
          </w:p>
        </w:tc>
      </w:tr>
      <w:tr>
        <w:trPr>
          <w:trHeight w:val="564" w:hRule="exact"/>
        </w:trPr>
        <w:tc>
          <w:tcPr>
            <w:tcW w:w="709"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15" w:lineRule="exact"/>
              <w:ind w:left="282" w:right="0" w:hanging="159"/>
              <w:jc w:val="left"/>
              <w:rPr>
                <w:rFonts w:ascii="宋体" w:hAnsi="宋体" w:cs="宋体" w:eastAsia="宋体" w:hint="default"/>
                <w:sz w:val="18"/>
                <w:szCs w:val="18"/>
              </w:rPr>
            </w:pPr>
            <w:r>
              <w:rPr>
                <w:rFonts w:ascii="宋体" w:hAnsi="宋体" w:cs="宋体" w:eastAsia="宋体" w:hint="default"/>
                <w:sz w:val="18"/>
                <w:szCs w:val="18"/>
              </w:rPr>
              <w:t>安装维修</w:t>
            </w:r>
          </w:p>
          <w:p>
            <w:pPr>
              <w:pStyle w:val="TableParagraph"/>
              <w:spacing w:line="240" w:lineRule="auto" w:before="38"/>
              <w:ind w:left="282" w:right="0"/>
              <w:jc w:val="left"/>
              <w:rPr>
                <w:rFonts w:ascii="宋体" w:hAnsi="宋体" w:cs="宋体" w:eastAsia="宋体" w:hint="default"/>
                <w:sz w:val="18"/>
                <w:szCs w:val="18"/>
              </w:rPr>
            </w:pPr>
            <w:r>
              <w:rPr>
                <w:rFonts w:ascii="宋体" w:hAnsi="宋体" w:cs="宋体" w:eastAsia="宋体" w:hint="default"/>
                <w:sz w:val="18"/>
                <w:szCs w:val="18"/>
              </w:rPr>
              <w:t>用备件</w:t>
            </w: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80"/>
              <w:jc w:val="right"/>
              <w:rPr>
                <w:rFonts w:ascii="Arial" w:hAnsi="Arial" w:cs="Arial" w:eastAsia="Arial" w:hint="default"/>
                <w:sz w:val="18"/>
                <w:szCs w:val="18"/>
              </w:rPr>
            </w:pPr>
            <w:r>
              <w:rPr>
                <w:rFonts w:ascii="Arial"/>
                <w:spacing w:val="-1"/>
                <w:sz w:val="18"/>
              </w:rPr>
              <w:t>53,397</w:t>
            </w:r>
          </w:p>
        </w:tc>
        <w:tc>
          <w:tcPr>
            <w:tcW w:w="23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13"/>
              <w:jc w:val="right"/>
              <w:rPr>
                <w:rFonts w:ascii="Arial" w:hAnsi="Arial" w:cs="Arial" w:eastAsia="Arial" w:hint="default"/>
                <w:sz w:val="18"/>
                <w:szCs w:val="18"/>
              </w:rPr>
            </w:pPr>
            <w:r>
              <w:rPr>
                <w:rFonts w:ascii="Arial"/>
                <w:w w:val="99"/>
                <w:sz w:val="18"/>
              </w:rPr>
              <w:t>-</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80"/>
              <w:jc w:val="right"/>
              <w:rPr>
                <w:rFonts w:ascii="Arial" w:hAnsi="Arial" w:cs="Arial" w:eastAsia="Arial" w:hint="default"/>
                <w:sz w:val="18"/>
                <w:szCs w:val="18"/>
              </w:rPr>
            </w:pPr>
            <w:r>
              <w:rPr>
                <w:rFonts w:ascii="Arial"/>
                <w:spacing w:val="-1"/>
                <w:sz w:val="18"/>
              </w:rPr>
              <w:t>53,397</w:t>
            </w:r>
          </w:p>
        </w:tc>
        <w:tc>
          <w:tcPr>
            <w:tcW w:w="228"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Arial" w:hAnsi="Arial" w:cs="Arial" w:eastAsia="Arial" w:hint="default"/>
                <w:sz w:val="18"/>
                <w:szCs w:val="18"/>
              </w:rPr>
            </w:pPr>
            <w:r>
              <w:rPr>
                <w:rFonts w:ascii="Arial"/>
                <w:spacing w:val="-1"/>
                <w:sz w:val="18"/>
              </w:rPr>
              <w:t>77,520</w:t>
            </w:r>
          </w:p>
        </w:tc>
        <w:tc>
          <w:tcPr>
            <w:tcW w:w="236"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15"/>
              <w:jc w:val="right"/>
              <w:rPr>
                <w:rFonts w:ascii="Arial" w:hAnsi="Arial" w:cs="Arial" w:eastAsia="Arial" w:hint="default"/>
                <w:sz w:val="18"/>
                <w:szCs w:val="18"/>
              </w:rPr>
            </w:pPr>
            <w:r>
              <w:rPr>
                <w:rFonts w:ascii="Arial"/>
                <w:w w:val="99"/>
                <w:sz w:val="18"/>
              </w:rPr>
              <w:t>-</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5" w:right="0"/>
              <w:jc w:val="center"/>
              <w:rPr>
                <w:rFonts w:ascii="Arial" w:hAnsi="Arial" w:cs="Arial" w:eastAsia="Arial" w:hint="default"/>
                <w:sz w:val="18"/>
                <w:szCs w:val="18"/>
              </w:rPr>
            </w:pPr>
            <w:r>
              <w:rPr>
                <w:rFonts w:ascii="Arial"/>
                <w:sz w:val="18"/>
              </w:rPr>
              <w:t>77,520</w:t>
            </w:r>
          </w:p>
        </w:tc>
      </w:tr>
      <w:tr>
        <w:trPr>
          <w:trHeight w:val="338" w:hRule="exact"/>
        </w:trPr>
        <w:tc>
          <w:tcPr>
            <w:tcW w:w="709"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196"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81"/>
              <w:jc w:val="right"/>
              <w:rPr>
                <w:rFonts w:ascii="Arial" w:hAnsi="Arial" w:cs="Arial" w:eastAsia="Arial" w:hint="default"/>
                <w:sz w:val="18"/>
                <w:szCs w:val="18"/>
              </w:rPr>
            </w:pPr>
            <w:r>
              <w:rPr>
                <w:rFonts w:ascii="Arial"/>
                <w:spacing w:val="-1"/>
                <w:sz w:val="18"/>
              </w:rPr>
              <w:t>17,332,474</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094"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80"/>
              <w:jc w:val="right"/>
              <w:rPr>
                <w:rFonts w:ascii="Arial" w:hAnsi="Arial" w:cs="Arial" w:eastAsia="Arial" w:hint="default"/>
                <w:sz w:val="18"/>
                <w:szCs w:val="18"/>
              </w:rPr>
            </w:pPr>
            <w:r>
              <w:rPr>
                <w:rFonts w:ascii="Arial"/>
                <w:spacing w:val="-1"/>
                <w:sz w:val="18"/>
              </w:rPr>
              <w:t>(109,990)</w:t>
            </w:r>
          </w:p>
        </w:tc>
        <w:tc>
          <w:tcPr>
            <w:tcW w:w="230" w:type="dxa"/>
            <w:tcBorders>
              <w:top w:val="nil" w:sz="6" w:space="0" w:color="auto"/>
              <w:left w:val="nil" w:sz="6" w:space="0" w:color="auto"/>
              <w:bottom w:val="nil" w:sz="6" w:space="0" w:color="auto"/>
              <w:right w:val="nil" w:sz="6" w:space="0" w:color="auto"/>
            </w:tcBorders>
          </w:tcPr>
          <w:p>
            <w:pPr/>
          </w:p>
        </w:tc>
        <w:tc>
          <w:tcPr>
            <w:tcW w:w="1186"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82"/>
              <w:jc w:val="right"/>
              <w:rPr>
                <w:rFonts w:ascii="Arial" w:hAnsi="Arial" w:cs="Arial" w:eastAsia="Arial" w:hint="default"/>
                <w:sz w:val="18"/>
                <w:szCs w:val="18"/>
              </w:rPr>
            </w:pPr>
            <w:r>
              <w:rPr>
                <w:rFonts w:ascii="Arial"/>
                <w:spacing w:val="-1"/>
                <w:sz w:val="18"/>
              </w:rPr>
              <w:t>17,222,484</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222"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82"/>
              <w:jc w:val="right"/>
              <w:rPr>
                <w:rFonts w:ascii="Arial" w:hAnsi="Arial" w:cs="Arial" w:eastAsia="Arial" w:hint="default"/>
                <w:sz w:val="18"/>
                <w:szCs w:val="18"/>
              </w:rPr>
            </w:pPr>
            <w:r>
              <w:rPr>
                <w:rFonts w:ascii="Arial"/>
                <w:spacing w:val="-1"/>
                <w:sz w:val="18"/>
              </w:rPr>
              <w:t>13,468,275</w:t>
            </w:r>
          </w:p>
        </w:tc>
        <w:tc>
          <w:tcPr>
            <w:tcW w:w="236" w:type="dxa"/>
            <w:tcBorders>
              <w:top w:val="nil" w:sz="6" w:space="0" w:color="auto"/>
              <w:left w:val="nil" w:sz="6" w:space="0" w:color="auto"/>
              <w:bottom w:val="nil" w:sz="6" w:space="0" w:color="auto"/>
              <w:right w:val="nil" w:sz="6" w:space="0" w:color="auto"/>
            </w:tcBorders>
          </w:tcPr>
          <w:p>
            <w:pPr/>
          </w:p>
        </w:tc>
        <w:tc>
          <w:tcPr>
            <w:tcW w:w="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82"/>
              <w:jc w:val="right"/>
              <w:rPr>
                <w:rFonts w:ascii="Arial" w:hAnsi="Arial" w:cs="Arial" w:eastAsia="Arial" w:hint="default"/>
                <w:sz w:val="18"/>
                <w:szCs w:val="18"/>
              </w:rPr>
            </w:pPr>
            <w:r>
              <w:rPr>
                <w:rFonts w:ascii="Arial"/>
                <w:spacing w:val="-1"/>
                <w:sz w:val="18"/>
              </w:rPr>
              <w:t>(41,534)</w:t>
            </w:r>
          </w:p>
        </w:tc>
        <w:tc>
          <w:tcPr>
            <w:tcW w:w="235" w:type="dxa"/>
            <w:tcBorders>
              <w:top w:val="nil" w:sz="6" w:space="0" w:color="auto"/>
              <w:left w:val="nil" w:sz="6" w:space="0" w:color="auto"/>
              <w:bottom w:val="nil" w:sz="6" w:space="0" w:color="auto"/>
              <w:right w:val="nil" w:sz="6" w:space="0" w:color="auto"/>
            </w:tcBorders>
          </w:tcPr>
          <w:p>
            <w:pPr/>
          </w:p>
        </w:tc>
        <w:tc>
          <w:tcPr>
            <w:tcW w:w="1332"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left="13" w:right="0"/>
              <w:jc w:val="center"/>
              <w:rPr>
                <w:rFonts w:ascii="Arial" w:hAnsi="Arial" w:cs="Arial" w:eastAsia="Arial" w:hint="default"/>
                <w:sz w:val="18"/>
                <w:szCs w:val="18"/>
              </w:rPr>
            </w:pPr>
            <w:r>
              <w:rPr>
                <w:rFonts w:ascii="Arial"/>
                <w:sz w:val="18"/>
              </w:rPr>
              <w:t>13,426,741</w:t>
            </w:r>
          </w:p>
        </w:tc>
      </w:tr>
    </w:tbl>
    <w:p>
      <w:pPr>
        <w:spacing w:line="240" w:lineRule="auto" w:before="1"/>
        <w:rPr>
          <w:rFonts w:ascii="Times New Roman" w:hAnsi="Times New Roman" w:cs="Times New Roman" w:eastAsia="Times New Roman" w:hint="default"/>
          <w:sz w:val="27"/>
          <w:szCs w:val="27"/>
        </w:rPr>
      </w:pPr>
    </w:p>
    <w:tbl>
      <w:tblPr>
        <w:tblW w:w="0" w:type="auto"/>
        <w:jc w:val="left"/>
        <w:tblInd w:w="188" w:type="dxa"/>
        <w:tblLayout w:type="fixed"/>
        <w:tblCellMar>
          <w:top w:w="0" w:type="dxa"/>
          <w:left w:w="0" w:type="dxa"/>
          <w:bottom w:w="0" w:type="dxa"/>
          <w:right w:w="0" w:type="dxa"/>
        </w:tblCellMar>
        <w:tblLook w:val="01E0"/>
      </w:tblPr>
      <w:tblGrid>
        <w:gridCol w:w="709"/>
        <w:gridCol w:w="1415"/>
        <w:gridCol w:w="1970"/>
        <w:gridCol w:w="1889"/>
        <w:gridCol w:w="707"/>
        <w:gridCol w:w="850"/>
        <w:gridCol w:w="1708"/>
      </w:tblGrid>
      <w:tr>
        <w:trPr>
          <w:trHeight w:val="421"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5" w:lineRule="exact"/>
              <w:ind w:right="13"/>
              <w:jc w:val="center"/>
              <w:rPr>
                <w:rFonts w:ascii="Arial" w:hAnsi="Arial" w:cs="Arial" w:eastAsia="Arial" w:hint="default"/>
                <w:sz w:val="24"/>
                <w:szCs w:val="24"/>
              </w:rPr>
            </w:pPr>
            <w:r>
              <w:rPr>
                <w:rFonts w:ascii="Arial"/>
                <w:sz w:val="24"/>
              </w:rPr>
              <w:t>(b)</w:t>
            </w:r>
          </w:p>
        </w:tc>
        <w:tc>
          <w:tcPr>
            <w:tcW w:w="3384"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215" w:right="0"/>
              <w:jc w:val="left"/>
              <w:rPr>
                <w:rFonts w:ascii="宋体" w:hAnsi="宋体" w:cs="宋体" w:eastAsia="宋体" w:hint="default"/>
                <w:sz w:val="24"/>
                <w:szCs w:val="24"/>
              </w:rPr>
            </w:pPr>
            <w:r>
              <w:rPr>
                <w:rFonts w:ascii="宋体" w:hAnsi="宋体" w:cs="宋体" w:eastAsia="宋体" w:hint="default"/>
                <w:sz w:val="24"/>
                <w:szCs w:val="24"/>
              </w:rPr>
              <w:t>存货跌价准备分析如下：</w:t>
            </w:r>
          </w:p>
        </w:tc>
        <w:tc>
          <w:tcPr>
            <w:tcW w:w="1889" w:type="dxa"/>
            <w:tcBorders>
              <w:top w:val="nil" w:sz="6" w:space="0" w:color="auto"/>
              <w:left w:val="nil" w:sz="6" w:space="0" w:color="auto"/>
              <w:bottom w:val="nil" w:sz="6" w:space="0" w:color="auto"/>
              <w:right w:val="nil" w:sz="6" w:space="0" w:color="auto"/>
            </w:tcBorders>
          </w:tcPr>
          <w:p>
            <w:pPr/>
          </w:p>
        </w:tc>
        <w:tc>
          <w:tcPr>
            <w:tcW w:w="707"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
        </w:tc>
      </w:tr>
      <w:tr>
        <w:trPr>
          <w:trHeight w:val="767" w:hRule="exact"/>
        </w:trPr>
        <w:tc>
          <w:tcPr>
            <w:tcW w:w="709"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nil" w:sz="6" w:space="0" w:color="auto"/>
            </w:tcBorders>
          </w:tcPr>
          <w:p>
            <w:pPr>
              <w:pStyle w:val="TableParagraph"/>
              <w:spacing w:line="322" w:lineRule="exact" w:before="100"/>
              <w:ind w:left="863"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322" w:lineRule="exact"/>
              <w:ind w:left="486"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right="309"/>
              <w:jc w:val="right"/>
              <w:rPr>
                <w:rFonts w:ascii="宋体" w:hAnsi="宋体" w:cs="宋体" w:eastAsia="宋体" w:hint="default"/>
                <w:sz w:val="24"/>
                <w:szCs w:val="24"/>
              </w:rPr>
            </w:pPr>
            <w:r>
              <w:rPr>
                <w:rFonts w:ascii="宋体" w:hAnsi="宋体" w:cs="宋体" w:eastAsia="宋体" w:hint="default"/>
                <w:sz w:val="24"/>
                <w:szCs w:val="24"/>
              </w:rPr>
              <w:t>本年计提</w:t>
            </w:r>
          </w:p>
        </w:tc>
        <w:tc>
          <w:tcPr>
            <w:tcW w:w="15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left="307" w:right="0"/>
              <w:jc w:val="left"/>
              <w:rPr>
                <w:rFonts w:ascii="宋体" w:hAnsi="宋体" w:cs="宋体" w:eastAsia="宋体" w:hint="default"/>
                <w:sz w:val="24"/>
                <w:szCs w:val="24"/>
              </w:rPr>
            </w:pPr>
            <w:r>
              <w:rPr>
                <w:rFonts w:ascii="宋体" w:hAnsi="宋体" w:cs="宋体" w:eastAsia="宋体" w:hint="default"/>
                <w:sz w:val="24"/>
                <w:szCs w:val="24"/>
              </w:rPr>
              <w:t>本年回转</w:t>
            </w:r>
          </w:p>
        </w:tc>
        <w:tc>
          <w:tcPr>
            <w:tcW w:w="1708" w:type="dxa"/>
            <w:tcBorders>
              <w:top w:val="nil" w:sz="6" w:space="0" w:color="auto"/>
              <w:left w:val="nil" w:sz="6" w:space="0" w:color="auto"/>
              <w:bottom w:val="nil" w:sz="6" w:space="0" w:color="auto"/>
              <w:right w:val="nil" w:sz="6" w:space="0" w:color="auto"/>
            </w:tcBorders>
          </w:tcPr>
          <w:p>
            <w:pPr>
              <w:pStyle w:val="TableParagraph"/>
              <w:spacing w:line="322" w:lineRule="exact" w:before="100"/>
              <w:ind w:left="649"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left="289"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68" w:hRule="exact"/>
        </w:trPr>
        <w:tc>
          <w:tcPr>
            <w:tcW w:w="709"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tabs>
                <w:tab w:pos="2273" w:val="left" w:leader="none"/>
              </w:tabs>
              <w:spacing w:line="266" w:lineRule="exact"/>
              <w:ind w:left="215" w:right="-859"/>
              <w:jc w:val="left"/>
              <w:rPr>
                <w:rFonts w:ascii="Arial" w:hAnsi="Arial" w:cs="Arial" w:eastAsia="Arial" w:hint="default"/>
                <w:sz w:val="24"/>
                <w:szCs w:val="24"/>
              </w:rPr>
            </w:pPr>
            <w:r>
              <w:rPr>
                <w:rFonts w:ascii="宋体" w:hAnsi="宋体" w:cs="宋体" w:eastAsia="宋体" w:hint="default"/>
                <w:position w:val="2"/>
                <w:sz w:val="24"/>
                <w:szCs w:val="24"/>
              </w:rPr>
              <w:t>库存商品</w:t>
            </w:r>
            <w:r>
              <w:rPr>
                <w:rFonts w:ascii="宋体" w:hAnsi="宋体" w:cs="宋体" w:eastAsia="宋体" w:hint="default"/>
                <w:spacing w:val="38"/>
                <w:position w:val="2"/>
                <w:sz w:val="24"/>
                <w:szCs w:val="24"/>
              </w:rPr>
              <w:t> </w:t>
            </w:r>
            <w:r>
              <w:rPr>
                <w:rFonts w:ascii="Arial" w:hAnsi="Arial" w:cs="Arial" w:eastAsia="Arial" w:hint="default"/>
                <w:spacing w:val="38"/>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858" w:right="0"/>
              <w:jc w:val="left"/>
              <w:rPr>
                <w:rFonts w:ascii="Arial" w:hAnsi="Arial" w:cs="Arial" w:eastAsia="Arial" w:hint="default"/>
                <w:sz w:val="24"/>
                <w:szCs w:val="24"/>
              </w:rPr>
            </w:pPr>
            <w:r>
              <w:rPr>
                <w:rFonts w:ascii="Arial"/>
                <w:w w:val="99"/>
                <w:sz w:val="24"/>
              </w:rPr>
            </w:r>
            <w:r>
              <w:rPr>
                <w:rFonts w:ascii="Arial"/>
                <w:sz w:val="24"/>
                <w:u w:val="thick" w:color="000000"/>
              </w:rPr>
              <w:t>(41,534)</w:t>
            </w:r>
            <w:r>
              <w:rPr>
                <w:rFonts w:ascii="Arial"/>
                <w:sz w:val="24"/>
              </w:rPr>
            </w:r>
          </w:p>
        </w:tc>
        <w:tc>
          <w:tcPr>
            <w:tcW w:w="1889" w:type="dxa"/>
            <w:tcBorders>
              <w:top w:val="nil" w:sz="6" w:space="0" w:color="auto"/>
              <w:left w:val="nil" w:sz="6" w:space="0" w:color="auto"/>
              <w:bottom w:val="nil" w:sz="6" w:space="0" w:color="auto"/>
              <w:right w:val="nil" w:sz="6" w:space="0" w:color="auto"/>
            </w:tcBorders>
          </w:tcPr>
          <w:p>
            <w:pPr>
              <w:pStyle w:val="TableParagraph"/>
              <w:tabs>
                <w:tab w:pos="590" w:val="left" w:leader="none"/>
                <w:tab w:pos="1591" w:val="left" w:leader="none"/>
              </w:tabs>
              <w:spacing w:line="240" w:lineRule="auto" w:before="27"/>
              <w:ind w:right="19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(91,787)</w:t>
              <w:tab/>
            </w:r>
            <w:r>
              <w:rPr>
                <w:rFonts w:ascii="Arial"/>
                <w:spacing w:val="-1"/>
                <w:sz w:val="24"/>
              </w:rPr>
            </w:r>
          </w:p>
        </w:tc>
        <w:tc>
          <w:tcPr>
            <w:tcW w:w="1557" w:type="dxa"/>
            <w:gridSpan w:val="2"/>
            <w:tcBorders>
              <w:top w:val="nil" w:sz="6" w:space="0" w:color="auto"/>
              <w:left w:val="nil" w:sz="6" w:space="0" w:color="auto"/>
              <w:bottom w:val="nil" w:sz="6" w:space="0" w:color="auto"/>
              <w:right w:val="nil" w:sz="6" w:space="0" w:color="auto"/>
            </w:tcBorders>
          </w:tcPr>
          <w:p>
            <w:pPr>
              <w:pStyle w:val="TableParagraph"/>
              <w:tabs>
                <w:tab w:pos="532" w:val="left" w:leader="none"/>
                <w:tab w:pos="1375" w:val="left" w:leader="none"/>
              </w:tabs>
              <w:spacing w:line="240" w:lineRule="auto" w:before="27"/>
              <w:ind w:left="43"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23,331</w:t>
              <w:tab/>
            </w:r>
            <w:r>
              <w:rPr>
                <w:rFonts w:ascii="Arial"/>
                <w:sz w:val="24"/>
              </w:rPr>
            </w:r>
          </w:p>
        </w:tc>
        <w:tc>
          <w:tcPr>
            <w:tcW w:w="1708" w:type="dxa"/>
            <w:tcBorders>
              <w:top w:val="nil" w:sz="6" w:space="0" w:color="auto"/>
              <w:left w:val="nil" w:sz="6" w:space="0" w:color="auto"/>
              <w:bottom w:val="nil" w:sz="6" w:space="0" w:color="auto"/>
              <w:right w:val="nil" w:sz="6" w:space="0" w:color="auto"/>
            </w:tcBorders>
          </w:tcPr>
          <w:p>
            <w:pPr>
              <w:pStyle w:val="TableParagraph"/>
              <w:tabs>
                <w:tab w:pos="393" w:val="left" w:leader="none"/>
                <w:tab w:pos="1528" w:val="left" w:leader="none"/>
              </w:tabs>
              <w:spacing w:line="240" w:lineRule="auto" w:before="27"/>
              <w:ind w:right="116"/>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(109,990)</w:t>
              <w:tab/>
            </w:r>
            <w:r>
              <w:rPr>
                <w:rFonts w:ascii="Arial"/>
                <w:spacing w:val="-1"/>
                <w:sz w:val="24"/>
              </w:rPr>
            </w:r>
          </w:p>
        </w:tc>
      </w:tr>
      <w:tr>
        <w:trPr>
          <w:trHeight w:val="592"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7"/>
              <w:jc w:val="center"/>
              <w:rPr>
                <w:rFonts w:ascii="Arial" w:hAnsi="Arial" w:cs="Arial" w:eastAsia="Arial" w:hint="default"/>
                <w:sz w:val="24"/>
                <w:szCs w:val="24"/>
              </w:rPr>
            </w:pPr>
            <w:r>
              <w:rPr>
                <w:rFonts w:ascii="Arial"/>
                <w:sz w:val="24"/>
              </w:rPr>
              <w:t>(c)</w:t>
            </w:r>
          </w:p>
        </w:tc>
        <w:tc>
          <w:tcPr>
            <w:tcW w:w="33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215" w:right="0"/>
              <w:jc w:val="left"/>
              <w:rPr>
                <w:rFonts w:ascii="宋体" w:hAnsi="宋体" w:cs="宋体" w:eastAsia="宋体" w:hint="default"/>
                <w:sz w:val="24"/>
                <w:szCs w:val="24"/>
              </w:rPr>
            </w:pPr>
            <w:r>
              <w:rPr>
                <w:rFonts w:ascii="宋体" w:hAnsi="宋体" w:cs="宋体" w:eastAsia="宋体" w:hint="default"/>
                <w:sz w:val="24"/>
                <w:szCs w:val="24"/>
              </w:rPr>
              <w:t>存货跌价准备情况如下：</w:t>
            </w:r>
          </w:p>
        </w:tc>
        <w:tc>
          <w:tcPr>
            <w:tcW w:w="1889" w:type="dxa"/>
            <w:tcBorders>
              <w:top w:val="nil" w:sz="6" w:space="0" w:color="auto"/>
              <w:left w:val="nil" w:sz="6" w:space="0" w:color="auto"/>
              <w:bottom w:val="nil" w:sz="6" w:space="0" w:color="auto"/>
              <w:right w:val="nil" w:sz="6" w:space="0" w:color="auto"/>
            </w:tcBorders>
          </w:tcPr>
          <w:p>
            <w:pPr/>
          </w:p>
        </w:tc>
        <w:tc>
          <w:tcPr>
            <w:tcW w:w="707"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
        </w:tc>
      </w:tr>
      <w:tr>
        <w:trPr>
          <w:trHeight w:val="895" w:hRule="exact"/>
        </w:trPr>
        <w:tc>
          <w:tcPr>
            <w:tcW w:w="709"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500" w:right="266" w:hanging="240"/>
              <w:jc w:val="left"/>
              <w:rPr>
                <w:rFonts w:ascii="宋体" w:hAnsi="宋体" w:cs="宋体" w:eastAsia="宋体" w:hint="default"/>
                <w:sz w:val="24"/>
                <w:szCs w:val="24"/>
              </w:rPr>
            </w:pPr>
            <w:r>
              <w:rPr>
                <w:rFonts w:ascii="宋体" w:hAnsi="宋体" w:cs="宋体" w:eastAsia="宋体" w:hint="default"/>
                <w:sz w:val="24"/>
                <w:szCs w:val="24"/>
              </w:rPr>
              <w:t>计提存货跌价 准备的依据</w:t>
            </w:r>
          </w:p>
        </w:tc>
        <w:tc>
          <w:tcPr>
            <w:tcW w:w="2596" w:type="dxa"/>
            <w:gridSpan w:val="2"/>
            <w:tcBorders>
              <w:top w:val="nil" w:sz="6" w:space="0" w:color="auto"/>
              <w:left w:val="nil" w:sz="6" w:space="0" w:color="auto"/>
              <w:bottom w:val="nil" w:sz="6" w:space="0" w:color="auto"/>
              <w:right w:val="nil" w:sz="6" w:space="0" w:color="auto"/>
            </w:tcBorders>
          </w:tcPr>
          <w:p>
            <w:pPr>
              <w:pStyle w:val="TableParagraph"/>
              <w:spacing w:line="312" w:lineRule="exact" w:before="130"/>
              <w:ind w:left="720" w:right="193" w:firstLine="240"/>
              <w:jc w:val="left"/>
              <w:rPr>
                <w:rFonts w:ascii="宋体" w:hAnsi="宋体" w:cs="宋体" w:eastAsia="宋体" w:hint="default"/>
                <w:sz w:val="24"/>
                <w:szCs w:val="24"/>
              </w:rPr>
            </w:pPr>
            <w:r>
              <w:rPr>
                <w:rFonts w:ascii="宋体" w:hAnsi="宋体" w:cs="宋体" w:eastAsia="宋体" w:hint="default"/>
                <w:sz w:val="24"/>
                <w:szCs w:val="24"/>
              </w:rPr>
              <w:t>本年回转存货 跌价准备的原因</w:t>
            </w:r>
          </w:p>
        </w:tc>
        <w:tc>
          <w:tcPr>
            <w:tcW w:w="2558" w:type="dxa"/>
            <w:gridSpan w:val="2"/>
            <w:tcBorders>
              <w:top w:val="nil" w:sz="6" w:space="0" w:color="auto"/>
              <w:left w:val="nil" w:sz="6" w:space="0" w:color="auto"/>
              <w:bottom w:val="nil" w:sz="6" w:space="0" w:color="auto"/>
              <w:right w:val="nil" w:sz="6" w:space="0" w:color="auto"/>
            </w:tcBorders>
          </w:tcPr>
          <w:p>
            <w:pPr>
              <w:pStyle w:val="TableParagraph"/>
              <w:spacing w:line="312" w:lineRule="exact" w:before="130"/>
              <w:ind w:left="195" w:right="200"/>
              <w:jc w:val="left"/>
              <w:rPr>
                <w:rFonts w:ascii="宋体" w:hAnsi="宋体" w:cs="宋体" w:eastAsia="宋体" w:hint="default"/>
                <w:sz w:val="24"/>
                <w:szCs w:val="24"/>
              </w:rPr>
            </w:pPr>
            <w:r>
              <w:rPr>
                <w:rFonts w:ascii="宋体" w:hAnsi="宋体" w:cs="宋体" w:eastAsia="宋体" w:hint="default"/>
                <w:sz w:val="24"/>
                <w:szCs w:val="24"/>
              </w:rPr>
              <w:t>本年回转金额占该项 存货年末余额的比例</w:t>
            </w:r>
          </w:p>
        </w:tc>
      </w:tr>
      <w:tr>
        <w:trPr>
          <w:trHeight w:val="1663" w:hRule="exact"/>
        </w:trPr>
        <w:tc>
          <w:tcPr>
            <w:tcW w:w="709"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5"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197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239" w:right="288"/>
              <w:jc w:val="right"/>
              <w:rPr>
                <w:rFonts w:ascii="宋体" w:hAnsi="宋体" w:cs="宋体" w:eastAsia="宋体" w:hint="default"/>
                <w:sz w:val="24"/>
                <w:szCs w:val="24"/>
              </w:rPr>
            </w:pPr>
            <w:r>
              <w:rPr>
                <w:rFonts w:ascii="宋体" w:hAnsi="宋体" w:cs="宋体" w:eastAsia="宋体" w:hint="default"/>
                <w:sz w:val="24"/>
                <w:szCs w:val="24"/>
              </w:rPr>
              <w:t>库存商品价格 下降导致库存 商品可变现净 值低于其账面 价值的差额</w:t>
            </w:r>
          </w:p>
        </w:tc>
        <w:tc>
          <w:tcPr>
            <w:tcW w:w="2596" w:type="dxa"/>
            <w:gridSpan w:val="2"/>
            <w:tcBorders>
              <w:top w:val="nil" w:sz="6" w:space="0" w:color="auto"/>
              <w:left w:val="nil" w:sz="6" w:space="0" w:color="auto"/>
              <w:bottom w:val="nil" w:sz="6" w:space="0" w:color="auto"/>
              <w:right w:val="nil" w:sz="6" w:space="0" w:color="auto"/>
            </w:tcBorders>
          </w:tcPr>
          <w:p>
            <w:pPr>
              <w:pStyle w:val="TableParagraph"/>
              <w:spacing w:line="312" w:lineRule="exact" w:before="133"/>
              <w:ind w:left="455" w:right="219" w:hanging="240"/>
              <w:jc w:val="both"/>
              <w:rPr>
                <w:rFonts w:ascii="宋体" w:hAnsi="宋体" w:cs="宋体" w:eastAsia="宋体" w:hint="default"/>
                <w:sz w:val="24"/>
                <w:szCs w:val="24"/>
              </w:rPr>
            </w:pPr>
            <w:r>
              <w:rPr>
                <w:rFonts w:ascii="宋体" w:hAnsi="宋体" w:cs="宋体" w:eastAsia="宋体" w:hint="default"/>
                <w:sz w:val="24"/>
                <w:szCs w:val="24"/>
              </w:rPr>
              <w:t>以前年度计提了存货 跌价准备的库存商 品本年度实现销售</w:t>
            </w:r>
          </w:p>
        </w:tc>
        <w:tc>
          <w:tcPr>
            <w:tcW w:w="850"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98"/>
              <w:jc w:val="right"/>
              <w:rPr>
                <w:rFonts w:ascii="Arial" w:hAnsi="Arial" w:cs="Arial" w:eastAsia="Arial" w:hint="default"/>
                <w:sz w:val="24"/>
                <w:szCs w:val="24"/>
              </w:rPr>
            </w:pPr>
            <w:r>
              <w:rPr>
                <w:rFonts w:ascii="Arial"/>
                <w:sz w:val="24"/>
              </w:rPr>
              <w:t>0.14%</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707"/>
        <w:gridCol w:w="3720"/>
        <w:gridCol w:w="2304"/>
        <w:gridCol w:w="238"/>
        <w:gridCol w:w="2240"/>
      </w:tblGrid>
      <w:tr>
        <w:trPr>
          <w:trHeight w:val="502"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(8)</w:t>
            </w:r>
          </w:p>
        </w:tc>
        <w:tc>
          <w:tcPr>
            <w:tcW w:w="3720" w:type="dxa"/>
            <w:tcBorders>
              <w:top w:val="nil" w:sz="6" w:space="0" w:color="auto"/>
              <w:left w:val="nil" w:sz="6" w:space="0" w:color="auto"/>
              <w:bottom w:val="nil" w:sz="6" w:space="0" w:color="auto"/>
              <w:right w:val="nil" w:sz="6" w:space="0" w:color="auto"/>
            </w:tcBorders>
          </w:tcPr>
          <w:p>
            <w:pPr>
              <w:pStyle w:val="TableParagraph"/>
              <w:spacing w:line="247" w:lineRule="exact"/>
              <w:ind w:left="213" w:right="0"/>
              <w:jc w:val="left"/>
              <w:rPr>
                <w:rFonts w:ascii="黑体" w:hAnsi="黑体" w:cs="黑体" w:eastAsia="黑体" w:hint="default"/>
                <w:sz w:val="24"/>
                <w:szCs w:val="24"/>
              </w:rPr>
            </w:pPr>
            <w:r>
              <w:rPr>
                <w:rFonts w:ascii="黑体" w:hAnsi="黑体" w:cs="黑体" w:eastAsia="黑体" w:hint="default"/>
                <w:sz w:val="24"/>
                <w:szCs w:val="24"/>
              </w:rPr>
              <w:t>其他流动资产</w:t>
            </w:r>
          </w:p>
        </w:tc>
        <w:tc>
          <w:tcPr>
            <w:tcW w:w="23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r>
        <w:trPr>
          <w:trHeight w:val="696" w:hRule="exact"/>
        </w:trPr>
        <w:tc>
          <w:tcPr>
            <w:tcW w:w="707" w:type="dxa"/>
            <w:tcBorders>
              <w:top w:val="nil" w:sz="6" w:space="0" w:color="auto"/>
              <w:left w:val="nil" w:sz="6" w:space="0" w:color="auto"/>
              <w:bottom w:val="nil" w:sz="6" w:space="0" w:color="auto"/>
              <w:right w:val="nil" w:sz="6" w:space="0" w:color="auto"/>
            </w:tcBorders>
          </w:tcPr>
          <w:p>
            <w:pPr/>
          </w:p>
        </w:tc>
        <w:tc>
          <w:tcPr>
            <w:tcW w:w="3720"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24"/>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3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24"/>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20" w:hRule="exact"/>
        </w:trPr>
        <w:tc>
          <w:tcPr>
            <w:tcW w:w="707" w:type="dxa"/>
            <w:tcBorders>
              <w:top w:val="nil" w:sz="6" w:space="0" w:color="auto"/>
              <w:left w:val="nil" w:sz="6" w:space="0" w:color="auto"/>
              <w:bottom w:val="nil" w:sz="6" w:space="0" w:color="auto"/>
              <w:right w:val="nil" w:sz="6" w:space="0" w:color="auto"/>
            </w:tcBorders>
          </w:tcPr>
          <w:p>
            <w:pPr/>
          </w:p>
        </w:tc>
        <w:tc>
          <w:tcPr>
            <w:tcW w:w="3720"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13" w:right="0"/>
              <w:jc w:val="left"/>
              <w:rPr>
                <w:rFonts w:ascii="宋体" w:hAnsi="宋体" w:cs="宋体" w:eastAsia="宋体" w:hint="default"/>
                <w:sz w:val="24"/>
                <w:szCs w:val="24"/>
              </w:rPr>
            </w:pPr>
            <w:r>
              <w:rPr>
                <w:rFonts w:ascii="宋体" w:hAnsi="宋体" w:cs="宋体" w:eastAsia="宋体" w:hint="default"/>
                <w:sz w:val="24"/>
                <w:szCs w:val="24"/>
              </w:rPr>
              <w:t>房屋租赁费</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87"/>
              <w:ind w:right="26"/>
              <w:jc w:val="right"/>
              <w:rPr>
                <w:rFonts w:ascii="Arial" w:hAnsi="Arial" w:cs="Arial" w:eastAsia="Arial" w:hint="default"/>
                <w:sz w:val="24"/>
                <w:szCs w:val="24"/>
              </w:rPr>
            </w:pPr>
            <w:r>
              <w:rPr>
                <w:rFonts w:ascii="Arial"/>
                <w:spacing w:val="-1"/>
                <w:sz w:val="24"/>
              </w:rPr>
              <w:t>1,227,819</w:t>
            </w:r>
          </w:p>
        </w:tc>
        <w:tc>
          <w:tcPr>
            <w:tcW w:w="23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185"/>
              <w:ind w:right="78"/>
              <w:jc w:val="right"/>
              <w:rPr>
                <w:rFonts w:ascii="Arial" w:hAnsi="Arial" w:cs="Arial" w:eastAsia="Arial" w:hint="default"/>
                <w:sz w:val="24"/>
                <w:szCs w:val="24"/>
              </w:rPr>
            </w:pPr>
            <w:r>
              <w:rPr>
                <w:rFonts w:ascii="Arial"/>
                <w:spacing w:val="-1"/>
                <w:sz w:val="24"/>
              </w:rPr>
              <w:t>1,297,334</w:t>
            </w:r>
          </w:p>
        </w:tc>
      </w:tr>
      <w:tr>
        <w:trPr>
          <w:trHeight w:val="383" w:hRule="exact"/>
        </w:trPr>
        <w:tc>
          <w:tcPr>
            <w:tcW w:w="707" w:type="dxa"/>
            <w:tcBorders>
              <w:top w:val="nil" w:sz="6" w:space="0" w:color="auto"/>
              <w:left w:val="nil" w:sz="6" w:space="0" w:color="auto"/>
              <w:bottom w:val="nil" w:sz="6" w:space="0" w:color="auto"/>
              <w:right w:val="nil" w:sz="6" w:space="0" w:color="auto"/>
            </w:tcBorders>
          </w:tcPr>
          <w:p>
            <w:pPr/>
          </w:p>
        </w:tc>
        <w:tc>
          <w:tcPr>
            <w:tcW w:w="3720" w:type="dxa"/>
            <w:tcBorders>
              <w:top w:val="nil" w:sz="6" w:space="0" w:color="auto"/>
              <w:left w:val="nil" w:sz="6" w:space="0" w:color="auto"/>
              <w:bottom w:val="nil" w:sz="6" w:space="0" w:color="auto"/>
              <w:right w:val="nil" w:sz="6" w:space="0" w:color="auto"/>
            </w:tcBorders>
          </w:tcPr>
          <w:p>
            <w:pPr>
              <w:pStyle w:val="TableParagraph"/>
              <w:spacing w:line="301" w:lineRule="exact"/>
              <w:ind w:left="21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30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6"/>
              <w:jc w:val="right"/>
              <w:rPr>
                <w:rFonts w:ascii="Arial" w:hAnsi="Arial" w:cs="Arial" w:eastAsia="Arial" w:hint="default"/>
                <w:sz w:val="24"/>
                <w:szCs w:val="24"/>
              </w:rPr>
            </w:pPr>
            <w:r>
              <w:rPr>
                <w:rFonts w:ascii="Arial"/>
                <w:spacing w:val="-1"/>
                <w:sz w:val="24"/>
              </w:rPr>
              <w:t>17,641</w:t>
            </w:r>
          </w:p>
        </w:tc>
        <w:tc>
          <w:tcPr>
            <w:tcW w:w="23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78"/>
              <w:jc w:val="right"/>
              <w:rPr>
                <w:rFonts w:ascii="Arial" w:hAnsi="Arial" w:cs="Arial" w:eastAsia="Arial" w:hint="default"/>
                <w:sz w:val="24"/>
                <w:szCs w:val="24"/>
              </w:rPr>
            </w:pPr>
            <w:r>
              <w:rPr>
                <w:rFonts w:ascii="Arial"/>
                <w:spacing w:val="-4"/>
                <w:sz w:val="24"/>
              </w:rPr>
              <w:t>11,728</w:t>
            </w:r>
          </w:p>
        </w:tc>
      </w:tr>
      <w:tr>
        <w:trPr>
          <w:trHeight w:val="377" w:hRule="exact"/>
        </w:trPr>
        <w:tc>
          <w:tcPr>
            <w:tcW w:w="707" w:type="dxa"/>
            <w:tcBorders>
              <w:top w:val="nil" w:sz="6" w:space="0" w:color="auto"/>
              <w:left w:val="nil" w:sz="6" w:space="0" w:color="auto"/>
              <w:bottom w:val="nil" w:sz="6" w:space="0" w:color="auto"/>
              <w:right w:val="nil" w:sz="6" w:space="0" w:color="auto"/>
            </w:tcBorders>
          </w:tcPr>
          <w:p>
            <w:pPr/>
          </w:p>
        </w:tc>
        <w:tc>
          <w:tcPr>
            <w:tcW w:w="3720" w:type="dxa"/>
            <w:tcBorders>
              <w:top w:val="nil" w:sz="6" w:space="0" w:color="auto"/>
              <w:left w:val="nil" w:sz="6" w:space="0" w:color="auto"/>
              <w:bottom w:val="nil" w:sz="6" w:space="0" w:color="auto"/>
              <w:right w:val="nil" w:sz="6" w:space="0" w:color="auto"/>
            </w:tcBorders>
          </w:tcPr>
          <w:p>
            <w:pPr/>
          </w:p>
        </w:tc>
        <w:tc>
          <w:tcPr>
            <w:tcW w:w="2304"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26"/>
              <w:jc w:val="right"/>
              <w:rPr>
                <w:rFonts w:ascii="Arial" w:hAnsi="Arial" w:cs="Arial" w:eastAsia="Arial" w:hint="default"/>
                <w:sz w:val="24"/>
                <w:szCs w:val="24"/>
              </w:rPr>
            </w:pPr>
            <w:r>
              <w:rPr>
                <w:rFonts w:ascii="Arial"/>
                <w:spacing w:val="-1"/>
                <w:sz w:val="24"/>
              </w:rPr>
              <w:t>1,245,460</w:t>
            </w:r>
          </w:p>
        </w:tc>
        <w:tc>
          <w:tcPr>
            <w:tcW w:w="238" w:type="dxa"/>
            <w:tcBorders>
              <w:top w:val="nil" w:sz="6" w:space="0" w:color="auto"/>
              <w:left w:val="nil" w:sz="6" w:space="0" w:color="auto"/>
              <w:bottom w:val="nil" w:sz="6" w:space="0" w:color="auto"/>
              <w:right w:val="nil" w:sz="6" w:space="0" w:color="auto"/>
            </w:tcBorders>
          </w:tcPr>
          <w:p>
            <w:pPr/>
          </w:p>
        </w:tc>
        <w:tc>
          <w:tcPr>
            <w:tcW w:w="2240"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78"/>
              <w:jc w:val="right"/>
              <w:rPr>
                <w:rFonts w:ascii="Arial" w:hAnsi="Arial" w:cs="Arial" w:eastAsia="Arial" w:hint="default"/>
                <w:sz w:val="24"/>
                <w:szCs w:val="24"/>
              </w:rPr>
            </w:pPr>
            <w:r>
              <w:rPr>
                <w:rFonts w:ascii="Arial"/>
                <w:spacing w:val="-1"/>
                <w:sz w:val="24"/>
              </w:rPr>
              <w:t>1,309,062</w:t>
            </w:r>
          </w:p>
        </w:tc>
      </w:tr>
    </w:tbl>
    <w:p>
      <w:pPr>
        <w:spacing w:after="0" w:line="240" w:lineRule="auto"/>
        <w:jc w:val="right"/>
        <w:rPr>
          <w:rFonts w:ascii="Arial" w:hAnsi="Arial" w:cs="Arial" w:eastAsia="Arial" w:hint="default"/>
          <w:sz w:val="24"/>
          <w:szCs w:val="24"/>
        </w:rPr>
        <w:sectPr>
          <w:pgSz w:w="11910" w:h="16850"/>
          <w:pgMar w:header="795" w:footer="708" w:top="2020" w:bottom="900" w:left="134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698"/>
        <w:gridCol w:w="3957"/>
        <w:gridCol w:w="2115"/>
        <w:gridCol w:w="110"/>
        <w:gridCol w:w="2206"/>
      </w:tblGrid>
      <w:tr>
        <w:trPr>
          <w:trHeight w:val="497" w:hRule="exact"/>
        </w:trPr>
        <w:tc>
          <w:tcPr>
            <w:tcW w:w="698" w:type="dxa"/>
            <w:tcBorders>
              <w:top w:val="nil" w:sz="6" w:space="0" w:color="auto"/>
              <w:left w:val="nil" w:sz="6" w:space="0" w:color="auto"/>
              <w:bottom w:val="nil" w:sz="6" w:space="0" w:color="auto"/>
              <w:right w:val="nil" w:sz="6" w:space="0" w:color="auto"/>
            </w:tcBorders>
          </w:tcPr>
          <w:p>
            <w:pPr>
              <w:pStyle w:val="TableParagraph"/>
              <w:spacing w:line="240" w:lineRule="exact"/>
              <w:ind w:right="56"/>
              <w:jc w:val="center"/>
              <w:rPr>
                <w:rFonts w:ascii="黑体" w:hAnsi="黑体" w:cs="黑体" w:eastAsia="黑体" w:hint="default"/>
                <w:sz w:val="24"/>
                <w:szCs w:val="24"/>
              </w:rPr>
            </w:pPr>
            <w:r>
              <w:rPr>
                <w:rFonts w:ascii="黑体" w:hAnsi="黑体" w:cs="黑体" w:eastAsia="黑体" w:hint="default"/>
                <w:sz w:val="24"/>
                <w:szCs w:val="24"/>
              </w:rPr>
              <w:t>五</w:t>
            </w:r>
          </w:p>
        </w:tc>
        <w:tc>
          <w:tcPr>
            <w:tcW w:w="3957" w:type="dxa"/>
            <w:tcBorders>
              <w:top w:val="nil" w:sz="6" w:space="0" w:color="auto"/>
              <w:left w:val="nil" w:sz="6" w:space="0" w:color="auto"/>
              <w:bottom w:val="nil" w:sz="6" w:space="0" w:color="auto"/>
              <w:right w:val="nil" w:sz="6" w:space="0" w:color="auto"/>
            </w:tcBorders>
          </w:tcPr>
          <w:p>
            <w:pPr>
              <w:pStyle w:val="TableParagraph"/>
              <w:spacing w:line="257" w:lineRule="exact"/>
              <w:ind w:left="20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1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nil" w:sz="6" w:space="0" w:color="auto"/>
              <w:right w:val="nil" w:sz="6" w:space="0" w:color="auto"/>
            </w:tcBorders>
          </w:tcPr>
          <w:p>
            <w:pPr/>
          </w:p>
        </w:tc>
      </w:tr>
      <w:tr>
        <w:trPr>
          <w:trHeight w:val="745" w:hRule="exact"/>
        </w:trPr>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
              <w:jc w:val="center"/>
              <w:rPr>
                <w:rFonts w:ascii="Arial" w:hAnsi="Arial" w:cs="Arial" w:eastAsia="Arial" w:hint="default"/>
                <w:sz w:val="24"/>
                <w:szCs w:val="24"/>
              </w:rPr>
            </w:pPr>
            <w:r>
              <w:rPr>
                <w:rFonts w:ascii="Arial"/>
                <w:sz w:val="24"/>
              </w:rPr>
              <w:t>(9)</w:t>
            </w:r>
          </w:p>
        </w:tc>
        <w:tc>
          <w:tcPr>
            <w:tcW w:w="3957"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21" w:right="0"/>
              <w:jc w:val="left"/>
              <w:rPr>
                <w:rFonts w:ascii="黑体" w:hAnsi="黑体" w:cs="黑体" w:eastAsia="黑体" w:hint="default"/>
                <w:sz w:val="24"/>
                <w:szCs w:val="24"/>
              </w:rPr>
            </w:pPr>
            <w:r>
              <w:rPr>
                <w:rFonts w:ascii="黑体" w:hAnsi="黑体" w:cs="黑体" w:eastAsia="黑体" w:hint="default"/>
                <w:sz w:val="24"/>
                <w:szCs w:val="24"/>
              </w:rPr>
              <w:t>长期股权投资</w:t>
            </w:r>
          </w:p>
        </w:tc>
        <w:tc>
          <w:tcPr>
            <w:tcW w:w="21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nil" w:sz="6" w:space="0" w:color="auto"/>
              <w:right w:val="nil" w:sz="6" w:space="0" w:color="auto"/>
            </w:tcBorders>
          </w:tcPr>
          <w:p>
            <w:pPr/>
          </w:p>
        </w:tc>
      </w:tr>
      <w:tr>
        <w:trPr>
          <w:trHeight w:val="752" w:hRule="exact"/>
        </w:trPr>
        <w:tc>
          <w:tcPr>
            <w:tcW w:w="698" w:type="dxa"/>
            <w:tcBorders>
              <w:top w:val="nil" w:sz="6" w:space="0" w:color="auto"/>
              <w:left w:val="nil" w:sz="6" w:space="0" w:color="auto"/>
              <w:bottom w:val="nil" w:sz="6" w:space="0" w:color="auto"/>
              <w:right w:val="nil" w:sz="6" w:space="0" w:color="auto"/>
            </w:tcBorders>
          </w:tcPr>
          <w:p>
            <w:pPr/>
          </w:p>
        </w:tc>
        <w:tc>
          <w:tcPr>
            <w:tcW w:w="60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3954"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10"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24"/>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49" w:hRule="exact"/>
        </w:trPr>
        <w:tc>
          <w:tcPr>
            <w:tcW w:w="698" w:type="dxa"/>
            <w:tcBorders>
              <w:top w:val="nil" w:sz="6" w:space="0" w:color="auto"/>
              <w:left w:val="nil" w:sz="6" w:space="0" w:color="auto"/>
              <w:bottom w:val="nil" w:sz="6" w:space="0" w:color="auto"/>
              <w:right w:val="nil" w:sz="6" w:space="0" w:color="auto"/>
            </w:tcBorders>
          </w:tcPr>
          <w:p>
            <w:pPr/>
          </w:p>
        </w:tc>
        <w:tc>
          <w:tcPr>
            <w:tcW w:w="3957"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21" w:right="0"/>
              <w:jc w:val="left"/>
              <w:rPr>
                <w:rFonts w:ascii="Arial" w:hAnsi="Arial" w:cs="Arial" w:eastAsia="Arial" w:hint="default"/>
                <w:sz w:val="24"/>
                <w:szCs w:val="24"/>
              </w:rPr>
            </w:pPr>
            <w:r>
              <w:rPr>
                <w:rFonts w:ascii="宋体" w:hAnsi="宋体" w:cs="宋体" w:eastAsia="宋体" w:hint="default"/>
                <w:sz w:val="24"/>
                <w:szCs w:val="24"/>
              </w:rPr>
              <w:t>联营企业</w:t>
            </w:r>
            <w:r>
              <w:rPr>
                <w:rFonts w:ascii="Arial" w:hAnsi="Arial" w:cs="Arial" w:eastAsia="Arial" w:hint="default"/>
                <w:sz w:val="24"/>
                <w:szCs w:val="24"/>
              </w:rPr>
              <w:t>(a)</w:t>
            </w:r>
          </w:p>
        </w:tc>
        <w:tc>
          <w:tcPr>
            <w:tcW w:w="21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nil" w:sz="6" w:space="0" w:color="auto"/>
              <w:right w:val="nil" w:sz="6" w:space="0" w:color="auto"/>
            </w:tcBorders>
          </w:tcPr>
          <w:p>
            <w:pPr/>
          </w:p>
        </w:tc>
      </w:tr>
      <w:tr>
        <w:trPr>
          <w:trHeight w:val="382" w:hRule="exact"/>
        </w:trPr>
        <w:tc>
          <w:tcPr>
            <w:tcW w:w="698" w:type="dxa"/>
            <w:tcBorders>
              <w:top w:val="nil" w:sz="6" w:space="0" w:color="auto"/>
              <w:left w:val="nil" w:sz="6" w:space="0" w:color="auto"/>
              <w:bottom w:val="nil" w:sz="6" w:space="0" w:color="auto"/>
              <w:right w:val="nil" w:sz="6" w:space="0" w:color="auto"/>
            </w:tcBorders>
          </w:tcPr>
          <w:p>
            <w:pPr/>
          </w:p>
        </w:tc>
        <w:tc>
          <w:tcPr>
            <w:tcW w:w="3957" w:type="dxa"/>
            <w:tcBorders>
              <w:top w:val="nil" w:sz="6" w:space="0" w:color="auto"/>
              <w:left w:val="nil" w:sz="6" w:space="0" w:color="auto"/>
              <w:bottom w:val="nil" w:sz="6" w:space="0" w:color="auto"/>
              <w:right w:val="nil" w:sz="6" w:space="0" w:color="auto"/>
            </w:tcBorders>
          </w:tcPr>
          <w:p>
            <w:pPr>
              <w:pStyle w:val="TableParagraph"/>
              <w:tabs>
                <w:tab w:pos="941" w:val="left" w:leader="none"/>
              </w:tabs>
              <w:spacing w:line="307" w:lineRule="exact"/>
              <w:ind w:left="581" w:right="0"/>
              <w:jc w:val="left"/>
              <w:rPr>
                <w:rFonts w:ascii="宋体" w:hAnsi="宋体" w:cs="宋体" w:eastAsia="宋体" w:hint="default"/>
                <w:sz w:val="24"/>
                <w:szCs w:val="24"/>
              </w:rPr>
            </w:pPr>
            <w:r>
              <w:rPr>
                <w:rFonts w:ascii="Arial" w:hAnsi="Arial" w:cs="Arial" w:eastAsia="Arial" w:hint="default"/>
                <w:sz w:val="24"/>
                <w:szCs w:val="24"/>
              </w:rPr>
              <w:t>-</w:t>
              <w:tab/>
            </w:r>
            <w:r>
              <w:rPr>
                <w:rFonts w:ascii="宋体" w:hAnsi="宋体" w:cs="宋体" w:eastAsia="宋体" w:hint="default"/>
                <w:sz w:val="24"/>
                <w:szCs w:val="24"/>
              </w:rPr>
              <w:t>无公开报价</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Arial" w:hAnsi="Arial" w:cs="Arial" w:eastAsia="Arial" w:hint="default"/>
                <w:sz w:val="24"/>
                <w:szCs w:val="24"/>
              </w:rPr>
            </w:pPr>
            <w:r>
              <w:rPr>
                <w:rFonts w:ascii="Arial"/>
                <w:spacing w:val="-1"/>
                <w:sz w:val="24"/>
              </w:rPr>
              <w:t>19,486</w:t>
            </w:r>
          </w:p>
        </w:tc>
        <w:tc>
          <w:tcPr>
            <w:tcW w:w="110"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8"/>
              <w:jc w:val="right"/>
              <w:rPr>
                <w:rFonts w:ascii="Arial" w:hAnsi="Arial" w:cs="Arial" w:eastAsia="Arial" w:hint="default"/>
                <w:sz w:val="24"/>
                <w:szCs w:val="24"/>
              </w:rPr>
            </w:pPr>
            <w:r>
              <w:rPr>
                <w:rFonts w:ascii="Arial"/>
                <w:w w:val="99"/>
                <w:sz w:val="24"/>
              </w:rPr>
              <w:t>-</w:t>
            </w:r>
            <w:r>
              <w:rPr>
                <w:rFonts w:ascii="Arial"/>
                <w:sz w:val="24"/>
              </w:rPr>
            </w:r>
          </w:p>
        </w:tc>
      </w:tr>
      <w:tr>
        <w:trPr>
          <w:trHeight w:val="388" w:hRule="exact"/>
        </w:trPr>
        <w:tc>
          <w:tcPr>
            <w:tcW w:w="698" w:type="dxa"/>
            <w:tcBorders>
              <w:top w:val="nil" w:sz="6" w:space="0" w:color="auto"/>
              <w:left w:val="nil" w:sz="6" w:space="0" w:color="auto"/>
              <w:bottom w:val="nil" w:sz="6" w:space="0" w:color="auto"/>
              <w:right w:val="nil" w:sz="6" w:space="0" w:color="auto"/>
            </w:tcBorders>
          </w:tcPr>
          <w:p>
            <w:pPr/>
          </w:p>
        </w:tc>
        <w:tc>
          <w:tcPr>
            <w:tcW w:w="3957" w:type="dxa"/>
            <w:tcBorders>
              <w:top w:val="nil" w:sz="6" w:space="0" w:color="auto"/>
              <w:left w:val="nil" w:sz="6" w:space="0" w:color="auto"/>
              <w:bottom w:val="nil" w:sz="6" w:space="0" w:color="auto"/>
              <w:right w:val="nil" w:sz="6" w:space="0" w:color="auto"/>
            </w:tcBorders>
          </w:tcPr>
          <w:p>
            <w:pPr>
              <w:pStyle w:val="TableParagraph"/>
              <w:spacing w:line="323" w:lineRule="exact"/>
              <w:ind w:left="221" w:right="0"/>
              <w:jc w:val="left"/>
              <w:rPr>
                <w:rFonts w:ascii="Arial" w:hAnsi="Arial" w:cs="Arial" w:eastAsia="Arial" w:hint="default"/>
                <w:sz w:val="24"/>
                <w:szCs w:val="24"/>
              </w:rPr>
            </w:pPr>
            <w:r>
              <w:rPr>
                <w:rFonts w:ascii="宋体" w:hAnsi="宋体" w:cs="宋体" w:eastAsia="宋体" w:hint="default"/>
                <w:sz w:val="24"/>
                <w:szCs w:val="24"/>
              </w:rPr>
              <w:t>其他长期股权投资</w:t>
            </w:r>
            <w:r>
              <w:rPr>
                <w:rFonts w:ascii="Arial" w:hAnsi="Arial" w:cs="Arial" w:eastAsia="Arial" w:hint="default"/>
                <w:sz w:val="24"/>
                <w:szCs w:val="24"/>
              </w:rPr>
              <w:t>(b)</w:t>
            </w:r>
          </w:p>
        </w:tc>
        <w:tc>
          <w:tcPr>
            <w:tcW w:w="211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4"/>
                <w:szCs w:val="24"/>
              </w:rPr>
            </w:pPr>
            <w:r>
              <w:rPr>
                <w:rFonts w:ascii="Arial"/>
                <w:spacing w:val="-1"/>
                <w:sz w:val="24"/>
              </w:rPr>
              <w:t>554,793</w:t>
            </w:r>
          </w:p>
        </w:tc>
        <w:tc>
          <w:tcPr>
            <w:tcW w:w="110"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88"/>
              <w:jc w:val="right"/>
              <w:rPr>
                <w:rFonts w:ascii="Arial" w:hAnsi="Arial" w:cs="Arial" w:eastAsia="Arial" w:hint="default"/>
                <w:sz w:val="24"/>
                <w:szCs w:val="24"/>
              </w:rPr>
            </w:pPr>
            <w:r>
              <w:rPr>
                <w:rFonts w:ascii="Arial"/>
                <w:spacing w:val="-1"/>
                <w:sz w:val="24"/>
              </w:rPr>
              <w:t>554,793</w:t>
            </w:r>
          </w:p>
        </w:tc>
      </w:tr>
      <w:tr>
        <w:trPr>
          <w:trHeight w:val="370" w:hRule="exact"/>
        </w:trPr>
        <w:tc>
          <w:tcPr>
            <w:tcW w:w="698" w:type="dxa"/>
            <w:tcBorders>
              <w:top w:val="nil" w:sz="6" w:space="0" w:color="auto"/>
              <w:left w:val="nil" w:sz="6" w:space="0" w:color="auto"/>
              <w:bottom w:val="nil" w:sz="6" w:space="0" w:color="auto"/>
              <w:right w:val="nil" w:sz="6" w:space="0" w:color="auto"/>
            </w:tcBorders>
          </w:tcPr>
          <w:p>
            <w:pPr/>
          </w:p>
        </w:tc>
        <w:tc>
          <w:tcPr>
            <w:tcW w:w="3957" w:type="dxa"/>
            <w:tcBorders>
              <w:top w:val="nil" w:sz="6" w:space="0" w:color="auto"/>
              <w:left w:val="nil" w:sz="6" w:space="0" w:color="auto"/>
              <w:bottom w:val="nil" w:sz="6" w:space="0" w:color="auto"/>
              <w:right w:val="nil" w:sz="6" w:space="0" w:color="auto"/>
            </w:tcBorders>
          </w:tcPr>
          <w:p>
            <w:pPr/>
          </w:p>
        </w:tc>
        <w:tc>
          <w:tcPr>
            <w:tcW w:w="2115"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24"/>
                <w:szCs w:val="24"/>
              </w:rPr>
            </w:pPr>
            <w:r>
              <w:rPr>
                <w:rFonts w:ascii="Arial"/>
                <w:spacing w:val="-1"/>
                <w:sz w:val="24"/>
              </w:rPr>
              <w:t>574,279</w:t>
            </w:r>
          </w:p>
        </w:tc>
        <w:tc>
          <w:tcPr>
            <w:tcW w:w="110" w:type="dxa"/>
            <w:tcBorders>
              <w:top w:val="nil" w:sz="6" w:space="0" w:color="auto"/>
              <w:left w:val="nil" w:sz="6" w:space="0" w:color="auto"/>
              <w:bottom w:val="nil" w:sz="6" w:space="0" w:color="auto"/>
              <w:right w:val="nil" w:sz="6" w:space="0" w:color="auto"/>
            </w:tcBorders>
          </w:tcPr>
          <w:p>
            <w:pPr/>
          </w:p>
        </w:tc>
        <w:tc>
          <w:tcPr>
            <w:tcW w:w="2206"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24"/>
                <w:szCs w:val="24"/>
              </w:rPr>
            </w:pPr>
            <w:r>
              <w:rPr>
                <w:rFonts w:ascii="Arial"/>
                <w:spacing w:val="-1"/>
                <w:sz w:val="24"/>
              </w:rPr>
              <w:t>554,793</w:t>
            </w:r>
          </w:p>
        </w:tc>
      </w:tr>
      <w:tr>
        <w:trPr>
          <w:trHeight w:val="386" w:hRule="exact"/>
        </w:trPr>
        <w:tc>
          <w:tcPr>
            <w:tcW w:w="698" w:type="dxa"/>
            <w:tcBorders>
              <w:top w:val="nil" w:sz="6" w:space="0" w:color="auto"/>
              <w:left w:val="nil" w:sz="6" w:space="0" w:color="auto"/>
              <w:bottom w:val="nil" w:sz="6" w:space="0" w:color="auto"/>
              <w:right w:val="nil" w:sz="6" w:space="0" w:color="auto"/>
            </w:tcBorders>
          </w:tcPr>
          <w:p>
            <w:pPr/>
          </w:p>
        </w:tc>
        <w:tc>
          <w:tcPr>
            <w:tcW w:w="3957" w:type="dxa"/>
            <w:tcBorders>
              <w:top w:val="nil" w:sz="6" w:space="0" w:color="auto"/>
              <w:left w:val="nil" w:sz="6" w:space="0" w:color="auto"/>
              <w:bottom w:val="nil" w:sz="6" w:space="0" w:color="auto"/>
              <w:right w:val="nil" w:sz="6" w:space="0" w:color="auto"/>
            </w:tcBorders>
          </w:tcPr>
          <w:p>
            <w:pPr>
              <w:pStyle w:val="TableParagraph"/>
              <w:spacing w:line="305" w:lineRule="exact"/>
              <w:ind w:left="221" w:right="0"/>
              <w:jc w:val="left"/>
              <w:rPr>
                <w:rFonts w:ascii="宋体" w:hAnsi="宋体" w:cs="宋体" w:eastAsia="宋体" w:hint="default"/>
                <w:sz w:val="24"/>
                <w:szCs w:val="24"/>
              </w:rPr>
            </w:pPr>
            <w:r>
              <w:rPr>
                <w:rFonts w:ascii="宋体" w:hAnsi="宋体" w:cs="宋体" w:eastAsia="宋体" w:hint="default"/>
                <w:sz w:val="24"/>
                <w:szCs w:val="24"/>
              </w:rPr>
              <w:t>减：长期股权投资减值准备</w:t>
            </w:r>
          </w:p>
        </w:tc>
        <w:tc>
          <w:tcPr>
            <w:tcW w:w="211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26"/>
              <w:jc w:val="right"/>
              <w:rPr>
                <w:rFonts w:ascii="Arial" w:hAnsi="Arial" w:cs="Arial" w:eastAsia="Arial" w:hint="default"/>
                <w:sz w:val="24"/>
                <w:szCs w:val="24"/>
              </w:rPr>
            </w:pPr>
            <w:r>
              <w:rPr>
                <w:rFonts w:ascii="Arial"/>
                <w:w w:val="99"/>
                <w:sz w:val="24"/>
              </w:rPr>
              <w:t>-</w:t>
            </w:r>
            <w:r>
              <w:rPr>
                <w:rFonts w:ascii="Arial"/>
                <w:sz w:val="24"/>
              </w:rPr>
            </w:r>
          </w:p>
        </w:tc>
        <w:tc>
          <w:tcPr>
            <w:tcW w:w="110"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88"/>
              <w:jc w:val="right"/>
              <w:rPr>
                <w:rFonts w:ascii="Arial" w:hAnsi="Arial" w:cs="Arial" w:eastAsia="Arial" w:hint="default"/>
                <w:sz w:val="24"/>
                <w:szCs w:val="24"/>
              </w:rPr>
            </w:pPr>
            <w:r>
              <w:rPr>
                <w:rFonts w:ascii="Arial"/>
                <w:w w:val="99"/>
                <w:sz w:val="24"/>
              </w:rPr>
              <w:t>-</w:t>
            </w:r>
            <w:r>
              <w:rPr>
                <w:rFonts w:ascii="Arial"/>
                <w:sz w:val="24"/>
              </w:rPr>
            </w:r>
          </w:p>
        </w:tc>
      </w:tr>
      <w:tr>
        <w:trPr>
          <w:trHeight w:val="377" w:hRule="exact"/>
        </w:trPr>
        <w:tc>
          <w:tcPr>
            <w:tcW w:w="698" w:type="dxa"/>
            <w:tcBorders>
              <w:top w:val="nil" w:sz="6" w:space="0" w:color="auto"/>
              <w:left w:val="nil" w:sz="6" w:space="0" w:color="auto"/>
              <w:bottom w:val="nil" w:sz="6" w:space="0" w:color="auto"/>
              <w:right w:val="nil" w:sz="6" w:space="0" w:color="auto"/>
            </w:tcBorders>
          </w:tcPr>
          <w:p>
            <w:pPr/>
          </w:p>
        </w:tc>
        <w:tc>
          <w:tcPr>
            <w:tcW w:w="3957" w:type="dxa"/>
            <w:tcBorders>
              <w:top w:val="nil" w:sz="6" w:space="0" w:color="auto"/>
              <w:left w:val="nil" w:sz="6" w:space="0" w:color="auto"/>
              <w:bottom w:val="nil" w:sz="6" w:space="0" w:color="auto"/>
              <w:right w:val="nil" w:sz="6" w:space="0" w:color="auto"/>
            </w:tcBorders>
          </w:tcPr>
          <w:p>
            <w:pPr/>
          </w:p>
        </w:tc>
        <w:tc>
          <w:tcPr>
            <w:tcW w:w="2115"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26"/>
              <w:jc w:val="right"/>
              <w:rPr>
                <w:rFonts w:ascii="Arial" w:hAnsi="Arial" w:cs="Arial" w:eastAsia="Arial" w:hint="default"/>
                <w:sz w:val="24"/>
                <w:szCs w:val="24"/>
              </w:rPr>
            </w:pPr>
            <w:r>
              <w:rPr>
                <w:rFonts w:ascii="Arial"/>
                <w:spacing w:val="-1"/>
                <w:sz w:val="24"/>
              </w:rPr>
              <w:t>574,279</w:t>
            </w:r>
          </w:p>
        </w:tc>
        <w:tc>
          <w:tcPr>
            <w:tcW w:w="110" w:type="dxa"/>
            <w:tcBorders>
              <w:top w:val="nil" w:sz="6" w:space="0" w:color="auto"/>
              <w:left w:val="nil" w:sz="6" w:space="0" w:color="auto"/>
              <w:bottom w:val="nil" w:sz="6" w:space="0" w:color="auto"/>
              <w:right w:val="nil" w:sz="6" w:space="0" w:color="auto"/>
            </w:tcBorders>
          </w:tcPr>
          <w:p>
            <w:pPr/>
          </w:p>
        </w:tc>
        <w:tc>
          <w:tcPr>
            <w:tcW w:w="2206"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88"/>
              <w:jc w:val="right"/>
              <w:rPr>
                <w:rFonts w:ascii="Arial" w:hAnsi="Arial" w:cs="Arial" w:eastAsia="Arial" w:hint="default"/>
                <w:sz w:val="24"/>
                <w:szCs w:val="24"/>
              </w:rPr>
            </w:pPr>
            <w:r>
              <w:rPr>
                <w:rFonts w:ascii="Arial"/>
                <w:spacing w:val="-1"/>
                <w:sz w:val="24"/>
              </w:rPr>
              <w:t>554,793</w:t>
            </w:r>
          </w:p>
        </w:tc>
      </w:tr>
      <w:tr>
        <w:trPr>
          <w:trHeight w:val="684" w:hRule="exact"/>
        </w:trPr>
        <w:tc>
          <w:tcPr>
            <w:tcW w:w="698" w:type="dxa"/>
            <w:tcBorders>
              <w:top w:val="nil" w:sz="6" w:space="0" w:color="auto"/>
              <w:left w:val="nil" w:sz="6" w:space="0" w:color="auto"/>
              <w:bottom w:val="nil" w:sz="6" w:space="0" w:color="auto"/>
              <w:right w:val="nil" w:sz="6" w:space="0" w:color="auto"/>
            </w:tcBorders>
          </w:tcPr>
          <w:p>
            <w:pPr/>
          </w:p>
        </w:tc>
        <w:tc>
          <w:tcPr>
            <w:tcW w:w="60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left="221" w:right="0"/>
              <w:jc w:val="left"/>
              <w:rPr>
                <w:rFonts w:ascii="宋体" w:hAnsi="宋体" w:cs="宋体" w:eastAsia="宋体" w:hint="default"/>
                <w:sz w:val="24"/>
                <w:szCs w:val="24"/>
              </w:rPr>
            </w:pPr>
            <w:r>
              <w:rPr>
                <w:rFonts w:ascii="宋体" w:hAnsi="宋体" w:cs="宋体" w:eastAsia="宋体" w:hint="default"/>
                <w:sz w:val="24"/>
                <w:szCs w:val="24"/>
              </w:rPr>
              <w:t>本集团不存在长期股权投资变现的重大限制。</w:t>
            </w:r>
          </w:p>
        </w:tc>
        <w:tc>
          <w:tcPr>
            <w:tcW w:w="110" w:type="dxa"/>
            <w:tcBorders>
              <w:top w:val="nil" w:sz="6" w:space="0" w:color="auto"/>
              <w:left w:val="nil" w:sz="6" w:space="0" w:color="auto"/>
              <w:bottom w:val="nil" w:sz="6" w:space="0" w:color="auto"/>
              <w:right w:val="nil" w:sz="6" w:space="0" w:color="auto"/>
            </w:tcBorders>
          </w:tcPr>
          <w:p>
            <w:pPr/>
          </w:p>
        </w:tc>
        <w:tc>
          <w:tcPr>
            <w:tcW w:w="2206" w:type="dxa"/>
            <w:tcBorders>
              <w:top w:val="single" w:sz="12" w:space="0" w:color="000000"/>
              <w:left w:val="nil" w:sz="6" w:space="0" w:color="auto"/>
              <w:bottom w:val="nil" w:sz="6" w:space="0" w:color="auto"/>
              <w:right w:val="nil" w:sz="6" w:space="0" w:color="auto"/>
            </w:tcBorders>
          </w:tcPr>
          <w:p>
            <w:pPr/>
          </w:p>
        </w:tc>
      </w:tr>
    </w:tbl>
    <w:p>
      <w:pPr>
        <w:spacing w:after="0"/>
        <w:sectPr>
          <w:footerReference w:type="default" r:id="rId76"/>
          <w:pgSz w:w="11910" w:h="16850"/>
          <w:pgMar w:footer="1340" w:header="795"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721"/>
        <w:gridCol w:w="1430"/>
        <w:gridCol w:w="750"/>
        <w:gridCol w:w="1199"/>
        <w:gridCol w:w="1123"/>
        <w:gridCol w:w="886"/>
        <w:gridCol w:w="1069"/>
        <w:gridCol w:w="1254"/>
        <w:gridCol w:w="823"/>
        <w:gridCol w:w="1080"/>
        <w:gridCol w:w="759"/>
        <w:gridCol w:w="762"/>
        <w:gridCol w:w="1556"/>
        <w:gridCol w:w="913"/>
        <w:gridCol w:w="863"/>
      </w:tblGrid>
      <w:tr>
        <w:trPr>
          <w:trHeight w:val="495" w:hRule="exact"/>
        </w:trPr>
        <w:tc>
          <w:tcPr>
            <w:tcW w:w="72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380"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170"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2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759" w:type="dxa"/>
            <w:tcBorders>
              <w:top w:val="nil" w:sz="6" w:space="0" w:color="auto"/>
              <w:left w:val="nil" w:sz="6" w:space="0" w:color="auto"/>
              <w:bottom w:val="nil" w:sz="6" w:space="0" w:color="auto"/>
              <w:right w:val="nil" w:sz="6" w:space="0" w:color="auto"/>
            </w:tcBorders>
          </w:tcPr>
          <w:p>
            <w:pPr/>
          </w:p>
        </w:tc>
        <w:tc>
          <w:tcPr>
            <w:tcW w:w="762"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c>
          <w:tcPr>
            <w:tcW w:w="863" w:type="dxa"/>
            <w:tcBorders>
              <w:top w:val="nil" w:sz="6" w:space="0" w:color="auto"/>
              <w:left w:val="nil" w:sz="6" w:space="0" w:color="auto"/>
              <w:bottom w:val="nil" w:sz="6" w:space="0" w:color="auto"/>
              <w:right w:val="nil" w:sz="6" w:space="0" w:color="auto"/>
            </w:tcBorders>
          </w:tcPr>
          <w:p>
            <w:pPr/>
          </w:p>
        </w:tc>
      </w:tr>
      <w:tr>
        <w:trPr>
          <w:trHeight w:val="747" w:hRule="exact"/>
        </w:trPr>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(9)</w:t>
            </w:r>
          </w:p>
        </w:tc>
        <w:tc>
          <w:tcPr>
            <w:tcW w:w="21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170"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99"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759" w:type="dxa"/>
            <w:tcBorders>
              <w:top w:val="nil" w:sz="6" w:space="0" w:color="auto"/>
              <w:left w:val="nil" w:sz="6" w:space="0" w:color="auto"/>
              <w:bottom w:val="nil" w:sz="6" w:space="0" w:color="auto"/>
              <w:right w:val="nil" w:sz="6" w:space="0" w:color="auto"/>
            </w:tcBorders>
          </w:tcPr>
          <w:p>
            <w:pPr/>
          </w:p>
        </w:tc>
        <w:tc>
          <w:tcPr>
            <w:tcW w:w="762"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c>
          <w:tcPr>
            <w:tcW w:w="863" w:type="dxa"/>
            <w:tcBorders>
              <w:top w:val="nil" w:sz="6" w:space="0" w:color="auto"/>
              <w:left w:val="nil" w:sz="6" w:space="0" w:color="auto"/>
              <w:bottom w:val="nil" w:sz="6" w:space="0" w:color="auto"/>
              <w:right w:val="nil" w:sz="6" w:space="0" w:color="auto"/>
            </w:tcBorders>
          </w:tcPr>
          <w:p>
            <w:pPr/>
          </w:p>
        </w:tc>
      </w:tr>
      <w:tr>
        <w:trPr>
          <w:trHeight w:val="740" w:hRule="exact"/>
        </w:trPr>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57" w:right="0"/>
              <w:jc w:val="left"/>
              <w:rPr>
                <w:rFonts w:ascii="Arial" w:hAnsi="Arial" w:cs="Arial" w:eastAsia="Arial" w:hint="default"/>
                <w:sz w:val="24"/>
                <w:szCs w:val="24"/>
              </w:rPr>
            </w:pPr>
            <w:r>
              <w:rPr>
                <w:rFonts w:ascii="Arial"/>
                <w:sz w:val="24"/>
              </w:rPr>
              <w:t>(a)</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70" w:right="0"/>
              <w:jc w:val="left"/>
              <w:rPr>
                <w:rFonts w:ascii="宋体" w:hAnsi="宋体" w:cs="宋体" w:eastAsia="宋体" w:hint="default"/>
                <w:sz w:val="24"/>
                <w:szCs w:val="24"/>
              </w:rPr>
            </w:pPr>
            <w:r>
              <w:rPr>
                <w:rFonts w:ascii="宋体" w:hAnsi="宋体" w:cs="宋体" w:eastAsia="宋体" w:hint="default"/>
                <w:sz w:val="24"/>
                <w:szCs w:val="24"/>
              </w:rPr>
              <w:t>联营企业</w:t>
            </w:r>
          </w:p>
        </w:tc>
        <w:tc>
          <w:tcPr>
            <w:tcW w:w="750"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759" w:type="dxa"/>
            <w:tcBorders>
              <w:top w:val="nil" w:sz="6" w:space="0" w:color="auto"/>
              <w:left w:val="nil" w:sz="6" w:space="0" w:color="auto"/>
              <w:bottom w:val="nil" w:sz="6" w:space="0" w:color="auto"/>
              <w:right w:val="nil" w:sz="6" w:space="0" w:color="auto"/>
            </w:tcBorders>
          </w:tcPr>
          <w:p>
            <w:pPr/>
          </w:p>
        </w:tc>
        <w:tc>
          <w:tcPr>
            <w:tcW w:w="762"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c>
          <w:tcPr>
            <w:tcW w:w="863" w:type="dxa"/>
            <w:tcBorders>
              <w:top w:val="nil" w:sz="6" w:space="0" w:color="auto"/>
              <w:left w:val="nil" w:sz="6" w:space="0" w:color="auto"/>
              <w:bottom w:val="nil" w:sz="6" w:space="0" w:color="auto"/>
              <w:right w:val="nil" w:sz="6" w:space="0" w:color="auto"/>
            </w:tcBorders>
          </w:tcPr>
          <w:p>
            <w:pPr/>
          </w:p>
        </w:tc>
      </w:tr>
      <w:tr>
        <w:trPr>
          <w:trHeight w:val="502" w:hRule="exact"/>
        </w:trPr>
        <w:tc>
          <w:tcPr>
            <w:tcW w:w="721"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750"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single" w:sz="4" w:space="0" w:color="000000"/>
              <w:right w:val="nil" w:sz="6" w:space="0" w:color="auto"/>
            </w:tcBorders>
          </w:tcPr>
          <w:p>
            <w:pPr/>
          </w:p>
        </w:tc>
        <w:tc>
          <w:tcPr>
            <w:tcW w:w="232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823" w:type="dxa"/>
            <w:tcBorders>
              <w:top w:val="nil" w:sz="6" w:space="0" w:color="auto"/>
              <w:left w:val="nil" w:sz="6" w:space="0" w:color="auto"/>
              <w:bottom w:val="single" w:sz="4" w:space="0" w:color="000000"/>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759" w:type="dxa"/>
            <w:tcBorders>
              <w:top w:val="nil" w:sz="6" w:space="0" w:color="auto"/>
              <w:left w:val="nil" w:sz="6" w:space="0" w:color="auto"/>
              <w:bottom w:val="nil" w:sz="6" w:space="0" w:color="auto"/>
              <w:right w:val="nil" w:sz="6" w:space="0" w:color="auto"/>
            </w:tcBorders>
          </w:tcPr>
          <w:p>
            <w:pPr/>
          </w:p>
        </w:tc>
        <w:tc>
          <w:tcPr>
            <w:tcW w:w="762"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c>
          <w:tcPr>
            <w:tcW w:w="863" w:type="dxa"/>
            <w:tcBorders>
              <w:top w:val="nil" w:sz="6" w:space="0" w:color="auto"/>
              <w:left w:val="nil" w:sz="6" w:space="0" w:color="auto"/>
              <w:bottom w:val="nil" w:sz="6" w:space="0" w:color="auto"/>
              <w:right w:val="nil" w:sz="6" w:space="0" w:color="auto"/>
            </w:tcBorders>
          </w:tcPr>
          <w:p>
            <w:pPr/>
          </w:p>
        </w:tc>
      </w:tr>
      <w:tr>
        <w:trPr>
          <w:trHeight w:val="748" w:hRule="exact"/>
        </w:trPr>
        <w:tc>
          <w:tcPr>
            <w:tcW w:w="721"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9" w:right="56"/>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00"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0" w:lineRule="auto" w:before="25"/>
              <w:ind w:left="117"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88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1069" w:type="dxa"/>
            <w:tcBorders>
              <w:top w:val="single" w:sz="4" w:space="0" w:color="000000"/>
              <w:left w:val="nil" w:sz="6" w:space="0" w:color="auto"/>
              <w:bottom w:val="nil" w:sz="6" w:space="0" w:color="auto"/>
              <w:right w:val="nil" w:sz="6" w:space="0" w:color="auto"/>
            </w:tcBorders>
          </w:tcPr>
          <w:p>
            <w:pPr>
              <w:pStyle w:val="TableParagraph"/>
              <w:spacing w:line="232" w:lineRule="exact" w:before="73"/>
              <w:ind w:left="71" w:right="95"/>
              <w:jc w:val="left"/>
              <w:rPr>
                <w:rFonts w:ascii="宋体" w:hAnsi="宋体" w:cs="宋体" w:eastAsia="宋体" w:hint="default"/>
                <w:sz w:val="18"/>
                <w:szCs w:val="18"/>
              </w:rPr>
            </w:pPr>
            <w:r>
              <w:rPr>
                <w:rFonts w:ascii="宋体" w:hAnsi="宋体" w:cs="宋体" w:eastAsia="宋体" w:hint="default"/>
                <w:sz w:val="18"/>
                <w:szCs w:val="18"/>
              </w:rPr>
              <w:t>按权益法调 整的净损益</w:t>
            </w:r>
          </w:p>
        </w:tc>
        <w:tc>
          <w:tcPr>
            <w:tcW w:w="1254" w:type="dxa"/>
            <w:tcBorders>
              <w:top w:val="single" w:sz="4" w:space="0" w:color="000000"/>
              <w:left w:val="nil" w:sz="6" w:space="0" w:color="auto"/>
              <w:bottom w:val="nil" w:sz="6" w:space="0" w:color="auto"/>
              <w:right w:val="nil" w:sz="6" w:space="0" w:color="auto"/>
            </w:tcBorders>
          </w:tcPr>
          <w:p>
            <w:pPr>
              <w:pStyle w:val="TableParagraph"/>
              <w:spacing w:line="232" w:lineRule="exact" w:before="73"/>
              <w:ind w:left="277" w:right="254" w:hanging="181"/>
              <w:jc w:val="left"/>
              <w:rPr>
                <w:rFonts w:ascii="宋体" w:hAnsi="宋体" w:cs="宋体" w:eastAsia="宋体" w:hint="default"/>
                <w:sz w:val="18"/>
                <w:szCs w:val="18"/>
              </w:rPr>
            </w:pPr>
            <w:r>
              <w:rPr>
                <w:rFonts w:ascii="宋体" w:hAnsi="宋体" w:cs="宋体" w:eastAsia="宋体" w:hint="default"/>
                <w:sz w:val="18"/>
                <w:szCs w:val="18"/>
              </w:rPr>
              <w:t>宣告分派的 现金股利</w:t>
            </w:r>
          </w:p>
        </w:tc>
        <w:tc>
          <w:tcPr>
            <w:tcW w:w="823" w:type="dxa"/>
            <w:tcBorders>
              <w:top w:val="single" w:sz="4" w:space="0" w:color="000000"/>
              <w:left w:val="nil" w:sz="6" w:space="0" w:color="auto"/>
              <w:bottom w:val="nil" w:sz="6" w:space="0" w:color="auto"/>
              <w:right w:val="nil" w:sz="6" w:space="0" w:color="auto"/>
            </w:tcBorders>
          </w:tcPr>
          <w:p>
            <w:pPr>
              <w:pStyle w:val="TableParagraph"/>
              <w:spacing w:line="278" w:lineRule="auto" w:before="8"/>
              <w:ind w:left="256" w:right="24"/>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24"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25"/>
              <w:ind w:left="156"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759" w:type="dxa"/>
            <w:tcBorders>
              <w:top w:val="nil" w:sz="6" w:space="0" w:color="auto"/>
              <w:left w:val="nil" w:sz="6" w:space="0" w:color="auto"/>
              <w:bottom w:val="nil" w:sz="6" w:space="0" w:color="auto"/>
              <w:right w:val="nil" w:sz="6" w:space="0" w:color="auto"/>
            </w:tcBorders>
          </w:tcPr>
          <w:p>
            <w:pPr>
              <w:pStyle w:val="TableParagraph"/>
              <w:spacing w:line="278" w:lineRule="auto" w:before="13"/>
              <w:ind w:left="266" w:right="130"/>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62" w:type="dxa"/>
            <w:tcBorders>
              <w:top w:val="nil" w:sz="6" w:space="0" w:color="auto"/>
              <w:left w:val="nil" w:sz="6" w:space="0" w:color="auto"/>
              <w:bottom w:val="nil" w:sz="6" w:space="0" w:color="auto"/>
              <w:right w:val="nil" w:sz="6" w:space="0" w:color="auto"/>
            </w:tcBorders>
          </w:tcPr>
          <w:p>
            <w:pPr>
              <w:pStyle w:val="TableParagraph"/>
              <w:spacing w:line="278" w:lineRule="auto" w:before="13"/>
              <w:ind w:left="309" w:right="90" w:hanging="18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556" w:type="dxa"/>
            <w:tcBorders>
              <w:top w:val="nil" w:sz="6" w:space="0" w:color="auto"/>
              <w:left w:val="nil" w:sz="6" w:space="0" w:color="auto"/>
              <w:bottom w:val="nil" w:sz="6" w:space="0" w:color="auto"/>
              <w:right w:val="nil" w:sz="6" w:space="0" w:color="auto"/>
            </w:tcBorders>
          </w:tcPr>
          <w:p>
            <w:pPr>
              <w:pStyle w:val="TableParagraph"/>
              <w:spacing w:line="278" w:lineRule="auto" w:before="13"/>
              <w:ind w:left="90" w:right="24"/>
              <w:jc w:val="left"/>
              <w:rPr>
                <w:rFonts w:ascii="宋体" w:hAnsi="宋体" w:cs="宋体" w:eastAsia="宋体" w:hint="default"/>
                <w:sz w:val="18"/>
                <w:szCs w:val="18"/>
              </w:rPr>
            </w:pPr>
            <w:r>
              <w:rPr>
                <w:rFonts w:ascii="宋体" w:hAnsi="宋体" w:cs="宋体" w:eastAsia="宋体" w:hint="default"/>
                <w:sz w:val="18"/>
                <w:szCs w:val="18"/>
              </w:rPr>
              <w:t>持股比例与表决权 比例不一致的说明</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12"/>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863" w:type="dxa"/>
            <w:tcBorders>
              <w:top w:val="nil" w:sz="6" w:space="0" w:color="auto"/>
              <w:left w:val="nil" w:sz="6" w:space="0" w:color="auto"/>
              <w:bottom w:val="nil" w:sz="6" w:space="0" w:color="auto"/>
              <w:right w:val="nil" w:sz="6" w:space="0" w:color="auto"/>
            </w:tcBorders>
          </w:tcPr>
          <w:p>
            <w:pPr>
              <w:pStyle w:val="TableParagraph"/>
              <w:spacing w:line="232" w:lineRule="exact" w:before="78"/>
              <w:ind w:left="114" w:right="26"/>
              <w:jc w:val="left"/>
              <w:rPr>
                <w:rFonts w:ascii="宋体" w:hAnsi="宋体" w:cs="宋体" w:eastAsia="宋体" w:hint="default"/>
                <w:sz w:val="18"/>
                <w:szCs w:val="18"/>
              </w:rPr>
            </w:pPr>
            <w:r>
              <w:rPr>
                <w:rFonts w:ascii="宋体" w:hAnsi="宋体" w:cs="宋体" w:eastAsia="宋体" w:hint="default"/>
                <w:sz w:val="18"/>
                <w:szCs w:val="18"/>
              </w:rPr>
              <w:t>本年计提 减值准备</w:t>
            </w:r>
          </w:p>
        </w:tc>
      </w:tr>
      <w:tr>
        <w:trPr>
          <w:trHeight w:val="729" w:hRule="exact"/>
        </w:trPr>
        <w:tc>
          <w:tcPr>
            <w:tcW w:w="721"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32" w:lineRule="exact"/>
              <w:ind w:left="369" w:right="149" w:hanging="200"/>
              <w:jc w:val="left"/>
              <w:rPr>
                <w:rFonts w:ascii="宋体" w:hAnsi="宋体" w:cs="宋体" w:eastAsia="宋体" w:hint="default"/>
                <w:sz w:val="18"/>
                <w:szCs w:val="18"/>
              </w:rPr>
            </w:pPr>
            <w:r>
              <w:rPr>
                <w:rFonts w:ascii="宋体" w:hAnsi="宋体" w:cs="宋体" w:eastAsia="宋体" w:hint="default"/>
                <w:spacing w:val="4"/>
                <w:sz w:val="18"/>
                <w:szCs w:val="18"/>
              </w:rPr>
              <w:t>丸悦香港有限 </w:t>
            </w:r>
            <w:r>
              <w:rPr>
                <w:rFonts w:ascii="宋体" w:hAnsi="宋体" w:cs="宋体" w:eastAsia="宋体" w:hint="default"/>
                <w:sz w:val="18"/>
                <w:szCs w:val="18"/>
              </w:rPr>
              <w:t>公司</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56"/>
              <w:jc w:val="right"/>
              <w:rPr>
                <w:rFonts w:ascii="宋体" w:hAnsi="宋体" w:cs="宋体" w:eastAsia="宋体" w:hint="default"/>
                <w:sz w:val="18"/>
                <w:szCs w:val="18"/>
              </w:rPr>
            </w:pPr>
            <w:r>
              <w:rPr>
                <w:rFonts w:ascii="宋体" w:hAnsi="宋体" w:cs="宋体" w:eastAsia="宋体" w:hint="default"/>
                <w:sz w:val="18"/>
                <w:szCs w:val="18"/>
              </w:rPr>
              <w:t>权益法</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Arial" w:hAnsi="Arial" w:cs="Arial" w:eastAsia="Arial" w:hint="default"/>
                <w:sz w:val="18"/>
                <w:szCs w:val="18"/>
              </w:rPr>
              <w:t>2,400</w:t>
            </w:r>
            <w:r>
              <w:rPr>
                <w:rFonts w:ascii="Arial" w:hAnsi="Arial" w:cs="Arial" w:eastAsia="Arial" w:hint="default"/>
                <w:spacing w:val="-7"/>
                <w:sz w:val="18"/>
                <w:szCs w:val="18"/>
              </w:rPr>
              <w:t> </w:t>
            </w:r>
            <w:r>
              <w:rPr>
                <w:rFonts w:ascii="宋体" w:hAnsi="宋体" w:cs="宋体" w:eastAsia="宋体" w:hint="default"/>
                <w:sz w:val="18"/>
                <w:szCs w:val="18"/>
              </w:rPr>
              <w:t>万港元</w:t>
            </w:r>
          </w:p>
        </w:tc>
        <w:tc>
          <w:tcPr>
            <w:tcW w:w="1123"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32"/>
              <w:jc w:val="right"/>
              <w:rPr>
                <w:rFonts w:ascii="Arial" w:hAnsi="Arial" w:cs="Arial" w:eastAsia="Arial" w:hint="default"/>
                <w:sz w:val="18"/>
                <w:szCs w:val="18"/>
              </w:rPr>
            </w:pPr>
            <w:r>
              <w:rPr>
                <w:rFonts w:ascii="Arial"/>
                <w:w w:val="99"/>
                <w:sz w:val="18"/>
              </w:rPr>
              <w:t>-</w:t>
            </w:r>
            <w:r>
              <w:rPr>
                <w:rFonts w:ascii="Arial"/>
                <w:sz w:val="18"/>
              </w:rPr>
            </w:r>
          </w:p>
        </w:tc>
        <w:tc>
          <w:tcPr>
            <w:tcW w:w="886"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69"/>
              <w:jc w:val="right"/>
              <w:rPr>
                <w:rFonts w:ascii="Arial" w:hAnsi="Arial" w:cs="Arial" w:eastAsia="Arial" w:hint="default"/>
                <w:sz w:val="18"/>
                <w:szCs w:val="18"/>
              </w:rPr>
            </w:pPr>
            <w:r>
              <w:rPr>
                <w:rFonts w:ascii="Arial"/>
                <w:spacing w:val="-1"/>
                <w:sz w:val="18"/>
              </w:rPr>
              <w:t>19,486</w:t>
            </w:r>
          </w:p>
        </w:tc>
        <w:tc>
          <w:tcPr>
            <w:tcW w:w="1069"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95"/>
              <w:jc w:val="right"/>
              <w:rPr>
                <w:rFonts w:ascii="Arial" w:hAnsi="Arial" w:cs="Arial" w:eastAsia="Arial" w:hint="default"/>
                <w:sz w:val="18"/>
                <w:szCs w:val="18"/>
              </w:rPr>
            </w:pPr>
            <w:r>
              <w:rPr>
                <w:rFonts w:ascii="Arial"/>
                <w:w w:val="99"/>
                <w:sz w:val="18"/>
              </w:rPr>
              <w:t>-</w:t>
            </w:r>
            <w:r>
              <w:rPr>
                <w:rFonts w:ascii="Arial"/>
                <w:sz w:val="18"/>
              </w:rPr>
            </w:r>
          </w:p>
        </w:tc>
        <w:tc>
          <w:tcPr>
            <w:tcW w:w="1254"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54"/>
              <w:jc w:val="right"/>
              <w:rPr>
                <w:rFonts w:ascii="Arial" w:hAnsi="Arial" w:cs="Arial" w:eastAsia="Arial" w:hint="default"/>
                <w:sz w:val="18"/>
                <w:szCs w:val="18"/>
              </w:rPr>
            </w:pPr>
            <w:r>
              <w:rPr>
                <w:rFonts w:ascii="Arial"/>
                <w:w w:val="99"/>
                <w:sz w:val="18"/>
              </w:rPr>
              <w:t>-</w:t>
            </w:r>
            <w:r>
              <w:rPr>
                <w:rFonts w:ascii="Arial"/>
                <w:sz w:val="18"/>
              </w:rPr>
            </w:r>
          </w:p>
        </w:tc>
        <w:tc>
          <w:tcPr>
            <w:tcW w:w="823"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c>
          <w:tcPr>
            <w:tcW w:w="1080"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501" w:right="0"/>
              <w:jc w:val="left"/>
              <w:rPr>
                <w:rFonts w:ascii="Arial" w:hAnsi="Arial" w:cs="Arial" w:eastAsia="Arial" w:hint="default"/>
                <w:sz w:val="18"/>
                <w:szCs w:val="18"/>
              </w:rPr>
            </w:pPr>
            <w:r>
              <w:rPr>
                <w:rFonts w:ascii="Arial"/>
                <w:sz w:val="18"/>
              </w:rPr>
              <w:t>19,486</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66" w:right="0"/>
              <w:jc w:val="left"/>
              <w:rPr>
                <w:rFonts w:ascii="Arial" w:hAnsi="Arial" w:cs="Arial" w:eastAsia="Arial" w:hint="default"/>
                <w:sz w:val="18"/>
                <w:szCs w:val="18"/>
              </w:rPr>
            </w:pPr>
            <w:r>
              <w:rPr>
                <w:rFonts w:ascii="Arial"/>
                <w:sz w:val="18"/>
              </w:rPr>
              <w:t>30%</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309" w:right="0"/>
              <w:jc w:val="left"/>
              <w:rPr>
                <w:rFonts w:ascii="Arial" w:hAnsi="Arial" w:cs="Arial" w:eastAsia="Arial" w:hint="default"/>
                <w:sz w:val="18"/>
                <w:szCs w:val="18"/>
              </w:rPr>
            </w:pPr>
            <w:r>
              <w:rPr>
                <w:rFonts w:ascii="Arial"/>
                <w:sz w:val="18"/>
              </w:rPr>
              <w:t>30%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c>
          <w:tcPr>
            <w:tcW w:w="913"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52"/>
              <w:jc w:val="right"/>
              <w:rPr>
                <w:rFonts w:ascii="Arial" w:hAnsi="Arial" w:cs="Arial" w:eastAsia="Arial" w:hint="default"/>
                <w:sz w:val="18"/>
                <w:szCs w:val="18"/>
              </w:rPr>
            </w:pPr>
            <w:r>
              <w:rPr>
                <w:rFonts w:ascii="Arial"/>
                <w:w w:val="99"/>
                <w:sz w:val="18"/>
              </w:rPr>
              <w:t>-</w:t>
            </w:r>
            <w:r>
              <w:rPr>
                <w:rFonts w:ascii="Arial"/>
                <w:sz w:val="18"/>
              </w:rPr>
            </w:r>
          </w:p>
        </w:tc>
        <w:tc>
          <w:tcPr>
            <w:tcW w:w="863"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13"/>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headerReference w:type="default" r:id="rId77"/>
          <w:footerReference w:type="default" r:id="rId78"/>
          <w:pgSz w:w="16850" w:h="11910" w:orient="landscape"/>
          <w:pgMar w:header="1227" w:footer="1340" w:top="2440" w:bottom="1540" w:left="1020" w:right="0"/>
          <w:pgNumType w:start="153"/>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695"/>
        <w:gridCol w:w="3201"/>
      </w:tblGrid>
      <w:tr>
        <w:trPr>
          <w:trHeight w:val="495"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0" w:lineRule="exact"/>
              <w:ind w:right="52"/>
              <w:jc w:val="center"/>
              <w:rPr>
                <w:rFonts w:ascii="黑体" w:hAnsi="黑体" w:cs="黑体" w:eastAsia="黑体" w:hint="default"/>
                <w:sz w:val="24"/>
                <w:szCs w:val="24"/>
              </w:rPr>
            </w:pPr>
            <w:r>
              <w:rPr>
                <w:rFonts w:ascii="黑体" w:hAnsi="黑体" w:cs="黑体" w:eastAsia="黑体" w:hint="default"/>
                <w:sz w:val="24"/>
                <w:szCs w:val="24"/>
              </w:rPr>
              <w:t>五</w:t>
            </w:r>
          </w:p>
        </w:tc>
        <w:tc>
          <w:tcPr>
            <w:tcW w:w="3201" w:type="dxa"/>
            <w:tcBorders>
              <w:top w:val="nil" w:sz="6" w:space="0" w:color="auto"/>
              <w:left w:val="nil" w:sz="6" w:space="0" w:color="auto"/>
              <w:bottom w:val="nil" w:sz="6" w:space="0" w:color="auto"/>
              <w:right w:val="nil" w:sz="6" w:space="0" w:color="auto"/>
            </w:tcBorders>
          </w:tcPr>
          <w:p>
            <w:pPr>
              <w:pStyle w:val="TableParagraph"/>
              <w:spacing w:line="257" w:lineRule="exact"/>
              <w:ind w:left="20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3"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
              <w:jc w:val="center"/>
              <w:rPr>
                <w:rFonts w:ascii="Arial" w:hAnsi="Arial" w:cs="Arial" w:eastAsia="Arial" w:hint="default"/>
                <w:sz w:val="24"/>
                <w:szCs w:val="24"/>
              </w:rPr>
            </w:pPr>
            <w:r>
              <w:rPr>
                <w:rFonts w:ascii="Arial"/>
                <w:sz w:val="24"/>
              </w:rPr>
              <w:t>(9)</w:t>
            </w:r>
          </w:p>
        </w:tc>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1"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62" w:type="dxa"/>
        <w:tblLayout w:type="fixed"/>
        <w:tblCellMar>
          <w:top w:w="0" w:type="dxa"/>
          <w:left w:w="0" w:type="dxa"/>
          <w:bottom w:w="0" w:type="dxa"/>
          <w:right w:w="0" w:type="dxa"/>
        </w:tblCellMar>
        <w:tblLook w:val="01E0"/>
      </w:tblPr>
      <w:tblGrid>
        <w:gridCol w:w="664"/>
        <w:gridCol w:w="1454"/>
        <w:gridCol w:w="972"/>
        <w:gridCol w:w="1083"/>
        <w:gridCol w:w="1625"/>
        <w:gridCol w:w="1709"/>
        <w:gridCol w:w="633"/>
        <w:gridCol w:w="673"/>
        <w:gridCol w:w="1528"/>
        <w:gridCol w:w="992"/>
        <w:gridCol w:w="975"/>
        <w:gridCol w:w="1390"/>
      </w:tblGrid>
      <w:tr>
        <w:trPr>
          <w:trHeight w:val="495" w:hRule="exact"/>
        </w:trPr>
        <w:tc>
          <w:tcPr>
            <w:tcW w:w="664"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2426"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170" w:right="0"/>
              <w:jc w:val="left"/>
              <w:rPr>
                <w:rFonts w:ascii="宋体" w:hAnsi="宋体" w:cs="宋体" w:eastAsia="宋体" w:hint="default"/>
                <w:sz w:val="24"/>
                <w:szCs w:val="24"/>
              </w:rPr>
            </w:pPr>
            <w:r>
              <w:rPr>
                <w:rFonts w:ascii="宋体" w:hAnsi="宋体" w:cs="宋体" w:eastAsia="宋体" w:hint="default"/>
                <w:sz w:val="24"/>
                <w:szCs w:val="24"/>
              </w:rPr>
              <w:t>其他长期股权投资</w:t>
            </w:r>
          </w:p>
        </w:tc>
        <w:tc>
          <w:tcPr>
            <w:tcW w:w="1083"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r>
      <w:tr>
        <w:trPr>
          <w:trHeight w:val="916" w:hRule="exact"/>
        </w:trPr>
        <w:tc>
          <w:tcPr>
            <w:tcW w:w="664"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5" w:right="254"/>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6"/>
              <w:jc w:val="righ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6" w:lineRule="auto"/>
              <w:ind w:left="199" w:right="72"/>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6" w:lineRule="auto"/>
              <w:ind w:left="252" w:right="59" w:hanging="18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6" w:lineRule="auto"/>
              <w:ind w:left="58" w:right="26"/>
              <w:jc w:val="left"/>
              <w:rPr>
                <w:rFonts w:ascii="宋体" w:hAnsi="宋体" w:cs="宋体" w:eastAsia="宋体" w:hint="default"/>
                <w:sz w:val="18"/>
                <w:szCs w:val="18"/>
              </w:rPr>
            </w:pPr>
            <w:r>
              <w:rPr>
                <w:rFonts w:ascii="宋体" w:hAnsi="宋体" w:cs="宋体" w:eastAsia="宋体" w:hint="default"/>
                <w:sz w:val="18"/>
                <w:szCs w:val="18"/>
              </w:rPr>
              <w:t>持股比例与表决权 比例不一致的说明</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0" w:lineRule="exact"/>
              <w:ind w:left="223" w:right="29"/>
              <w:jc w:val="left"/>
              <w:rPr>
                <w:rFonts w:ascii="宋体" w:hAnsi="宋体" w:cs="宋体" w:eastAsia="宋体" w:hint="default"/>
                <w:sz w:val="18"/>
                <w:szCs w:val="18"/>
              </w:rPr>
            </w:pPr>
            <w:r>
              <w:rPr>
                <w:rFonts w:ascii="宋体" w:hAnsi="宋体" w:cs="宋体" w:eastAsia="宋体" w:hint="default"/>
                <w:sz w:val="18"/>
                <w:szCs w:val="18"/>
              </w:rPr>
              <w:t>本年计提 减值准备</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0" w:lineRule="exact"/>
              <w:ind w:left="460" w:right="26" w:hanging="180"/>
              <w:jc w:val="left"/>
              <w:rPr>
                <w:rFonts w:ascii="宋体" w:hAnsi="宋体" w:cs="宋体" w:eastAsia="宋体" w:hint="default"/>
                <w:sz w:val="18"/>
                <w:szCs w:val="18"/>
              </w:rPr>
            </w:pPr>
            <w:r>
              <w:rPr>
                <w:rFonts w:ascii="宋体" w:hAnsi="宋体" w:cs="宋体" w:eastAsia="宋体" w:hint="default"/>
                <w:sz w:val="18"/>
                <w:szCs w:val="18"/>
              </w:rPr>
              <w:t>本年宣告分派 的现金股利</w:t>
            </w:r>
          </w:p>
        </w:tc>
      </w:tr>
      <w:tr>
        <w:trPr>
          <w:trHeight w:val="932" w:hRule="exact"/>
        </w:trPr>
        <w:tc>
          <w:tcPr>
            <w:tcW w:w="664"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37" w:lineRule="auto" w:before="152"/>
              <w:ind w:left="350" w:right="173" w:hanging="180"/>
              <w:jc w:val="both"/>
              <w:rPr>
                <w:rFonts w:ascii="宋体" w:hAnsi="宋体" w:cs="宋体" w:eastAsia="宋体" w:hint="default"/>
                <w:sz w:val="18"/>
                <w:szCs w:val="18"/>
              </w:rPr>
            </w:pPr>
            <w:r>
              <w:rPr>
                <w:rFonts w:ascii="宋体" w:hAnsi="宋体" w:cs="宋体" w:eastAsia="宋体" w:hint="default"/>
                <w:spacing w:val="4"/>
                <w:sz w:val="18"/>
                <w:szCs w:val="18"/>
              </w:rPr>
              <w:t>南京苏宁中央 </w:t>
            </w:r>
            <w:r>
              <w:rPr>
                <w:rFonts w:ascii="宋体" w:hAnsi="宋体" w:cs="宋体" w:eastAsia="宋体" w:hint="default"/>
                <w:spacing w:val="5"/>
                <w:sz w:val="18"/>
                <w:szCs w:val="18"/>
              </w:rPr>
              <w:t>空调工程有</w:t>
            </w:r>
            <w:r>
              <w:rPr>
                <w:rFonts w:ascii="宋体" w:hAnsi="宋体" w:cs="宋体" w:eastAsia="宋体" w:hint="default"/>
                <w:sz w:val="18"/>
                <w:szCs w:val="18"/>
              </w:rPr>
              <w:t> 限公司</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436"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6"/>
              <w:ind w:left="371" w:right="0"/>
              <w:jc w:val="left"/>
              <w:rPr>
                <w:rFonts w:ascii="宋体" w:hAnsi="宋体" w:cs="宋体" w:eastAsia="宋体" w:hint="default"/>
                <w:sz w:val="18"/>
                <w:szCs w:val="18"/>
              </w:rPr>
            </w:pPr>
            <w:r>
              <w:rPr>
                <w:rFonts w:ascii="Arial" w:hAnsi="Arial" w:cs="Arial" w:eastAsia="Arial" w:hint="default"/>
                <w:sz w:val="18"/>
                <w:szCs w:val="18"/>
              </w:rPr>
              <w:t>83</w:t>
            </w:r>
            <w:r>
              <w:rPr>
                <w:rFonts w:ascii="Arial" w:hAnsi="Arial" w:cs="Arial" w:eastAsia="Arial" w:hint="default"/>
                <w:spacing w:val="-5"/>
                <w:sz w:val="18"/>
                <w:szCs w:val="18"/>
              </w:rPr>
              <w:t> </w:t>
            </w:r>
            <w:r>
              <w:rPr>
                <w:rFonts w:ascii="宋体" w:hAnsi="宋体" w:cs="宋体" w:eastAsia="宋体" w:hint="default"/>
                <w:sz w:val="18"/>
                <w:szCs w:val="18"/>
              </w:rPr>
              <w:t>万元</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36"/>
              <w:jc w:val="right"/>
              <w:rPr>
                <w:rFonts w:ascii="Arial" w:hAnsi="Arial" w:cs="Arial" w:eastAsia="Arial" w:hint="default"/>
                <w:sz w:val="18"/>
                <w:szCs w:val="18"/>
              </w:rPr>
            </w:pPr>
            <w:r>
              <w:rPr>
                <w:rFonts w:ascii="Arial"/>
                <w:w w:val="95"/>
                <w:sz w:val="18"/>
              </w:rPr>
              <w:t>993</w:t>
            </w:r>
            <w:r>
              <w:rPr>
                <w:rFonts w:ascii="Arial"/>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5"/>
                <w:sz w:val="18"/>
              </w:rPr>
              <w:t>993</w:t>
            </w:r>
            <w:r>
              <w:rPr>
                <w:rFonts w:ascii="Arial"/>
                <w:sz w:val="18"/>
              </w:rPr>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70"/>
              <w:jc w:val="right"/>
              <w:rPr>
                <w:rFonts w:ascii="Arial" w:hAnsi="Arial" w:cs="Arial" w:eastAsia="Arial" w:hint="default"/>
                <w:sz w:val="18"/>
                <w:szCs w:val="18"/>
              </w:rPr>
            </w:pPr>
            <w:r>
              <w:rPr>
                <w:rFonts w:ascii="Arial"/>
                <w:w w:val="95"/>
                <w:sz w:val="18"/>
              </w:rPr>
              <w:t>10%</w:t>
            </w:r>
            <w:r>
              <w:rPr>
                <w:rFonts w:ascii="Arial"/>
                <w:sz w:val="18"/>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56"/>
              <w:jc w:val="right"/>
              <w:rPr>
                <w:rFonts w:ascii="Arial" w:hAnsi="Arial" w:cs="Arial" w:eastAsia="Arial" w:hint="default"/>
                <w:sz w:val="18"/>
                <w:szCs w:val="18"/>
              </w:rPr>
            </w:pPr>
            <w:r>
              <w:rPr>
                <w:rFonts w:ascii="Arial"/>
                <w:w w:val="95"/>
                <w:sz w:val="18"/>
              </w:rPr>
              <w:t>10%</w:t>
            </w:r>
            <w:r>
              <w:rPr>
                <w:rFonts w:ascii="Arial"/>
                <w:sz w:val="18"/>
              </w:rPr>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62"/>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62"/>
              <w:jc w:val="right"/>
              <w:rPr>
                <w:rFonts w:ascii="Arial" w:hAnsi="Arial" w:cs="Arial" w:eastAsia="Arial" w:hint="default"/>
                <w:sz w:val="18"/>
                <w:szCs w:val="18"/>
              </w:rPr>
            </w:pPr>
            <w:r>
              <w:rPr>
                <w:rFonts w:ascii="Arial"/>
                <w:w w:val="99"/>
                <w:sz w:val="18"/>
              </w:rPr>
              <w:t>-</w:t>
            </w:r>
            <w:r>
              <w:rPr>
                <w:rFonts w:ascii="Arial"/>
                <w:sz w:val="18"/>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48"/>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60"/>
              <w:jc w:val="right"/>
              <w:rPr>
                <w:rFonts w:ascii="Arial" w:hAnsi="Arial" w:cs="Arial" w:eastAsia="Arial" w:hint="default"/>
                <w:sz w:val="18"/>
                <w:szCs w:val="18"/>
              </w:rPr>
            </w:pPr>
            <w:r>
              <w:rPr>
                <w:rFonts w:ascii="Arial"/>
                <w:w w:val="99"/>
                <w:sz w:val="18"/>
              </w:rPr>
              <w:t>-</w:t>
            </w:r>
            <w:r>
              <w:rPr>
                <w:rFonts w:ascii="Arial"/>
                <w:sz w:val="18"/>
              </w:rPr>
            </w:r>
          </w:p>
        </w:tc>
      </w:tr>
      <w:tr>
        <w:trPr>
          <w:trHeight w:val="587" w:hRule="exact"/>
        </w:trPr>
        <w:tc>
          <w:tcPr>
            <w:tcW w:w="664"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78" w:lineRule="auto"/>
              <w:ind w:left="331" w:right="203" w:hanging="161"/>
              <w:jc w:val="left"/>
              <w:rPr>
                <w:rFonts w:ascii="宋体" w:hAnsi="宋体" w:cs="宋体" w:eastAsia="宋体" w:hint="default"/>
                <w:sz w:val="18"/>
                <w:szCs w:val="18"/>
              </w:rPr>
            </w:pPr>
            <w:r>
              <w:rPr>
                <w:rFonts w:ascii="宋体" w:hAnsi="宋体" w:cs="宋体" w:eastAsia="宋体" w:hint="default"/>
                <w:sz w:val="18"/>
                <w:szCs w:val="18"/>
              </w:rPr>
              <w:t>江苏银行股份 有限公司</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83" w:type="dxa"/>
            <w:tcBorders>
              <w:top w:val="nil" w:sz="6" w:space="0" w:color="auto"/>
              <w:left w:val="nil" w:sz="6" w:space="0" w:color="auto"/>
              <w:bottom w:val="nil" w:sz="6" w:space="0" w:color="auto"/>
              <w:right w:val="nil" w:sz="6" w:space="0" w:color="auto"/>
            </w:tcBorders>
          </w:tcPr>
          <w:p>
            <w:pPr>
              <w:pStyle w:val="TableParagraph"/>
              <w:spacing w:line="234" w:lineRule="exact"/>
              <w:ind w:left="330" w:right="0"/>
              <w:jc w:val="center"/>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217" w:right="0"/>
              <w:jc w:val="center"/>
              <w:rPr>
                <w:rFonts w:ascii="宋体" w:hAnsi="宋体" w:cs="宋体" w:eastAsia="宋体" w:hint="default"/>
                <w:sz w:val="18"/>
                <w:szCs w:val="18"/>
              </w:rPr>
            </w:pPr>
            <w:r>
              <w:rPr>
                <w:rFonts w:ascii="Arial" w:hAnsi="Arial" w:cs="Arial" w:eastAsia="Arial" w:hint="default"/>
                <w:sz w:val="18"/>
                <w:szCs w:val="18"/>
              </w:rPr>
              <w:t>5.4</w:t>
            </w:r>
            <w:r>
              <w:rPr>
                <w:rFonts w:ascii="Arial" w:hAnsi="Arial" w:cs="Arial" w:eastAsia="Arial" w:hint="default"/>
                <w:spacing w:val="-4"/>
                <w:sz w:val="18"/>
                <w:szCs w:val="18"/>
              </w:rPr>
              <w:t> </w:t>
            </w:r>
            <w:r>
              <w:rPr>
                <w:rFonts w:ascii="宋体" w:hAnsi="宋体" w:cs="宋体" w:eastAsia="宋体" w:hint="default"/>
                <w:sz w:val="18"/>
                <w:szCs w:val="18"/>
              </w:rPr>
              <w:t>亿元</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37"/>
              <w:jc w:val="right"/>
              <w:rPr>
                <w:rFonts w:ascii="Arial" w:hAnsi="Arial" w:cs="Arial" w:eastAsia="Arial" w:hint="default"/>
                <w:sz w:val="18"/>
                <w:szCs w:val="18"/>
              </w:rPr>
            </w:pPr>
            <w:r>
              <w:rPr>
                <w:rFonts w:ascii="Arial"/>
                <w:spacing w:val="-1"/>
                <w:sz w:val="18"/>
              </w:rPr>
              <w:t>540,000</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26"/>
              <w:jc w:val="right"/>
              <w:rPr>
                <w:rFonts w:ascii="Arial" w:hAnsi="Arial" w:cs="Arial" w:eastAsia="Arial" w:hint="default"/>
                <w:sz w:val="18"/>
                <w:szCs w:val="18"/>
              </w:rPr>
            </w:pPr>
            <w:r>
              <w:rPr>
                <w:rFonts w:ascii="Arial"/>
                <w:spacing w:val="-1"/>
                <w:sz w:val="18"/>
              </w:rPr>
              <w:t>540,000</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70"/>
              <w:jc w:val="right"/>
              <w:rPr>
                <w:rFonts w:ascii="Arial" w:hAnsi="Arial" w:cs="Arial" w:eastAsia="Arial" w:hint="default"/>
                <w:sz w:val="18"/>
                <w:szCs w:val="18"/>
              </w:rPr>
            </w:pPr>
            <w:r>
              <w:rPr>
                <w:rFonts w:ascii="Arial"/>
                <w:sz w:val="18"/>
              </w:rPr>
              <w:t>1.65%</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7"/>
              <w:jc w:val="right"/>
              <w:rPr>
                <w:rFonts w:ascii="Arial" w:hAnsi="Arial" w:cs="Arial" w:eastAsia="Arial" w:hint="default"/>
                <w:sz w:val="18"/>
                <w:szCs w:val="18"/>
              </w:rPr>
            </w:pPr>
            <w:r>
              <w:rPr>
                <w:rFonts w:ascii="Arial"/>
                <w:sz w:val="18"/>
              </w:rPr>
              <w:t>1.65%</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62"/>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62"/>
              <w:jc w:val="right"/>
              <w:rPr>
                <w:rFonts w:ascii="Arial" w:hAnsi="Arial" w:cs="Arial" w:eastAsia="Arial" w:hint="default"/>
                <w:sz w:val="18"/>
                <w:szCs w:val="18"/>
              </w:rPr>
            </w:pPr>
            <w:r>
              <w:rPr>
                <w:rFonts w:ascii="Arial"/>
                <w:w w:val="99"/>
                <w:sz w:val="18"/>
              </w:rPr>
              <w:t>-</w:t>
            </w:r>
            <w:r>
              <w:rPr>
                <w:rFonts w:ascii="Arial"/>
                <w:sz w:val="18"/>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48"/>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9"/>
              <w:jc w:val="right"/>
              <w:rPr>
                <w:rFonts w:ascii="Arial" w:hAnsi="Arial" w:cs="Arial" w:eastAsia="Arial" w:hint="default"/>
                <w:sz w:val="18"/>
                <w:szCs w:val="18"/>
              </w:rPr>
            </w:pPr>
            <w:r>
              <w:rPr>
                <w:rFonts w:ascii="Arial"/>
                <w:spacing w:val="-1"/>
                <w:sz w:val="18"/>
              </w:rPr>
              <w:t>12,000</w:t>
            </w:r>
          </w:p>
        </w:tc>
      </w:tr>
      <w:tr>
        <w:trPr>
          <w:trHeight w:val="860" w:hRule="exact"/>
        </w:trPr>
        <w:tc>
          <w:tcPr>
            <w:tcW w:w="664"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71" w:lineRule="auto"/>
              <w:ind w:left="350" w:right="203" w:hanging="180"/>
              <w:jc w:val="both"/>
              <w:rPr>
                <w:rFonts w:ascii="宋体" w:hAnsi="宋体" w:cs="宋体" w:eastAsia="宋体" w:hint="default"/>
                <w:sz w:val="18"/>
                <w:szCs w:val="18"/>
              </w:rPr>
            </w:pPr>
            <w:r>
              <w:rPr>
                <w:rFonts w:ascii="宋体" w:hAnsi="宋体" w:cs="宋体" w:eastAsia="宋体" w:hint="default"/>
                <w:sz w:val="18"/>
                <w:szCs w:val="18"/>
              </w:rPr>
              <w:t>菱重家用空调 系统</w:t>
            </w:r>
            <w:r>
              <w:rPr>
                <w:rFonts w:ascii="Arial" w:hAnsi="Arial" w:cs="Arial" w:eastAsia="Arial" w:hint="default"/>
                <w:sz w:val="18"/>
                <w:szCs w:val="18"/>
              </w:rPr>
              <w:t>(</w:t>
            </w:r>
            <w:r>
              <w:rPr>
                <w:rFonts w:ascii="宋体" w:hAnsi="宋体" w:cs="宋体" w:eastAsia="宋体" w:hint="default"/>
                <w:sz w:val="18"/>
                <w:szCs w:val="18"/>
              </w:rPr>
              <w:t>上海</w:t>
            </w:r>
            <w:r>
              <w:rPr>
                <w:rFonts w:ascii="Arial" w:hAnsi="Arial" w:cs="Arial" w:eastAsia="Arial" w:hint="default"/>
                <w:sz w:val="18"/>
                <w:szCs w:val="18"/>
              </w:rPr>
              <w:t>) </w:t>
            </w:r>
            <w:r>
              <w:rPr>
                <w:rFonts w:ascii="宋体" w:hAnsi="宋体" w:cs="宋体" w:eastAsia="宋体" w:hint="default"/>
                <w:sz w:val="18"/>
                <w:szCs w:val="18"/>
              </w:rPr>
              <w:t>有限公司</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54"/>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330" w:right="0"/>
              <w:jc w:val="center"/>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5"/>
              <w:ind w:left="167" w:right="0"/>
              <w:jc w:val="center"/>
              <w:rPr>
                <w:rFonts w:ascii="宋体" w:hAnsi="宋体" w:cs="宋体" w:eastAsia="宋体" w:hint="default"/>
                <w:sz w:val="18"/>
                <w:szCs w:val="18"/>
              </w:rPr>
            </w:pPr>
            <w:r>
              <w:rPr>
                <w:rFonts w:ascii="Arial" w:hAnsi="Arial" w:cs="Arial" w:eastAsia="Arial" w:hint="default"/>
                <w:sz w:val="18"/>
                <w:szCs w:val="18"/>
              </w:rPr>
              <w:t>480</w:t>
            </w:r>
            <w:r>
              <w:rPr>
                <w:rFonts w:ascii="Arial" w:hAnsi="Arial" w:cs="Arial" w:eastAsia="Arial" w:hint="default"/>
                <w:spacing w:val="-5"/>
                <w:sz w:val="18"/>
                <w:szCs w:val="18"/>
              </w:rPr>
              <w:t> </w:t>
            </w:r>
            <w:r>
              <w:rPr>
                <w:rFonts w:ascii="宋体" w:hAnsi="宋体" w:cs="宋体" w:eastAsia="宋体" w:hint="default"/>
                <w:sz w:val="18"/>
                <w:szCs w:val="18"/>
              </w:rPr>
              <w:t>万元</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37"/>
              <w:jc w:val="right"/>
              <w:rPr>
                <w:rFonts w:ascii="Arial" w:hAnsi="Arial" w:cs="Arial" w:eastAsia="Arial" w:hint="default"/>
                <w:sz w:val="18"/>
                <w:szCs w:val="18"/>
              </w:rPr>
            </w:pPr>
            <w:r>
              <w:rPr>
                <w:rFonts w:ascii="Arial"/>
                <w:w w:val="95"/>
                <w:sz w:val="18"/>
              </w:rPr>
              <w:t>4,800</w:t>
            </w:r>
            <w:r>
              <w:rPr>
                <w:rFonts w:ascii="Arial"/>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Arial" w:hAnsi="Arial" w:cs="Arial" w:eastAsia="Arial" w:hint="default"/>
                <w:sz w:val="18"/>
                <w:szCs w:val="18"/>
              </w:rPr>
            </w:pPr>
            <w:r>
              <w:rPr>
                <w:rFonts w:ascii="Arial"/>
                <w:w w:val="95"/>
                <w:sz w:val="18"/>
              </w:rPr>
              <w:t>4,800</w:t>
            </w:r>
            <w:r>
              <w:rPr>
                <w:rFonts w:ascii="Arial"/>
                <w:sz w:val="18"/>
              </w:rPr>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70"/>
              <w:jc w:val="right"/>
              <w:rPr>
                <w:rFonts w:ascii="Arial" w:hAnsi="Arial" w:cs="Arial" w:eastAsia="Arial" w:hint="default"/>
                <w:sz w:val="18"/>
                <w:szCs w:val="18"/>
              </w:rPr>
            </w:pPr>
            <w:r>
              <w:rPr>
                <w:rFonts w:ascii="Arial"/>
                <w:w w:val="95"/>
                <w:sz w:val="18"/>
              </w:rPr>
              <w:t>15%</w:t>
            </w:r>
            <w:r>
              <w:rPr>
                <w:rFonts w:ascii="Arial"/>
                <w:sz w:val="18"/>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56"/>
              <w:jc w:val="right"/>
              <w:rPr>
                <w:rFonts w:ascii="Arial" w:hAnsi="Arial" w:cs="Arial" w:eastAsia="Arial" w:hint="default"/>
                <w:sz w:val="18"/>
                <w:szCs w:val="18"/>
              </w:rPr>
            </w:pPr>
            <w:r>
              <w:rPr>
                <w:rFonts w:ascii="Arial"/>
                <w:w w:val="95"/>
                <w:sz w:val="18"/>
              </w:rPr>
              <w:t>15%</w:t>
            </w:r>
            <w:r>
              <w:rPr>
                <w:rFonts w:ascii="Arial"/>
                <w:sz w:val="18"/>
              </w:rPr>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62"/>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62"/>
              <w:jc w:val="right"/>
              <w:rPr>
                <w:rFonts w:ascii="Arial" w:hAnsi="Arial" w:cs="Arial" w:eastAsia="Arial" w:hint="default"/>
                <w:sz w:val="18"/>
                <w:szCs w:val="18"/>
              </w:rPr>
            </w:pPr>
            <w:r>
              <w:rPr>
                <w:rFonts w:ascii="Arial"/>
                <w:w w:val="99"/>
                <w:sz w:val="18"/>
              </w:rPr>
              <w:t>-</w:t>
            </w:r>
            <w:r>
              <w:rPr>
                <w:rFonts w:ascii="Arial"/>
                <w:sz w:val="18"/>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48"/>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60"/>
              <w:jc w:val="right"/>
              <w:rPr>
                <w:rFonts w:ascii="Arial" w:hAnsi="Arial" w:cs="Arial" w:eastAsia="Arial" w:hint="default"/>
                <w:sz w:val="18"/>
                <w:szCs w:val="18"/>
              </w:rPr>
            </w:pPr>
            <w:r>
              <w:rPr>
                <w:rFonts w:ascii="Arial"/>
                <w:w w:val="99"/>
                <w:sz w:val="18"/>
              </w:rPr>
              <w:t>-</w:t>
            </w:r>
            <w:r>
              <w:rPr>
                <w:rFonts w:ascii="Arial"/>
                <w:sz w:val="18"/>
              </w:rPr>
            </w:r>
          </w:p>
        </w:tc>
      </w:tr>
      <w:tr>
        <w:trPr>
          <w:trHeight w:val="858" w:hRule="exact"/>
        </w:trPr>
        <w:tc>
          <w:tcPr>
            <w:tcW w:w="664"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78" w:lineRule="auto"/>
              <w:ind w:left="367" w:right="185" w:hanging="197"/>
              <w:jc w:val="both"/>
              <w:rPr>
                <w:rFonts w:ascii="宋体" w:hAnsi="宋体" w:cs="宋体" w:eastAsia="宋体" w:hint="default"/>
                <w:sz w:val="18"/>
                <w:szCs w:val="18"/>
              </w:rPr>
            </w:pPr>
            <w:r>
              <w:rPr>
                <w:rFonts w:ascii="宋体" w:hAnsi="宋体" w:cs="宋体" w:eastAsia="宋体" w:hint="default"/>
                <w:sz w:val="18"/>
                <w:szCs w:val="18"/>
              </w:rPr>
              <w:t>北京通州国开 村镇银行股 份有限公司</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254"/>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30" w:right="0"/>
              <w:jc w:val="center"/>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167" w:right="0"/>
              <w:jc w:val="center"/>
              <w:rPr>
                <w:rFonts w:ascii="宋体" w:hAnsi="宋体" w:cs="宋体" w:eastAsia="宋体" w:hint="default"/>
                <w:sz w:val="18"/>
                <w:szCs w:val="18"/>
              </w:rPr>
            </w:pPr>
            <w:r>
              <w:rPr>
                <w:rFonts w:ascii="Arial" w:hAnsi="Arial" w:cs="Arial" w:eastAsia="Arial" w:hint="default"/>
                <w:sz w:val="18"/>
                <w:szCs w:val="18"/>
              </w:rPr>
              <w:t>900</w:t>
            </w:r>
            <w:r>
              <w:rPr>
                <w:rFonts w:ascii="Arial" w:hAnsi="Arial" w:cs="Arial" w:eastAsia="Arial" w:hint="default"/>
                <w:spacing w:val="-5"/>
                <w:sz w:val="18"/>
                <w:szCs w:val="18"/>
              </w:rPr>
              <w:t> </w:t>
            </w:r>
            <w:r>
              <w:rPr>
                <w:rFonts w:ascii="宋体" w:hAnsi="宋体" w:cs="宋体" w:eastAsia="宋体" w:hint="default"/>
                <w:sz w:val="18"/>
                <w:szCs w:val="18"/>
              </w:rPr>
              <w:t>万元</w:t>
            </w:r>
          </w:p>
        </w:tc>
        <w:tc>
          <w:tcPr>
            <w:tcW w:w="162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7"/>
              <w:jc w:val="right"/>
              <w:rPr>
                <w:rFonts w:ascii="Arial" w:hAnsi="Arial" w:cs="Arial" w:eastAsia="Arial" w:hint="default"/>
                <w:sz w:val="18"/>
                <w:szCs w:val="18"/>
              </w:rPr>
            </w:pPr>
            <w:r>
              <w:rPr>
                <w:rFonts w:ascii="Arial"/>
                <w:w w:val="95"/>
                <w:sz w:val="18"/>
              </w:rPr>
              <w:t>9,000</w:t>
            </w:r>
            <w:r>
              <w:rPr>
                <w:rFonts w:ascii="Arial"/>
                <w:sz w:val="18"/>
              </w:rPr>
            </w: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Arial" w:hAnsi="Arial" w:cs="Arial" w:eastAsia="Arial" w:hint="default"/>
                <w:sz w:val="18"/>
                <w:szCs w:val="18"/>
              </w:rPr>
            </w:pPr>
            <w:r>
              <w:rPr>
                <w:rFonts w:ascii="Arial"/>
                <w:w w:val="95"/>
                <w:sz w:val="18"/>
              </w:rPr>
              <w:t>9,000</w:t>
            </w:r>
            <w:r>
              <w:rPr>
                <w:rFonts w:ascii="Arial"/>
                <w:sz w:val="18"/>
              </w:rPr>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70"/>
              <w:jc w:val="right"/>
              <w:rPr>
                <w:rFonts w:ascii="Arial" w:hAnsi="Arial" w:cs="Arial" w:eastAsia="Arial" w:hint="default"/>
                <w:sz w:val="18"/>
                <w:szCs w:val="18"/>
              </w:rPr>
            </w:pPr>
            <w:r>
              <w:rPr>
                <w:rFonts w:ascii="Arial"/>
                <w:w w:val="95"/>
                <w:sz w:val="18"/>
              </w:rPr>
              <w:t>9%</w:t>
            </w:r>
            <w:r>
              <w:rPr>
                <w:rFonts w:ascii="Arial"/>
                <w:sz w:val="18"/>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56"/>
              <w:jc w:val="right"/>
              <w:rPr>
                <w:rFonts w:ascii="Arial" w:hAnsi="Arial" w:cs="Arial" w:eastAsia="Arial" w:hint="default"/>
                <w:sz w:val="18"/>
                <w:szCs w:val="18"/>
              </w:rPr>
            </w:pPr>
            <w:r>
              <w:rPr>
                <w:rFonts w:ascii="Arial"/>
                <w:w w:val="95"/>
                <w:sz w:val="18"/>
              </w:rPr>
              <w:t>9%</w:t>
            </w:r>
            <w:r>
              <w:rPr>
                <w:rFonts w:ascii="Arial"/>
                <w:sz w:val="18"/>
              </w:rPr>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62"/>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62"/>
              <w:jc w:val="right"/>
              <w:rPr>
                <w:rFonts w:ascii="Arial" w:hAnsi="Arial" w:cs="Arial" w:eastAsia="Arial" w:hint="default"/>
                <w:sz w:val="18"/>
                <w:szCs w:val="18"/>
              </w:rPr>
            </w:pPr>
            <w:r>
              <w:rPr>
                <w:rFonts w:ascii="Arial"/>
                <w:w w:val="99"/>
                <w:sz w:val="18"/>
              </w:rPr>
              <w:t>-</w:t>
            </w:r>
            <w:r>
              <w:rPr>
                <w:rFonts w:ascii="Arial"/>
                <w:sz w:val="18"/>
              </w:rPr>
            </w:r>
          </w:p>
        </w:tc>
        <w:tc>
          <w:tcPr>
            <w:tcW w:w="97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48"/>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60"/>
              <w:jc w:val="right"/>
              <w:rPr>
                <w:rFonts w:ascii="Arial" w:hAnsi="Arial" w:cs="Arial" w:eastAsia="Arial" w:hint="default"/>
                <w:sz w:val="18"/>
                <w:szCs w:val="18"/>
              </w:rPr>
            </w:pPr>
            <w:r>
              <w:rPr>
                <w:rFonts w:ascii="Arial"/>
                <w:w w:val="99"/>
                <w:sz w:val="18"/>
              </w:rPr>
              <w:t>-</w:t>
            </w:r>
            <w:r>
              <w:rPr>
                <w:rFonts w:ascii="Arial"/>
                <w:sz w:val="18"/>
              </w:rPr>
            </w:r>
          </w:p>
        </w:tc>
      </w:tr>
      <w:tr>
        <w:trPr>
          <w:trHeight w:val="377" w:hRule="exact"/>
        </w:trPr>
        <w:tc>
          <w:tcPr>
            <w:tcW w:w="664"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c>
          <w:tcPr>
            <w:tcW w:w="162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37"/>
              <w:jc w:val="right"/>
              <w:rPr>
                <w:rFonts w:ascii="Arial" w:hAnsi="Arial" w:cs="Arial" w:eastAsia="Arial" w:hint="default"/>
                <w:sz w:val="18"/>
                <w:szCs w:val="18"/>
              </w:rPr>
            </w:pPr>
            <w:r>
              <w:rPr>
                <w:rFonts w:ascii="Arial"/>
                <w:spacing w:val="-1"/>
                <w:sz w:val="18"/>
              </w:rPr>
              <w:t>554,793</w:t>
            </w:r>
          </w:p>
        </w:tc>
        <w:tc>
          <w:tcPr>
            <w:tcW w:w="170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26"/>
              <w:jc w:val="right"/>
              <w:rPr>
                <w:rFonts w:ascii="Arial" w:hAnsi="Arial" w:cs="Arial" w:eastAsia="Arial" w:hint="default"/>
                <w:sz w:val="18"/>
                <w:szCs w:val="18"/>
              </w:rPr>
            </w:pPr>
            <w:r>
              <w:rPr>
                <w:rFonts w:ascii="Arial"/>
                <w:spacing w:val="-1"/>
                <w:sz w:val="18"/>
              </w:rPr>
              <w:t>554,793</w:t>
            </w:r>
          </w:p>
        </w:tc>
        <w:tc>
          <w:tcPr>
            <w:tcW w:w="633"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62"/>
              <w:jc w:val="right"/>
              <w:rPr>
                <w:rFonts w:ascii="Arial" w:hAnsi="Arial" w:cs="Arial" w:eastAsia="Arial" w:hint="default"/>
                <w:sz w:val="18"/>
                <w:szCs w:val="18"/>
              </w:rPr>
            </w:pPr>
            <w:r>
              <w:rPr>
                <w:rFonts w:ascii="Arial"/>
                <w:w w:val="99"/>
                <w:sz w:val="18"/>
              </w:rPr>
              <w:t>-</w:t>
            </w:r>
            <w:r>
              <w:rPr>
                <w:rFonts w:ascii="Arial"/>
                <w:sz w:val="18"/>
              </w:rPr>
            </w:r>
          </w:p>
        </w:tc>
        <w:tc>
          <w:tcPr>
            <w:tcW w:w="97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48"/>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59"/>
              <w:jc w:val="right"/>
              <w:rPr>
                <w:rFonts w:ascii="Arial" w:hAnsi="Arial" w:cs="Arial" w:eastAsia="Arial" w:hint="default"/>
                <w:sz w:val="18"/>
                <w:szCs w:val="18"/>
              </w:rPr>
            </w:pPr>
            <w:r>
              <w:rPr>
                <w:rFonts w:ascii="Arial"/>
                <w:spacing w:val="-1"/>
                <w:sz w:val="18"/>
              </w:rPr>
              <w:t>12,000</w:t>
            </w:r>
          </w:p>
        </w:tc>
      </w:tr>
    </w:tbl>
    <w:p>
      <w:pPr>
        <w:spacing w:after="0" w:line="240" w:lineRule="auto"/>
        <w:jc w:val="right"/>
        <w:rPr>
          <w:rFonts w:ascii="Arial" w:hAnsi="Arial" w:cs="Arial" w:eastAsia="Arial" w:hint="default"/>
          <w:sz w:val="18"/>
          <w:szCs w:val="18"/>
        </w:rPr>
        <w:sectPr>
          <w:pgSz w:w="16850" w:h="11910" w:orient="landscape"/>
          <w:pgMar w:header="1227" w:footer="1340" w:top="2440" w:bottom="154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250" w:type="dxa"/>
        <w:tblLayout w:type="fixed"/>
        <w:tblCellMar>
          <w:top w:w="0" w:type="dxa"/>
          <w:left w:w="0" w:type="dxa"/>
          <w:bottom w:w="0" w:type="dxa"/>
          <w:right w:w="0" w:type="dxa"/>
        </w:tblCellMar>
        <w:tblLook w:val="01E0"/>
      </w:tblPr>
      <w:tblGrid>
        <w:gridCol w:w="619"/>
        <w:gridCol w:w="2173"/>
        <w:gridCol w:w="892"/>
        <w:gridCol w:w="864"/>
        <w:gridCol w:w="1070"/>
        <w:gridCol w:w="1208"/>
        <w:gridCol w:w="639"/>
        <w:gridCol w:w="135"/>
        <w:gridCol w:w="1133"/>
        <w:gridCol w:w="840"/>
      </w:tblGrid>
      <w:tr>
        <w:trPr>
          <w:trHeight w:val="495" w:hRule="exact"/>
        </w:trPr>
        <w:tc>
          <w:tcPr>
            <w:tcW w:w="619" w:type="dxa"/>
            <w:tcBorders>
              <w:top w:val="nil" w:sz="6" w:space="0" w:color="auto"/>
              <w:left w:val="nil" w:sz="6" w:space="0" w:color="auto"/>
              <w:bottom w:val="nil" w:sz="6" w:space="0" w:color="auto"/>
              <w:right w:val="nil" w:sz="6" w:space="0" w:color="auto"/>
            </w:tcBorders>
          </w:tcPr>
          <w:p>
            <w:pPr>
              <w:pStyle w:val="TableParagraph"/>
              <w:spacing w:line="240" w:lineRule="exact"/>
              <w:ind w:left="57"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065"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3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864"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639"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r>
      <w:tr>
        <w:trPr>
          <w:trHeight w:val="747" w:hRule="exact"/>
        </w:trPr>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57" w:right="0"/>
              <w:jc w:val="left"/>
              <w:rPr>
                <w:rFonts w:ascii="Arial" w:hAnsi="Arial" w:cs="Arial" w:eastAsia="Arial" w:hint="default"/>
                <w:sz w:val="24"/>
                <w:szCs w:val="24"/>
              </w:rPr>
            </w:pPr>
            <w:r>
              <w:rPr>
                <w:rFonts w:ascii="Arial"/>
                <w:sz w:val="24"/>
              </w:rPr>
              <w:t>(10)</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34" w:right="0"/>
              <w:jc w:val="left"/>
              <w:rPr>
                <w:rFonts w:ascii="黑体" w:hAnsi="黑体" w:cs="黑体" w:eastAsia="黑体" w:hint="default"/>
                <w:sz w:val="24"/>
                <w:szCs w:val="24"/>
              </w:rPr>
            </w:pPr>
            <w:r>
              <w:rPr>
                <w:rFonts w:ascii="黑体" w:hAnsi="黑体" w:cs="黑体" w:eastAsia="黑体" w:hint="default"/>
                <w:sz w:val="24"/>
                <w:szCs w:val="24"/>
              </w:rPr>
              <w:t>对联营企业投资</w:t>
            </w:r>
          </w:p>
        </w:tc>
        <w:tc>
          <w:tcPr>
            <w:tcW w:w="892"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639"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r>
      <w:tr>
        <w:trPr>
          <w:trHeight w:val="512" w:hRule="exact"/>
        </w:trPr>
        <w:tc>
          <w:tcPr>
            <w:tcW w:w="619" w:type="dxa"/>
            <w:tcBorders>
              <w:top w:val="nil" w:sz="6" w:space="0" w:color="auto"/>
              <w:left w:val="nil" w:sz="6" w:space="0" w:color="auto"/>
              <w:bottom w:val="nil" w:sz="6" w:space="0" w:color="auto"/>
              <w:right w:val="nil" w:sz="6" w:space="0" w:color="auto"/>
            </w:tcBorders>
          </w:tcPr>
          <w:p>
            <w:pPr/>
          </w:p>
        </w:tc>
        <w:tc>
          <w:tcPr>
            <w:tcW w:w="2173" w:type="dxa"/>
            <w:vMerge w:val="restart"/>
            <w:tcBorders>
              <w:top w:val="nil" w:sz="6" w:space="0" w:color="auto"/>
              <w:left w:val="nil" w:sz="6" w:space="0" w:color="auto"/>
              <w:right w:val="nil" w:sz="6" w:space="0" w:color="auto"/>
            </w:tcBorders>
          </w:tcPr>
          <w:p>
            <w:pPr/>
          </w:p>
        </w:tc>
        <w:tc>
          <w:tcPr>
            <w:tcW w:w="892" w:type="dxa"/>
            <w:vMerge w:val="restart"/>
            <w:tcBorders>
              <w:top w:val="nil" w:sz="6" w:space="0" w:color="auto"/>
              <w:left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78" w:lineRule="auto"/>
              <w:ind w:left="395" w:right="13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64" w:type="dxa"/>
            <w:vMerge w:val="restart"/>
            <w:tcBorders>
              <w:top w:val="nil" w:sz="6" w:space="0" w:color="auto"/>
              <w:left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78" w:lineRule="auto"/>
              <w:ind w:left="314" w:right="187" w:hanging="18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227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77"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639" w:type="dxa"/>
            <w:tcBorders>
              <w:top w:val="nil" w:sz="6" w:space="0" w:color="auto"/>
              <w:left w:val="nil" w:sz="6" w:space="0" w:color="auto"/>
              <w:bottom w:val="single" w:sz="4" w:space="0" w:color="000000"/>
              <w:right w:val="nil" w:sz="6" w:space="0" w:color="auto"/>
            </w:tcBorders>
          </w:tcPr>
          <w:p>
            <w:pPr/>
          </w:p>
        </w:tc>
        <w:tc>
          <w:tcPr>
            <w:tcW w:w="2107"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7"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459" w:hRule="exact"/>
        </w:trPr>
        <w:tc>
          <w:tcPr>
            <w:tcW w:w="619" w:type="dxa"/>
            <w:tcBorders>
              <w:top w:val="nil" w:sz="6" w:space="0" w:color="auto"/>
              <w:left w:val="nil" w:sz="6" w:space="0" w:color="auto"/>
              <w:bottom w:val="nil" w:sz="6" w:space="0" w:color="auto"/>
              <w:right w:val="nil" w:sz="6" w:space="0" w:color="auto"/>
            </w:tcBorders>
          </w:tcPr>
          <w:p>
            <w:pPr/>
          </w:p>
        </w:tc>
        <w:tc>
          <w:tcPr>
            <w:tcW w:w="2173" w:type="dxa"/>
            <w:vMerge/>
            <w:tcBorders>
              <w:left w:val="nil" w:sz="6" w:space="0" w:color="auto"/>
              <w:bottom w:val="nil" w:sz="6" w:space="0" w:color="auto"/>
              <w:right w:val="nil" w:sz="6" w:space="0" w:color="auto"/>
            </w:tcBorders>
          </w:tcPr>
          <w:p>
            <w:pPr/>
          </w:p>
        </w:tc>
        <w:tc>
          <w:tcPr>
            <w:tcW w:w="892" w:type="dxa"/>
            <w:vMerge/>
            <w:tcBorders>
              <w:left w:val="nil" w:sz="6" w:space="0" w:color="auto"/>
              <w:bottom w:val="nil" w:sz="6" w:space="0" w:color="auto"/>
              <w:right w:val="nil" w:sz="6" w:space="0" w:color="auto"/>
            </w:tcBorders>
          </w:tcPr>
          <w:p>
            <w:pPr/>
          </w:p>
        </w:tc>
        <w:tc>
          <w:tcPr>
            <w:tcW w:w="864" w:type="dxa"/>
            <w:vMerge/>
            <w:tcBorders>
              <w:left w:val="nil" w:sz="6" w:space="0" w:color="auto"/>
              <w:bottom w:val="nil" w:sz="6" w:space="0" w:color="auto"/>
              <w:right w:val="nil" w:sz="6" w:space="0" w:color="auto"/>
            </w:tcBorders>
          </w:tcPr>
          <w:p>
            <w:pPr/>
          </w:p>
        </w:tc>
        <w:tc>
          <w:tcPr>
            <w:tcW w:w="107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70"/>
              <w:jc w:val="right"/>
              <w:rPr>
                <w:rFonts w:ascii="宋体" w:hAnsi="宋体" w:cs="宋体" w:eastAsia="宋体" w:hint="default"/>
                <w:sz w:val="18"/>
                <w:szCs w:val="18"/>
              </w:rPr>
            </w:pPr>
            <w:r>
              <w:rPr>
                <w:rFonts w:ascii="宋体" w:hAnsi="宋体" w:cs="宋体" w:eastAsia="宋体" w:hint="default"/>
                <w:sz w:val="18"/>
                <w:szCs w:val="18"/>
              </w:rPr>
              <w:t>资产总额</w:t>
            </w:r>
          </w:p>
        </w:tc>
        <w:tc>
          <w:tcPr>
            <w:tcW w:w="120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314"/>
              <w:jc w:val="right"/>
              <w:rPr>
                <w:rFonts w:ascii="宋体" w:hAnsi="宋体" w:cs="宋体" w:eastAsia="宋体" w:hint="default"/>
                <w:sz w:val="18"/>
                <w:szCs w:val="18"/>
              </w:rPr>
            </w:pPr>
            <w:r>
              <w:rPr>
                <w:rFonts w:ascii="宋体" w:hAnsi="宋体" w:cs="宋体" w:eastAsia="宋体" w:hint="default"/>
                <w:sz w:val="18"/>
                <w:szCs w:val="18"/>
              </w:rPr>
              <w:t>负债总额</w:t>
            </w:r>
          </w:p>
        </w:tc>
        <w:tc>
          <w:tcPr>
            <w:tcW w:w="63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53"/>
              <w:jc w:val="right"/>
              <w:rPr>
                <w:rFonts w:ascii="宋体" w:hAnsi="宋体" w:cs="宋体" w:eastAsia="宋体" w:hint="default"/>
                <w:sz w:val="18"/>
                <w:szCs w:val="18"/>
              </w:rPr>
            </w:pPr>
            <w:r>
              <w:rPr>
                <w:rFonts w:ascii="宋体" w:hAnsi="宋体" w:cs="宋体" w:eastAsia="宋体" w:hint="default"/>
                <w:sz w:val="18"/>
                <w:szCs w:val="18"/>
              </w:rPr>
              <w:t>净资产</w:t>
            </w:r>
          </w:p>
        </w:tc>
        <w:tc>
          <w:tcPr>
            <w:tcW w:w="135"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40"/>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84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55"/>
              <w:jc w:val="right"/>
              <w:rPr>
                <w:rFonts w:ascii="宋体" w:hAnsi="宋体" w:cs="宋体" w:eastAsia="宋体" w:hint="default"/>
                <w:sz w:val="18"/>
                <w:szCs w:val="18"/>
              </w:rPr>
            </w:pPr>
            <w:r>
              <w:rPr>
                <w:rFonts w:ascii="宋体" w:hAnsi="宋体" w:cs="宋体" w:eastAsia="宋体" w:hint="default"/>
                <w:sz w:val="18"/>
                <w:szCs w:val="18"/>
              </w:rPr>
              <w:t>净利润</w:t>
            </w:r>
          </w:p>
        </w:tc>
      </w:tr>
      <w:tr>
        <w:trPr>
          <w:trHeight w:val="484" w:hRule="exact"/>
        </w:trPr>
        <w:tc>
          <w:tcPr>
            <w:tcW w:w="619" w:type="dxa"/>
            <w:tcBorders>
              <w:top w:val="nil" w:sz="6" w:space="0" w:color="auto"/>
              <w:left w:val="nil" w:sz="6" w:space="0" w:color="auto"/>
              <w:bottom w:val="nil" w:sz="6" w:space="0" w:color="auto"/>
              <w:right w:val="nil" w:sz="6" w:space="0" w:color="auto"/>
            </w:tcBorders>
          </w:tcPr>
          <w:p>
            <w:pP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34" w:right="0"/>
              <w:jc w:val="left"/>
              <w:rPr>
                <w:rFonts w:ascii="Arial" w:hAnsi="Arial" w:cs="Arial" w:eastAsia="Arial" w:hint="default"/>
                <w:sz w:val="18"/>
                <w:szCs w:val="18"/>
              </w:rPr>
            </w:pPr>
            <w:r>
              <w:rPr>
                <w:rFonts w:ascii="宋体" w:hAnsi="宋体" w:cs="宋体" w:eastAsia="宋体" w:hint="default"/>
                <w:sz w:val="18"/>
                <w:szCs w:val="18"/>
              </w:rPr>
              <w:t>联营企业 </w:t>
            </w:r>
            <w:r>
              <w:rPr>
                <w:rFonts w:ascii="Arial" w:hAnsi="Arial" w:cs="Arial" w:eastAsia="Arial" w:hint="default"/>
                <w:sz w:val="18"/>
                <w:szCs w:val="18"/>
              </w:rPr>
              <w:t>–</w:t>
            </w:r>
          </w:p>
        </w:tc>
        <w:tc>
          <w:tcPr>
            <w:tcW w:w="892"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639"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r>
      <w:tr>
        <w:trPr>
          <w:trHeight w:val="349" w:hRule="exact"/>
        </w:trPr>
        <w:tc>
          <w:tcPr>
            <w:tcW w:w="619" w:type="dxa"/>
            <w:tcBorders>
              <w:top w:val="nil" w:sz="6" w:space="0" w:color="auto"/>
              <w:left w:val="nil" w:sz="6" w:space="0" w:color="auto"/>
              <w:bottom w:val="single" w:sz="1" w:space="0" w:color="FFFF99"/>
              <w:right w:val="nil" w:sz="6" w:space="0" w:color="auto"/>
            </w:tcBorders>
          </w:tcPr>
          <w:p>
            <w:pPr/>
          </w:p>
        </w:tc>
        <w:tc>
          <w:tcPr>
            <w:tcW w:w="2173" w:type="dxa"/>
            <w:tcBorders>
              <w:top w:val="nil" w:sz="6" w:space="0" w:color="auto"/>
              <w:left w:val="nil" w:sz="6" w:space="0" w:color="auto"/>
              <w:bottom w:val="single" w:sz="1" w:space="0" w:color="FFFF99"/>
              <w:right w:val="nil" w:sz="6" w:space="0" w:color="auto"/>
            </w:tcBorders>
          </w:tcPr>
          <w:p>
            <w:pPr>
              <w:pStyle w:val="TableParagraph"/>
              <w:spacing w:line="240" w:lineRule="auto" w:before="29"/>
              <w:ind w:left="338" w:right="0"/>
              <w:jc w:val="left"/>
              <w:rPr>
                <w:rFonts w:ascii="宋体" w:hAnsi="宋体" w:cs="宋体" w:eastAsia="宋体" w:hint="default"/>
                <w:sz w:val="18"/>
                <w:szCs w:val="18"/>
              </w:rPr>
            </w:pPr>
            <w:r>
              <w:rPr>
                <w:rFonts w:ascii="宋体" w:hAnsi="宋体" w:cs="宋体" w:eastAsia="宋体" w:hint="default"/>
                <w:sz w:val="18"/>
                <w:szCs w:val="18"/>
              </w:rPr>
              <w:t>丸悦香港有限公司</w:t>
            </w:r>
          </w:p>
        </w:tc>
        <w:tc>
          <w:tcPr>
            <w:tcW w:w="892" w:type="dxa"/>
            <w:tcBorders>
              <w:top w:val="nil" w:sz="6" w:space="0" w:color="auto"/>
              <w:left w:val="nil" w:sz="6" w:space="0" w:color="auto"/>
              <w:bottom w:val="single" w:sz="12" w:space="0" w:color="000000"/>
              <w:right w:val="nil" w:sz="6" w:space="0" w:color="auto"/>
            </w:tcBorders>
          </w:tcPr>
          <w:p>
            <w:pPr>
              <w:pStyle w:val="TableParagraph"/>
              <w:spacing w:line="240" w:lineRule="auto" w:before="85"/>
              <w:ind w:left="395" w:right="0"/>
              <w:jc w:val="left"/>
              <w:rPr>
                <w:rFonts w:ascii="Arial" w:hAnsi="Arial" w:cs="Arial" w:eastAsia="Arial" w:hint="default"/>
                <w:sz w:val="18"/>
                <w:szCs w:val="18"/>
              </w:rPr>
            </w:pPr>
            <w:r>
              <w:rPr>
                <w:rFonts w:ascii="Arial"/>
                <w:sz w:val="18"/>
              </w:rPr>
              <w:t>30%</w:t>
            </w:r>
          </w:p>
        </w:tc>
        <w:tc>
          <w:tcPr>
            <w:tcW w:w="864" w:type="dxa"/>
            <w:tcBorders>
              <w:top w:val="nil" w:sz="6" w:space="0" w:color="auto"/>
              <w:left w:val="nil" w:sz="6" w:space="0" w:color="auto"/>
              <w:bottom w:val="single" w:sz="12" w:space="0" w:color="000000"/>
              <w:right w:val="nil" w:sz="6" w:space="0" w:color="auto"/>
            </w:tcBorders>
          </w:tcPr>
          <w:p>
            <w:pPr>
              <w:pStyle w:val="TableParagraph"/>
              <w:spacing w:line="240" w:lineRule="auto" w:before="85"/>
              <w:ind w:left="314" w:right="0"/>
              <w:jc w:val="left"/>
              <w:rPr>
                <w:rFonts w:ascii="Arial" w:hAnsi="Arial" w:cs="Arial" w:eastAsia="Arial" w:hint="default"/>
                <w:sz w:val="18"/>
                <w:szCs w:val="18"/>
              </w:rPr>
            </w:pPr>
            <w:r>
              <w:rPr>
                <w:rFonts w:ascii="Arial"/>
                <w:sz w:val="18"/>
              </w:rPr>
              <w:t>30%</w:t>
            </w:r>
          </w:p>
        </w:tc>
        <w:tc>
          <w:tcPr>
            <w:tcW w:w="1070" w:type="dxa"/>
            <w:tcBorders>
              <w:top w:val="nil" w:sz="6" w:space="0" w:color="auto"/>
              <w:left w:val="nil" w:sz="6" w:space="0" w:color="auto"/>
              <w:bottom w:val="single" w:sz="12" w:space="0" w:color="000000"/>
              <w:right w:val="nil" w:sz="6" w:space="0" w:color="auto"/>
            </w:tcBorders>
          </w:tcPr>
          <w:p>
            <w:pPr>
              <w:pStyle w:val="TableParagraph"/>
              <w:spacing w:line="240" w:lineRule="auto" w:before="85"/>
              <w:ind w:right="170"/>
              <w:jc w:val="right"/>
              <w:rPr>
                <w:rFonts w:ascii="Arial" w:hAnsi="Arial" w:cs="Arial" w:eastAsia="Arial" w:hint="default"/>
                <w:sz w:val="18"/>
                <w:szCs w:val="18"/>
              </w:rPr>
            </w:pPr>
            <w:r>
              <w:rPr>
                <w:rFonts w:ascii="Arial"/>
                <w:spacing w:val="-1"/>
                <w:sz w:val="18"/>
              </w:rPr>
              <w:t>64,953</w:t>
            </w:r>
          </w:p>
        </w:tc>
        <w:tc>
          <w:tcPr>
            <w:tcW w:w="1208" w:type="dxa"/>
            <w:tcBorders>
              <w:top w:val="nil" w:sz="6" w:space="0" w:color="auto"/>
              <w:left w:val="nil" w:sz="6" w:space="0" w:color="auto"/>
              <w:bottom w:val="single" w:sz="12" w:space="0" w:color="000000"/>
              <w:right w:val="nil" w:sz="6" w:space="0" w:color="auto"/>
            </w:tcBorders>
          </w:tcPr>
          <w:p>
            <w:pPr>
              <w:pStyle w:val="TableParagraph"/>
              <w:spacing w:line="240" w:lineRule="auto" w:before="85"/>
              <w:ind w:right="314"/>
              <w:jc w:val="right"/>
              <w:rPr>
                <w:rFonts w:ascii="Arial" w:hAnsi="Arial" w:cs="Arial" w:eastAsia="Arial" w:hint="default"/>
                <w:sz w:val="18"/>
                <w:szCs w:val="18"/>
              </w:rPr>
            </w:pPr>
            <w:r>
              <w:rPr>
                <w:rFonts w:ascii="Arial"/>
                <w:w w:val="99"/>
                <w:sz w:val="18"/>
              </w:rPr>
              <w:t>-</w:t>
            </w:r>
            <w:r>
              <w:rPr>
                <w:rFonts w:ascii="Arial"/>
                <w:sz w:val="18"/>
              </w:rPr>
            </w:r>
          </w:p>
        </w:tc>
        <w:tc>
          <w:tcPr>
            <w:tcW w:w="639" w:type="dxa"/>
            <w:tcBorders>
              <w:top w:val="nil" w:sz="6" w:space="0" w:color="auto"/>
              <w:left w:val="nil" w:sz="6" w:space="0" w:color="auto"/>
              <w:bottom w:val="single" w:sz="12" w:space="0" w:color="000000"/>
              <w:right w:val="nil" w:sz="6" w:space="0" w:color="auto"/>
            </w:tcBorders>
          </w:tcPr>
          <w:p>
            <w:pPr>
              <w:pStyle w:val="TableParagraph"/>
              <w:spacing w:line="240" w:lineRule="auto" w:before="85"/>
              <w:ind w:right="52"/>
              <w:jc w:val="right"/>
              <w:rPr>
                <w:rFonts w:ascii="Arial" w:hAnsi="Arial" w:cs="Arial" w:eastAsia="Arial" w:hint="default"/>
                <w:sz w:val="18"/>
                <w:szCs w:val="18"/>
              </w:rPr>
            </w:pPr>
            <w:r>
              <w:rPr>
                <w:rFonts w:ascii="Arial"/>
                <w:spacing w:val="-1"/>
                <w:sz w:val="18"/>
              </w:rPr>
              <w:t>64,953</w:t>
            </w:r>
          </w:p>
        </w:tc>
        <w:tc>
          <w:tcPr>
            <w:tcW w:w="135" w:type="dxa"/>
            <w:tcBorders>
              <w:top w:val="nil" w:sz="6" w:space="0" w:color="auto"/>
              <w:left w:val="nil" w:sz="6" w:space="0" w:color="auto"/>
              <w:bottom w:val="single" w:sz="12" w:space="0" w:color="000000"/>
              <w:right w:val="nil" w:sz="6" w:space="0" w:color="auto"/>
            </w:tcBorders>
          </w:tcPr>
          <w:p>
            <w:pPr/>
          </w:p>
        </w:tc>
        <w:tc>
          <w:tcPr>
            <w:tcW w:w="1133" w:type="dxa"/>
            <w:tcBorders>
              <w:top w:val="nil" w:sz="6" w:space="0" w:color="auto"/>
              <w:left w:val="nil" w:sz="6" w:space="0" w:color="auto"/>
              <w:bottom w:val="single" w:sz="12" w:space="0" w:color="000000"/>
              <w:right w:val="nil" w:sz="6" w:space="0" w:color="auto"/>
            </w:tcBorders>
          </w:tcPr>
          <w:p>
            <w:pPr>
              <w:pStyle w:val="TableParagraph"/>
              <w:spacing w:line="240" w:lineRule="auto" w:before="85"/>
              <w:ind w:right="240"/>
              <w:jc w:val="right"/>
              <w:rPr>
                <w:rFonts w:ascii="Arial" w:hAnsi="Arial" w:cs="Arial" w:eastAsia="Arial" w:hint="default"/>
                <w:sz w:val="18"/>
                <w:szCs w:val="18"/>
              </w:rPr>
            </w:pPr>
            <w:r>
              <w:rPr>
                <w:rFonts w:ascii="Arial"/>
                <w:w w:val="99"/>
                <w:sz w:val="18"/>
              </w:rPr>
              <w:t>-</w:t>
            </w:r>
            <w:r>
              <w:rPr>
                <w:rFonts w:ascii="Arial"/>
                <w:sz w:val="18"/>
              </w:rPr>
            </w:r>
          </w:p>
        </w:tc>
        <w:tc>
          <w:tcPr>
            <w:tcW w:w="840" w:type="dxa"/>
            <w:tcBorders>
              <w:top w:val="nil" w:sz="6" w:space="0" w:color="auto"/>
              <w:left w:val="nil" w:sz="6" w:space="0" w:color="auto"/>
              <w:bottom w:val="single" w:sz="12" w:space="0" w:color="000000"/>
              <w:right w:val="nil" w:sz="6" w:space="0" w:color="auto"/>
            </w:tcBorders>
          </w:tcPr>
          <w:p>
            <w:pPr>
              <w:pStyle w:val="TableParagraph"/>
              <w:spacing w:line="240" w:lineRule="auto" w:before="85"/>
              <w:ind w:right="55"/>
              <w:jc w:val="righ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757"/>
        <w:gridCol w:w="1804"/>
        <w:gridCol w:w="1602"/>
        <w:gridCol w:w="1497"/>
        <w:gridCol w:w="1425"/>
        <w:gridCol w:w="1610"/>
        <w:gridCol w:w="1471"/>
      </w:tblGrid>
      <w:tr>
        <w:trPr>
          <w:trHeight w:val="499" w:hRule="exact"/>
        </w:trPr>
        <w:tc>
          <w:tcPr>
            <w:tcW w:w="75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pacing w:val="-5"/>
                <w:sz w:val="24"/>
              </w:rPr>
              <w:t>(11)</w:t>
            </w:r>
          </w:p>
        </w:tc>
        <w:tc>
          <w:tcPr>
            <w:tcW w:w="1804"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黑体" w:hAnsi="黑体" w:cs="黑体" w:eastAsia="黑体" w:hint="default"/>
                <w:sz w:val="24"/>
                <w:szCs w:val="24"/>
              </w:rPr>
            </w:pPr>
            <w:r>
              <w:rPr>
                <w:rFonts w:ascii="黑体" w:hAnsi="黑体" w:cs="黑体" w:eastAsia="黑体" w:hint="default"/>
                <w:sz w:val="24"/>
                <w:szCs w:val="24"/>
              </w:rPr>
              <w:t>投资性房地产</w:t>
            </w:r>
          </w:p>
        </w:tc>
        <w:tc>
          <w:tcPr>
            <w:tcW w:w="1602"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r>
      <w:tr>
        <w:trPr>
          <w:trHeight w:val="880" w:hRule="exact"/>
        </w:trPr>
        <w:tc>
          <w:tcPr>
            <w:tcW w:w="757"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421" w:right="0"/>
              <w:jc w:val="left"/>
              <w:rPr>
                <w:rFonts w:ascii="宋体" w:hAnsi="宋体" w:cs="宋体" w:eastAsia="宋体" w:hint="default"/>
                <w:sz w:val="22"/>
                <w:szCs w:val="22"/>
              </w:rPr>
            </w:pPr>
            <w:r>
              <w:rPr>
                <w:rFonts w:ascii="Arial" w:hAnsi="Arial" w:cs="Arial" w:eastAsia="Arial" w:hint="default"/>
                <w:spacing w:val="-5"/>
                <w:sz w:val="22"/>
                <w:szCs w:val="22"/>
              </w:rPr>
              <w:t>2011</w:t>
            </w:r>
            <w:r>
              <w:rPr>
                <w:rFonts w:ascii="Arial" w:hAnsi="Arial" w:cs="Arial" w:eastAsia="Arial" w:hint="default"/>
                <w:spacing w:val="-4"/>
                <w:sz w:val="22"/>
                <w:szCs w:val="22"/>
              </w:rPr>
              <w:t> </w:t>
            </w:r>
            <w:r>
              <w:rPr>
                <w:rFonts w:ascii="宋体" w:hAnsi="宋体" w:cs="宋体" w:eastAsia="宋体" w:hint="default"/>
                <w:sz w:val="22"/>
                <w:szCs w:val="22"/>
              </w:rPr>
              <w:t>年</w:t>
            </w:r>
          </w:p>
          <w:p>
            <w:pPr>
              <w:pStyle w:val="TableParagraph"/>
              <w:spacing w:line="240" w:lineRule="auto" w:before="20"/>
              <w:ind w:left="75"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60"/>
              <w:jc w:val="right"/>
              <w:rPr>
                <w:rFonts w:ascii="宋体" w:hAnsi="宋体" w:cs="宋体" w:eastAsia="宋体" w:hint="default"/>
                <w:sz w:val="22"/>
                <w:szCs w:val="22"/>
              </w:rPr>
            </w:pPr>
            <w:r>
              <w:rPr>
                <w:rFonts w:ascii="宋体" w:hAnsi="宋体" w:cs="宋体" w:eastAsia="宋体" w:hint="default"/>
                <w:sz w:val="22"/>
                <w:szCs w:val="22"/>
              </w:rPr>
              <w:t>本年转入</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98" w:right="0"/>
              <w:jc w:val="left"/>
              <w:rPr>
                <w:rFonts w:ascii="宋体" w:hAnsi="宋体" w:cs="宋体" w:eastAsia="宋体" w:hint="default"/>
                <w:sz w:val="22"/>
                <w:szCs w:val="22"/>
              </w:rPr>
            </w:pPr>
            <w:r>
              <w:rPr>
                <w:rFonts w:ascii="宋体" w:hAnsi="宋体" w:cs="宋体" w:eastAsia="宋体" w:hint="default"/>
                <w:sz w:val="22"/>
                <w:szCs w:val="22"/>
              </w:rPr>
              <w:t>本年计提</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84" w:right="0"/>
              <w:jc w:val="left"/>
              <w:rPr>
                <w:rFonts w:ascii="宋体" w:hAnsi="宋体" w:cs="宋体" w:eastAsia="宋体" w:hint="default"/>
                <w:sz w:val="22"/>
                <w:szCs w:val="22"/>
              </w:rPr>
            </w:pPr>
            <w:r>
              <w:rPr>
                <w:rFonts w:ascii="宋体" w:hAnsi="宋体" w:cs="宋体" w:eastAsia="宋体" w:hint="default"/>
                <w:sz w:val="22"/>
                <w:szCs w:val="22"/>
              </w:rPr>
              <w:t>本年转出</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66" w:right="0"/>
              <w:jc w:val="center"/>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40" w:lineRule="auto" w:before="20"/>
              <w:ind w:left="66" w:right="0"/>
              <w:jc w:val="center"/>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47" w:hRule="exact"/>
        </w:trPr>
        <w:tc>
          <w:tcPr>
            <w:tcW w:w="757"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1"/>
              <w:jc w:val="right"/>
              <w:rPr>
                <w:rFonts w:ascii="Arial" w:hAnsi="Arial" w:cs="Arial" w:eastAsia="Arial" w:hint="default"/>
                <w:sz w:val="22"/>
                <w:szCs w:val="22"/>
              </w:rPr>
            </w:pPr>
            <w:r>
              <w:rPr>
                <w:rFonts w:ascii="Arial" w:hAnsi="Arial" w:cs="Arial" w:eastAsia="Arial" w:hint="default"/>
                <w:spacing w:val="-1"/>
                <w:sz w:val="22"/>
                <w:szCs w:val="22"/>
              </w:rPr>
              <w:t>(</w:t>
            </w:r>
            <w:r>
              <w:rPr>
                <w:rFonts w:ascii="宋体" w:hAnsi="宋体" w:cs="宋体" w:eastAsia="宋体" w:hint="default"/>
                <w:spacing w:val="-1"/>
                <w:sz w:val="22"/>
                <w:szCs w:val="22"/>
              </w:rPr>
              <w:t>附注五</w:t>
            </w:r>
            <w:r>
              <w:rPr>
                <w:rFonts w:ascii="Arial" w:hAnsi="Arial" w:cs="Arial" w:eastAsia="Arial" w:hint="default"/>
                <w:spacing w:val="-1"/>
                <w:sz w:val="22"/>
                <w:szCs w:val="22"/>
              </w:rPr>
              <w:t>(12))</w:t>
            </w:r>
          </w:p>
        </w:tc>
        <w:tc>
          <w:tcPr>
            <w:tcW w:w="1425"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5" w:right="0"/>
              <w:jc w:val="left"/>
              <w:rPr>
                <w:rFonts w:ascii="Arial" w:hAnsi="Arial" w:cs="Arial" w:eastAsia="Arial" w:hint="default"/>
                <w:sz w:val="22"/>
                <w:szCs w:val="22"/>
              </w:rPr>
            </w:pPr>
            <w:r>
              <w:rPr>
                <w:rFonts w:ascii="Arial" w:hAnsi="Arial" w:cs="Arial" w:eastAsia="Arial" w:hint="default"/>
                <w:sz w:val="22"/>
                <w:szCs w:val="22"/>
              </w:rPr>
              <w:t>(</w:t>
            </w:r>
            <w:r>
              <w:rPr>
                <w:rFonts w:ascii="宋体" w:hAnsi="宋体" w:cs="宋体" w:eastAsia="宋体" w:hint="default"/>
                <w:sz w:val="22"/>
                <w:szCs w:val="22"/>
              </w:rPr>
              <w:t>附注五</w:t>
            </w:r>
            <w:r>
              <w:rPr>
                <w:rFonts w:ascii="Arial" w:hAnsi="Arial" w:cs="Arial" w:eastAsia="Arial" w:hint="default"/>
                <w:sz w:val="22"/>
                <w:szCs w:val="22"/>
              </w:rPr>
              <w:t>(12))</w:t>
            </w:r>
          </w:p>
        </w:tc>
        <w:tc>
          <w:tcPr>
            <w:tcW w:w="1471" w:type="dxa"/>
            <w:tcBorders>
              <w:top w:val="nil" w:sz="6" w:space="0" w:color="auto"/>
              <w:left w:val="nil" w:sz="6" w:space="0" w:color="auto"/>
              <w:bottom w:val="nil" w:sz="6" w:space="0" w:color="auto"/>
              <w:right w:val="nil" w:sz="6" w:space="0" w:color="auto"/>
            </w:tcBorders>
          </w:tcPr>
          <w:p>
            <w:pPr/>
          </w:p>
        </w:tc>
      </w:tr>
      <w:tr>
        <w:trPr>
          <w:trHeight w:val="543" w:hRule="exact"/>
        </w:trPr>
        <w:tc>
          <w:tcPr>
            <w:tcW w:w="757"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single" w:sz="4" w:space="0" w:color="000000"/>
              <w:right w:val="nil" w:sz="6" w:space="0" w:color="auto"/>
            </w:tcBorders>
          </w:tcPr>
          <w:p>
            <w:pPr>
              <w:pStyle w:val="TableParagraph"/>
              <w:spacing w:line="240" w:lineRule="auto" w:before="175"/>
              <w:ind w:left="108" w:right="0"/>
              <w:jc w:val="left"/>
              <w:rPr>
                <w:rFonts w:ascii="宋体" w:hAnsi="宋体" w:cs="宋体" w:eastAsia="宋体" w:hint="default"/>
                <w:sz w:val="22"/>
                <w:szCs w:val="22"/>
              </w:rPr>
            </w:pPr>
            <w:r>
              <w:rPr>
                <w:rFonts w:ascii="宋体" w:hAnsi="宋体" w:cs="宋体" w:eastAsia="宋体" w:hint="default"/>
                <w:sz w:val="22"/>
                <w:szCs w:val="22"/>
              </w:rPr>
              <w:t>原价合计</w:t>
            </w:r>
          </w:p>
        </w:tc>
        <w:tc>
          <w:tcPr>
            <w:tcW w:w="160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375" w:right="0"/>
              <w:jc w:val="left"/>
              <w:rPr>
                <w:rFonts w:ascii="Arial" w:hAnsi="Arial" w:cs="Arial" w:eastAsia="Arial" w:hint="default"/>
                <w:sz w:val="22"/>
                <w:szCs w:val="22"/>
              </w:rPr>
            </w:pPr>
            <w:r>
              <w:rPr>
                <w:rFonts w:ascii="Arial"/>
                <w:sz w:val="22"/>
              </w:rPr>
              <w:t>749,702</w:t>
            </w:r>
          </w:p>
        </w:tc>
        <w:tc>
          <w:tcPr>
            <w:tcW w:w="1497"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59"/>
              <w:jc w:val="right"/>
              <w:rPr>
                <w:rFonts w:ascii="Arial" w:hAnsi="Arial" w:cs="Arial" w:eastAsia="Arial" w:hint="default"/>
                <w:sz w:val="22"/>
                <w:szCs w:val="22"/>
              </w:rPr>
            </w:pPr>
            <w:r>
              <w:rPr>
                <w:rFonts w:ascii="Arial"/>
                <w:spacing w:val="-1"/>
                <w:sz w:val="22"/>
              </w:rPr>
              <w:t>678,573</w:t>
            </w:r>
          </w:p>
        </w:tc>
        <w:tc>
          <w:tcPr>
            <w:tcW w:w="142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339"/>
              <w:jc w:val="right"/>
              <w:rPr>
                <w:rFonts w:ascii="Arial" w:hAnsi="Arial" w:cs="Arial" w:eastAsia="Arial" w:hint="default"/>
                <w:sz w:val="22"/>
                <w:szCs w:val="22"/>
              </w:rPr>
            </w:pPr>
            <w:r>
              <w:rPr>
                <w:rFonts w:ascii="Arial"/>
                <w:w w:val="100"/>
                <w:sz w:val="22"/>
              </w:rPr>
              <w:t>-</w:t>
            </w:r>
          </w:p>
        </w:tc>
        <w:tc>
          <w:tcPr>
            <w:tcW w:w="161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8"/>
              <w:jc w:val="right"/>
              <w:rPr>
                <w:rFonts w:ascii="Arial" w:hAnsi="Arial" w:cs="Arial" w:eastAsia="Arial" w:hint="default"/>
                <w:sz w:val="22"/>
                <w:szCs w:val="22"/>
              </w:rPr>
            </w:pPr>
            <w:r>
              <w:rPr>
                <w:rFonts w:ascii="Arial"/>
                <w:spacing w:val="-1"/>
                <w:sz w:val="22"/>
              </w:rPr>
              <w:t>(27,649)</w:t>
            </w:r>
          </w:p>
        </w:tc>
        <w:tc>
          <w:tcPr>
            <w:tcW w:w="1471"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Arial" w:hAnsi="Arial" w:cs="Arial" w:eastAsia="Arial" w:hint="default"/>
                <w:sz w:val="22"/>
                <w:szCs w:val="22"/>
              </w:rPr>
            </w:pPr>
            <w:r>
              <w:rPr>
                <w:rFonts w:ascii="Arial"/>
                <w:sz w:val="22"/>
              </w:rPr>
              <w:t>1,400,626</w:t>
            </w:r>
          </w:p>
        </w:tc>
      </w:tr>
      <w:tr>
        <w:trPr>
          <w:trHeight w:val="375" w:hRule="exact"/>
        </w:trPr>
        <w:tc>
          <w:tcPr>
            <w:tcW w:w="757" w:type="dxa"/>
            <w:tcBorders>
              <w:top w:val="nil" w:sz="6" w:space="0" w:color="auto"/>
              <w:left w:val="nil" w:sz="6" w:space="0" w:color="auto"/>
              <w:bottom w:val="nil" w:sz="6" w:space="0" w:color="auto"/>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160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375" w:right="0"/>
              <w:jc w:val="left"/>
              <w:rPr>
                <w:rFonts w:ascii="Arial" w:hAnsi="Arial" w:cs="Arial" w:eastAsia="Arial" w:hint="default"/>
                <w:sz w:val="22"/>
                <w:szCs w:val="22"/>
              </w:rPr>
            </w:pPr>
            <w:r>
              <w:rPr>
                <w:rFonts w:ascii="Arial"/>
                <w:sz w:val="22"/>
              </w:rPr>
              <w:t>749,702</w:t>
            </w:r>
          </w:p>
        </w:tc>
        <w:tc>
          <w:tcPr>
            <w:tcW w:w="1497"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59"/>
              <w:jc w:val="right"/>
              <w:rPr>
                <w:rFonts w:ascii="Arial" w:hAnsi="Arial" w:cs="Arial" w:eastAsia="Arial" w:hint="default"/>
                <w:sz w:val="22"/>
                <w:szCs w:val="22"/>
              </w:rPr>
            </w:pPr>
            <w:r>
              <w:rPr>
                <w:rFonts w:ascii="Arial"/>
                <w:spacing w:val="-1"/>
                <w:sz w:val="22"/>
              </w:rPr>
              <w:t>678,573</w:t>
            </w:r>
          </w:p>
        </w:tc>
        <w:tc>
          <w:tcPr>
            <w:tcW w:w="142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39"/>
              <w:jc w:val="right"/>
              <w:rPr>
                <w:rFonts w:ascii="Arial" w:hAnsi="Arial" w:cs="Arial" w:eastAsia="Arial" w:hint="default"/>
                <w:sz w:val="22"/>
                <w:szCs w:val="22"/>
              </w:rPr>
            </w:pPr>
            <w:r>
              <w:rPr>
                <w:rFonts w:ascii="Arial"/>
                <w:w w:val="100"/>
                <w:sz w:val="22"/>
              </w:rPr>
              <w:t>-</w:t>
            </w: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18"/>
              <w:jc w:val="right"/>
              <w:rPr>
                <w:rFonts w:ascii="Arial" w:hAnsi="Arial" w:cs="Arial" w:eastAsia="Arial" w:hint="default"/>
                <w:sz w:val="22"/>
                <w:szCs w:val="22"/>
              </w:rPr>
            </w:pPr>
            <w:r>
              <w:rPr>
                <w:rFonts w:ascii="Arial"/>
                <w:spacing w:val="-1"/>
                <w:sz w:val="22"/>
              </w:rPr>
              <w:t>(27,649)</w:t>
            </w:r>
          </w:p>
        </w:tc>
        <w:tc>
          <w:tcPr>
            <w:tcW w:w="1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96"/>
              <w:jc w:val="right"/>
              <w:rPr>
                <w:rFonts w:ascii="Arial" w:hAnsi="Arial" w:cs="Arial" w:eastAsia="Arial" w:hint="default"/>
                <w:sz w:val="22"/>
                <w:szCs w:val="22"/>
              </w:rPr>
            </w:pPr>
            <w:r>
              <w:rPr>
                <w:rFonts w:ascii="Arial"/>
                <w:sz w:val="22"/>
              </w:rPr>
              <w:t>1,400,626</w:t>
            </w:r>
          </w:p>
        </w:tc>
      </w:tr>
      <w:tr>
        <w:trPr>
          <w:trHeight w:val="720" w:hRule="exact"/>
        </w:trPr>
        <w:tc>
          <w:tcPr>
            <w:tcW w:w="757" w:type="dxa"/>
            <w:tcBorders>
              <w:top w:val="nil" w:sz="6" w:space="0" w:color="auto"/>
              <w:left w:val="nil" w:sz="6" w:space="0" w:color="auto"/>
              <w:bottom w:val="nil" w:sz="6" w:space="0" w:color="auto"/>
              <w:right w:val="nil" w:sz="6" w:space="0" w:color="auto"/>
            </w:tcBorders>
          </w:tcPr>
          <w:p>
            <w:pPr/>
          </w:p>
        </w:tc>
        <w:tc>
          <w:tcPr>
            <w:tcW w:w="180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0"/>
                <w:szCs w:val="30"/>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sz w:val="22"/>
                <w:szCs w:val="22"/>
              </w:rPr>
              <w:t>累计折旧合计</w:t>
            </w:r>
          </w:p>
        </w:tc>
        <w:tc>
          <w:tcPr>
            <w:tcW w:w="160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43"/>
              <w:ind w:right="350"/>
              <w:jc w:val="right"/>
              <w:rPr>
                <w:rFonts w:ascii="Arial" w:hAnsi="Arial" w:cs="Arial" w:eastAsia="Arial" w:hint="default"/>
                <w:sz w:val="22"/>
                <w:szCs w:val="22"/>
              </w:rPr>
            </w:pPr>
            <w:r>
              <w:rPr>
                <w:rFonts w:ascii="Arial"/>
                <w:spacing w:val="-1"/>
                <w:sz w:val="22"/>
              </w:rPr>
              <w:t>(65,282)</w:t>
            </w:r>
          </w:p>
        </w:tc>
        <w:tc>
          <w:tcPr>
            <w:tcW w:w="149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43"/>
              <w:ind w:right="196"/>
              <w:jc w:val="right"/>
              <w:rPr>
                <w:rFonts w:ascii="Arial" w:hAnsi="Arial" w:cs="Arial" w:eastAsia="Arial" w:hint="default"/>
                <w:sz w:val="22"/>
                <w:szCs w:val="22"/>
              </w:rPr>
            </w:pPr>
            <w:r>
              <w:rPr>
                <w:rFonts w:ascii="Arial"/>
                <w:spacing w:val="-1"/>
                <w:sz w:val="22"/>
              </w:rPr>
              <w:t>(21,955)</w:t>
            </w:r>
          </w:p>
        </w:tc>
        <w:tc>
          <w:tcPr>
            <w:tcW w:w="142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43"/>
              <w:ind w:left="301" w:right="0"/>
              <w:jc w:val="left"/>
              <w:rPr>
                <w:rFonts w:ascii="Arial" w:hAnsi="Arial" w:cs="Arial" w:eastAsia="Arial" w:hint="default"/>
                <w:sz w:val="22"/>
                <w:szCs w:val="22"/>
              </w:rPr>
            </w:pPr>
            <w:r>
              <w:rPr>
                <w:rFonts w:ascii="Arial"/>
                <w:sz w:val="22"/>
              </w:rPr>
              <w:t>(46,478)</w:t>
            </w: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43"/>
              <w:ind w:right="276"/>
              <w:jc w:val="right"/>
              <w:rPr>
                <w:rFonts w:ascii="Arial" w:hAnsi="Arial" w:cs="Arial" w:eastAsia="Arial" w:hint="default"/>
                <w:sz w:val="22"/>
                <w:szCs w:val="22"/>
              </w:rPr>
            </w:pPr>
            <w:r>
              <w:rPr>
                <w:rFonts w:ascii="Arial"/>
                <w:sz w:val="22"/>
              </w:rPr>
              <w:t>3,331</w:t>
            </w:r>
          </w:p>
        </w:tc>
        <w:tc>
          <w:tcPr>
            <w:tcW w:w="147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43"/>
              <w:ind w:right="40"/>
              <w:jc w:val="right"/>
              <w:rPr>
                <w:rFonts w:ascii="Arial" w:hAnsi="Arial" w:cs="Arial" w:eastAsia="Arial" w:hint="default"/>
                <w:sz w:val="22"/>
                <w:szCs w:val="22"/>
              </w:rPr>
            </w:pPr>
            <w:r>
              <w:rPr>
                <w:rFonts w:ascii="Arial"/>
                <w:spacing w:val="-1"/>
                <w:sz w:val="22"/>
              </w:rPr>
              <w:t>(130,384)</w:t>
            </w:r>
          </w:p>
        </w:tc>
      </w:tr>
      <w:tr>
        <w:trPr>
          <w:trHeight w:val="374" w:hRule="exact"/>
        </w:trPr>
        <w:tc>
          <w:tcPr>
            <w:tcW w:w="757" w:type="dxa"/>
            <w:tcBorders>
              <w:top w:val="nil" w:sz="6" w:space="0" w:color="auto"/>
              <w:left w:val="nil" w:sz="6" w:space="0" w:color="auto"/>
              <w:bottom w:val="nil" w:sz="6" w:space="0" w:color="auto"/>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160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50"/>
              <w:jc w:val="right"/>
              <w:rPr>
                <w:rFonts w:ascii="Arial" w:hAnsi="Arial" w:cs="Arial" w:eastAsia="Arial" w:hint="default"/>
                <w:sz w:val="22"/>
                <w:szCs w:val="22"/>
              </w:rPr>
            </w:pPr>
            <w:r>
              <w:rPr>
                <w:rFonts w:ascii="Arial"/>
                <w:spacing w:val="-1"/>
                <w:sz w:val="22"/>
              </w:rPr>
              <w:t>(65,282)</w:t>
            </w:r>
          </w:p>
        </w:tc>
        <w:tc>
          <w:tcPr>
            <w:tcW w:w="1497"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96"/>
              <w:jc w:val="right"/>
              <w:rPr>
                <w:rFonts w:ascii="Arial" w:hAnsi="Arial" w:cs="Arial" w:eastAsia="Arial" w:hint="default"/>
                <w:sz w:val="22"/>
                <w:szCs w:val="22"/>
              </w:rPr>
            </w:pPr>
            <w:r>
              <w:rPr>
                <w:rFonts w:ascii="Arial"/>
                <w:spacing w:val="-1"/>
                <w:sz w:val="22"/>
              </w:rPr>
              <w:t>(21,955)</w:t>
            </w:r>
          </w:p>
        </w:tc>
        <w:tc>
          <w:tcPr>
            <w:tcW w:w="142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82"/>
              <w:jc w:val="right"/>
              <w:rPr>
                <w:rFonts w:ascii="Arial" w:hAnsi="Arial" w:cs="Arial" w:eastAsia="Arial" w:hint="default"/>
                <w:sz w:val="22"/>
                <w:szCs w:val="22"/>
              </w:rPr>
            </w:pPr>
            <w:r>
              <w:rPr>
                <w:rFonts w:ascii="Arial"/>
                <w:spacing w:val="-1"/>
                <w:sz w:val="22"/>
              </w:rPr>
              <w:t>(46,478)</w:t>
            </w: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76"/>
              <w:jc w:val="right"/>
              <w:rPr>
                <w:rFonts w:ascii="Arial" w:hAnsi="Arial" w:cs="Arial" w:eastAsia="Arial" w:hint="default"/>
                <w:sz w:val="22"/>
                <w:szCs w:val="22"/>
              </w:rPr>
            </w:pPr>
            <w:r>
              <w:rPr>
                <w:rFonts w:ascii="Arial"/>
                <w:sz w:val="22"/>
              </w:rPr>
              <w:t>3,331</w:t>
            </w:r>
          </w:p>
        </w:tc>
        <w:tc>
          <w:tcPr>
            <w:tcW w:w="1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35"/>
              <w:jc w:val="right"/>
              <w:rPr>
                <w:rFonts w:ascii="Arial" w:hAnsi="Arial" w:cs="Arial" w:eastAsia="Arial" w:hint="default"/>
                <w:sz w:val="22"/>
                <w:szCs w:val="22"/>
              </w:rPr>
            </w:pPr>
            <w:r>
              <w:rPr>
                <w:rFonts w:ascii="Arial"/>
                <w:spacing w:val="-1"/>
                <w:sz w:val="22"/>
              </w:rPr>
              <w:t>(130,384)</w:t>
            </w:r>
          </w:p>
        </w:tc>
      </w:tr>
      <w:tr>
        <w:trPr>
          <w:trHeight w:val="662" w:hRule="exact"/>
        </w:trPr>
        <w:tc>
          <w:tcPr>
            <w:tcW w:w="757" w:type="dxa"/>
            <w:tcBorders>
              <w:top w:val="nil" w:sz="6" w:space="0" w:color="auto"/>
              <w:left w:val="nil" w:sz="6" w:space="0" w:color="auto"/>
              <w:bottom w:val="nil" w:sz="6" w:space="0" w:color="auto"/>
              <w:right w:val="nil" w:sz="6" w:space="0" w:color="auto"/>
            </w:tcBorders>
          </w:tcPr>
          <w:p>
            <w:pPr/>
          </w:p>
        </w:tc>
        <w:tc>
          <w:tcPr>
            <w:tcW w:w="180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sz w:val="22"/>
                <w:szCs w:val="22"/>
              </w:rPr>
              <w:t>账面净值合计</w:t>
            </w:r>
          </w:p>
        </w:tc>
        <w:tc>
          <w:tcPr>
            <w:tcW w:w="160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373" w:right="0"/>
              <w:jc w:val="left"/>
              <w:rPr>
                <w:rFonts w:ascii="Arial" w:hAnsi="Arial" w:cs="Arial" w:eastAsia="Arial" w:hint="default"/>
                <w:sz w:val="22"/>
                <w:szCs w:val="22"/>
              </w:rPr>
            </w:pPr>
            <w:r>
              <w:rPr>
                <w:rFonts w:ascii="Arial"/>
                <w:sz w:val="22"/>
              </w:rPr>
              <w:t>684,420</w:t>
            </w:r>
          </w:p>
        </w:tc>
        <w:tc>
          <w:tcPr>
            <w:tcW w:w="1497" w:type="dxa"/>
            <w:tcBorders>
              <w:top w:val="single" w:sz="4" w:space="0" w:color="000000"/>
              <w:left w:val="nil" w:sz="6" w:space="0" w:color="auto"/>
              <w:bottom w:val="single" w:sz="4" w:space="0" w:color="000000"/>
              <w:right w:val="nil" w:sz="6" w:space="0" w:color="auto"/>
            </w:tcBorders>
          </w:tcPr>
          <w:p>
            <w:pPr/>
          </w:p>
        </w:tc>
        <w:tc>
          <w:tcPr>
            <w:tcW w:w="1425" w:type="dxa"/>
            <w:tcBorders>
              <w:top w:val="single" w:sz="4" w:space="0" w:color="000000"/>
              <w:left w:val="nil" w:sz="6" w:space="0" w:color="auto"/>
              <w:bottom w:val="single" w:sz="4" w:space="0" w:color="000000"/>
              <w:right w:val="nil" w:sz="6" w:space="0" w:color="auto"/>
            </w:tcBorders>
          </w:tcPr>
          <w:p>
            <w:pPr/>
          </w:p>
        </w:tc>
        <w:tc>
          <w:tcPr>
            <w:tcW w:w="1610" w:type="dxa"/>
            <w:tcBorders>
              <w:top w:val="single" w:sz="4" w:space="0" w:color="000000"/>
              <w:left w:val="nil" w:sz="6" w:space="0" w:color="auto"/>
              <w:bottom w:val="single" w:sz="4" w:space="0" w:color="000000"/>
              <w:right w:val="nil" w:sz="6" w:space="0" w:color="auto"/>
            </w:tcBorders>
          </w:tcPr>
          <w:p>
            <w:pPr/>
          </w:p>
        </w:tc>
        <w:tc>
          <w:tcPr>
            <w:tcW w:w="147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1"/>
              <w:jc w:val="right"/>
              <w:rPr>
                <w:rFonts w:ascii="Arial" w:hAnsi="Arial" w:cs="Arial" w:eastAsia="Arial" w:hint="default"/>
                <w:sz w:val="22"/>
                <w:szCs w:val="22"/>
              </w:rPr>
            </w:pPr>
            <w:r>
              <w:rPr>
                <w:rFonts w:ascii="Arial"/>
                <w:sz w:val="22"/>
              </w:rPr>
              <w:t>1,270,242</w:t>
            </w:r>
          </w:p>
        </w:tc>
      </w:tr>
      <w:tr>
        <w:trPr>
          <w:trHeight w:val="374" w:hRule="exact"/>
        </w:trPr>
        <w:tc>
          <w:tcPr>
            <w:tcW w:w="757" w:type="dxa"/>
            <w:tcBorders>
              <w:top w:val="nil" w:sz="6" w:space="0" w:color="auto"/>
              <w:left w:val="nil" w:sz="6" w:space="0" w:color="auto"/>
              <w:bottom w:val="nil" w:sz="6" w:space="0" w:color="auto"/>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160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373" w:right="0"/>
              <w:jc w:val="left"/>
              <w:rPr>
                <w:rFonts w:ascii="Arial" w:hAnsi="Arial" w:cs="Arial" w:eastAsia="Arial" w:hint="default"/>
                <w:sz w:val="22"/>
                <w:szCs w:val="22"/>
              </w:rPr>
            </w:pPr>
            <w:r>
              <w:rPr>
                <w:rFonts w:ascii="Arial"/>
                <w:sz w:val="22"/>
              </w:rPr>
              <w:t>684,420</w:t>
            </w:r>
          </w:p>
        </w:tc>
        <w:tc>
          <w:tcPr>
            <w:tcW w:w="1497"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262"/>
              <w:jc w:val="right"/>
              <w:rPr>
                <w:rFonts w:ascii="宋体" w:hAnsi="宋体" w:cs="宋体" w:eastAsia="宋体" w:hint="default"/>
                <w:sz w:val="18"/>
                <w:szCs w:val="18"/>
              </w:rPr>
            </w:pPr>
            <w:r>
              <w:rPr>
                <w:rFonts w:ascii="宋体" w:hAnsi="宋体" w:cs="宋体" w:eastAsia="宋体" w:hint="default"/>
                <w:sz w:val="18"/>
                <w:szCs w:val="18"/>
              </w:rPr>
              <w:t>—</w:t>
            </w:r>
          </w:p>
        </w:tc>
        <w:tc>
          <w:tcPr>
            <w:tcW w:w="1425"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338"/>
              <w:jc w:val="right"/>
              <w:rPr>
                <w:rFonts w:ascii="宋体" w:hAnsi="宋体" w:cs="宋体" w:eastAsia="宋体" w:hint="default"/>
                <w:sz w:val="18"/>
                <w:szCs w:val="18"/>
              </w:rPr>
            </w:pPr>
            <w:r>
              <w:rPr>
                <w:rFonts w:ascii="宋体" w:hAnsi="宋体" w:cs="宋体" w:eastAsia="宋体" w:hint="default"/>
                <w:sz w:val="18"/>
                <w:szCs w:val="18"/>
              </w:rPr>
              <w:t>—</w:t>
            </w: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279"/>
              <w:jc w:val="right"/>
              <w:rPr>
                <w:rFonts w:ascii="宋体" w:hAnsi="宋体" w:cs="宋体" w:eastAsia="宋体" w:hint="default"/>
                <w:sz w:val="18"/>
                <w:szCs w:val="18"/>
              </w:rPr>
            </w:pPr>
            <w:r>
              <w:rPr>
                <w:rFonts w:ascii="宋体" w:hAnsi="宋体" w:cs="宋体" w:eastAsia="宋体" w:hint="default"/>
                <w:sz w:val="18"/>
                <w:szCs w:val="18"/>
              </w:rPr>
              <w:t>—</w:t>
            </w:r>
          </w:p>
        </w:tc>
        <w:tc>
          <w:tcPr>
            <w:tcW w:w="1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96"/>
              <w:jc w:val="right"/>
              <w:rPr>
                <w:rFonts w:ascii="Arial" w:hAnsi="Arial" w:cs="Arial" w:eastAsia="Arial" w:hint="default"/>
                <w:sz w:val="22"/>
                <w:szCs w:val="22"/>
              </w:rPr>
            </w:pPr>
            <w:r>
              <w:rPr>
                <w:rFonts w:ascii="Arial"/>
                <w:sz w:val="22"/>
              </w:rPr>
              <w:t>1,270,242</w:t>
            </w:r>
          </w:p>
        </w:tc>
      </w:tr>
      <w:tr>
        <w:trPr>
          <w:trHeight w:val="1144" w:hRule="exact"/>
        </w:trPr>
        <w:tc>
          <w:tcPr>
            <w:tcW w:w="757" w:type="dxa"/>
            <w:tcBorders>
              <w:top w:val="nil" w:sz="6" w:space="0" w:color="auto"/>
              <w:left w:val="nil" w:sz="6" w:space="0" w:color="auto"/>
              <w:bottom w:val="nil" w:sz="6" w:space="0" w:color="auto"/>
              <w:right w:val="nil" w:sz="6" w:space="0" w:color="auto"/>
            </w:tcBorders>
          </w:tcPr>
          <w:p>
            <w:pPr/>
          </w:p>
        </w:tc>
        <w:tc>
          <w:tcPr>
            <w:tcW w:w="9408" w:type="dxa"/>
            <w:gridSpan w:val="6"/>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22" w:lineRule="exact"/>
              <w:ind w:left="108" w:right="0"/>
              <w:jc w:val="left"/>
              <w:rPr>
                <w:rFonts w:ascii="宋体" w:hAnsi="宋体" w:cs="宋体" w:eastAsia="宋体" w:hint="default"/>
                <w:sz w:val="24"/>
                <w:szCs w:val="24"/>
              </w:rPr>
            </w:pPr>
            <w:r>
              <w:rPr>
                <w:rFonts w:ascii="Arial" w:hAnsi="Arial" w:cs="Arial" w:eastAsia="Arial" w:hint="default"/>
                <w:sz w:val="24"/>
                <w:szCs w:val="24"/>
              </w:rPr>
              <w:t>2012 </w:t>
            </w:r>
            <w:r>
              <w:rPr>
                <w:rFonts w:ascii="宋体" w:hAnsi="宋体" w:cs="宋体" w:eastAsia="宋体" w:hint="default"/>
                <w:sz w:val="24"/>
                <w:szCs w:val="24"/>
              </w:rPr>
              <w:t>年度投资性房地产计提折旧金额约为人民币 </w:t>
            </w:r>
            <w:r>
              <w:rPr>
                <w:rFonts w:ascii="Arial" w:hAnsi="Arial" w:cs="Arial" w:eastAsia="Arial" w:hint="default"/>
                <w:sz w:val="24"/>
                <w:szCs w:val="24"/>
              </w:rPr>
              <w:t>4,648 </w:t>
            </w:r>
            <w:r>
              <w:rPr>
                <w:rFonts w:ascii="宋体" w:hAnsi="宋体" w:cs="宋体" w:eastAsia="宋体" w:hint="default"/>
                <w:spacing w:val="-3"/>
                <w:sz w:val="24"/>
                <w:szCs w:val="24"/>
              </w:rPr>
              <w:t>万元</w:t>
            </w:r>
            <w:r>
              <w:rPr>
                <w:rFonts w:ascii="Arial" w:hAnsi="Arial" w:cs="Arial" w:eastAsia="Arial" w:hint="default"/>
                <w:spacing w:val="-3"/>
                <w:sz w:val="24"/>
                <w:szCs w:val="24"/>
              </w:rPr>
              <w:t>(2011</w:t>
            </w:r>
            <w:r>
              <w:rPr>
                <w:rFonts w:ascii="Arial" w:hAnsi="Arial" w:cs="Arial" w:eastAsia="Arial" w:hint="default"/>
                <w:spacing w:val="-5"/>
                <w:sz w:val="24"/>
                <w:szCs w:val="24"/>
              </w:rPr>
              <w:t> </w:t>
            </w:r>
            <w:r>
              <w:rPr>
                <w:rFonts w:ascii="宋体" w:hAnsi="宋体" w:cs="宋体" w:eastAsia="宋体" w:hint="default"/>
                <w:sz w:val="24"/>
                <w:szCs w:val="24"/>
              </w:rPr>
              <w:t>年度：约</w:t>
            </w:r>
          </w:p>
          <w:p>
            <w:pPr>
              <w:pStyle w:val="TableParagraph"/>
              <w:spacing w:line="322" w:lineRule="exact"/>
              <w:ind w:left="108" w:right="0"/>
              <w:jc w:val="left"/>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2"/>
                <w:sz w:val="24"/>
                <w:szCs w:val="24"/>
              </w:rPr>
              <w:t> </w:t>
            </w:r>
            <w:r>
              <w:rPr>
                <w:rFonts w:ascii="Arial" w:hAnsi="Arial" w:cs="Arial" w:eastAsia="Arial" w:hint="default"/>
                <w:sz w:val="24"/>
                <w:szCs w:val="24"/>
              </w:rPr>
              <w:t>1,794</w:t>
            </w:r>
            <w:r>
              <w:rPr>
                <w:rFonts w:ascii="Arial" w:hAnsi="Arial" w:cs="Arial" w:eastAsia="Arial" w:hint="default"/>
                <w:spacing w:val="-7"/>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r>
        <w:trPr>
          <w:trHeight w:val="1306" w:hRule="exact"/>
        </w:trPr>
        <w:tc>
          <w:tcPr>
            <w:tcW w:w="757" w:type="dxa"/>
            <w:tcBorders>
              <w:top w:val="nil" w:sz="6" w:space="0" w:color="auto"/>
              <w:left w:val="nil" w:sz="6" w:space="0" w:color="auto"/>
              <w:bottom w:val="nil" w:sz="6" w:space="0" w:color="auto"/>
              <w:right w:val="nil" w:sz="6" w:space="0" w:color="auto"/>
            </w:tcBorders>
          </w:tcPr>
          <w:p>
            <w:pPr/>
          </w:p>
        </w:tc>
        <w:tc>
          <w:tcPr>
            <w:tcW w:w="9408" w:type="dxa"/>
            <w:gridSpan w:val="6"/>
            <w:tcBorders>
              <w:top w:val="nil" w:sz="6" w:space="0" w:color="auto"/>
              <w:left w:val="nil" w:sz="6" w:space="0" w:color="auto"/>
              <w:bottom w:val="nil" w:sz="6" w:space="0" w:color="auto"/>
              <w:right w:val="nil" w:sz="6" w:space="0" w:color="auto"/>
            </w:tcBorders>
          </w:tcPr>
          <w:p>
            <w:pPr>
              <w:pStyle w:val="TableParagraph"/>
              <w:spacing w:line="312" w:lineRule="exact" w:before="169"/>
              <w:ind w:left="108" w:right="1243"/>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8"/>
                <w:sz w:val="24"/>
                <w:szCs w:val="24"/>
              </w:rPr>
              <w:t> </w:t>
            </w:r>
            <w:r>
              <w:rPr>
                <w:rFonts w:ascii="Arial" w:hAnsi="Arial" w:cs="Arial" w:eastAsia="Arial" w:hint="default"/>
                <w:spacing w:val="-1"/>
                <w:w w:val="99"/>
                <w:sz w:val="24"/>
                <w:szCs w:val="24"/>
              </w:rPr>
              <w:t>2012</w:t>
            </w:r>
            <w:r>
              <w:rPr>
                <w:rFonts w:ascii="Arial" w:hAnsi="Arial" w:cs="Arial" w:eastAsia="Arial" w:hint="default"/>
                <w:spacing w:val="-14"/>
                <w:w w:val="99"/>
                <w:sz w:val="24"/>
                <w:szCs w:val="24"/>
              </w:rPr>
              <w:t> </w:t>
            </w:r>
            <w:r>
              <w:rPr>
                <w:rFonts w:ascii="宋体" w:hAnsi="宋体" w:cs="宋体" w:eastAsia="宋体" w:hint="default"/>
                <w:spacing w:val="-8"/>
                <w:sz w:val="24"/>
                <w:szCs w:val="24"/>
              </w:rPr>
              <w:t>年度，本集团将账面价值约为人民币</w:t>
            </w:r>
            <w:r>
              <w:rPr>
                <w:rFonts w:ascii="宋体" w:hAnsi="宋体" w:cs="宋体" w:eastAsia="宋体" w:hint="default"/>
                <w:spacing w:val="-67"/>
                <w:sz w:val="24"/>
                <w:szCs w:val="24"/>
              </w:rPr>
              <w:t> </w:t>
            </w:r>
            <w:r>
              <w:rPr>
                <w:rFonts w:ascii="Arial" w:hAnsi="Arial" w:cs="Arial" w:eastAsia="Arial" w:hint="default"/>
                <w:spacing w:val="-1"/>
                <w:w w:val="99"/>
                <w:sz w:val="24"/>
                <w:szCs w:val="24"/>
              </w:rPr>
              <w:t>2,432</w:t>
            </w:r>
            <w:r>
              <w:rPr>
                <w:rFonts w:ascii="Arial" w:hAnsi="Arial" w:cs="Arial" w:eastAsia="Arial" w:hint="default"/>
                <w:spacing w:val="-14"/>
                <w:w w:val="99"/>
                <w:sz w:val="24"/>
                <w:szCs w:val="24"/>
              </w:rPr>
              <w:t> </w:t>
            </w:r>
            <w:r>
              <w:rPr>
                <w:rFonts w:ascii="宋体" w:hAnsi="宋体" w:cs="宋体" w:eastAsia="宋体" w:hint="default"/>
                <w:spacing w:val="-13"/>
                <w:sz w:val="24"/>
                <w:szCs w:val="24"/>
              </w:rPr>
              <w:t>万元</w:t>
            </w:r>
            <w:r>
              <w:rPr>
                <w:rFonts w:ascii="Arial" w:hAnsi="Arial" w:cs="Arial" w:eastAsia="Arial" w:hint="default"/>
                <w:spacing w:val="-13"/>
                <w:sz w:val="24"/>
                <w:szCs w:val="24"/>
              </w:rPr>
              <w:t>(</w:t>
            </w:r>
            <w:r>
              <w:rPr>
                <w:rFonts w:ascii="宋体" w:hAnsi="宋体" w:cs="宋体" w:eastAsia="宋体" w:hint="default"/>
                <w:spacing w:val="-13"/>
                <w:sz w:val="24"/>
                <w:szCs w:val="24"/>
              </w:rPr>
              <w:t>原价：约人民币</w:t>
            </w:r>
            <w:r>
              <w:rPr>
                <w:rFonts w:ascii="宋体" w:hAnsi="宋体" w:cs="宋体" w:eastAsia="宋体" w:hint="default"/>
                <w:spacing w:val="-68"/>
                <w:sz w:val="24"/>
                <w:szCs w:val="24"/>
              </w:rPr>
              <w:t> </w:t>
            </w:r>
            <w:r>
              <w:rPr>
                <w:rFonts w:ascii="Arial" w:hAnsi="Arial" w:cs="Arial" w:eastAsia="Arial" w:hint="default"/>
                <w:spacing w:val="-1"/>
                <w:w w:val="99"/>
                <w:sz w:val="24"/>
                <w:szCs w:val="24"/>
              </w:rPr>
              <w:t>2,765</w:t>
            </w:r>
            <w:r>
              <w:rPr>
                <w:rFonts w:ascii="Arial" w:hAnsi="Arial" w:cs="Arial" w:eastAsia="Arial" w:hint="default"/>
                <w:w w:val="99"/>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的房屋及建筑物改为自用，自改变用途之日起，将相应的投资性房地产</w:t>
            </w:r>
            <w:r>
              <w:rPr>
                <w:rFonts w:ascii="宋体" w:hAnsi="宋体" w:cs="宋体" w:eastAsia="宋体" w:hint="default"/>
                <w:spacing w:val="-78"/>
                <w:sz w:val="24"/>
                <w:szCs w:val="24"/>
              </w:rPr>
              <w:t> </w:t>
            </w:r>
            <w:r>
              <w:rPr>
                <w:rFonts w:ascii="宋体" w:hAnsi="宋体" w:cs="宋体" w:eastAsia="宋体" w:hint="default"/>
                <w:spacing w:val="-78"/>
                <w:sz w:val="24"/>
                <w:szCs w:val="24"/>
              </w:rPr>
            </w:r>
            <w:r>
              <w:rPr>
                <w:rFonts w:ascii="宋体" w:hAnsi="宋体" w:cs="宋体" w:eastAsia="宋体" w:hint="default"/>
                <w:sz w:val="24"/>
                <w:szCs w:val="24"/>
              </w:rPr>
              <w:t>转换为固定资产核算。</w:t>
            </w:r>
          </w:p>
        </w:tc>
      </w:tr>
      <w:tr>
        <w:trPr>
          <w:trHeight w:val="1310" w:hRule="exact"/>
        </w:trPr>
        <w:tc>
          <w:tcPr>
            <w:tcW w:w="757" w:type="dxa"/>
            <w:tcBorders>
              <w:top w:val="nil" w:sz="6" w:space="0" w:color="auto"/>
              <w:left w:val="nil" w:sz="6" w:space="0" w:color="auto"/>
              <w:bottom w:val="nil" w:sz="6" w:space="0" w:color="auto"/>
              <w:right w:val="nil" w:sz="6" w:space="0" w:color="auto"/>
            </w:tcBorders>
          </w:tcPr>
          <w:p>
            <w:pPr/>
          </w:p>
        </w:tc>
        <w:tc>
          <w:tcPr>
            <w:tcW w:w="9408" w:type="dxa"/>
            <w:gridSpan w:val="6"/>
            <w:tcBorders>
              <w:top w:val="nil" w:sz="6" w:space="0" w:color="auto"/>
              <w:left w:val="nil" w:sz="6" w:space="0" w:color="auto"/>
              <w:bottom w:val="nil" w:sz="6" w:space="0" w:color="auto"/>
              <w:right w:val="nil" w:sz="6" w:space="0" w:color="auto"/>
            </w:tcBorders>
          </w:tcPr>
          <w:p>
            <w:pPr>
              <w:pStyle w:val="TableParagraph"/>
              <w:spacing w:line="225" w:lineRule="auto" w:before="172"/>
              <w:ind w:left="108" w:right="1245"/>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4"/>
                <w:sz w:val="24"/>
                <w:szCs w:val="24"/>
              </w:rPr>
              <w:t> </w:t>
            </w:r>
            <w:r>
              <w:rPr>
                <w:rFonts w:ascii="Arial" w:hAnsi="Arial" w:cs="Arial" w:eastAsia="Arial" w:hint="default"/>
                <w:sz w:val="24"/>
                <w:szCs w:val="24"/>
              </w:rPr>
              <w:t>2012</w:t>
            </w:r>
            <w:r>
              <w:rPr>
                <w:rFonts w:ascii="Arial" w:hAnsi="Arial" w:cs="Arial" w:eastAsia="Arial" w:hint="default"/>
                <w:spacing w:val="-10"/>
                <w:sz w:val="24"/>
                <w:szCs w:val="24"/>
              </w:rPr>
              <w:t> </w:t>
            </w:r>
            <w:r>
              <w:rPr>
                <w:rFonts w:ascii="宋体" w:hAnsi="宋体" w:cs="宋体" w:eastAsia="宋体" w:hint="default"/>
                <w:sz w:val="24"/>
                <w:szCs w:val="24"/>
              </w:rPr>
              <w:t>年度，本集团将账面价值约为人民币</w:t>
            </w:r>
            <w:r>
              <w:rPr>
                <w:rFonts w:ascii="宋体" w:hAnsi="宋体" w:cs="宋体" w:eastAsia="宋体" w:hint="default"/>
                <w:spacing w:val="-63"/>
                <w:sz w:val="24"/>
                <w:szCs w:val="24"/>
              </w:rPr>
              <w:t> </w:t>
            </w:r>
            <w:r>
              <w:rPr>
                <w:rFonts w:ascii="Arial" w:hAnsi="Arial" w:cs="Arial" w:eastAsia="Arial" w:hint="default"/>
                <w:sz w:val="24"/>
                <w:szCs w:val="24"/>
              </w:rPr>
              <w:t>6.57</w:t>
            </w:r>
            <w:r>
              <w:rPr>
                <w:rFonts w:ascii="Arial" w:hAnsi="Arial" w:cs="Arial" w:eastAsia="Arial" w:hint="default"/>
                <w:spacing w:val="-10"/>
                <w:sz w:val="24"/>
                <w:szCs w:val="24"/>
              </w:rPr>
              <w:t> </w:t>
            </w:r>
            <w:r>
              <w:rPr>
                <w:rFonts w:ascii="宋体" w:hAnsi="宋体" w:cs="宋体" w:eastAsia="宋体" w:hint="default"/>
                <w:spacing w:val="-3"/>
                <w:sz w:val="24"/>
                <w:szCs w:val="24"/>
              </w:rPr>
              <w:t>亿元</w:t>
            </w:r>
            <w:r>
              <w:rPr>
                <w:rFonts w:ascii="Arial" w:hAnsi="Arial" w:cs="Arial" w:eastAsia="Arial" w:hint="default"/>
                <w:spacing w:val="-3"/>
                <w:sz w:val="24"/>
                <w:szCs w:val="24"/>
              </w:rPr>
              <w:t>(</w:t>
            </w:r>
            <w:r>
              <w:rPr>
                <w:rFonts w:ascii="宋体" w:hAnsi="宋体" w:cs="宋体" w:eastAsia="宋体" w:hint="default"/>
                <w:spacing w:val="-3"/>
                <w:sz w:val="24"/>
                <w:szCs w:val="24"/>
              </w:rPr>
              <w:t>原价：约人民币</w:t>
            </w:r>
            <w:r>
              <w:rPr>
                <w:rFonts w:ascii="宋体" w:hAnsi="宋体" w:cs="宋体" w:eastAsia="宋体" w:hint="default"/>
                <w:spacing w:val="-64"/>
                <w:sz w:val="24"/>
                <w:szCs w:val="24"/>
              </w:rPr>
              <w:t> </w:t>
            </w:r>
            <w:r>
              <w:rPr>
                <w:rFonts w:ascii="Arial" w:hAnsi="Arial" w:cs="Arial" w:eastAsia="Arial" w:hint="default"/>
                <w:sz w:val="24"/>
                <w:szCs w:val="24"/>
              </w:rPr>
              <w:t>6.79</w:t>
            </w:r>
            <w:r>
              <w:rPr>
                <w:rFonts w:ascii="Arial" w:hAnsi="Arial" w:cs="Arial" w:eastAsia="Arial" w:hint="default"/>
                <w:w w:val="99"/>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的房屋及建筑物改为出租，自改变用途之日起，将相应的固定资产转换</w:t>
            </w:r>
            <w:r>
              <w:rPr>
                <w:rFonts w:ascii="宋体" w:hAnsi="宋体" w:cs="宋体" w:eastAsia="宋体" w:hint="default"/>
                <w:spacing w:val="-78"/>
                <w:sz w:val="24"/>
                <w:szCs w:val="24"/>
              </w:rPr>
              <w:t> </w:t>
            </w:r>
            <w:r>
              <w:rPr>
                <w:rFonts w:ascii="宋体" w:hAnsi="宋体" w:cs="宋体" w:eastAsia="宋体" w:hint="default"/>
                <w:spacing w:val="-78"/>
                <w:sz w:val="24"/>
                <w:szCs w:val="24"/>
              </w:rPr>
            </w:r>
            <w:r>
              <w:rPr>
                <w:rFonts w:ascii="宋体" w:hAnsi="宋体" w:cs="宋体" w:eastAsia="宋体" w:hint="default"/>
                <w:sz w:val="24"/>
                <w:szCs w:val="24"/>
              </w:rPr>
              <w:t>为投资性房地产核算。</w:t>
            </w:r>
          </w:p>
        </w:tc>
      </w:tr>
      <w:tr>
        <w:trPr>
          <w:trHeight w:val="781" w:hRule="exact"/>
        </w:trPr>
        <w:tc>
          <w:tcPr>
            <w:tcW w:w="757" w:type="dxa"/>
            <w:tcBorders>
              <w:top w:val="nil" w:sz="6" w:space="0" w:color="auto"/>
              <w:left w:val="nil" w:sz="6" w:space="0" w:color="auto"/>
              <w:bottom w:val="nil" w:sz="6" w:space="0" w:color="auto"/>
              <w:right w:val="nil" w:sz="6" w:space="0" w:color="auto"/>
            </w:tcBorders>
          </w:tcPr>
          <w:p>
            <w:pPr/>
          </w:p>
        </w:tc>
        <w:tc>
          <w:tcPr>
            <w:tcW w:w="9408" w:type="dxa"/>
            <w:gridSpan w:val="6"/>
            <w:tcBorders>
              <w:top w:val="nil" w:sz="6" w:space="0" w:color="auto"/>
              <w:left w:val="nil" w:sz="6" w:space="0" w:color="auto"/>
              <w:bottom w:val="nil" w:sz="6" w:space="0" w:color="auto"/>
              <w:right w:val="nil" w:sz="6" w:space="0" w:color="auto"/>
            </w:tcBorders>
          </w:tcPr>
          <w:p>
            <w:pPr>
              <w:pStyle w:val="TableParagraph"/>
              <w:spacing w:line="321" w:lineRule="exact" w:before="145"/>
              <w:ind w:left="108"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w w:val="99"/>
                <w:sz w:val="24"/>
                <w:szCs w:val="24"/>
              </w:rPr>
              <w:t>20</w:t>
            </w:r>
            <w:r>
              <w:rPr>
                <w:rFonts w:ascii="Arial" w:hAnsi="Arial" w:cs="Arial" w:eastAsia="Arial" w:hint="default"/>
                <w:spacing w:val="-2"/>
                <w:w w:val="99"/>
                <w:sz w:val="24"/>
                <w:szCs w:val="24"/>
              </w:rPr>
              <w:t>1</w:t>
            </w:r>
            <w:r>
              <w:rPr>
                <w:rFonts w:ascii="Arial" w:hAnsi="Arial" w:cs="Arial" w:eastAsia="Arial" w:hint="default"/>
                <w:w w:val="99"/>
                <w:sz w:val="24"/>
                <w:szCs w:val="24"/>
              </w:rPr>
              <w:t>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pacing w:val="-2"/>
                <w:w w:val="99"/>
                <w:sz w:val="24"/>
                <w:szCs w:val="24"/>
              </w:rPr>
              <w:t>1</w:t>
            </w:r>
            <w:r>
              <w:rPr>
                <w:rFonts w:ascii="Arial" w:hAnsi="Arial" w:cs="Arial" w:eastAsia="Arial" w:hint="default"/>
                <w:w w:val="99"/>
                <w:sz w:val="24"/>
                <w:szCs w:val="24"/>
              </w:rPr>
              <w:t>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pacing w:val="-2"/>
                <w:w w:val="99"/>
                <w:sz w:val="24"/>
                <w:szCs w:val="24"/>
              </w:rPr>
              <w:t>3</w:t>
            </w:r>
            <w:r>
              <w:rPr>
                <w:rFonts w:ascii="Arial" w:hAnsi="Arial" w:cs="Arial" w:eastAsia="Arial" w:hint="default"/>
                <w:w w:val="99"/>
                <w:sz w:val="24"/>
                <w:szCs w:val="24"/>
              </w:rPr>
              <w:t>1</w:t>
            </w:r>
            <w:r>
              <w:rPr>
                <w:rFonts w:ascii="Arial" w:hAnsi="Arial" w:cs="Arial" w:eastAsia="Arial" w:hint="default"/>
                <w:spacing w:val="-6"/>
                <w:sz w:val="24"/>
                <w:szCs w:val="24"/>
              </w:rPr>
              <w:t> </w:t>
            </w:r>
            <w:r>
              <w:rPr>
                <w:rFonts w:ascii="宋体" w:hAnsi="宋体" w:cs="宋体" w:eastAsia="宋体" w:hint="default"/>
                <w:spacing w:val="-3"/>
                <w:sz w:val="24"/>
                <w:szCs w:val="24"/>
              </w:rPr>
              <w:t>日</w:t>
            </w:r>
            <w:r>
              <w:rPr>
                <w:rFonts w:ascii="宋体" w:hAnsi="宋体" w:cs="宋体" w:eastAsia="宋体" w:hint="default"/>
                <w:spacing w:val="-120"/>
                <w:sz w:val="24"/>
                <w:szCs w:val="24"/>
              </w:rPr>
              <w:t>，</w:t>
            </w:r>
            <w:r>
              <w:rPr>
                <w:rFonts w:ascii="宋体" w:hAnsi="宋体" w:cs="宋体" w:eastAsia="宋体" w:hint="default"/>
                <w:sz w:val="24"/>
                <w:szCs w:val="24"/>
              </w:rPr>
              <w:t>本集团无未办妥房产权证的投资性房地</w:t>
            </w:r>
            <w:r>
              <w:rPr>
                <w:rFonts w:ascii="宋体" w:hAnsi="宋体" w:cs="宋体" w:eastAsia="宋体" w:hint="default"/>
                <w:spacing w:val="1"/>
                <w:sz w:val="24"/>
                <w:szCs w:val="24"/>
              </w:rPr>
              <w:t>产</w:t>
            </w:r>
            <w:r>
              <w:rPr>
                <w:rFonts w:ascii="Arial" w:hAnsi="Arial" w:cs="Arial" w:eastAsia="Arial" w:hint="default"/>
                <w:w w:val="99"/>
                <w:sz w:val="24"/>
                <w:szCs w:val="24"/>
              </w:rPr>
              <w:t>(20</w:t>
            </w:r>
            <w:r>
              <w:rPr>
                <w:rFonts w:ascii="Arial" w:hAnsi="Arial" w:cs="Arial" w:eastAsia="Arial" w:hint="default"/>
                <w:spacing w:val="-19"/>
                <w:w w:val="99"/>
                <w:sz w:val="24"/>
                <w:szCs w:val="24"/>
              </w:rPr>
              <w:t>1</w:t>
            </w:r>
            <w:r>
              <w:rPr>
                <w:rFonts w:ascii="Arial" w:hAnsi="Arial" w:cs="Arial" w:eastAsia="Arial" w:hint="default"/>
                <w:w w:val="99"/>
                <w:sz w:val="24"/>
                <w:szCs w:val="24"/>
              </w:rPr>
              <w:t>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w w:val="99"/>
                <w:sz w:val="24"/>
                <w:szCs w:val="24"/>
              </w:rPr>
              <w:t>12</w:t>
            </w:r>
            <w:r>
              <w:rPr>
                <w:rFonts w:ascii="Arial" w:hAnsi="Arial" w:cs="Arial" w:eastAsia="Arial" w:hint="default"/>
                <w:sz w:val="24"/>
                <w:szCs w:val="24"/>
              </w:rPr>
            </w:r>
          </w:p>
          <w:p>
            <w:pPr>
              <w:pStyle w:val="TableParagraph"/>
              <w:spacing w:line="321" w:lineRule="exact"/>
              <w:ind w:left="108"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bl>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5"/>
        <w:ind w:left="0" w:right="765" w:firstLine="0"/>
        <w:jc w:val="center"/>
        <w:rPr>
          <w:rFonts w:ascii="Times New Roman" w:hAnsi="Times New Roman" w:cs="Times New Roman" w:eastAsia="Times New Roman" w:hint="default"/>
          <w:sz w:val="18"/>
          <w:szCs w:val="18"/>
        </w:rPr>
      </w:pPr>
      <w:r>
        <w:rPr/>
        <w:pict>
          <v:shape style="position:absolute;margin-left:460.320007pt;margin-top:-22.687656pt;width:135.0pt;height:77pt;mso-position-horizontal-relative:page;mso-position-vertical-relative:paragraph;z-index:-1595752" type="#_x0000_t75" stroked="false">
            <v:imagedata r:id="rId10" o:title=""/>
          </v:shape>
        </w:pict>
      </w:r>
      <w:r>
        <w:rPr>
          <w:rFonts w:ascii="Times New Roman"/>
          <w:sz w:val="18"/>
        </w:rPr>
        <w:t>155</w:t>
      </w:r>
    </w:p>
    <w:p>
      <w:pPr>
        <w:spacing w:after="0"/>
        <w:jc w:val="center"/>
        <w:rPr>
          <w:rFonts w:ascii="Times New Roman" w:hAnsi="Times New Roman" w:cs="Times New Roman" w:eastAsia="Times New Roman" w:hint="default"/>
          <w:sz w:val="18"/>
          <w:szCs w:val="18"/>
        </w:rPr>
        <w:sectPr>
          <w:headerReference w:type="default" r:id="rId79"/>
          <w:footerReference w:type="default" r:id="rId80"/>
          <w:pgSz w:w="11910" w:h="16850"/>
          <w:pgMar w:header="795" w:footer="0" w:top="2020" w:bottom="0" w:left="1420" w:right="0"/>
        </w:sectPr>
      </w:pPr>
    </w:p>
    <w:p>
      <w:pPr>
        <w:pStyle w:val="Heading3"/>
        <w:spacing w:line="268" w:lineRule="auto" w:before="14"/>
        <w:ind w:left="643" w:right="11797"/>
        <w:jc w:val="left"/>
        <w:rPr>
          <w:rFonts w:ascii="黑体" w:hAnsi="黑体" w:cs="黑体" w:eastAsia="黑体" w:hint="default"/>
        </w:rPr>
      </w:pPr>
      <w:r>
        <w:rPr>
          <w:rFonts w:ascii="黑体" w:hAnsi="黑体" w:cs="黑体" w:eastAsia="黑体" w:hint="default"/>
        </w:rPr>
        <w:t>苏宁云商集团股份有限公司 财务报表附注</w:t>
      </w:r>
    </w:p>
    <w:p>
      <w:pPr>
        <w:pStyle w:val="Heading3"/>
        <w:spacing w:line="240" w:lineRule="auto" w:before="7"/>
        <w:ind w:left="643" w:right="11797"/>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9"/>
        </w:rPr>
        <w:t> </w:t>
      </w:r>
      <w:r>
        <w:rPr>
          <w:rFonts w:ascii="黑体" w:hAnsi="黑体" w:cs="黑体" w:eastAsia="黑体" w:hint="default"/>
        </w:rPr>
        <w:t>年度</w:t>
      </w:r>
    </w:p>
    <w:p>
      <w:pPr>
        <w:spacing w:before="29"/>
        <w:ind w:left="643"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1"/>
        <w:rPr>
          <w:rFonts w:ascii="Arial" w:hAnsi="Arial" w:cs="Arial" w:eastAsia="Arial" w:hint="default"/>
          <w:sz w:val="29"/>
          <w:szCs w:val="29"/>
        </w:rPr>
      </w:pPr>
    </w:p>
    <w:p>
      <w:pPr>
        <w:spacing w:after="0" w:line="240" w:lineRule="auto"/>
        <w:rPr>
          <w:rFonts w:ascii="Arial" w:hAnsi="Arial" w:cs="Arial" w:eastAsia="Arial" w:hint="default"/>
          <w:sz w:val="29"/>
          <w:szCs w:val="29"/>
        </w:rPr>
        <w:sectPr>
          <w:headerReference w:type="default" r:id="rId81"/>
          <w:footerReference w:type="default" r:id="rId82"/>
          <w:pgSz w:w="16850" w:h="11910" w:orient="landscape"/>
          <w:pgMar w:header="0" w:footer="0" w:top="700" w:bottom="0" w:left="1500" w:right="0"/>
        </w:sectPr>
      </w:pPr>
    </w:p>
    <w:p>
      <w:pPr>
        <w:pStyle w:val="Heading3"/>
        <w:tabs>
          <w:tab w:pos="744" w:val="left" w:leader="none"/>
        </w:tabs>
        <w:spacing w:line="283" w:lineRule="auto" w:before="26"/>
        <w:ind w:left="117" w:right="0"/>
        <w:jc w:val="left"/>
        <w:rPr>
          <w:rFonts w:ascii="黑体" w:hAnsi="黑体" w:cs="黑体" w:eastAsia="黑体" w:hint="default"/>
        </w:rPr>
      </w:pPr>
      <w:r>
        <w:rPr>
          <w:rFonts w:ascii="黑体" w:hAnsi="黑体" w:cs="黑体" w:eastAsia="黑体" w:hint="default"/>
        </w:rPr>
        <w:t>五</w:t>
        <w:tab/>
      </w:r>
      <w:r>
        <w:rPr>
          <w:rFonts w:ascii="黑体" w:hAnsi="黑体" w:cs="黑体" w:eastAsia="黑体" w:hint="default"/>
          <w:spacing w:val="-1"/>
        </w:rPr>
        <w:t>合并财务报表项目附注</w:t>
      </w:r>
      <w:r>
        <w:rPr>
          <w:rFonts w:ascii="Arial" w:hAnsi="Arial" w:cs="Arial" w:eastAsia="Arial" w:hint="default"/>
          <w:spacing w:val="-1"/>
        </w:rPr>
        <w:t>(</w:t>
      </w:r>
      <w:r>
        <w:rPr>
          <w:rFonts w:ascii="黑体" w:hAnsi="黑体" w:cs="黑体" w:eastAsia="黑体" w:hint="default"/>
          <w:spacing w:val="-1"/>
        </w:rPr>
        <w:t>续</w:t>
      </w:r>
      <w:r>
        <w:rPr>
          <w:rFonts w:ascii="Arial" w:hAnsi="Arial" w:cs="Arial" w:eastAsia="Arial" w:hint="default"/>
          <w:spacing w:val="-1"/>
        </w:rPr>
        <w:t>)</w:t>
      </w:r>
      <w:r>
        <w:rPr>
          <w:rFonts w:ascii="Arial" w:hAnsi="Arial" w:cs="Arial" w:eastAsia="Arial" w:hint="default"/>
          <w:spacing w:val="-55"/>
        </w:rPr>
        <w:t> </w:t>
      </w:r>
      <w:r>
        <w:rPr>
          <w:rFonts w:ascii="Arial" w:hAnsi="Arial" w:cs="Arial" w:eastAsia="Arial" w:hint="default"/>
          <w:position w:val="2"/>
        </w:rPr>
        <w:t>(12) </w:t>
      </w:r>
      <w:r>
        <w:rPr>
          <w:rFonts w:ascii="Arial" w:hAnsi="Arial" w:cs="Arial" w:eastAsia="Arial" w:hint="default"/>
          <w:spacing w:val="63"/>
          <w:position w:val="2"/>
        </w:rPr>
        <w:t> </w:t>
      </w:r>
      <w:r>
        <w:rPr>
          <w:rFonts w:ascii="黑体" w:hAnsi="黑体" w:cs="黑体" w:eastAsia="黑体" w:hint="default"/>
        </w:rPr>
        <w:t>固定资产</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0"/>
        <w:rPr>
          <w:rFonts w:ascii="黑体" w:hAnsi="黑体" w:cs="黑体" w:eastAsia="黑体" w:hint="default"/>
          <w:sz w:val="18"/>
          <w:szCs w:val="18"/>
        </w:rPr>
      </w:pPr>
    </w:p>
    <w:p>
      <w:pPr>
        <w:spacing w:line="240" w:lineRule="auto" w:before="5"/>
        <w:rPr>
          <w:rFonts w:ascii="黑体" w:hAnsi="黑体" w:cs="黑体" w:eastAsia="黑体" w:hint="default"/>
          <w:sz w:val="26"/>
          <w:szCs w:val="26"/>
        </w:rPr>
      </w:pPr>
    </w:p>
    <w:p>
      <w:pPr>
        <w:tabs>
          <w:tab w:pos="4425" w:val="left" w:leader="none"/>
        </w:tabs>
        <w:spacing w:before="0"/>
        <w:ind w:left="117" w:right="0" w:firstLine="0"/>
        <w:jc w:val="left"/>
        <w:rPr>
          <w:rFonts w:ascii="宋体" w:hAnsi="宋体" w:cs="宋体" w:eastAsia="宋体" w:hint="default"/>
          <w:sz w:val="18"/>
          <w:szCs w:val="18"/>
        </w:rPr>
      </w:pPr>
      <w:r>
        <w:rPr/>
        <w:pict>
          <v:group style="position:absolute;margin-left:256.730011pt;margin-top:15.311709pt;width:199.6pt;height:.5pt;mso-position-horizontal-relative:page;mso-position-vertical-relative:paragraph;z-index:-1595728" coordorigin="5135,306" coordsize="3992,10">
            <v:group style="position:absolute;left:5139;top:311;width:1203;height:2" coordorigin="5139,311" coordsize="1203,2">
              <v:shape style="position:absolute;left:5139;top:311;width:1203;height:2" coordorigin="5139,311" coordsize="1203,0" path="m5139,311l6342,311e" filled="false" stroked="true" strokeweight=".48pt" strokecolor="#000000">
                <v:path arrowok="t"/>
              </v:shape>
            </v:group>
            <v:group style="position:absolute;left:6342;top:311;width:10;height:2" coordorigin="6342,311" coordsize="10,2">
              <v:shape style="position:absolute;left:6342;top:311;width:10;height:2" coordorigin="6342,311" coordsize="10,0" path="m6342,311l6351,311e" filled="false" stroked="true" strokeweight=".48pt" strokecolor="#000000">
                <v:path arrowok="t"/>
              </v:shape>
            </v:group>
            <v:group style="position:absolute;left:6351;top:311;width:272;height:2" coordorigin="6351,311" coordsize="272,2">
              <v:shape style="position:absolute;left:6351;top:311;width:272;height:2" coordorigin="6351,311" coordsize="272,0" path="m6351,311l6623,311e" filled="false" stroked="true" strokeweight=".48pt" strokecolor="#000000">
                <v:path arrowok="t"/>
              </v:shape>
            </v:group>
            <v:group style="position:absolute;left:6623;top:311;width:10;height:2" coordorigin="6623,311" coordsize="10,2">
              <v:shape style="position:absolute;left:6623;top:311;width:10;height:2" coordorigin="6623,311" coordsize="10,0" path="m6623,311l6632,311e" filled="false" stroked="true" strokeweight=".48pt" strokecolor="#000000">
                <v:path arrowok="t"/>
              </v:shape>
            </v:group>
            <v:group style="position:absolute;left:6632;top:311;width:1088;height:2" coordorigin="6632,311" coordsize="1088,2">
              <v:shape style="position:absolute;left:6632;top:311;width:1088;height:2" coordorigin="6632,311" coordsize="1088,0" path="m6632,311l7719,311e" filled="false" stroked="true" strokeweight=".48pt" strokecolor="#000000">
                <v:path arrowok="t"/>
              </v:shape>
            </v:group>
            <v:group style="position:absolute;left:7719;top:311;width:10;height:2" coordorigin="7719,311" coordsize="10,2">
              <v:shape style="position:absolute;left:7719;top:311;width:10;height:2" coordorigin="7719,311" coordsize="10,0" path="m7719,311l7729,311e" filled="false" stroked="true" strokeweight=".48pt" strokecolor="#000000">
                <v:path arrowok="t"/>
              </v:shape>
            </v:group>
            <v:group style="position:absolute;left:7729;top:311;width:264;height:2" coordorigin="7729,311" coordsize="264,2">
              <v:shape style="position:absolute;left:7729;top:311;width:264;height:2" coordorigin="7729,311" coordsize="264,0" path="m7729,311l7993,311e" filled="false" stroked="true" strokeweight=".48pt" strokecolor="#000000">
                <v:path arrowok="t"/>
              </v:shape>
            </v:group>
            <v:group style="position:absolute;left:7993;top:311;width:10;height:2" coordorigin="7993,311" coordsize="10,2">
              <v:shape style="position:absolute;left:7993;top:311;width:10;height:2" coordorigin="7993,311" coordsize="10,0" path="m7993,311l8003,311e" filled="false" stroked="true" strokeweight=".48pt" strokecolor="#000000">
                <v:path arrowok="t"/>
              </v:shape>
            </v:group>
            <v:group style="position:absolute;left:8003;top:311;width:1119;height:2" coordorigin="8003,311" coordsize="1119,2">
              <v:shape style="position:absolute;left:8003;top:311;width:1119;height:2" coordorigin="8003,311" coordsize="1119,0" path="m8003,311l9121,311e" filled="false" stroked="true" strokeweight=".48pt" strokecolor="#000000">
                <v:path arrowok="t"/>
              </v:shape>
            </v:group>
            <w10:wrap type="none"/>
          </v:group>
        </w:pict>
      </w:r>
      <w:r>
        <w:rPr/>
        <w:pict>
          <v:group style="position:absolute;margin-left:470.470001pt;margin-top:15.311709pt;width:204.75pt;height:.5pt;mso-position-horizontal-relative:page;mso-position-vertical-relative:paragraph;z-index:-1595704" coordorigin="9409,306" coordsize="4095,10">
            <v:group style="position:absolute;left:9414;top:311;width:1119;height:2" coordorigin="9414,311" coordsize="1119,2">
              <v:shape style="position:absolute;left:9414;top:311;width:1119;height:2" coordorigin="9414,311" coordsize="1119,0" path="m9414,311l10533,311e" filled="false" stroked="true" strokeweight=".48pt" strokecolor="#000000">
                <v:path arrowok="t"/>
              </v:shape>
            </v:group>
            <v:group style="position:absolute;left:10533;top:311;width:10;height:2" coordorigin="10533,311" coordsize="10,2">
              <v:shape style="position:absolute;left:10533;top:311;width:10;height:2" coordorigin="10533,311" coordsize="10,0" path="m10533,311l10542,311e" filled="false" stroked="true" strokeweight=".48pt" strokecolor="#000000">
                <v:path arrowok="t"/>
              </v:shape>
            </v:group>
            <v:group style="position:absolute;left:10542;top:311;width:260;height:2" coordorigin="10542,311" coordsize="260,2">
              <v:shape style="position:absolute;left:10542;top:311;width:260;height:2" coordorigin="10542,311" coordsize="260,0" path="m10542,311l10801,311e" filled="false" stroked="true" strokeweight=".48pt" strokecolor="#000000">
                <v:path arrowok="t"/>
              </v:shape>
            </v:group>
            <v:group style="position:absolute;left:10801;top:311;width:10;height:2" coordorigin="10801,311" coordsize="10,2">
              <v:shape style="position:absolute;left:10801;top:311;width:10;height:2" coordorigin="10801,311" coordsize="10,0" path="m10801,311l10811,311e" filled="false" stroked="true" strokeweight=".48pt" strokecolor="#000000">
                <v:path arrowok="t"/>
              </v:shape>
            </v:group>
            <v:group style="position:absolute;left:10811;top:311;width:1187;height:2" coordorigin="10811,311" coordsize="1187,2">
              <v:shape style="position:absolute;left:10811;top:311;width:1187;height:2" coordorigin="10811,311" coordsize="1187,0" path="m10811,311l11997,311e" filled="false" stroked="true" strokeweight=".48pt" strokecolor="#000000">
                <v:path arrowok="t"/>
              </v:shape>
            </v:group>
            <v:group style="position:absolute;left:11997;top:311;width:10;height:2" coordorigin="11997,311" coordsize="10,2">
              <v:shape style="position:absolute;left:11997;top:311;width:10;height:2" coordorigin="11997,311" coordsize="10,0" path="m11997,311l12007,311e" filled="false" stroked="true" strokeweight=".48pt" strokecolor="#000000">
                <v:path arrowok="t"/>
              </v:shape>
            </v:group>
            <v:group style="position:absolute;left:12007;top:311;width:257;height:2" coordorigin="12007,311" coordsize="257,2">
              <v:shape style="position:absolute;left:12007;top:311;width:257;height:2" coordorigin="12007,311" coordsize="257,0" path="m12007,311l12264,311e" filled="false" stroked="true" strokeweight=".48pt" strokecolor="#000000">
                <v:path arrowok="t"/>
              </v:shape>
            </v:group>
            <v:group style="position:absolute;left:12264;top:311;width:10;height:2" coordorigin="12264,311" coordsize="10,2">
              <v:shape style="position:absolute;left:12264;top:311;width:10;height:2" coordorigin="12264,311" coordsize="10,0" path="m12264,311l12273,311e" filled="false" stroked="true" strokeweight=".48pt" strokecolor="#000000">
                <v:path arrowok="t"/>
              </v:shape>
            </v:group>
            <v:group style="position:absolute;left:12273;top:311;width:1227;height:2" coordorigin="12273,311" coordsize="1227,2">
              <v:shape style="position:absolute;left:12273;top:311;width:1227;height:2" coordorigin="12273,311" coordsize="1227,0" path="m12273,311l13500,311e" filled="false" stroked="true" strokeweight=".48pt" strokecolor="#000000">
                <v:path arrowok="t"/>
              </v:shape>
            </v:group>
            <w10:wrap type="none"/>
          </v:group>
        </w:pict>
      </w:r>
      <w:r>
        <w:rPr>
          <w:rFonts w:ascii="宋体" w:hAnsi="宋体" w:cs="宋体" w:eastAsia="宋体" w:hint="default"/>
          <w:sz w:val="18"/>
          <w:szCs w:val="18"/>
        </w:rPr>
        <w:t>本年增加</w:t>
        <w:tab/>
        <w:t>本年减少</w:t>
      </w:r>
    </w:p>
    <w:p>
      <w:pPr>
        <w:spacing w:after="0"/>
        <w:jc w:val="left"/>
        <w:rPr>
          <w:rFonts w:ascii="宋体" w:hAnsi="宋体" w:cs="宋体" w:eastAsia="宋体" w:hint="default"/>
          <w:sz w:val="18"/>
          <w:szCs w:val="18"/>
        </w:rPr>
        <w:sectPr>
          <w:type w:val="continuous"/>
          <w:pgSz w:w="16850" w:h="11910" w:orient="landscape"/>
          <w:pgMar w:top="1060" w:bottom="1540" w:left="1500" w:right="0"/>
          <w:cols w:num="2" w:equalWidth="0">
            <w:col w:w="3544" w:space="1607"/>
            <w:col w:w="10199"/>
          </w:cols>
        </w:sectPr>
      </w:pPr>
    </w:p>
    <w:p>
      <w:pPr>
        <w:spacing w:line="240" w:lineRule="auto" w:before="6"/>
        <w:rPr>
          <w:rFonts w:ascii="宋体" w:hAnsi="宋体" w:cs="宋体" w:eastAsia="宋体" w:hint="default"/>
          <w:sz w:val="15"/>
          <w:szCs w:val="15"/>
        </w:rPr>
      </w:pPr>
    </w:p>
    <w:p>
      <w:pPr>
        <w:spacing w:before="0"/>
        <w:ind w:left="0" w:right="0" w:firstLine="0"/>
        <w:jc w:val="righ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spacing w:before="25"/>
        <w:ind w:left="0" w:right="0" w:firstLine="0"/>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spacing w:line="237" w:lineRule="auto" w:before="52"/>
        <w:ind w:left="1945" w:right="0" w:hanging="1217"/>
        <w:jc w:val="both"/>
        <w:rPr>
          <w:rFonts w:ascii="宋体" w:hAnsi="宋体" w:cs="宋体" w:eastAsia="宋体" w:hint="default"/>
          <w:sz w:val="18"/>
          <w:szCs w:val="18"/>
        </w:rPr>
      </w:pPr>
      <w:r>
        <w:rPr/>
        <w:br w:type="column"/>
      </w:r>
      <w:r>
        <w:rPr>
          <w:rFonts w:ascii="宋体" w:hAnsi="宋体" w:cs="宋体" w:eastAsia="宋体" w:hint="default"/>
          <w:sz w:val="18"/>
          <w:szCs w:val="18"/>
        </w:rPr>
        <w:t>本年增加</w:t>
      </w:r>
      <w:r>
        <w:rPr>
          <w:rFonts w:ascii="宋体" w:hAnsi="宋体" w:cs="宋体" w:eastAsia="宋体" w:hint="default"/>
          <w:spacing w:val="46"/>
          <w:sz w:val="18"/>
          <w:szCs w:val="18"/>
        </w:rPr>
        <w:t> </w:t>
      </w:r>
      <w:r>
        <w:rPr>
          <w:rFonts w:ascii="宋体" w:hAnsi="宋体" w:cs="宋体" w:eastAsia="宋体" w:hint="default"/>
          <w:sz w:val="18"/>
          <w:szCs w:val="18"/>
        </w:rPr>
        <w:t>本年投资</w:t>
      </w:r>
      <w:r>
        <w:rPr>
          <w:rFonts w:ascii="宋体" w:hAnsi="宋体" w:cs="宋体" w:eastAsia="宋体" w:hint="default"/>
          <w:sz w:val="18"/>
          <w:szCs w:val="18"/>
        </w:rPr>
        <w:t> 性房地产 转入</w:t>
      </w:r>
    </w:p>
    <w:p>
      <w:pPr>
        <w:spacing w:line="234" w:lineRule="exact" w:before="5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在建工程</w:t>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转入</w:t>
      </w:r>
    </w:p>
    <w:p>
      <w:pPr>
        <w:tabs>
          <w:tab w:pos="1855" w:val="left" w:leader="none"/>
        </w:tabs>
        <w:spacing w:line="234" w:lineRule="exact" w:before="99"/>
        <w:ind w:left="1855" w:right="0" w:hanging="1208"/>
        <w:jc w:val="left"/>
        <w:rPr>
          <w:rFonts w:ascii="宋体" w:hAnsi="宋体" w:cs="宋体" w:eastAsia="宋体" w:hint="default"/>
          <w:sz w:val="18"/>
          <w:szCs w:val="18"/>
        </w:rPr>
      </w:pPr>
      <w:r>
        <w:rPr/>
        <w:br w:type="column"/>
      </w:r>
      <w:r>
        <w:rPr>
          <w:rFonts w:ascii="宋体" w:hAnsi="宋体" w:cs="宋体" w:eastAsia="宋体" w:hint="default"/>
          <w:position w:val="3"/>
          <w:sz w:val="18"/>
          <w:szCs w:val="18"/>
        </w:rPr>
        <w:t>本年处置</w:t>
        <w:tab/>
      </w:r>
      <w:r>
        <w:rPr>
          <w:rFonts w:ascii="宋体" w:hAnsi="宋体" w:cs="宋体" w:eastAsia="宋体" w:hint="default"/>
          <w:sz w:val="18"/>
          <w:szCs w:val="18"/>
        </w:rPr>
        <w:t>外币报表折</w:t>
      </w:r>
      <w:r>
        <w:rPr>
          <w:rFonts w:ascii="宋体" w:hAnsi="宋体" w:cs="宋体" w:eastAsia="宋体" w:hint="default"/>
          <w:sz w:val="18"/>
          <w:szCs w:val="18"/>
        </w:rPr>
        <w:t> 算</w:t>
      </w:r>
    </w:p>
    <w:p>
      <w:pPr>
        <w:spacing w:line="234" w:lineRule="exact" w:before="73"/>
        <w:ind w:left="639" w:right="0" w:firstLine="180"/>
        <w:jc w:val="right"/>
        <w:rPr>
          <w:rFonts w:ascii="宋体" w:hAnsi="宋体" w:cs="宋体" w:eastAsia="宋体" w:hint="default"/>
          <w:sz w:val="18"/>
          <w:szCs w:val="18"/>
        </w:rPr>
      </w:pPr>
      <w:r>
        <w:rPr/>
        <w:br w:type="column"/>
      </w:r>
      <w:r>
        <w:rPr>
          <w:rFonts w:ascii="宋体" w:hAnsi="宋体" w:cs="宋体" w:eastAsia="宋体" w:hint="default"/>
          <w:sz w:val="18"/>
          <w:szCs w:val="18"/>
        </w:rPr>
        <w:t>本年转入 投资性房地</w:t>
      </w:r>
    </w:p>
    <w:p>
      <w:pPr>
        <w:spacing w:line="21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产</w:t>
      </w:r>
    </w:p>
    <w:p>
      <w:pPr>
        <w:spacing w:line="240" w:lineRule="auto" w:before="6"/>
        <w:rPr>
          <w:rFonts w:ascii="宋体" w:hAnsi="宋体" w:cs="宋体" w:eastAsia="宋体" w:hint="default"/>
          <w:sz w:val="15"/>
          <w:szCs w:val="15"/>
        </w:rPr>
      </w:pPr>
      <w:r>
        <w:rPr/>
        <w:br w:type="column"/>
      </w:r>
      <w:r>
        <w:rPr>
          <w:rFonts w:ascii="宋体"/>
          <w:sz w:val="15"/>
        </w:rPr>
      </w:r>
    </w:p>
    <w:p>
      <w:pPr>
        <w:spacing w:before="0"/>
        <w:ind w:left="960" w:right="0" w:firstLine="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spacing w:before="25"/>
        <w:ind w:left="691" w:right="0" w:firstLine="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spacing w:after="0"/>
        <w:jc w:val="left"/>
        <w:rPr>
          <w:rFonts w:ascii="宋体" w:hAnsi="宋体" w:cs="宋体" w:eastAsia="宋体" w:hint="default"/>
          <w:sz w:val="18"/>
          <w:szCs w:val="18"/>
        </w:rPr>
        <w:sectPr>
          <w:type w:val="continuous"/>
          <w:pgSz w:w="16850" w:h="11910" w:orient="landscape"/>
          <w:pgMar w:top="1060" w:bottom="1540" w:left="1500" w:right="0"/>
          <w:cols w:num="6" w:equalWidth="0">
            <w:col w:w="3246" w:space="40"/>
            <w:col w:w="2666" w:space="40"/>
            <w:col w:w="1523" w:space="40"/>
            <w:col w:w="2757" w:space="40"/>
            <w:col w:w="1540" w:space="40"/>
            <w:col w:w="3418"/>
          </w:cols>
        </w:sectPr>
      </w:pPr>
    </w:p>
    <w:p>
      <w:pPr>
        <w:tabs>
          <w:tab w:pos="6641" w:val="left" w:leader="none"/>
          <w:tab w:pos="11029" w:val="left" w:leader="none"/>
        </w:tabs>
        <w:spacing w:line="242" w:lineRule="exact" w:before="0"/>
        <w:ind w:left="5252" w:right="0" w:firstLine="0"/>
        <w:jc w:val="left"/>
        <w:rPr>
          <w:rFonts w:ascii="Arial" w:hAnsi="Arial" w:cs="Arial" w:eastAsia="Arial" w:hint="default"/>
          <w:sz w:val="18"/>
          <w:szCs w:val="18"/>
        </w:rPr>
      </w:pPr>
      <w:r>
        <w:rPr>
          <w:rFonts w:ascii="Arial" w:hAnsi="Arial" w:cs="Arial" w:eastAsia="Arial" w:hint="default"/>
          <w:spacing w:val="-2"/>
          <w:sz w:val="18"/>
          <w:szCs w:val="18"/>
        </w:rPr>
        <w:t>(</w:t>
      </w:r>
      <w:r>
        <w:rPr>
          <w:rFonts w:ascii="宋体" w:hAnsi="宋体" w:cs="宋体" w:eastAsia="宋体" w:hint="default"/>
          <w:spacing w:val="-2"/>
          <w:sz w:val="18"/>
          <w:szCs w:val="18"/>
        </w:rPr>
        <w:t>附注五</w:t>
      </w:r>
      <w:r>
        <w:rPr>
          <w:rFonts w:ascii="Arial" w:hAnsi="Arial" w:cs="Arial" w:eastAsia="Arial" w:hint="default"/>
          <w:spacing w:val="-2"/>
          <w:sz w:val="18"/>
          <w:szCs w:val="18"/>
        </w:rPr>
        <w:t>(11))</w:t>
        <w:tab/>
      </w:r>
      <w:r>
        <w:rPr>
          <w:rFonts w:ascii="Arial" w:hAnsi="Arial" w:cs="Arial" w:eastAsia="Arial" w:hint="default"/>
          <w:w w:val="95"/>
          <w:sz w:val="18"/>
          <w:szCs w:val="18"/>
        </w:rPr>
        <w:t>(</w:t>
      </w:r>
      <w:r>
        <w:rPr>
          <w:rFonts w:ascii="宋体" w:hAnsi="宋体" w:cs="宋体" w:eastAsia="宋体" w:hint="default"/>
          <w:w w:val="95"/>
          <w:sz w:val="18"/>
          <w:szCs w:val="18"/>
        </w:rPr>
        <w:t>附注五</w:t>
      </w:r>
      <w:r>
        <w:rPr>
          <w:rFonts w:ascii="Arial" w:hAnsi="Arial" w:cs="Arial" w:eastAsia="Arial" w:hint="default"/>
          <w:w w:val="95"/>
          <w:sz w:val="18"/>
          <w:szCs w:val="18"/>
        </w:rPr>
        <w:t>(13))</w:t>
        <w:tab/>
      </w:r>
      <w:r>
        <w:rPr>
          <w:rFonts w:ascii="Arial" w:hAnsi="Arial" w:cs="Arial" w:eastAsia="Arial" w:hint="default"/>
          <w:spacing w:val="-2"/>
          <w:sz w:val="18"/>
          <w:szCs w:val="18"/>
        </w:rPr>
        <w:t>(</w:t>
      </w:r>
      <w:r>
        <w:rPr>
          <w:rFonts w:ascii="宋体" w:hAnsi="宋体" w:cs="宋体" w:eastAsia="宋体" w:hint="default"/>
          <w:spacing w:val="-2"/>
          <w:sz w:val="18"/>
          <w:szCs w:val="18"/>
        </w:rPr>
        <w:t>附注五</w:t>
      </w:r>
      <w:r>
        <w:rPr>
          <w:rFonts w:ascii="Arial" w:hAnsi="Arial" w:cs="Arial" w:eastAsia="Arial" w:hint="default"/>
          <w:spacing w:val="-2"/>
          <w:sz w:val="18"/>
          <w:szCs w:val="18"/>
        </w:rPr>
        <w:t>(11))</w:t>
      </w:r>
    </w:p>
    <w:p>
      <w:pPr>
        <w:spacing w:line="240" w:lineRule="auto" w:before="9"/>
        <w:rPr>
          <w:rFonts w:ascii="Arial" w:hAnsi="Arial" w:cs="Arial" w:eastAsia="Arial" w:hint="default"/>
          <w:sz w:val="10"/>
          <w:szCs w:val="10"/>
        </w:rPr>
      </w:pPr>
    </w:p>
    <w:tbl>
      <w:tblPr>
        <w:tblW w:w="0" w:type="auto"/>
        <w:jc w:val="left"/>
        <w:tblInd w:w="631" w:type="dxa"/>
        <w:tblLayout w:type="fixed"/>
        <w:tblCellMar>
          <w:top w:w="0" w:type="dxa"/>
          <w:left w:w="0" w:type="dxa"/>
          <w:bottom w:w="0" w:type="dxa"/>
          <w:right w:w="0" w:type="dxa"/>
        </w:tblCellMar>
        <w:tblLook w:val="01E0"/>
      </w:tblPr>
      <w:tblGrid>
        <w:gridCol w:w="1549"/>
        <w:gridCol w:w="1442"/>
        <w:gridCol w:w="1521"/>
        <w:gridCol w:w="1295"/>
        <w:gridCol w:w="2877"/>
        <w:gridCol w:w="1487"/>
        <w:gridCol w:w="1567"/>
        <w:gridCol w:w="1300"/>
      </w:tblGrid>
      <w:tr>
        <w:trPr>
          <w:trHeight w:val="315" w:hRule="exact"/>
        </w:trPr>
        <w:tc>
          <w:tcPr>
            <w:tcW w:w="15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原价合计</w:t>
            </w: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76"/>
              <w:jc w:val="right"/>
              <w:rPr>
                <w:rFonts w:ascii="Arial" w:hAnsi="Arial" w:cs="Arial" w:eastAsia="Arial" w:hint="default"/>
                <w:sz w:val="18"/>
                <w:szCs w:val="18"/>
              </w:rPr>
            </w:pPr>
            <w:r>
              <w:rPr>
                <w:rFonts w:ascii="Arial"/>
                <w:spacing w:val="-1"/>
                <w:sz w:val="18"/>
              </w:rPr>
              <w:t>8,340,107</w:t>
            </w:r>
          </w:p>
        </w:tc>
        <w:tc>
          <w:tcPr>
            <w:tcW w:w="1521"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438"/>
              <w:jc w:val="right"/>
              <w:rPr>
                <w:rFonts w:ascii="Arial" w:hAnsi="Arial" w:cs="Arial" w:eastAsia="Arial" w:hint="default"/>
                <w:sz w:val="18"/>
                <w:szCs w:val="18"/>
              </w:rPr>
            </w:pPr>
            <w:r>
              <w:rPr>
                <w:rFonts w:ascii="Arial"/>
                <w:spacing w:val="-1"/>
                <w:sz w:val="18"/>
              </w:rPr>
              <w:t>1,299,455</w:t>
            </w:r>
          </w:p>
        </w:tc>
        <w:tc>
          <w:tcPr>
            <w:tcW w:w="1295"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328"/>
              <w:jc w:val="right"/>
              <w:rPr>
                <w:rFonts w:ascii="Arial" w:hAnsi="Arial" w:cs="Arial" w:eastAsia="Arial" w:hint="default"/>
                <w:sz w:val="18"/>
                <w:szCs w:val="18"/>
              </w:rPr>
            </w:pPr>
            <w:r>
              <w:rPr>
                <w:rFonts w:ascii="Arial"/>
                <w:spacing w:val="-1"/>
                <w:sz w:val="18"/>
              </w:rPr>
              <w:t>27,649</w:t>
            </w:r>
          </w:p>
        </w:tc>
        <w:tc>
          <w:tcPr>
            <w:tcW w:w="2877" w:type="dxa"/>
            <w:tcBorders>
              <w:top w:val="nil" w:sz="6" w:space="0" w:color="auto"/>
              <w:left w:val="nil" w:sz="6" w:space="0" w:color="auto"/>
              <w:bottom w:val="single" w:sz="4" w:space="0" w:color="000000"/>
              <w:right w:val="nil" w:sz="6" w:space="0" w:color="auto"/>
            </w:tcBorders>
          </w:tcPr>
          <w:p>
            <w:pPr>
              <w:pStyle w:val="TableParagraph"/>
              <w:tabs>
                <w:tab w:pos="1421" w:val="left" w:leader="none"/>
              </w:tabs>
              <w:spacing w:line="240" w:lineRule="auto" w:before="100"/>
              <w:ind w:right="394"/>
              <w:jc w:val="right"/>
              <w:rPr>
                <w:rFonts w:ascii="Arial" w:hAnsi="Arial" w:cs="Arial" w:eastAsia="Arial" w:hint="default"/>
                <w:sz w:val="18"/>
                <w:szCs w:val="18"/>
              </w:rPr>
            </w:pPr>
            <w:r>
              <w:rPr>
                <w:rFonts w:ascii="Arial"/>
                <w:spacing w:val="-2"/>
                <w:sz w:val="18"/>
              </w:rPr>
              <w:t>1,252,117</w:t>
              <w:tab/>
            </w:r>
            <w:r>
              <w:rPr>
                <w:rFonts w:ascii="Arial"/>
                <w:spacing w:val="-1"/>
                <w:sz w:val="18"/>
              </w:rPr>
              <w:t>(154,736)</w:t>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417"/>
              <w:jc w:val="right"/>
              <w:rPr>
                <w:rFonts w:ascii="Arial" w:hAnsi="Arial" w:cs="Arial" w:eastAsia="Arial" w:hint="default"/>
                <w:sz w:val="18"/>
                <w:szCs w:val="18"/>
              </w:rPr>
            </w:pPr>
            <w:r>
              <w:rPr>
                <w:rFonts w:ascii="Arial"/>
                <w:spacing w:val="-1"/>
                <w:sz w:val="18"/>
              </w:rPr>
              <w:t>(15,302)</w:t>
            </w: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374"/>
              <w:jc w:val="right"/>
              <w:rPr>
                <w:rFonts w:ascii="Arial" w:hAnsi="Arial" w:cs="Arial" w:eastAsia="Arial" w:hint="default"/>
                <w:sz w:val="18"/>
                <w:szCs w:val="18"/>
              </w:rPr>
            </w:pPr>
            <w:r>
              <w:rPr>
                <w:rFonts w:ascii="Arial"/>
                <w:spacing w:val="-1"/>
                <w:sz w:val="18"/>
              </w:rPr>
              <w:t>(678,573)</w:t>
            </w:r>
          </w:p>
        </w:tc>
        <w:tc>
          <w:tcPr>
            <w:tcW w:w="130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
              <w:jc w:val="right"/>
              <w:rPr>
                <w:rFonts w:ascii="Arial" w:hAnsi="Arial" w:cs="Arial" w:eastAsia="Arial" w:hint="default"/>
                <w:sz w:val="18"/>
                <w:szCs w:val="18"/>
              </w:rPr>
            </w:pPr>
            <w:r>
              <w:rPr>
                <w:rFonts w:ascii="Arial"/>
                <w:spacing w:val="-1"/>
                <w:sz w:val="18"/>
              </w:rPr>
              <w:t>10,070,717</w:t>
            </w:r>
          </w:p>
        </w:tc>
      </w:tr>
      <w:tr>
        <w:trPr>
          <w:trHeight w:val="248" w:hRule="exact"/>
        </w:trPr>
        <w:tc>
          <w:tcPr>
            <w:tcW w:w="1549"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276"/>
              <w:jc w:val="right"/>
              <w:rPr>
                <w:rFonts w:ascii="Arial" w:hAnsi="Arial" w:cs="Arial" w:eastAsia="Arial" w:hint="default"/>
                <w:sz w:val="18"/>
                <w:szCs w:val="18"/>
              </w:rPr>
            </w:pPr>
            <w:r>
              <w:rPr>
                <w:rFonts w:ascii="Arial"/>
                <w:spacing w:val="-1"/>
                <w:sz w:val="18"/>
              </w:rPr>
              <w:t>6,656,873</w:t>
            </w:r>
          </w:p>
        </w:tc>
        <w:tc>
          <w:tcPr>
            <w:tcW w:w="1521"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438"/>
              <w:jc w:val="right"/>
              <w:rPr>
                <w:rFonts w:ascii="Arial" w:hAnsi="Arial" w:cs="Arial" w:eastAsia="Arial" w:hint="default"/>
                <w:sz w:val="18"/>
                <w:szCs w:val="18"/>
              </w:rPr>
            </w:pPr>
            <w:r>
              <w:rPr>
                <w:rFonts w:ascii="Arial"/>
                <w:spacing w:val="-1"/>
                <w:sz w:val="18"/>
              </w:rPr>
              <w:t>876,826</w:t>
            </w:r>
          </w:p>
        </w:tc>
        <w:tc>
          <w:tcPr>
            <w:tcW w:w="1295"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328"/>
              <w:jc w:val="right"/>
              <w:rPr>
                <w:rFonts w:ascii="Arial" w:hAnsi="Arial" w:cs="Arial" w:eastAsia="Arial" w:hint="default"/>
                <w:sz w:val="18"/>
                <w:szCs w:val="18"/>
              </w:rPr>
            </w:pPr>
            <w:r>
              <w:rPr>
                <w:rFonts w:ascii="Arial"/>
                <w:spacing w:val="-1"/>
                <w:sz w:val="18"/>
              </w:rPr>
              <w:t>27,649</w:t>
            </w:r>
          </w:p>
        </w:tc>
        <w:tc>
          <w:tcPr>
            <w:tcW w:w="2877" w:type="dxa"/>
            <w:tcBorders>
              <w:top w:val="single" w:sz="4" w:space="0" w:color="000000"/>
              <w:left w:val="nil" w:sz="6" w:space="0" w:color="auto"/>
              <w:bottom w:val="nil" w:sz="6" w:space="0" w:color="auto"/>
              <w:right w:val="nil" w:sz="6" w:space="0" w:color="auto"/>
            </w:tcBorders>
          </w:tcPr>
          <w:p>
            <w:pPr>
              <w:pStyle w:val="TableParagraph"/>
              <w:tabs>
                <w:tab w:pos="1435" w:val="left" w:leader="none"/>
              </w:tabs>
              <w:spacing w:line="240" w:lineRule="auto" w:before="25"/>
              <w:ind w:right="394"/>
              <w:jc w:val="right"/>
              <w:rPr>
                <w:rFonts w:ascii="Arial" w:hAnsi="Arial" w:cs="Arial" w:eastAsia="Arial" w:hint="default"/>
                <w:sz w:val="18"/>
                <w:szCs w:val="18"/>
              </w:rPr>
            </w:pPr>
            <w:r>
              <w:rPr>
                <w:rFonts w:ascii="Arial"/>
                <w:spacing w:val="-1"/>
                <w:sz w:val="18"/>
              </w:rPr>
              <w:t>1,224,410</w:t>
              <w:tab/>
              <w:t>(105,422)</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417"/>
              <w:jc w:val="right"/>
              <w:rPr>
                <w:rFonts w:ascii="Arial" w:hAnsi="Arial" w:cs="Arial" w:eastAsia="Arial" w:hint="default"/>
                <w:sz w:val="18"/>
                <w:szCs w:val="18"/>
              </w:rPr>
            </w:pPr>
            <w:r>
              <w:rPr>
                <w:rFonts w:ascii="Arial"/>
                <w:spacing w:val="-2"/>
                <w:sz w:val="18"/>
              </w:rPr>
              <w:t>(11,689)</w:t>
            </w: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374"/>
              <w:jc w:val="right"/>
              <w:rPr>
                <w:rFonts w:ascii="Arial" w:hAnsi="Arial" w:cs="Arial" w:eastAsia="Arial" w:hint="default"/>
                <w:sz w:val="18"/>
                <w:szCs w:val="18"/>
              </w:rPr>
            </w:pPr>
            <w:r>
              <w:rPr>
                <w:rFonts w:ascii="Arial"/>
                <w:spacing w:val="-1"/>
                <w:sz w:val="18"/>
              </w:rPr>
              <w:t>(678,573)</w:t>
            </w:r>
          </w:p>
        </w:tc>
        <w:tc>
          <w:tcPr>
            <w:tcW w:w="1300" w:type="dxa"/>
            <w:tcBorders>
              <w:top w:val="single" w:sz="4" w:space="0" w:color="000000"/>
              <w:left w:val="nil" w:sz="6" w:space="0" w:color="auto"/>
              <w:bottom w:val="nil" w:sz="6" w:space="0" w:color="auto"/>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7,990,074</w:t>
            </w:r>
          </w:p>
        </w:tc>
      </w:tr>
      <w:tr>
        <w:trPr>
          <w:trHeight w:val="233" w:hRule="exact"/>
        </w:trPr>
        <w:tc>
          <w:tcPr>
            <w:tcW w:w="1549" w:type="dxa"/>
            <w:tcBorders>
              <w:top w:val="nil" w:sz="6" w:space="0" w:color="auto"/>
              <w:left w:val="single" w:sz="4" w:space="0" w:color="000000"/>
              <w:bottom w:val="nil" w:sz="6" w:space="0" w:color="auto"/>
              <w:right w:val="nil" w:sz="6" w:space="0" w:color="auto"/>
            </w:tcBorders>
          </w:tcPr>
          <w:p>
            <w:pPr>
              <w:pStyle w:val="TableParagraph"/>
              <w:spacing w:line="195" w:lineRule="exact"/>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78"/>
              <w:jc w:val="right"/>
              <w:rPr>
                <w:rFonts w:ascii="Arial" w:hAnsi="Arial" w:cs="Arial" w:eastAsia="Arial" w:hint="default"/>
                <w:sz w:val="18"/>
                <w:szCs w:val="18"/>
              </w:rPr>
            </w:pPr>
            <w:r>
              <w:rPr>
                <w:rFonts w:ascii="Arial"/>
                <w:spacing w:val="-1"/>
                <w:sz w:val="18"/>
              </w:rPr>
              <w:t>173,022</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40"/>
              <w:jc w:val="right"/>
              <w:rPr>
                <w:rFonts w:ascii="Arial" w:hAnsi="Arial" w:cs="Arial" w:eastAsia="Arial" w:hint="default"/>
                <w:sz w:val="18"/>
                <w:szCs w:val="18"/>
              </w:rPr>
            </w:pPr>
            <w:r>
              <w:rPr>
                <w:rFonts w:ascii="Arial"/>
                <w:spacing w:val="-1"/>
                <w:sz w:val="18"/>
              </w:rPr>
              <w:t>40,327</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0"/>
              <w:jc w:val="right"/>
              <w:rPr>
                <w:rFonts w:ascii="Arial" w:hAnsi="Arial" w:cs="Arial" w:eastAsia="Arial" w:hint="default"/>
                <w:sz w:val="18"/>
                <w:szCs w:val="18"/>
              </w:rPr>
            </w:pPr>
            <w:r>
              <w:rPr>
                <w:rFonts w:ascii="Arial"/>
                <w:w w:val="99"/>
                <w:sz w:val="18"/>
              </w:rPr>
              <w:t>-</w:t>
            </w:r>
            <w:r>
              <w:rPr>
                <w:rFonts w:ascii="Arial"/>
                <w:sz w:val="18"/>
              </w:rPr>
            </w:r>
          </w:p>
        </w:tc>
        <w:tc>
          <w:tcPr>
            <w:tcW w:w="2877" w:type="dxa"/>
            <w:tcBorders>
              <w:top w:val="nil" w:sz="6" w:space="0" w:color="auto"/>
              <w:left w:val="nil" w:sz="6" w:space="0" w:color="auto"/>
              <w:bottom w:val="nil" w:sz="6" w:space="0" w:color="auto"/>
              <w:right w:val="nil" w:sz="6" w:space="0" w:color="auto"/>
            </w:tcBorders>
          </w:tcPr>
          <w:p>
            <w:pPr>
              <w:pStyle w:val="TableParagraph"/>
              <w:tabs>
                <w:tab w:pos="1403" w:val="left" w:leader="none"/>
              </w:tabs>
              <w:spacing w:line="240" w:lineRule="auto" w:before="15"/>
              <w:ind w:right="396"/>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8"/>
              <w:jc w:val="right"/>
              <w:rPr>
                <w:rFonts w:ascii="Arial" w:hAnsi="Arial" w:cs="Arial" w:eastAsia="Arial" w:hint="default"/>
                <w:sz w:val="18"/>
                <w:szCs w:val="18"/>
              </w:rPr>
            </w:pPr>
            <w:r>
              <w:rPr>
                <w:rFonts w:ascii="Arial"/>
                <w:w w:val="99"/>
                <w:sz w:val="18"/>
              </w:rPr>
              <w:t>-</w:t>
            </w:r>
            <w:r>
              <w:rPr>
                <w:rFonts w:ascii="Arial"/>
                <w:sz w:val="18"/>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21" w:right="0"/>
              <w:jc w:val="left"/>
              <w:rPr>
                <w:rFonts w:ascii="Arial" w:hAnsi="Arial" w:cs="Arial" w:eastAsia="Arial" w:hint="default"/>
                <w:sz w:val="18"/>
                <w:szCs w:val="18"/>
              </w:rPr>
            </w:pPr>
            <w:r>
              <w:rPr>
                <w:rFonts w:ascii="Arial"/>
                <w:w w:val="99"/>
                <w:sz w:val="18"/>
              </w:rPr>
              <w:t>-</w:t>
            </w:r>
            <w:r>
              <w:rPr>
                <w:rFonts w:ascii="Arial"/>
                <w:sz w:val="18"/>
              </w:rPr>
            </w:r>
          </w:p>
        </w:tc>
        <w:tc>
          <w:tcPr>
            <w:tcW w:w="1300"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right="-4"/>
              <w:jc w:val="right"/>
              <w:rPr>
                <w:rFonts w:ascii="Arial" w:hAnsi="Arial" w:cs="Arial" w:eastAsia="Arial" w:hint="default"/>
                <w:sz w:val="18"/>
                <w:szCs w:val="18"/>
              </w:rPr>
            </w:pPr>
            <w:r>
              <w:rPr>
                <w:rFonts w:ascii="Arial"/>
                <w:spacing w:val="-1"/>
                <w:sz w:val="18"/>
              </w:rPr>
              <w:t>213,349</w:t>
            </w:r>
          </w:p>
        </w:tc>
      </w:tr>
      <w:tr>
        <w:trPr>
          <w:trHeight w:val="234" w:hRule="exact"/>
        </w:trPr>
        <w:tc>
          <w:tcPr>
            <w:tcW w:w="1549" w:type="dxa"/>
            <w:tcBorders>
              <w:top w:val="nil" w:sz="6" w:space="0" w:color="auto"/>
              <w:left w:val="single" w:sz="4" w:space="0" w:color="000000"/>
              <w:bottom w:val="nil" w:sz="6" w:space="0" w:color="auto"/>
              <w:right w:val="nil" w:sz="6" w:space="0" w:color="auto"/>
            </w:tcBorders>
          </w:tcPr>
          <w:p>
            <w:pPr>
              <w:pStyle w:val="TableParagraph"/>
              <w:spacing w:line="195" w:lineRule="exact"/>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78"/>
              <w:jc w:val="right"/>
              <w:rPr>
                <w:rFonts w:ascii="Arial" w:hAnsi="Arial" w:cs="Arial" w:eastAsia="Arial" w:hint="default"/>
                <w:sz w:val="18"/>
                <w:szCs w:val="18"/>
              </w:rPr>
            </w:pPr>
            <w:r>
              <w:rPr>
                <w:rFonts w:ascii="Arial"/>
                <w:spacing w:val="-1"/>
                <w:sz w:val="18"/>
              </w:rPr>
              <w:t>139,302</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38"/>
              <w:jc w:val="right"/>
              <w:rPr>
                <w:rFonts w:ascii="Arial" w:hAnsi="Arial" w:cs="Arial" w:eastAsia="Arial" w:hint="default"/>
                <w:sz w:val="18"/>
                <w:szCs w:val="18"/>
              </w:rPr>
            </w:pPr>
            <w:r>
              <w:rPr>
                <w:rFonts w:ascii="Arial"/>
                <w:spacing w:val="-1"/>
                <w:sz w:val="18"/>
              </w:rPr>
              <w:t>73,053</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0"/>
              <w:jc w:val="right"/>
              <w:rPr>
                <w:rFonts w:ascii="Arial" w:hAnsi="Arial" w:cs="Arial" w:eastAsia="Arial" w:hint="default"/>
                <w:sz w:val="18"/>
                <w:szCs w:val="18"/>
              </w:rPr>
            </w:pPr>
            <w:r>
              <w:rPr>
                <w:rFonts w:ascii="Arial"/>
                <w:w w:val="99"/>
                <w:sz w:val="18"/>
              </w:rPr>
              <w:t>-</w:t>
            </w:r>
            <w:r>
              <w:rPr>
                <w:rFonts w:ascii="Arial"/>
                <w:sz w:val="18"/>
              </w:rPr>
            </w:r>
          </w:p>
        </w:tc>
        <w:tc>
          <w:tcPr>
            <w:tcW w:w="2877" w:type="dxa"/>
            <w:tcBorders>
              <w:top w:val="nil" w:sz="6" w:space="0" w:color="auto"/>
              <w:left w:val="nil" w:sz="6" w:space="0" w:color="auto"/>
              <w:bottom w:val="nil" w:sz="6" w:space="0" w:color="auto"/>
              <w:right w:val="nil" w:sz="6" w:space="0" w:color="auto"/>
            </w:tcBorders>
          </w:tcPr>
          <w:p>
            <w:pPr>
              <w:pStyle w:val="TableParagraph"/>
              <w:tabs>
                <w:tab w:pos="1034" w:val="left" w:leader="none"/>
              </w:tabs>
              <w:spacing w:line="240" w:lineRule="auto" w:before="15"/>
              <w:ind w:right="394"/>
              <w:jc w:val="right"/>
              <w:rPr>
                <w:rFonts w:ascii="Arial" w:hAnsi="Arial" w:cs="Arial" w:eastAsia="Arial" w:hint="default"/>
                <w:sz w:val="18"/>
                <w:szCs w:val="18"/>
              </w:rPr>
            </w:pPr>
            <w:r>
              <w:rPr>
                <w:rFonts w:ascii="Arial"/>
                <w:w w:val="95"/>
                <w:sz w:val="18"/>
              </w:rPr>
              <w:t>51</w:t>
              <w:tab/>
            </w:r>
            <w:r>
              <w:rPr>
                <w:rFonts w:ascii="Arial"/>
                <w:spacing w:val="-1"/>
                <w:sz w:val="18"/>
              </w:rPr>
              <w:t>(8,343)</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7"/>
              <w:jc w:val="right"/>
              <w:rPr>
                <w:rFonts w:ascii="Arial" w:hAnsi="Arial" w:cs="Arial" w:eastAsia="Arial" w:hint="default"/>
                <w:sz w:val="18"/>
                <w:szCs w:val="18"/>
              </w:rPr>
            </w:pPr>
            <w:r>
              <w:rPr>
                <w:rFonts w:ascii="Arial"/>
                <w:w w:val="95"/>
                <w:sz w:val="18"/>
              </w:rPr>
              <w:t>(48)</w:t>
            </w:r>
            <w:r>
              <w:rPr>
                <w:rFonts w:ascii="Arial"/>
                <w:sz w:val="18"/>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21" w:right="0"/>
              <w:jc w:val="left"/>
              <w:rPr>
                <w:rFonts w:ascii="Arial" w:hAnsi="Arial" w:cs="Arial" w:eastAsia="Arial" w:hint="default"/>
                <w:sz w:val="18"/>
                <w:szCs w:val="18"/>
              </w:rPr>
            </w:pPr>
            <w:r>
              <w:rPr>
                <w:rFonts w:ascii="Arial"/>
                <w:w w:val="99"/>
                <w:sz w:val="18"/>
              </w:rPr>
              <w:t>-</w:t>
            </w:r>
            <w:r>
              <w:rPr>
                <w:rFonts w:ascii="Arial"/>
                <w:sz w:val="18"/>
              </w:rPr>
            </w:r>
          </w:p>
        </w:tc>
        <w:tc>
          <w:tcPr>
            <w:tcW w:w="1300"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right="-4"/>
              <w:jc w:val="right"/>
              <w:rPr>
                <w:rFonts w:ascii="Arial" w:hAnsi="Arial" w:cs="Arial" w:eastAsia="Arial" w:hint="default"/>
                <w:sz w:val="18"/>
                <w:szCs w:val="18"/>
              </w:rPr>
            </w:pPr>
            <w:r>
              <w:rPr>
                <w:rFonts w:ascii="Arial"/>
                <w:spacing w:val="-1"/>
                <w:sz w:val="18"/>
              </w:rPr>
              <w:t>204,015</w:t>
            </w:r>
          </w:p>
        </w:tc>
      </w:tr>
      <w:tr>
        <w:trPr>
          <w:trHeight w:val="234" w:hRule="exact"/>
        </w:trPr>
        <w:tc>
          <w:tcPr>
            <w:tcW w:w="1549" w:type="dxa"/>
            <w:tcBorders>
              <w:top w:val="nil" w:sz="6" w:space="0" w:color="auto"/>
              <w:left w:val="single" w:sz="4" w:space="0" w:color="000000"/>
              <w:bottom w:val="nil" w:sz="6" w:space="0" w:color="auto"/>
              <w:right w:val="nil" w:sz="6" w:space="0" w:color="auto"/>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77"/>
              <w:jc w:val="right"/>
              <w:rPr>
                <w:rFonts w:ascii="Arial" w:hAnsi="Arial" w:cs="Arial" w:eastAsia="Arial" w:hint="default"/>
                <w:sz w:val="18"/>
                <w:szCs w:val="18"/>
              </w:rPr>
            </w:pPr>
            <w:r>
              <w:rPr>
                <w:rFonts w:ascii="Arial"/>
                <w:spacing w:val="-1"/>
                <w:sz w:val="18"/>
              </w:rPr>
              <w:t>891,941</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40"/>
              <w:jc w:val="right"/>
              <w:rPr>
                <w:rFonts w:ascii="Arial" w:hAnsi="Arial" w:cs="Arial" w:eastAsia="Arial" w:hint="default"/>
                <w:sz w:val="18"/>
                <w:szCs w:val="18"/>
              </w:rPr>
            </w:pPr>
            <w:r>
              <w:rPr>
                <w:rFonts w:ascii="Arial"/>
                <w:spacing w:val="-1"/>
                <w:sz w:val="18"/>
              </w:rPr>
              <w:t>162,734</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0"/>
              <w:jc w:val="right"/>
              <w:rPr>
                <w:rFonts w:ascii="Arial" w:hAnsi="Arial" w:cs="Arial" w:eastAsia="Arial" w:hint="default"/>
                <w:sz w:val="18"/>
                <w:szCs w:val="18"/>
              </w:rPr>
            </w:pPr>
            <w:r>
              <w:rPr>
                <w:rFonts w:ascii="Arial"/>
                <w:w w:val="99"/>
                <w:sz w:val="18"/>
              </w:rPr>
              <w:t>-</w:t>
            </w:r>
            <w:r>
              <w:rPr>
                <w:rFonts w:ascii="Arial"/>
                <w:sz w:val="18"/>
              </w:rPr>
            </w:r>
          </w:p>
        </w:tc>
        <w:tc>
          <w:tcPr>
            <w:tcW w:w="2877" w:type="dxa"/>
            <w:tcBorders>
              <w:top w:val="nil" w:sz="6" w:space="0" w:color="auto"/>
              <w:left w:val="nil" w:sz="6" w:space="0" w:color="auto"/>
              <w:bottom w:val="nil" w:sz="6" w:space="0" w:color="auto"/>
              <w:right w:val="nil" w:sz="6" w:space="0" w:color="auto"/>
            </w:tcBorders>
          </w:tcPr>
          <w:p>
            <w:pPr>
              <w:pStyle w:val="TableParagraph"/>
              <w:tabs>
                <w:tab w:pos="1283" w:val="left" w:leader="none"/>
              </w:tabs>
              <w:spacing w:line="240" w:lineRule="auto" w:before="16"/>
              <w:ind w:right="394"/>
              <w:jc w:val="right"/>
              <w:rPr>
                <w:rFonts w:ascii="Arial" w:hAnsi="Arial" w:cs="Arial" w:eastAsia="Arial" w:hint="default"/>
                <w:sz w:val="18"/>
                <w:szCs w:val="18"/>
              </w:rPr>
            </w:pPr>
            <w:r>
              <w:rPr>
                <w:rFonts w:ascii="Arial"/>
                <w:spacing w:val="-1"/>
                <w:sz w:val="18"/>
              </w:rPr>
              <w:t>26,966</w:t>
              <w:tab/>
              <w:t>(34,912)</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18"/>
              <w:jc w:val="right"/>
              <w:rPr>
                <w:rFonts w:ascii="Arial" w:hAnsi="Arial" w:cs="Arial" w:eastAsia="Arial" w:hint="default"/>
                <w:sz w:val="18"/>
                <w:szCs w:val="18"/>
              </w:rPr>
            </w:pPr>
            <w:r>
              <w:rPr>
                <w:rFonts w:ascii="Arial"/>
                <w:w w:val="99"/>
                <w:sz w:val="18"/>
              </w:rPr>
              <w:t>-</w:t>
            </w:r>
            <w:r>
              <w:rPr>
                <w:rFonts w:ascii="Arial"/>
                <w:sz w:val="18"/>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21" w:right="0"/>
              <w:jc w:val="left"/>
              <w:rPr>
                <w:rFonts w:ascii="Arial" w:hAnsi="Arial" w:cs="Arial" w:eastAsia="Arial" w:hint="default"/>
                <w:sz w:val="18"/>
                <w:szCs w:val="18"/>
              </w:rPr>
            </w:pPr>
            <w:r>
              <w:rPr>
                <w:rFonts w:ascii="Arial"/>
                <w:w w:val="99"/>
                <w:sz w:val="18"/>
              </w:rPr>
              <w:t>-</w:t>
            </w:r>
            <w:r>
              <w:rPr>
                <w:rFonts w:ascii="Arial"/>
                <w:sz w:val="18"/>
              </w:rPr>
            </w:r>
          </w:p>
        </w:tc>
        <w:tc>
          <w:tcPr>
            <w:tcW w:w="1300"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right="-3"/>
              <w:jc w:val="right"/>
              <w:rPr>
                <w:rFonts w:ascii="Arial" w:hAnsi="Arial" w:cs="Arial" w:eastAsia="Arial" w:hint="default"/>
                <w:sz w:val="18"/>
                <w:szCs w:val="18"/>
              </w:rPr>
            </w:pPr>
            <w:r>
              <w:rPr>
                <w:rFonts w:ascii="Arial"/>
                <w:spacing w:val="-1"/>
                <w:sz w:val="18"/>
              </w:rPr>
              <w:t>1,046,729</w:t>
            </w:r>
          </w:p>
        </w:tc>
      </w:tr>
      <w:tr>
        <w:trPr>
          <w:trHeight w:val="227" w:hRule="exact"/>
        </w:trPr>
        <w:tc>
          <w:tcPr>
            <w:tcW w:w="1549" w:type="dxa"/>
            <w:tcBorders>
              <w:top w:val="nil" w:sz="6" w:space="0" w:color="auto"/>
              <w:left w:val="single" w:sz="4" w:space="0" w:color="000000"/>
              <w:bottom w:val="single" w:sz="4" w:space="0" w:color="000000"/>
              <w:right w:val="nil" w:sz="6" w:space="0" w:color="auto"/>
            </w:tcBorders>
          </w:tcPr>
          <w:p>
            <w:pPr>
              <w:pStyle w:val="TableParagraph"/>
              <w:spacing w:line="19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277"/>
              <w:jc w:val="right"/>
              <w:rPr>
                <w:rFonts w:ascii="Arial" w:hAnsi="Arial" w:cs="Arial" w:eastAsia="Arial" w:hint="default"/>
                <w:sz w:val="18"/>
                <w:szCs w:val="18"/>
              </w:rPr>
            </w:pPr>
            <w:r>
              <w:rPr>
                <w:rFonts w:ascii="Arial"/>
                <w:spacing w:val="-1"/>
                <w:sz w:val="18"/>
              </w:rPr>
              <w:t>478,969</w:t>
            </w:r>
          </w:p>
        </w:tc>
        <w:tc>
          <w:tcPr>
            <w:tcW w:w="1521"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438"/>
              <w:jc w:val="right"/>
              <w:rPr>
                <w:rFonts w:ascii="Arial" w:hAnsi="Arial" w:cs="Arial" w:eastAsia="Arial" w:hint="default"/>
                <w:sz w:val="18"/>
                <w:szCs w:val="18"/>
              </w:rPr>
            </w:pPr>
            <w:r>
              <w:rPr>
                <w:rFonts w:ascii="Arial"/>
                <w:spacing w:val="-1"/>
                <w:sz w:val="18"/>
              </w:rPr>
              <w:t>146,515</w:t>
            </w:r>
          </w:p>
        </w:tc>
        <w:tc>
          <w:tcPr>
            <w:tcW w:w="1295"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330"/>
              <w:jc w:val="right"/>
              <w:rPr>
                <w:rFonts w:ascii="Arial" w:hAnsi="Arial" w:cs="Arial" w:eastAsia="Arial" w:hint="default"/>
                <w:sz w:val="18"/>
                <w:szCs w:val="18"/>
              </w:rPr>
            </w:pPr>
            <w:r>
              <w:rPr>
                <w:rFonts w:ascii="Arial"/>
                <w:w w:val="99"/>
                <w:sz w:val="18"/>
              </w:rPr>
              <w:t>-</w:t>
            </w:r>
            <w:r>
              <w:rPr>
                <w:rFonts w:ascii="Arial"/>
                <w:sz w:val="18"/>
              </w:rPr>
            </w:r>
          </w:p>
        </w:tc>
        <w:tc>
          <w:tcPr>
            <w:tcW w:w="2877" w:type="dxa"/>
            <w:tcBorders>
              <w:top w:val="nil" w:sz="6" w:space="0" w:color="auto"/>
              <w:left w:val="nil" w:sz="6" w:space="0" w:color="auto"/>
              <w:bottom w:val="single" w:sz="4" w:space="0" w:color="000000"/>
              <w:right w:val="nil" w:sz="6" w:space="0" w:color="auto"/>
            </w:tcBorders>
          </w:tcPr>
          <w:p>
            <w:pPr>
              <w:pStyle w:val="TableParagraph"/>
              <w:tabs>
                <w:tab w:pos="1137" w:val="left" w:leader="none"/>
              </w:tabs>
              <w:spacing w:line="240" w:lineRule="auto" w:before="15"/>
              <w:ind w:right="394"/>
              <w:jc w:val="right"/>
              <w:rPr>
                <w:rFonts w:ascii="Arial" w:hAnsi="Arial" w:cs="Arial" w:eastAsia="Arial" w:hint="default"/>
                <w:sz w:val="18"/>
                <w:szCs w:val="18"/>
              </w:rPr>
            </w:pPr>
            <w:r>
              <w:rPr>
                <w:rFonts w:ascii="Arial"/>
                <w:w w:val="95"/>
                <w:sz w:val="18"/>
              </w:rPr>
              <w:t>690</w:t>
              <w:tab/>
            </w:r>
            <w:r>
              <w:rPr>
                <w:rFonts w:ascii="Arial"/>
                <w:spacing w:val="-1"/>
                <w:sz w:val="18"/>
              </w:rPr>
              <w:t>(6,059)</w:t>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417"/>
              <w:jc w:val="right"/>
              <w:rPr>
                <w:rFonts w:ascii="Arial" w:hAnsi="Arial" w:cs="Arial" w:eastAsia="Arial" w:hint="default"/>
                <w:sz w:val="18"/>
                <w:szCs w:val="18"/>
              </w:rPr>
            </w:pPr>
            <w:r>
              <w:rPr>
                <w:rFonts w:ascii="Arial"/>
                <w:w w:val="95"/>
                <w:sz w:val="18"/>
              </w:rPr>
              <w:t>(3,565)</w:t>
            </w:r>
            <w:r>
              <w:rPr>
                <w:rFonts w:ascii="Arial"/>
                <w:sz w:val="18"/>
              </w:rPr>
            </w: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1021" w:right="0"/>
              <w:jc w:val="left"/>
              <w:rPr>
                <w:rFonts w:ascii="Arial" w:hAnsi="Arial" w:cs="Arial" w:eastAsia="Arial" w:hint="default"/>
                <w:sz w:val="18"/>
                <w:szCs w:val="18"/>
              </w:rPr>
            </w:pPr>
            <w:r>
              <w:rPr>
                <w:rFonts w:ascii="Arial"/>
                <w:w w:val="99"/>
                <w:sz w:val="18"/>
              </w:rPr>
              <w:t>-</w:t>
            </w:r>
            <w:r>
              <w:rPr>
                <w:rFonts w:ascii="Arial"/>
                <w:sz w:val="18"/>
              </w:rPr>
            </w:r>
          </w:p>
        </w:tc>
        <w:tc>
          <w:tcPr>
            <w:tcW w:w="1300" w:type="dxa"/>
            <w:tcBorders>
              <w:top w:val="nil" w:sz="6" w:space="0" w:color="auto"/>
              <w:left w:val="nil" w:sz="6" w:space="0" w:color="auto"/>
              <w:bottom w:val="single" w:sz="4" w:space="0" w:color="000000"/>
              <w:right w:val="single" w:sz="4" w:space="0" w:color="000000"/>
            </w:tcBorders>
          </w:tcPr>
          <w:p>
            <w:pPr>
              <w:pStyle w:val="TableParagraph"/>
              <w:spacing w:line="240" w:lineRule="auto" w:before="15"/>
              <w:ind w:right="-4"/>
              <w:jc w:val="right"/>
              <w:rPr>
                <w:rFonts w:ascii="Arial" w:hAnsi="Arial" w:cs="Arial" w:eastAsia="Arial" w:hint="default"/>
                <w:sz w:val="18"/>
                <w:szCs w:val="18"/>
              </w:rPr>
            </w:pPr>
            <w:r>
              <w:rPr>
                <w:rFonts w:ascii="Arial"/>
                <w:spacing w:val="-1"/>
                <w:sz w:val="18"/>
              </w:rPr>
              <w:t>616,550</w:t>
            </w:r>
          </w:p>
        </w:tc>
      </w:tr>
      <w:tr>
        <w:trPr>
          <w:trHeight w:val="245" w:hRule="exact"/>
        </w:trPr>
        <w:tc>
          <w:tcPr>
            <w:tcW w:w="1549"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累计折旧合计</w:t>
            </w:r>
          </w:p>
        </w:tc>
        <w:tc>
          <w:tcPr>
            <w:tcW w:w="144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277"/>
              <w:jc w:val="right"/>
              <w:rPr>
                <w:rFonts w:ascii="Arial" w:hAnsi="Arial" w:cs="Arial" w:eastAsia="Arial" w:hint="default"/>
                <w:sz w:val="18"/>
                <w:szCs w:val="18"/>
              </w:rPr>
            </w:pPr>
            <w:r>
              <w:rPr>
                <w:rFonts w:ascii="Arial"/>
                <w:spacing w:val="-1"/>
                <w:sz w:val="18"/>
              </w:rPr>
              <w:t>(980,603)</w:t>
            </w:r>
          </w:p>
        </w:tc>
        <w:tc>
          <w:tcPr>
            <w:tcW w:w="1521"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411"/>
              <w:jc w:val="right"/>
              <w:rPr>
                <w:rFonts w:ascii="Arial" w:hAnsi="Arial" w:cs="Arial" w:eastAsia="Arial" w:hint="default"/>
                <w:sz w:val="18"/>
                <w:szCs w:val="18"/>
              </w:rPr>
            </w:pPr>
            <w:r>
              <w:rPr>
                <w:rFonts w:ascii="Arial"/>
                <w:spacing w:val="-1"/>
                <w:sz w:val="18"/>
              </w:rPr>
              <w:t>(551,902)</w:t>
            </w:r>
          </w:p>
        </w:tc>
        <w:tc>
          <w:tcPr>
            <w:tcW w:w="1295"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270"/>
              <w:jc w:val="right"/>
              <w:rPr>
                <w:rFonts w:ascii="Arial" w:hAnsi="Arial" w:cs="Arial" w:eastAsia="Arial" w:hint="default"/>
                <w:sz w:val="18"/>
                <w:szCs w:val="18"/>
              </w:rPr>
            </w:pPr>
            <w:r>
              <w:rPr>
                <w:rFonts w:ascii="Arial"/>
                <w:w w:val="95"/>
                <w:sz w:val="18"/>
              </w:rPr>
              <w:t>(3,331)</w:t>
            </w:r>
            <w:r>
              <w:rPr>
                <w:rFonts w:ascii="Arial"/>
                <w:sz w:val="18"/>
              </w:rPr>
            </w:r>
          </w:p>
        </w:tc>
        <w:tc>
          <w:tcPr>
            <w:tcW w:w="2877" w:type="dxa"/>
            <w:tcBorders>
              <w:top w:val="single" w:sz="4" w:space="0" w:color="000000"/>
              <w:left w:val="nil" w:sz="6" w:space="0" w:color="auto"/>
              <w:bottom w:val="single" w:sz="4" w:space="0" w:color="000000"/>
              <w:right w:val="nil" w:sz="6" w:space="0" w:color="auto"/>
            </w:tcBorders>
          </w:tcPr>
          <w:p>
            <w:pPr>
              <w:pStyle w:val="TableParagraph"/>
              <w:tabs>
                <w:tab w:pos="914" w:val="left" w:leader="none"/>
              </w:tabs>
              <w:spacing w:line="240" w:lineRule="auto" w:before="25"/>
              <w:ind w:right="394"/>
              <w:jc w:val="right"/>
              <w:rPr>
                <w:rFonts w:ascii="Arial" w:hAnsi="Arial" w:cs="Arial" w:eastAsia="Arial" w:hint="default"/>
                <w:sz w:val="18"/>
                <w:szCs w:val="18"/>
              </w:rPr>
            </w:pPr>
            <w:r>
              <w:rPr>
                <w:rFonts w:ascii="Arial"/>
                <w:sz w:val="18"/>
              </w:rPr>
              <w:t>-</w:t>
              <w:tab/>
            </w:r>
            <w:r>
              <w:rPr>
                <w:rFonts w:ascii="Arial"/>
                <w:spacing w:val="-1"/>
                <w:sz w:val="18"/>
              </w:rPr>
              <w:t>52,028</w:t>
            </w:r>
          </w:p>
        </w:tc>
        <w:tc>
          <w:tcPr>
            <w:tcW w:w="1487"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419"/>
              <w:jc w:val="right"/>
              <w:rPr>
                <w:rFonts w:ascii="Arial" w:hAnsi="Arial" w:cs="Arial" w:eastAsia="Arial" w:hint="default"/>
                <w:sz w:val="18"/>
                <w:szCs w:val="18"/>
              </w:rPr>
            </w:pPr>
            <w:r>
              <w:rPr>
                <w:rFonts w:ascii="Arial"/>
                <w:sz w:val="18"/>
              </w:rPr>
              <w:t>897</w:t>
            </w:r>
          </w:p>
        </w:tc>
        <w:tc>
          <w:tcPr>
            <w:tcW w:w="1567"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374"/>
              <w:jc w:val="right"/>
              <w:rPr>
                <w:rFonts w:ascii="Arial" w:hAnsi="Arial" w:cs="Arial" w:eastAsia="Arial" w:hint="default"/>
                <w:sz w:val="18"/>
                <w:szCs w:val="18"/>
              </w:rPr>
            </w:pPr>
            <w:r>
              <w:rPr>
                <w:rFonts w:ascii="Arial"/>
                <w:spacing w:val="-1"/>
                <w:sz w:val="18"/>
              </w:rPr>
              <w:t>21,955</w:t>
            </w:r>
          </w:p>
        </w:tc>
        <w:tc>
          <w:tcPr>
            <w:tcW w:w="1300"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0"/>
              <w:jc w:val="right"/>
              <w:rPr>
                <w:rFonts w:ascii="Arial" w:hAnsi="Arial" w:cs="Arial" w:eastAsia="Arial" w:hint="default"/>
                <w:sz w:val="18"/>
                <w:szCs w:val="18"/>
              </w:rPr>
            </w:pPr>
            <w:r>
              <w:rPr>
                <w:rFonts w:ascii="Arial"/>
                <w:spacing w:val="-1"/>
                <w:sz w:val="18"/>
              </w:rPr>
              <w:t>(1,460,956)</w:t>
            </w:r>
          </w:p>
        </w:tc>
      </w:tr>
      <w:tr>
        <w:trPr>
          <w:trHeight w:val="249" w:hRule="exact"/>
        </w:trPr>
        <w:tc>
          <w:tcPr>
            <w:tcW w:w="1549" w:type="dxa"/>
            <w:tcBorders>
              <w:top w:val="single" w:sz="4" w:space="0" w:color="000000"/>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277"/>
              <w:jc w:val="right"/>
              <w:rPr>
                <w:rFonts w:ascii="Arial" w:hAnsi="Arial" w:cs="Arial" w:eastAsia="Arial" w:hint="default"/>
                <w:sz w:val="18"/>
                <w:szCs w:val="18"/>
              </w:rPr>
            </w:pPr>
            <w:r>
              <w:rPr>
                <w:rFonts w:ascii="Arial"/>
                <w:spacing w:val="-1"/>
                <w:sz w:val="18"/>
              </w:rPr>
              <w:t>(435,171)</w:t>
            </w:r>
          </w:p>
        </w:tc>
        <w:tc>
          <w:tcPr>
            <w:tcW w:w="1521"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411"/>
              <w:jc w:val="right"/>
              <w:rPr>
                <w:rFonts w:ascii="Arial" w:hAnsi="Arial" w:cs="Arial" w:eastAsia="Arial" w:hint="default"/>
                <w:sz w:val="18"/>
                <w:szCs w:val="18"/>
              </w:rPr>
            </w:pPr>
            <w:r>
              <w:rPr>
                <w:rFonts w:ascii="Arial"/>
                <w:spacing w:val="-1"/>
                <w:sz w:val="18"/>
              </w:rPr>
              <w:t>(229,206)</w:t>
            </w:r>
          </w:p>
        </w:tc>
        <w:tc>
          <w:tcPr>
            <w:tcW w:w="1295"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270"/>
              <w:jc w:val="right"/>
              <w:rPr>
                <w:rFonts w:ascii="Arial" w:hAnsi="Arial" w:cs="Arial" w:eastAsia="Arial" w:hint="default"/>
                <w:sz w:val="18"/>
                <w:szCs w:val="18"/>
              </w:rPr>
            </w:pPr>
            <w:r>
              <w:rPr>
                <w:rFonts w:ascii="Arial"/>
                <w:w w:val="95"/>
                <w:sz w:val="18"/>
              </w:rPr>
              <w:t>(3,331)</w:t>
            </w:r>
            <w:r>
              <w:rPr>
                <w:rFonts w:ascii="Arial"/>
                <w:sz w:val="18"/>
              </w:rPr>
            </w:r>
          </w:p>
        </w:tc>
        <w:tc>
          <w:tcPr>
            <w:tcW w:w="2877" w:type="dxa"/>
            <w:tcBorders>
              <w:top w:val="single" w:sz="4" w:space="0" w:color="000000"/>
              <w:left w:val="nil" w:sz="6" w:space="0" w:color="auto"/>
              <w:bottom w:val="nil" w:sz="6" w:space="0" w:color="auto"/>
              <w:right w:val="nil" w:sz="6" w:space="0" w:color="auto"/>
            </w:tcBorders>
          </w:tcPr>
          <w:p>
            <w:pPr>
              <w:pStyle w:val="TableParagraph"/>
              <w:tabs>
                <w:tab w:pos="914" w:val="left" w:leader="none"/>
              </w:tabs>
              <w:spacing w:line="240" w:lineRule="auto" w:before="26"/>
              <w:ind w:right="395"/>
              <w:jc w:val="right"/>
              <w:rPr>
                <w:rFonts w:ascii="Arial" w:hAnsi="Arial" w:cs="Arial" w:eastAsia="Arial" w:hint="default"/>
                <w:sz w:val="18"/>
                <w:szCs w:val="18"/>
              </w:rPr>
            </w:pPr>
            <w:r>
              <w:rPr>
                <w:rFonts w:ascii="Arial"/>
                <w:sz w:val="18"/>
              </w:rPr>
              <w:t>-</w:t>
              <w:tab/>
            </w:r>
            <w:r>
              <w:rPr>
                <w:rFonts w:ascii="Arial"/>
                <w:spacing w:val="-1"/>
                <w:sz w:val="18"/>
              </w:rPr>
              <w:t>17,329</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419"/>
              <w:jc w:val="right"/>
              <w:rPr>
                <w:rFonts w:ascii="Arial" w:hAnsi="Arial" w:cs="Arial" w:eastAsia="Arial" w:hint="default"/>
                <w:sz w:val="18"/>
                <w:szCs w:val="18"/>
              </w:rPr>
            </w:pPr>
            <w:r>
              <w:rPr>
                <w:rFonts w:ascii="Arial"/>
                <w:w w:val="95"/>
                <w:sz w:val="18"/>
              </w:rPr>
              <w:t>588</w:t>
            </w:r>
            <w:r>
              <w:rPr>
                <w:rFonts w:ascii="Arial"/>
                <w:sz w:val="18"/>
              </w:rPr>
            </w: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374"/>
              <w:jc w:val="right"/>
              <w:rPr>
                <w:rFonts w:ascii="Arial" w:hAnsi="Arial" w:cs="Arial" w:eastAsia="Arial" w:hint="default"/>
                <w:sz w:val="18"/>
                <w:szCs w:val="18"/>
              </w:rPr>
            </w:pPr>
            <w:r>
              <w:rPr>
                <w:rFonts w:ascii="Arial"/>
                <w:spacing w:val="-1"/>
                <w:sz w:val="18"/>
              </w:rPr>
              <w:t>21,955</w:t>
            </w:r>
          </w:p>
        </w:tc>
        <w:tc>
          <w:tcPr>
            <w:tcW w:w="1300" w:type="dxa"/>
            <w:tcBorders>
              <w:top w:val="single" w:sz="4" w:space="0" w:color="000000"/>
              <w:left w:val="nil" w:sz="6" w:space="0" w:color="auto"/>
              <w:bottom w:val="nil" w:sz="6" w:space="0" w:color="auto"/>
              <w:right w:val="single" w:sz="4" w:space="0" w:color="000000"/>
            </w:tcBorders>
          </w:tcPr>
          <w:p>
            <w:pPr>
              <w:pStyle w:val="TableParagraph"/>
              <w:spacing w:line="240" w:lineRule="auto" w:before="26"/>
              <w:ind w:right="-4"/>
              <w:jc w:val="right"/>
              <w:rPr>
                <w:rFonts w:ascii="Arial" w:hAnsi="Arial" w:cs="Arial" w:eastAsia="Arial" w:hint="default"/>
                <w:sz w:val="18"/>
                <w:szCs w:val="18"/>
              </w:rPr>
            </w:pPr>
            <w:r>
              <w:rPr>
                <w:rFonts w:ascii="Arial"/>
                <w:spacing w:val="-1"/>
                <w:sz w:val="18"/>
              </w:rPr>
              <w:t>(627,836)</w:t>
            </w:r>
          </w:p>
        </w:tc>
      </w:tr>
      <w:tr>
        <w:trPr>
          <w:trHeight w:val="260" w:hRule="exact"/>
        </w:trPr>
        <w:tc>
          <w:tcPr>
            <w:tcW w:w="1549" w:type="dxa"/>
            <w:tcBorders>
              <w:top w:val="nil" w:sz="6" w:space="0" w:color="auto"/>
              <w:left w:val="single" w:sz="4" w:space="0" w:color="000000"/>
              <w:bottom w:val="nil" w:sz="6" w:space="0" w:color="auto"/>
              <w:right w:val="nil" w:sz="6" w:space="0" w:color="auto"/>
            </w:tcBorders>
          </w:tcPr>
          <w:p>
            <w:pPr>
              <w:pStyle w:val="TableParagraph"/>
              <w:spacing w:line="195" w:lineRule="exact"/>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77"/>
              <w:jc w:val="right"/>
              <w:rPr>
                <w:rFonts w:ascii="Arial" w:hAnsi="Arial" w:cs="Arial" w:eastAsia="Arial" w:hint="default"/>
                <w:sz w:val="18"/>
                <w:szCs w:val="18"/>
              </w:rPr>
            </w:pPr>
            <w:r>
              <w:rPr>
                <w:rFonts w:ascii="Arial"/>
                <w:spacing w:val="-1"/>
                <w:sz w:val="18"/>
              </w:rPr>
              <w:t>(13,058)</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1"/>
              <w:jc w:val="right"/>
              <w:rPr>
                <w:rFonts w:ascii="Arial" w:hAnsi="Arial" w:cs="Arial" w:eastAsia="Arial" w:hint="default"/>
                <w:sz w:val="18"/>
                <w:szCs w:val="18"/>
              </w:rPr>
            </w:pPr>
            <w:r>
              <w:rPr>
                <w:rFonts w:ascii="Arial"/>
                <w:spacing w:val="-1"/>
                <w:sz w:val="18"/>
              </w:rPr>
              <w:t>(19,199)</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0"/>
              <w:jc w:val="right"/>
              <w:rPr>
                <w:rFonts w:ascii="Arial" w:hAnsi="Arial" w:cs="Arial" w:eastAsia="Arial" w:hint="default"/>
                <w:sz w:val="18"/>
                <w:szCs w:val="18"/>
              </w:rPr>
            </w:pPr>
            <w:r>
              <w:rPr>
                <w:rFonts w:ascii="Arial"/>
                <w:w w:val="99"/>
                <w:sz w:val="18"/>
              </w:rPr>
              <w:t>-</w:t>
            </w:r>
            <w:r>
              <w:rPr>
                <w:rFonts w:ascii="Arial"/>
                <w:sz w:val="18"/>
              </w:rPr>
            </w:r>
          </w:p>
        </w:tc>
        <w:tc>
          <w:tcPr>
            <w:tcW w:w="2877" w:type="dxa"/>
            <w:tcBorders>
              <w:top w:val="nil" w:sz="6" w:space="0" w:color="auto"/>
              <w:left w:val="nil" w:sz="6" w:space="0" w:color="auto"/>
              <w:bottom w:val="nil" w:sz="6" w:space="0" w:color="auto"/>
              <w:right w:val="nil" w:sz="6" w:space="0" w:color="auto"/>
            </w:tcBorders>
          </w:tcPr>
          <w:p>
            <w:pPr>
              <w:pStyle w:val="TableParagraph"/>
              <w:tabs>
                <w:tab w:pos="1403" w:val="left" w:leader="none"/>
              </w:tabs>
              <w:spacing w:line="240" w:lineRule="auto" w:before="15"/>
              <w:ind w:right="396"/>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8"/>
              <w:jc w:val="right"/>
              <w:rPr>
                <w:rFonts w:ascii="Arial" w:hAnsi="Arial" w:cs="Arial" w:eastAsia="Arial" w:hint="default"/>
                <w:sz w:val="18"/>
                <w:szCs w:val="18"/>
              </w:rPr>
            </w:pPr>
            <w:r>
              <w:rPr>
                <w:rFonts w:ascii="Arial"/>
                <w:w w:val="99"/>
                <w:sz w:val="18"/>
              </w:rPr>
              <w:t>-</w:t>
            </w:r>
            <w:r>
              <w:rPr>
                <w:rFonts w:ascii="Arial"/>
                <w:sz w:val="18"/>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75"/>
              <w:jc w:val="right"/>
              <w:rPr>
                <w:rFonts w:ascii="Arial" w:hAnsi="Arial" w:cs="Arial" w:eastAsia="Arial" w:hint="default"/>
                <w:sz w:val="18"/>
                <w:szCs w:val="18"/>
              </w:rPr>
            </w:pPr>
            <w:r>
              <w:rPr>
                <w:rFonts w:ascii="Arial"/>
                <w:w w:val="99"/>
                <w:sz w:val="18"/>
              </w:rPr>
              <w:t>-</w:t>
            </w:r>
            <w:r>
              <w:rPr>
                <w:rFonts w:ascii="Arial"/>
                <w:sz w:val="18"/>
              </w:rPr>
            </w:r>
          </w:p>
        </w:tc>
        <w:tc>
          <w:tcPr>
            <w:tcW w:w="1300"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right="-4"/>
              <w:jc w:val="right"/>
              <w:rPr>
                <w:rFonts w:ascii="Arial" w:hAnsi="Arial" w:cs="Arial" w:eastAsia="Arial" w:hint="default"/>
                <w:sz w:val="18"/>
                <w:szCs w:val="18"/>
              </w:rPr>
            </w:pPr>
            <w:r>
              <w:rPr>
                <w:rFonts w:ascii="Arial"/>
                <w:spacing w:val="-1"/>
                <w:sz w:val="18"/>
              </w:rPr>
              <w:t>(32,257)</w:t>
            </w:r>
          </w:p>
        </w:tc>
      </w:tr>
      <w:tr>
        <w:trPr>
          <w:trHeight w:val="287" w:hRule="exact"/>
        </w:trPr>
        <w:tc>
          <w:tcPr>
            <w:tcW w:w="1549" w:type="dxa"/>
            <w:tcBorders>
              <w:top w:val="nil" w:sz="6" w:space="0" w:color="auto"/>
              <w:left w:val="single" w:sz="4" w:space="0" w:color="000000"/>
              <w:bottom w:val="nil" w:sz="6" w:space="0" w:color="auto"/>
              <w:right w:val="nil" w:sz="6" w:space="0" w:color="auto"/>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77"/>
              <w:jc w:val="right"/>
              <w:rPr>
                <w:rFonts w:ascii="Arial" w:hAnsi="Arial" w:cs="Arial" w:eastAsia="Arial" w:hint="default"/>
                <w:sz w:val="18"/>
                <w:szCs w:val="18"/>
              </w:rPr>
            </w:pPr>
            <w:r>
              <w:rPr>
                <w:rFonts w:ascii="Arial"/>
                <w:spacing w:val="-1"/>
                <w:sz w:val="18"/>
              </w:rPr>
              <w:t>(59,357)</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11"/>
              <w:jc w:val="right"/>
              <w:rPr>
                <w:rFonts w:ascii="Arial" w:hAnsi="Arial" w:cs="Arial" w:eastAsia="Arial" w:hint="default"/>
                <w:sz w:val="18"/>
                <w:szCs w:val="18"/>
              </w:rPr>
            </w:pPr>
            <w:r>
              <w:rPr>
                <w:rFonts w:ascii="Arial"/>
                <w:spacing w:val="-1"/>
                <w:sz w:val="18"/>
              </w:rPr>
              <w:t>(30,190)</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0"/>
              <w:jc w:val="right"/>
              <w:rPr>
                <w:rFonts w:ascii="Arial" w:hAnsi="Arial" w:cs="Arial" w:eastAsia="Arial" w:hint="default"/>
                <w:sz w:val="18"/>
                <w:szCs w:val="18"/>
              </w:rPr>
            </w:pPr>
            <w:r>
              <w:rPr>
                <w:rFonts w:ascii="Arial"/>
                <w:w w:val="99"/>
                <w:sz w:val="18"/>
              </w:rPr>
              <w:t>-</w:t>
            </w:r>
            <w:r>
              <w:rPr>
                <w:rFonts w:ascii="Arial"/>
                <w:sz w:val="18"/>
              </w:rPr>
            </w:r>
          </w:p>
        </w:tc>
        <w:tc>
          <w:tcPr>
            <w:tcW w:w="2877" w:type="dxa"/>
            <w:tcBorders>
              <w:top w:val="nil" w:sz="6" w:space="0" w:color="auto"/>
              <w:left w:val="nil" w:sz="6" w:space="0" w:color="auto"/>
              <w:bottom w:val="nil" w:sz="6" w:space="0" w:color="auto"/>
              <w:right w:val="nil" w:sz="6" w:space="0" w:color="auto"/>
            </w:tcBorders>
          </w:tcPr>
          <w:p>
            <w:pPr>
              <w:pStyle w:val="TableParagraph"/>
              <w:tabs>
                <w:tab w:pos="1012" w:val="left" w:leader="none"/>
              </w:tabs>
              <w:spacing w:line="240" w:lineRule="auto" w:before="42"/>
              <w:ind w:right="397"/>
              <w:jc w:val="right"/>
              <w:rPr>
                <w:rFonts w:ascii="Arial" w:hAnsi="Arial" w:cs="Arial" w:eastAsia="Arial" w:hint="default"/>
                <w:sz w:val="18"/>
                <w:szCs w:val="18"/>
              </w:rPr>
            </w:pPr>
            <w:r>
              <w:rPr>
                <w:rFonts w:ascii="Arial"/>
                <w:sz w:val="18"/>
              </w:rPr>
              <w:t>-</w:t>
              <w:tab/>
            </w:r>
            <w:r>
              <w:rPr>
                <w:rFonts w:ascii="Arial"/>
                <w:spacing w:val="-1"/>
                <w:sz w:val="18"/>
              </w:rPr>
              <w:t>6,038</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19"/>
              <w:jc w:val="right"/>
              <w:rPr>
                <w:rFonts w:ascii="Arial" w:hAnsi="Arial" w:cs="Arial" w:eastAsia="Arial" w:hint="default"/>
                <w:sz w:val="18"/>
                <w:szCs w:val="18"/>
              </w:rPr>
            </w:pPr>
            <w:r>
              <w:rPr>
                <w:rFonts w:ascii="Arial"/>
                <w:w w:val="99"/>
                <w:sz w:val="18"/>
              </w:rPr>
              <w:t>5</w:t>
            </w:r>
            <w:r>
              <w:rPr>
                <w:rFonts w:ascii="Arial"/>
                <w:sz w:val="18"/>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75"/>
              <w:jc w:val="right"/>
              <w:rPr>
                <w:rFonts w:ascii="Arial" w:hAnsi="Arial" w:cs="Arial" w:eastAsia="Arial" w:hint="default"/>
                <w:sz w:val="18"/>
                <w:szCs w:val="18"/>
              </w:rPr>
            </w:pPr>
            <w:r>
              <w:rPr>
                <w:rFonts w:ascii="Arial"/>
                <w:w w:val="99"/>
                <w:sz w:val="18"/>
              </w:rPr>
              <w:t>-</w:t>
            </w:r>
            <w:r>
              <w:rPr>
                <w:rFonts w:ascii="Arial"/>
                <w:sz w:val="18"/>
              </w:rPr>
            </w:r>
          </w:p>
        </w:tc>
        <w:tc>
          <w:tcPr>
            <w:tcW w:w="1300"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right="-4"/>
              <w:jc w:val="right"/>
              <w:rPr>
                <w:rFonts w:ascii="Arial" w:hAnsi="Arial" w:cs="Arial" w:eastAsia="Arial" w:hint="default"/>
                <w:sz w:val="18"/>
                <w:szCs w:val="18"/>
              </w:rPr>
            </w:pPr>
            <w:r>
              <w:rPr>
                <w:rFonts w:ascii="Arial"/>
                <w:spacing w:val="-1"/>
                <w:sz w:val="18"/>
              </w:rPr>
              <w:t>(83,504)</w:t>
            </w:r>
          </w:p>
        </w:tc>
      </w:tr>
      <w:tr>
        <w:trPr>
          <w:trHeight w:val="287" w:hRule="exact"/>
        </w:trPr>
        <w:tc>
          <w:tcPr>
            <w:tcW w:w="1549" w:type="dxa"/>
            <w:tcBorders>
              <w:top w:val="nil" w:sz="6" w:space="0" w:color="auto"/>
              <w:left w:val="single" w:sz="4" w:space="0" w:color="000000"/>
              <w:bottom w:val="nil" w:sz="6" w:space="0" w:color="auto"/>
              <w:right w:val="nil" w:sz="6" w:space="0" w:color="auto"/>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7"/>
              <w:jc w:val="right"/>
              <w:rPr>
                <w:rFonts w:ascii="Arial" w:hAnsi="Arial" w:cs="Arial" w:eastAsia="Arial" w:hint="default"/>
                <w:sz w:val="18"/>
                <w:szCs w:val="18"/>
              </w:rPr>
            </w:pPr>
            <w:r>
              <w:rPr>
                <w:rFonts w:ascii="Arial"/>
                <w:spacing w:val="-1"/>
                <w:sz w:val="18"/>
              </w:rPr>
              <w:t>(379,622)</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11"/>
              <w:jc w:val="right"/>
              <w:rPr>
                <w:rFonts w:ascii="Arial" w:hAnsi="Arial" w:cs="Arial" w:eastAsia="Arial" w:hint="default"/>
                <w:sz w:val="18"/>
                <w:szCs w:val="18"/>
              </w:rPr>
            </w:pPr>
            <w:r>
              <w:rPr>
                <w:rFonts w:ascii="Arial"/>
                <w:spacing w:val="-1"/>
                <w:sz w:val="18"/>
              </w:rPr>
              <w:t>(168,416)</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0"/>
              <w:jc w:val="right"/>
              <w:rPr>
                <w:rFonts w:ascii="Arial" w:hAnsi="Arial" w:cs="Arial" w:eastAsia="Arial" w:hint="default"/>
                <w:sz w:val="18"/>
                <w:szCs w:val="18"/>
              </w:rPr>
            </w:pPr>
            <w:r>
              <w:rPr>
                <w:rFonts w:ascii="Arial"/>
                <w:w w:val="99"/>
                <w:sz w:val="18"/>
              </w:rPr>
              <w:t>-</w:t>
            </w:r>
            <w:r>
              <w:rPr>
                <w:rFonts w:ascii="Arial"/>
                <w:sz w:val="18"/>
              </w:rPr>
            </w:r>
          </w:p>
        </w:tc>
        <w:tc>
          <w:tcPr>
            <w:tcW w:w="2877" w:type="dxa"/>
            <w:tcBorders>
              <w:top w:val="nil" w:sz="6" w:space="0" w:color="auto"/>
              <w:left w:val="nil" w:sz="6" w:space="0" w:color="auto"/>
              <w:bottom w:val="nil" w:sz="6" w:space="0" w:color="auto"/>
              <w:right w:val="nil" w:sz="6" w:space="0" w:color="auto"/>
            </w:tcBorders>
          </w:tcPr>
          <w:p>
            <w:pPr>
              <w:pStyle w:val="TableParagraph"/>
              <w:tabs>
                <w:tab w:pos="914" w:val="left" w:leader="none"/>
              </w:tabs>
              <w:spacing w:line="240" w:lineRule="auto" w:before="41"/>
              <w:ind w:right="395"/>
              <w:jc w:val="right"/>
              <w:rPr>
                <w:rFonts w:ascii="Arial" w:hAnsi="Arial" w:cs="Arial" w:eastAsia="Arial" w:hint="default"/>
                <w:sz w:val="18"/>
                <w:szCs w:val="18"/>
              </w:rPr>
            </w:pPr>
            <w:r>
              <w:rPr>
                <w:rFonts w:ascii="Arial"/>
                <w:sz w:val="18"/>
              </w:rPr>
              <w:t>-</w:t>
              <w:tab/>
            </w:r>
            <w:r>
              <w:rPr>
                <w:rFonts w:ascii="Arial"/>
                <w:spacing w:val="-1"/>
                <w:sz w:val="18"/>
              </w:rPr>
              <w:t>26,403</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18"/>
              <w:jc w:val="right"/>
              <w:rPr>
                <w:rFonts w:ascii="Arial" w:hAnsi="Arial" w:cs="Arial" w:eastAsia="Arial" w:hint="default"/>
                <w:sz w:val="18"/>
                <w:szCs w:val="18"/>
              </w:rPr>
            </w:pPr>
            <w:r>
              <w:rPr>
                <w:rFonts w:ascii="Arial"/>
                <w:w w:val="99"/>
                <w:sz w:val="18"/>
              </w:rPr>
              <w:t>-</w:t>
            </w:r>
            <w:r>
              <w:rPr>
                <w:rFonts w:ascii="Arial"/>
                <w:sz w:val="18"/>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75"/>
              <w:jc w:val="right"/>
              <w:rPr>
                <w:rFonts w:ascii="Arial" w:hAnsi="Arial" w:cs="Arial" w:eastAsia="Arial" w:hint="default"/>
                <w:sz w:val="18"/>
                <w:szCs w:val="18"/>
              </w:rPr>
            </w:pPr>
            <w:r>
              <w:rPr>
                <w:rFonts w:ascii="Arial"/>
                <w:w w:val="99"/>
                <w:sz w:val="18"/>
              </w:rPr>
              <w:t>-</w:t>
            </w:r>
            <w:r>
              <w:rPr>
                <w:rFonts w:ascii="Arial"/>
                <w:sz w:val="18"/>
              </w:rPr>
            </w:r>
          </w:p>
        </w:tc>
        <w:tc>
          <w:tcPr>
            <w:tcW w:w="1300"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right="-4"/>
              <w:jc w:val="right"/>
              <w:rPr>
                <w:rFonts w:ascii="Arial" w:hAnsi="Arial" w:cs="Arial" w:eastAsia="Arial" w:hint="default"/>
                <w:sz w:val="18"/>
                <w:szCs w:val="18"/>
              </w:rPr>
            </w:pPr>
            <w:r>
              <w:rPr>
                <w:rFonts w:ascii="Arial"/>
                <w:spacing w:val="-1"/>
                <w:sz w:val="18"/>
              </w:rPr>
              <w:t>(521,635)</w:t>
            </w:r>
          </w:p>
        </w:tc>
      </w:tr>
      <w:tr>
        <w:trPr>
          <w:trHeight w:val="255" w:hRule="exact"/>
        </w:trPr>
        <w:tc>
          <w:tcPr>
            <w:tcW w:w="1549" w:type="dxa"/>
            <w:tcBorders>
              <w:top w:val="nil" w:sz="6" w:space="0" w:color="auto"/>
              <w:left w:val="single" w:sz="4" w:space="0" w:color="000000"/>
              <w:bottom w:val="single" w:sz="4" w:space="0" w:color="000000"/>
              <w:right w:val="nil" w:sz="6" w:space="0" w:color="auto"/>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277"/>
              <w:jc w:val="right"/>
              <w:rPr>
                <w:rFonts w:ascii="Arial" w:hAnsi="Arial" w:cs="Arial" w:eastAsia="Arial" w:hint="default"/>
                <w:sz w:val="18"/>
                <w:szCs w:val="18"/>
              </w:rPr>
            </w:pPr>
            <w:r>
              <w:rPr>
                <w:rFonts w:ascii="Arial"/>
                <w:spacing w:val="-1"/>
                <w:sz w:val="18"/>
              </w:rPr>
              <w:t>(93,395)</w:t>
            </w:r>
          </w:p>
        </w:tc>
        <w:tc>
          <w:tcPr>
            <w:tcW w:w="1521"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411"/>
              <w:jc w:val="right"/>
              <w:rPr>
                <w:rFonts w:ascii="Arial" w:hAnsi="Arial" w:cs="Arial" w:eastAsia="Arial" w:hint="default"/>
                <w:sz w:val="18"/>
                <w:szCs w:val="18"/>
              </w:rPr>
            </w:pPr>
            <w:r>
              <w:rPr>
                <w:rFonts w:ascii="Arial"/>
                <w:spacing w:val="-1"/>
                <w:sz w:val="18"/>
              </w:rPr>
              <w:t>(104,891)</w:t>
            </w:r>
          </w:p>
        </w:tc>
        <w:tc>
          <w:tcPr>
            <w:tcW w:w="1295"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330"/>
              <w:jc w:val="right"/>
              <w:rPr>
                <w:rFonts w:ascii="Arial" w:hAnsi="Arial" w:cs="Arial" w:eastAsia="Arial" w:hint="default"/>
                <w:sz w:val="18"/>
                <w:szCs w:val="18"/>
              </w:rPr>
            </w:pPr>
            <w:r>
              <w:rPr>
                <w:rFonts w:ascii="Arial"/>
                <w:w w:val="99"/>
                <w:sz w:val="18"/>
              </w:rPr>
              <w:t>-</w:t>
            </w:r>
            <w:r>
              <w:rPr>
                <w:rFonts w:ascii="Arial"/>
                <w:sz w:val="18"/>
              </w:rPr>
            </w:r>
          </w:p>
        </w:tc>
        <w:tc>
          <w:tcPr>
            <w:tcW w:w="2877" w:type="dxa"/>
            <w:tcBorders>
              <w:top w:val="nil" w:sz="6" w:space="0" w:color="auto"/>
              <w:left w:val="nil" w:sz="6" w:space="0" w:color="auto"/>
              <w:bottom w:val="single" w:sz="4" w:space="0" w:color="000000"/>
              <w:right w:val="nil" w:sz="6" w:space="0" w:color="auto"/>
            </w:tcBorders>
          </w:tcPr>
          <w:p>
            <w:pPr>
              <w:pStyle w:val="TableParagraph"/>
              <w:tabs>
                <w:tab w:pos="1012" w:val="left" w:leader="none"/>
              </w:tabs>
              <w:spacing w:line="240" w:lineRule="auto" w:before="42"/>
              <w:ind w:right="394"/>
              <w:jc w:val="right"/>
              <w:rPr>
                <w:rFonts w:ascii="Arial" w:hAnsi="Arial" w:cs="Arial" w:eastAsia="Arial" w:hint="default"/>
                <w:sz w:val="18"/>
                <w:szCs w:val="18"/>
              </w:rPr>
            </w:pPr>
            <w:r>
              <w:rPr>
                <w:rFonts w:ascii="Arial"/>
                <w:sz w:val="18"/>
              </w:rPr>
              <w:t>-</w:t>
              <w:tab/>
            </w:r>
            <w:r>
              <w:rPr>
                <w:rFonts w:ascii="Arial"/>
                <w:w w:val="95"/>
                <w:sz w:val="18"/>
              </w:rPr>
              <w:t>2,258</w:t>
            </w:r>
            <w:r>
              <w:rPr>
                <w:rFonts w:ascii="Arial"/>
                <w:sz w:val="18"/>
              </w:rPr>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419"/>
              <w:jc w:val="right"/>
              <w:rPr>
                <w:rFonts w:ascii="Arial" w:hAnsi="Arial" w:cs="Arial" w:eastAsia="Arial" w:hint="default"/>
                <w:sz w:val="18"/>
                <w:szCs w:val="18"/>
              </w:rPr>
            </w:pPr>
            <w:r>
              <w:rPr>
                <w:rFonts w:ascii="Arial"/>
                <w:sz w:val="18"/>
              </w:rPr>
              <w:t>304</w:t>
            </w: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375"/>
              <w:jc w:val="right"/>
              <w:rPr>
                <w:rFonts w:ascii="Arial" w:hAnsi="Arial" w:cs="Arial" w:eastAsia="Arial" w:hint="default"/>
                <w:sz w:val="18"/>
                <w:szCs w:val="18"/>
              </w:rPr>
            </w:pPr>
            <w:r>
              <w:rPr>
                <w:rFonts w:ascii="Arial"/>
                <w:w w:val="99"/>
                <w:sz w:val="18"/>
              </w:rPr>
              <w:t>-</w:t>
            </w:r>
            <w:r>
              <w:rPr>
                <w:rFonts w:ascii="Arial"/>
                <w:sz w:val="18"/>
              </w:rPr>
            </w:r>
          </w:p>
        </w:tc>
        <w:tc>
          <w:tcPr>
            <w:tcW w:w="1300" w:type="dxa"/>
            <w:tcBorders>
              <w:top w:val="nil" w:sz="6" w:space="0" w:color="auto"/>
              <w:left w:val="nil" w:sz="6" w:space="0" w:color="auto"/>
              <w:bottom w:val="single" w:sz="4" w:space="0" w:color="000000"/>
              <w:right w:val="single" w:sz="4" w:space="0" w:color="000000"/>
            </w:tcBorders>
          </w:tcPr>
          <w:p>
            <w:pPr>
              <w:pStyle w:val="TableParagraph"/>
              <w:spacing w:line="240" w:lineRule="auto" w:before="42"/>
              <w:ind w:right="-5"/>
              <w:jc w:val="right"/>
              <w:rPr>
                <w:rFonts w:ascii="Arial" w:hAnsi="Arial" w:cs="Arial" w:eastAsia="Arial" w:hint="default"/>
                <w:sz w:val="18"/>
                <w:szCs w:val="18"/>
              </w:rPr>
            </w:pPr>
            <w:r>
              <w:rPr>
                <w:rFonts w:ascii="Arial"/>
                <w:spacing w:val="-1"/>
                <w:sz w:val="18"/>
              </w:rPr>
              <w:t>(195,724)</w:t>
            </w:r>
          </w:p>
        </w:tc>
      </w:tr>
      <w:tr>
        <w:trPr>
          <w:trHeight w:val="298" w:hRule="exact"/>
        </w:trPr>
        <w:tc>
          <w:tcPr>
            <w:tcW w:w="154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减值准备合计</w:t>
            </w:r>
          </w:p>
        </w:tc>
        <w:tc>
          <w:tcPr>
            <w:tcW w:w="1442"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275"/>
              <w:jc w:val="right"/>
              <w:rPr>
                <w:rFonts w:ascii="Arial" w:hAnsi="Arial" w:cs="Arial" w:eastAsia="Arial" w:hint="default"/>
                <w:sz w:val="18"/>
                <w:szCs w:val="18"/>
              </w:rPr>
            </w:pPr>
            <w:r>
              <w:rPr>
                <w:rFonts w:ascii="Arial"/>
                <w:spacing w:val="-1"/>
                <w:sz w:val="18"/>
              </w:rPr>
              <w:t>(12,037)</w:t>
            </w:r>
          </w:p>
        </w:tc>
        <w:tc>
          <w:tcPr>
            <w:tcW w:w="1521"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411"/>
              <w:jc w:val="right"/>
              <w:rPr>
                <w:rFonts w:ascii="Arial" w:hAnsi="Arial" w:cs="Arial" w:eastAsia="Arial" w:hint="default"/>
                <w:sz w:val="18"/>
                <w:szCs w:val="18"/>
              </w:rPr>
            </w:pPr>
            <w:r>
              <w:rPr>
                <w:rFonts w:ascii="Arial"/>
                <w:spacing w:val="-1"/>
                <w:sz w:val="18"/>
              </w:rPr>
              <w:t>(21,233)</w:t>
            </w:r>
          </w:p>
        </w:tc>
        <w:tc>
          <w:tcPr>
            <w:tcW w:w="1295"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330"/>
              <w:jc w:val="right"/>
              <w:rPr>
                <w:rFonts w:ascii="Arial" w:hAnsi="Arial" w:cs="Arial" w:eastAsia="Arial" w:hint="default"/>
                <w:sz w:val="18"/>
                <w:szCs w:val="18"/>
              </w:rPr>
            </w:pPr>
            <w:r>
              <w:rPr>
                <w:rFonts w:ascii="Arial"/>
                <w:w w:val="99"/>
                <w:sz w:val="18"/>
              </w:rPr>
              <w:t>-</w:t>
            </w:r>
            <w:r>
              <w:rPr>
                <w:rFonts w:ascii="Arial"/>
                <w:sz w:val="18"/>
              </w:rPr>
            </w:r>
          </w:p>
        </w:tc>
        <w:tc>
          <w:tcPr>
            <w:tcW w:w="2877" w:type="dxa"/>
            <w:tcBorders>
              <w:top w:val="single" w:sz="4" w:space="0" w:color="000000"/>
              <w:left w:val="nil" w:sz="6" w:space="0" w:color="auto"/>
              <w:bottom w:val="single" w:sz="4" w:space="0" w:color="000000"/>
              <w:right w:val="nil" w:sz="6" w:space="0" w:color="auto"/>
            </w:tcBorders>
          </w:tcPr>
          <w:p>
            <w:pPr>
              <w:pStyle w:val="TableParagraph"/>
              <w:tabs>
                <w:tab w:pos="1403" w:val="left" w:leader="none"/>
              </w:tabs>
              <w:spacing w:line="240" w:lineRule="auto" w:before="80"/>
              <w:ind w:right="396"/>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c>
          <w:tcPr>
            <w:tcW w:w="1487"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417"/>
              <w:jc w:val="right"/>
              <w:rPr>
                <w:rFonts w:ascii="Arial" w:hAnsi="Arial" w:cs="Arial" w:eastAsia="Arial" w:hint="default"/>
                <w:sz w:val="18"/>
                <w:szCs w:val="18"/>
              </w:rPr>
            </w:pPr>
            <w:r>
              <w:rPr>
                <w:rFonts w:ascii="Arial"/>
                <w:sz w:val="18"/>
              </w:rPr>
              <w:t>2,786</w:t>
            </w:r>
          </w:p>
        </w:tc>
        <w:tc>
          <w:tcPr>
            <w:tcW w:w="1567"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375"/>
              <w:jc w:val="right"/>
              <w:rPr>
                <w:rFonts w:ascii="Arial" w:hAnsi="Arial" w:cs="Arial" w:eastAsia="Arial" w:hint="default"/>
                <w:sz w:val="18"/>
                <w:szCs w:val="18"/>
              </w:rPr>
            </w:pPr>
            <w:r>
              <w:rPr>
                <w:rFonts w:ascii="Arial"/>
                <w:w w:val="99"/>
                <w:sz w:val="18"/>
              </w:rPr>
              <w:t>-</w:t>
            </w:r>
            <w:r>
              <w:rPr>
                <w:rFonts w:ascii="Arial"/>
                <w:sz w:val="18"/>
              </w:rPr>
            </w:r>
          </w:p>
        </w:tc>
        <w:tc>
          <w:tcPr>
            <w:tcW w:w="1300"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1"/>
              <w:jc w:val="right"/>
              <w:rPr>
                <w:rFonts w:ascii="Arial" w:hAnsi="Arial" w:cs="Arial" w:eastAsia="Arial" w:hint="default"/>
                <w:sz w:val="18"/>
                <w:szCs w:val="18"/>
              </w:rPr>
            </w:pPr>
            <w:r>
              <w:rPr>
                <w:rFonts w:ascii="Arial"/>
                <w:spacing w:val="-1"/>
                <w:sz w:val="18"/>
              </w:rPr>
              <w:t>(30,484)</w:t>
            </w:r>
          </w:p>
        </w:tc>
      </w:tr>
      <w:tr>
        <w:trPr>
          <w:trHeight w:val="329" w:hRule="exact"/>
        </w:trPr>
        <w:tc>
          <w:tcPr>
            <w:tcW w:w="1549" w:type="dxa"/>
            <w:tcBorders>
              <w:top w:val="single" w:sz="4" w:space="0" w:color="000000"/>
              <w:left w:val="single" w:sz="4" w:space="0" w:color="000000"/>
              <w:bottom w:val="nil" w:sz="6" w:space="0" w:color="auto"/>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275"/>
              <w:jc w:val="right"/>
              <w:rPr>
                <w:rFonts w:ascii="Arial" w:hAnsi="Arial" w:cs="Arial" w:eastAsia="Arial" w:hint="default"/>
                <w:sz w:val="18"/>
                <w:szCs w:val="18"/>
              </w:rPr>
            </w:pPr>
            <w:r>
              <w:rPr>
                <w:rFonts w:ascii="Arial"/>
                <w:spacing w:val="-1"/>
                <w:sz w:val="18"/>
              </w:rPr>
              <w:t>(12,037)</w:t>
            </w:r>
          </w:p>
        </w:tc>
        <w:tc>
          <w:tcPr>
            <w:tcW w:w="1521"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411"/>
              <w:jc w:val="right"/>
              <w:rPr>
                <w:rFonts w:ascii="Arial" w:hAnsi="Arial" w:cs="Arial" w:eastAsia="Arial" w:hint="default"/>
                <w:sz w:val="18"/>
                <w:szCs w:val="18"/>
              </w:rPr>
            </w:pPr>
            <w:r>
              <w:rPr>
                <w:rFonts w:ascii="Arial"/>
                <w:spacing w:val="-1"/>
                <w:sz w:val="18"/>
              </w:rPr>
              <w:t>(17,771)</w:t>
            </w:r>
          </w:p>
        </w:tc>
        <w:tc>
          <w:tcPr>
            <w:tcW w:w="1295"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330"/>
              <w:jc w:val="right"/>
              <w:rPr>
                <w:rFonts w:ascii="Arial" w:hAnsi="Arial" w:cs="Arial" w:eastAsia="Arial" w:hint="default"/>
                <w:sz w:val="18"/>
                <w:szCs w:val="18"/>
              </w:rPr>
            </w:pPr>
            <w:r>
              <w:rPr>
                <w:rFonts w:ascii="Arial"/>
                <w:w w:val="99"/>
                <w:sz w:val="18"/>
              </w:rPr>
              <w:t>-</w:t>
            </w:r>
            <w:r>
              <w:rPr>
                <w:rFonts w:ascii="Arial"/>
                <w:sz w:val="18"/>
              </w:rPr>
            </w:r>
          </w:p>
        </w:tc>
        <w:tc>
          <w:tcPr>
            <w:tcW w:w="2877" w:type="dxa"/>
            <w:tcBorders>
              <w:top w:val="single" w:sz="4" w:space="0" w:color="000000"/>
              <w:left w:val="nil" w:sz="6" w:space="0" w:color="auto"/>
              <w:bottom w:val="nil" w:sz="6" w:space="0" w:color="auto"/>
              <w:right w:val="nil" w:sz="6" w:space="0" w:color="auto"/>
            </w:tcBorders>
          </w:tcPr>
          <w:p>
            <w:pPr>
              <w:pStyle w:val="TableParagraph"/>
              <w:tabs>
                <w:tab w:pos="1403" w:val="left" w:leader="none"/>
              </w:tabs>
              <w:spacing w:line="240" w:lineRule="auto" w:before="78"/>
              <w:ind w:right="396"/>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418"/>
              <w:jc w:val="right"/>
              <w:rPr>
                <w:rFonts w:ascii="Arial" w:hAnsi="Arial" w:cs="Arial" w:eastAsia="Arial" w:hint="default"/>
                <w:sz w:val="18"/>
                <w:szCs w:val="18"/>
              </w:rPr>
            </w:pPr>
            <w:r>
              <w:rPr>
                <w:rFonts w:ascii="Arial"/>
                <w:w w:val="95"/>
                <w:sz w:val="18"/>
              </w:rPr>
              <w:t>2,668</w:t>
            </w:r>
            <w:r>
              <w:rPr>
                <w:rFonts w:ascii="Arial"/>
                <w:sz w:val="18"/>
              </w:rPr>
            </w: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375"/>
              <w:jc w:val="right"/>
              <w:rPr>
                <w:rFonts w:ascii="Arial" w:hAnsi="Arial" w:cs="Arial" w:eastAsia="Arial" w:hint="default"/>
                <w:sz w:val="18"/>
                <w:szCs w:val="18"/>
              </w:rPr>
            </w:pPr>
            <w:r>
              <w:rPr>
                <w:rFonts w:ascii="Arial"/>
                <w:w w:val="99"/>
                <w:sz w:val="18"/>
              </w:rPr>
              <w:t>-</w:t>
            </w:r>
            <w:r>
              <w:rPr>
                <w:rFonts w:ascii="Arial"/>
                <w:sz w:val="18"/>
              </w:rPr>
            </w:r>
          </w:p>
        </w:tc>
        <w:tc>
          <w:tcPr>
            <w:tcW w:w="1300" w:type="dxa"/>
            <w:tcBorders>
              <w:top w:val="single" w:sz="4" w:space="0" w:color="000000"/>
              <w:left w:val="nil" w:sz="6" w:space="0" w:color="auto"/>
              <w:bottom w:val="nil" w:sz="6" w:space="0" w:color="auto"/>
              <w:right w:val="single" w:sz="4" w:space="0" w:color="000000"/>
            </w:tcBorders>
          </w:tcPr>
          <w:p>
            <w:pPr>
              <w:pStyle w:val="TableParagraph"/>
              <w:spacing w:line="240" w:lineRule="auto" w:before="78"/>
              <w:ind w:right="-4"/>
              <w:jc w:val="right"/>
              <w:rPr>
                <w:rFonts w:ascii="Arial" w:hAnsi="Arial" w:cs="Arial" w:eastAsia="Arial" w:hint="default"/>
                <w:sz w:val="18"/>
                <w:szCs w:val="18"/>
              </w:rPr>
            </w:pPr>
            <w:r>
              <w:rPr>
                <w:rFonts w:ascii="Arial"/>
                <w:spacing w:val="-1"/>
                <w:sz w:val="18"/>
              </w:rPr>
              <w:t>(27,140)</w:t>
            </w:r>
          </w:p>
        </w:tc>
      </w:tr>
      <w:tr>
        <w:trPr>
          <w:trHeight w:val="255" w:hRule="exact"/>
        </w:trPr>
        <w:tc>
          <w:tcPr>
            <w:tcW w:w="1549" w:type="dxa"/>
            <w:tcBorders>
              <w:top w:val="nil" w:sz="6" w:space="0" w:color="auto"/>
              <w:left w:val="single" w:sz="4" w:space="0" w:color="000000"/>
              <w:bottom w:val="single" w:sz="4" w:space="0" w:color="000000"/>
              <w:right w:val="nil" w:sz="6" w:space="0" w:color="auto"/>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277"/>
              <w:jc w:val="right"/>
              <w:rPr>
                <w:rFonts w:ascii="Arial" w:hAnsi="Arial" w:cs="Arial" w:eastAsia="Arial" w:hint="default"/>
                <w:sz w:val="18"/>
                <w:szCs w:val="18"/>
              </w:rPr>
            </w:pPr>
            <w:r>
              <w:rPr>
                <w:rFonts w:ascii="Arial"/>
                <w:w w:val="99"/>
                <w:sz w:val="18"/>
              </w:rPr>
              <w:t>-</w:t>
            </w:r>
            <w:r>
              <w:rPr>
                <w:rFonts w:ascii="Arial"/>
                <w:sz w:val="18"/>
              </w:rPr>
            </w:r>
          </w:p>
        </w:tc>
        <w:tc>
          <w:tcPr>
            <w:tcW w:w="1521"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411"/>
              <w:jc w:val="right"/>
              <w:rPr>
                <w:rFonts w:ascii="Arial" w:hAnsi="Arial" w:cs="Arial" w:eastAsia="Arial" w:hint="default"/>
                <w:sz w:val="18"/>
                <w:szCs w:val="18"/>
              </w:rPr>
            </w:pPr>
            <w:r>
              <w:rPr>
                <w:rFonts w:ascii="Arial"/>
                <w:w w:val="95"/>
                <w:sz w:val="18"/>
              </w:rPr>
              <w:t>(3,462)</w:t>
            </w:r>
            <w:r>
              <w:rPr>
                <w:rFonts w:ascii="Arial"/>
                <w:sz w:val="18"/>
              </w:rPr>
            </w:r>
          </w:p>
        </w:tc>
        <w:tc>
          <w:tcPr>
            <w:tcW w:w="1295"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330"/>
              <w:jc w:val="right"/>
              <w:rPr>
                <w:rFonts w:ascii="Arial" w:hAnsi="Arial" w:cs="Arial" w:eastAsia="Arial" w:hint="default"/>
                <w:sz w:val="18"/>
                <w:szCs w:val="18"/>
              </w:rPr>
            </w:pPr>
            <w:r>
              <w:rPr>
                <w:rFonts w:ascii="Arial"/>
                <w:w w:val="99"/>
                <w:sz w:val="18"/>
              </w:rPr>
              <w:t>-</w:t>
            </w:r>
            <w:r>
              <w:rPr>
                <w:rFonts w:ascii="Arial"/>
                <w:sz w:val="18"/>
              </w:rPr>
            </w:r>
          </w:p>
        </w:tc>
        <w:tc>
          <w:tcPr>
            <w:tcW w:w="2877" w:type="dxa"/>
            <w:tcBorders>
              <w:top w:val="nil" w:sz="6" w:space="0" w:color="auto"/>
              <w:left w:val="nil" w:sz="6" w:space="0" w:color="auto"/>
              <w:bottom w:val="single" w:sz="4" w:space="0" w:color="000000"/>
              <w:right w:val="nil" w:sz="6" w:space="0" w:color="auto"/>
            </w:tcBorders>
          </w:tcPr>
          <w:p>
            <w:pPr>
              <w:pStyle w:val="TableParagraph"/>
              <w:tabs>
                <w:tab w:pos="1403" w:val="left" w:leader="none"/>
              </w:tabs>
              <w:spacing w:line="240" w:lineRule="auto" w:before="42"/>
              <w:ind w:right="396"/>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420"/>
              <w:jc w:val="right"/>
              <w:rPr>
                <w:rFonts w:ascii="Arial" w:hAnsi="Arial" w:cs="Arial" w:eastAsia="Arial" w:hint="default"/>
                <w:sz w:val="18"/>
                <w:szCs w:val="18"/>
              </w:rPr>
            </w:pPr>
            <w:r>
              <w:rPr>
                <w:rFonts w:ascii="Arial"/>
                <w:spacing w:val="-5"/>
                <w:sz w:val="18"/>
              </w:rPr>
              <w:t>118</w:t>
            </w: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375"/>
              <w:jc w:val="right"/>
              <w:rPr>
                <w:rFonts w:ascii="Arial" w:hAnsi="Arial" w:cs="Arial" w:eastAsia="Arial" w:hint="default"/>
                <w:sz w:val="18"/>
                <w:szCs w:val="18"/>
              </w:rPr>
            </w:pPr>
            <w:r>
              <w:rPr>
                <w:rFonts w:ascii="Arial"/>
                <w:w w:val="99"/>
                <w:sz w:val="18"/>
              </w:rPr>
              <w:t>-</w:t>
            </w:r>
            <w:r>
              <w:rPr>
                <w:rFonts w:ascii="Arial"/>
                <w:sz w:val="18"/>
              </w:rPr>
            </w:r>
          </w:p>
        </w:tc>
        <w:tc>
          <w:tcPr>
            <w:tcW w:w="1300" w:type="dxa"/>
            <w:tcBorders>
              <w:top w:val="nil" w:sz="6" w:space="0" w:color="auto"/>
              <w:left w:val="nil" w:sz="6" w:space="0" w:color="auto"/>
              <w:bottom w:val="single" w:sz="4" w:space="0" w:color="000000"/>
              <w:right w:val="single" w:sz="4" w:space="0" w:color="000000"/>
            </w:tcBorders>
          </w:tcPr>
          <w:p>
            <w:pPr>
              <w:pStyle w:val="TableParagraph"/>
              <w:spacing w:line="240" w:lineRule="auto" w:before="42"/>
              <w:ind w:right="-4"/>
              <w:jc w:val="right"/>
              <w:rPr>
                <w:rFonts w:ascii="Arial" w:hAnsi="Arial" w:cs="Arial" w:eastAsia="Arial" w:hint="default"/>
                <w:sz w:val="18"/>
                <w:szCs w:val="18"/>
              </w:rPr>
            </w:pPr>
            <w:r>
              <w:rPr>
                <w:rFonts w:ascii="Arial"/>
                <w:w w:val="95"/>
                <w:sz w:val="18"/>
              </w:rPr>
              <w:t>(3,344)</w:t>
            </w:r>
            <w:r>
              <w:rPr>
                <w:rFonts w:ascii="Arial"/>
                <w:sz w:val="18"/>
              </w:rPr>
            </w:r>
          </w:p>
        </w:tc>
      </w:tr>
      <w:tr>
        <w:trPr>
          <w:trHeight w:val="298" w:hRule="exact"/>
        </w:trPr>
        <w:tc>
          <w:tcPr>
            <w:tcW w:w="154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账面价值合计</w:t>
            </w:r>
          </w:p>
        </w:tc>
        <w:tc>
          <w:tcPr>
            <w:tcW w:w="1442"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276"/>
              <w:jc w:val="right"/>
              <w:rPr>
                <w:rFonts w:ascii="Arial" w:hAnsi="Arial" w:cs="Arial" w:eastAsia="Arial" w:hint="default"/>
                <w:sz w:val="18"/>
                <w:szCs w:val="18"/>
              </w:rPr>
            </w:pPr>
            <w:r>
              <w:rPr>
                <w:rFonts w:ascii="Arial"/>
                <w:spacing w:val="-1"/>
                <w:sz w:val="18"/>
              </w:rPr>
              <w:t>7,347,467</w:t>
            </w:r>
          </w:p>
        </w:tc>
        <w:tc>
          <w:tcPr>
            <w:tcW w:w="1521" w:type="dxa"/>
            <w:tcBorders>
              <w:top w:val="single" w:sz="4" w:space="0" w:color="000000"/>
              <w:left w:val="nil" w:sz="6" w:space="0" w:color="auto"/>
              <w:bottom w:val="single" w:sz="4" w:space="0" w:color="000000"/>
              <w:right w:val="nil" w:sz="6" w:space="0" w:color="auto"/>
            </w:tcBorders>
          </w:tcPr>
          <w:p>
            <w:pPr/>
          </w:p>
        </w:tc>
        <w:tc>
          <w:tcPr>
            <w:tcW w:w="1295" w:type="dxa"/>
            <w:tcBorders>
              <w:top w:val="single" w:sz="4" w:space="0" w:color="000000"/>
              <w:left w:val="nil" w:sz="6" w:space="0" w:color="auto"/>
              <w:bottom w:val="single" w:sz="4" w:space="0" w:color="000000"/>
              <w:right w:val="nil" w:sz="6" w:space="0" w:color="auto"/>
            </w:tcBorders>
          </w:tcPr>
          <w:p>
            <w:pPr/>
          </w:p>
        </w:tc>
        <w:tc>
          <w:tcPr>
            <w:tcW w:w="2877" w:type="dxa"/>
            <w:tcBorders>
              <w:top w:val="single" w:sz="4" w:space="0" w:color="000000"/>
              <w:left w:val="nil" w:sz="6" w:space="0" w:color="auto"/>
              <w:bottom w:val="single" w:sz="4" w:space="0" w:color="000000"/>
              <w:right w:val="nil" w:sz="6" w:space="0" w:color="auto"/>
            </w:tcBorders>
          </w:tcPr>
          <w:p>
            <w:pPr/>
          </w:p>
        </w:tc>
        <w:tc>
          <w:tcPr>
            <w:tcW w:w="1487" w:type="dxa"/>
            <w:tcBorders>
              <w:top w:val="single" w:sz="4" w:space="0" w:color="000000"/>
              <w:left w:val="nil" w:sz="6" w:space="0" w:color="auto"/>
              <w:bottom w:val="single" w:sz="4" w:space="0" w:color="000000"/>
              <w:right w:val="nil" w:sz="6" w:space="0" w:color="auto"/>
            </w:tcBorders>
          </w:tcPr>
          <w:p>
            <w:pPr/>
          </w:p>
        </w:tc>
        <w:tc>
          <w:tcPr>
            <w:tcW w:w="1567" w:type="dxa"/>
            <w:tcBorders>
              <w:top w:val="single" w:sz="4" w:space="0" w:color="000000"/>
              <w:left w:val="nil" w:sz="6" w:space="0" w:color="auto"/>
              <w:bottom w:val="single" w:sz="4" w:space="0" w:color="000000"/>
              <w:right w:val="nil" w:sz="6" w:space="0" w:color="auto"/>
            </w:tcBorders>
          </w:tcPr>
          <w:p>
            <w:pPr/>
          </w:p>
        </w:tc>
        <w:tc>
          <w:tcPr>
            <w:tcW w:w="1300"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1"/>
              <w:jc w:val="right"/>
              <w:rPr>
                <w:rFonts w:ascii="Arial" w:hAnsi="Arial" w:cs="Arial" w:eastAsia="Arial" w:hint="default"/>
                <w:sz w:val="18"/>
                <w:szCs w:val="18"/>
              </w:rPr>
            </w:pPr>
            <w:r>
              <w:rPr>
                <w:rFonts w:ascii="Arial"/>
                <w:spacing w:val="-1"/>
                <w:sz w:val="18"/>
              </w:rPr>
              <w:t>8,579,277</w:t>
            </w:r>
          </w:p>
        </w:tc>
      </w:tr>
      <w:tr>
        <w:trPr>
          <w:trHeight w:val="329" w:hRule="exact"/>
        </w:trPr>
        <w:tc>
          <w:tcPr>
            <w:tcW w:w="1549" w:type="dxa"/>
            <w:tcBorders>
              <w:top w:val="single" w:sz="4" w:space="0" w:color="000000"/>
              <w:left w:val="single" w:sz="4" w:space="0" w:color="000000"/>
              <w:bottom w:val="nil" w:sz="6" w:space="0" w:color="auto"/>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76"/>
              <w:jc w:val="right"/>
              <w:rPr>
                <w:rFonts w:ascii="Arial" w:hAnsi="Arial" w:cs="Arial" w:eastAsia="Arial" w:hint="default"/>
                <w:sz w:val="18"/>
                <w:szCs w:val="18"/>
              </w:rPr>
            </w:pPr>
            <w:r>
              <w:rPr>
                <w:rFonts w:ascii="Arial"/>
                <w:spacing w:val="-1"/>
                <w:sz w:val="18"/>
              </w:rPr>
              <w:t>6,209,665</w:t>
            </w:r>
          </w:p>
        </w:tc>
        <w:tc>
          <w:tcPr>
            <w:tcW w:w="152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439"/>
              <w:jc w:val="right"/>
              <w:rPr>
                <w:rFonts w:ascii="宋体" w:hAnsi="宋体" w:cs="宋体" w:eastAsia="宋体" w:hint="default"/>
                <w:sz w:val="18"/>
                <w:szCs w:val="18"/>
              </w:rPr>
            </w:pPr>
            <w:r>
              <w:rPr>
                <w:rFonts w:ascii="宋体" w:hAnsi="宋体" w:cs="宋体" w:eastAsia="宋体" w:hint="default"/>
                <w:sz w:val="18"/>
                <w:szCs w:val="18"/>
              </w:rPr>
              <w:t>—</w:t>
            </w:r>
          </w:p>
        </w:tc>
        <w:tc>
          <w:tcPr>
            <w:tcW w:w="129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331"/>
              <w:jc w:val="right"/>
              <w:rPr>
                <w:rFonts w:ascii="宋体" w:hAnsi="宋体" w:cs="宋体" w:eastAsia="宋体" w:hint="default"/>
                <w:sz w:val="18"/>
                <w:szCs w:val="18"/>
              </w:rPr>
            </w:pPr>
            <w:r>
              <w:rPr>
                <w:rFonts w:ascii="宋体" w:hAnsi="宋体" w:cs="宋体" w:eastAsia="宋体" w:hint="default"/>
                <w:sz w:val="18"/>
                <w:szCs w:val="18"/>
              </w:rPr>
              <w:t>—</w:t>
            </w:r>
          </w:p>
        </w:tc>
        <w:tc>
          <w:tcPr>
            <w:tcW w:w="2877" w:type="dxa"/>
            <w:tcBorders>
              <w:top w:val="single" w:sz="4" w:space="0" w:color="000000"/>
              <w:left w:val="nil" w:sz="6" w:space="0" w:color="auto"/>
              <w:bottom w:val="nil" w:sz="6" w:space="0" w:color="auto"/>
              <w:right w:val="nil" w:sz="6" w:space="0" w:color="auto"/>
            </w:tcBorders>
          </w:tcPr>
          <w:p>
            <w:pPr>
              <w:pStyle w:val="TableParagraph"/>
              <w:tabs>
                <w:tab w:pos="1403" w:val="left" w:leader="none"/>
              </w:tabs>
              <w:spacing w:line="240" w:lineRule="auto" w:before="23"/>
              <w:ind w:right="396"/>
              <w:jc w:val="right"/>
              <w:rPr>
                <w:rFonts w:ascii="宋体" w:hAnsi="宋体" w:cs="宋体" w:eastAsia="宋体" w:hint="default"/>
                <w:sz w:val="18"/>
                <w:szCs w:val="18"/>
              </w:rPr>
            </w:pPr>
            <w:r>
              <w:rPr>
                <w:rFonts w:ascii="宋体" w:hAnsi="宋体" w:cs="宋体" w:eastAsia="宋体" w:hint="default"/>
                <w:sz w:val="18"/>
                <w:szCs w:val="18"/>
              </w:rPr>
              <w:t>—</w:t>
              <w:tab/>
              <w:t>—</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419"/>
              <w:jc w:val="right"/>
              <w:rPr>
                <w:rFonts w:ascii="宋体" w:hAnsi="宋体" w:cs="宋体" w:eastAsia="宋体" w:hint="default"/>
                <w:sz w:val="18"/>
                <w:szCs w:val="18"/>
              </w:rPr>
            </w:pPr>
            <w:r>
              <w:rPr>
                <w:rFonts w:ascii="宋体" w:hAnsi="宋体" w:cs="宋体" w:eastAsia="宋体" w:hint="default"/>
                <w:sz w:val="18"/>
                <w:szCs w:val="18"/>
              </w:rPr>
              <w:t>—</w:t>
            </w: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375"/>
              <w:jc w:val="right"/>
              <w:rPr>
                <w:rFonts w:ascii="宋体" w:hAnsi="宋体" w:cs="宋体" w:eastAsia="宋体" w:hint="default"/>
                <w:sz w:val="18"/>
                <w:szCs w:val="18"/>
              </w:rPr>
            </w:pPr>
            <w:r>
              <w:rPr>
                <w:rFonts w:ascii="宋体" w:hAnsi="宋体" w:cs="宋体" w:eastAsia="宋体" w:hint="default"/>
                <w:sz w:val="18"/>
                <w:szCs w:val="18"/>
              </w:rPr>
              <w:t>—</w:t>
            </w:r>
          </w:p>
        </w:tc>
        <w:tc>
          <w:tcPr>
            <w:tcW w:w="1300" w:type="dxa"/>
            <w:tcBorders>
              <w:top w:val="single" w:sz="4" w:space="0" w:color="000000"/>
              <w:left w:val="nil" w:sz="6" w:space="0" w:color="auto"/>
              <w:bottom w:val="nil" w:sz="6" w:space="0" w:color="auto"/>
              <w:right w:val="single" w:sz="4" w:space="0" w:color="000000"/>
            </w:tcBorders>
          </w:tcPr>
          <w:p>
            <w:pPr>
              <w:pStyle w:val="TableParagraph"/>
              <w:spacing w:line="240" w:lineRule="auto" w:before="79"/>
              <w:ind w:right="-3"/>
              <w:jc w:val="right"/>
              <w:rPr>
                <w:rFonts w:ascii="Arial" w:hAnsi="Arial" w:cs="Arial" w:eastAsia="Arial" w:hint="default"/>
                <w:sz w:val="18"/>
                <w:szCs w:val="18"/>
              </w:rPr>
            </w:pPr>
            <w:r>
              <w:rPr>
                <w:rFonts w:ascii="Arial"/>
                <w:spacing w:val="-1"/>
                <w:sz w:val="18"/>
              </w:rPr>
              <w:t>7,335,098</w:t>
            </w:r>
          </w:p>
        </w:tc>
      </w:tr>
      <w:tr>
        <w:trPr>
          <w:trHeight w:val="287" w:hRule="exact"/>
        </w:trPr>
        <w:tc>
          <w:tcPr>
            <w:tcW w:w="1549" w:type="dxa"/>
            <w:tcBorders>
              <w:top w:val="nil" w:sz="6" w:space="0" w:color="auto"/>
              <w:left w:val="single" w:sz="4" w:space="0" w:color="000000"/>
              <w:bottom w:val="nil" w:sz="6" w:space="0" w:color="auto"/>
              <w:right w:val="nil" w:sz="6" w:space="0" w:color="auto"/>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78"/>
              <w:jc w:val="right"/>
              <w:rPr>
                <w:rFonts w:ascii="Arial" w:hAnsi="Arial" w:cs="Arial" w:eastAsia="Arial" w:hint="default"/>
                <w:sz w:val="18"/>
                <w:szCs w:val="18"/>
              </w:rPr>
            </w:pPr>
            <w:r>
              <w:rPr>
                <w:rFonts w:ascii="Arial"/>
                <w:spacing w:val="-1"/>
                <w:sz w:val="18"/>
              </w:rPr>
              <w:t>159,964</w:t>
            </w:r>
          </w:p>
        </w:tc>
        <w:tc>
          <w:tcPr>
            <w:tcW w:w="1521" w:type="dxa"/>
            <w:tcBorders>
              <w:top w:val="nil" w:sz="6" w:space="0" w:color="auto"/>
              <w:left w:val="nil" w:sz="6" w:space="0" w:color="auto"/>
              <w:bottom w:val="nil" w:sz="6" w:space="0" w:color="auto"/>
              <w:right w:val="nil" w:sz="6" w:space="0" w:color="auto"/>
            </w:tcBorders>
          </w:tcPr>
          <w:p>
            <w:pPr>
              <w:pStyle w:val="TableParagraph"/>
              <w:spacing w:line="222" w:lineRule="exact"/>
              <w:ind w:right="439"/>
              <w:jc w:val="right"/>
              <w:rPr>
                <w:rFonts w:ascii="宋体" w:hAnsi="宋体" w:cs="宋体" w:eastAsia="宋体" w:hint="default"/>
                <w:sz w:val="18"/>
                <w:szCs w:val="18"/>
              </w:rPr>
            </w:pPr>
            <w:r>
              <w:rPr>
                <w:rFonts w:ascii="宋体" w:hAnsi="宋体" w:cs="宋体" w:eastAsia="宋体" w:hint="default"/>
                <w:sz w:val="18"/>
                <w:szCs w:val="18"/>
              </w:rPr>
              <w:t>—</w:t>
            </w:r>
          </w:p>
        </w:tc>
        <w:tc>
          <w:tcPr>
            <w:tcW w:w="1295" w:type="dxa"/>
            <w:tcBorders>
              <w:top w:val="nil" w:sz="6" w:space="0" w:color="auto"/>
              <w:left w:val="nil" w:sz="6" w:space="0" w:color="auto"/>
              <w:bottom w:val="nil" w:sz="6" w:space="0" w:color="auto"/>
              <w:right w:val="nil" w:sz="6" w:space="0" w:color="auto"/>
            </w:tcBorders>
          </w:tcPr>
          <w:p>
            <w:pPr>
              <w:pStyle w:val="TableParagraph"/>
              <w:spacing w:line="222" w:lineRule="exact"/>
              <w:ind w:right="331"/>
              <w:jc w:val="right"/>
              <w:rPr>
                <w:rFonts w:ascii="宋体" w:hAnsi="宋体" w:cs="宋体" w:eastAsia="宋体" w:hint="default"/>
                <w:sz w:val="18"/>
                <w:szCs w:val="18"/>
              </w:rPr>
            </w:pPr>
            <w:r>
              <w:rPr>
                <w:rFonts w:ascii="宋体" w:hAnsi="宋体" w:cs="宋体" w:eastAsia="宋体" w:hint="default"/>
                <w:sz w:val="18"/>
                <w:szCs w:val="18"/>
              </w:rPr>
              <w:t>—</w:t>
            </w:r>
          </w:p>
        </w:tc>
        <w:tc>
          <w:tcPr>
            <w:tcW w:w="2877" w:type="dxa"/>
            <w:tcBorders>
              <w:top w:val="nil" w:sz="6" w:space="0" w:color="auto"/>
              <w:left w:val="nil" w:sz="6" w:space="0" w:color="auto"/>
              <w:bottom w:val="nil" w:sz="6" w:space="0" w:color="auto"/>
              <w:right w:val="nil" w:sz="6" w:space="0" w:color="auto"/>
            </w:tcBorders>
          </w:tcPr>
          <w:p>
            <w:pPr>
              <w:pStyle w:val="TableParagraph"/>
              <w:tabs>
                <w:tab w:pos="1403" w:val="left" w:leader="none"/>
              </w:tabs>
              <w:spacing w:line="222" w:lineRule="exact"/>
              <w:ind w:right="396"/>
              <w:jc w:val="right"/>
              <w:rPr>
                <w:rFonts w:ascii="宋体" w:hAnsi="宋体" w:cs="宋体" w:eastAsia="宋体" w:hint="default"/>
                <w:sz w:val="18"/>
                <w:szCs w:val="18"/>
              </w:rPr>
            </w:pPr>
            <w:r>
              <w:rPr>
                <w:rFonts w:ascii="宋体" w:hAnsi="宋体" w:cs="宋体" w:eastAsia="宋体" w:hint="default"/>
                <w:sz w:val="18"/>
                <w:szCs w:val="18"/>
              </w:rPr>
              <w:t>—</w:t>
              <w:tab/>
              <w:t>—</w:t>
            </w:r>
          </w:p>
        </w:tc>
        <w:tc>
          <w:tcPr>
            <w:tcW w:w="1487" w:type="dxa"/>
            <w:tcBorders>
              <w:top w:val="nil" w:sz="6" w:space="0" w:color="auto"/>
              <w:left w:val="nil" w:sz="6" w:space="0" w:color="auto"/>
              <w:bottom w:val="nil" w:sz="6" w:space="0" w:color="auto"/>
              <w:right w:val="nil" w:sz="6" w:space="0" w:color="auto"/>
            </w:tcBorders>
          </w:tcPr>
          <w:p>
            <w:pPr>
              <w:pStyle w:val="TableParagraph"/>
              <w:spacing w:line="222" w:lineRule="exact"/>
              <w:ind w:right="419"/>
              <w:jc w:val="right"/>
              <w:rPr>
                <w:rFonts w:ascii="宋体" w:hAnsi="宋体" w:cs="宋体" w:eastAsia="宋体" w:hint="default"/>
                <w:sz w:val="18"/>
                <w:szCs w:val="18"/>
              </w:rPr>
            </w:pPr>
            <w:r>
              <w:rPr>
                <w:rFonts w:ascii="宋体" w:hAnsi="宋体" w:cs="宋体" w:eastAsia="宋体" w:hint="default"/>
                <w:sz w:val="18"/>
                <w:szCs w:val="18"/>
              </w:rPr>
              <w:t>—</w:t>
            </w:r>
          </w:p>
        </w:tc>
        <w:tc>
          <w:tcPr>
            <w:tcW w:w="1567" w:type="dxa"/>
            <w:tcBorders>
              <w:top w:val="nil" w:sz="6" w:space="0" w:color="auto"/>
              <w:left w:val="nil" w:sz="6" w:space="0" w:color="auto"/>
              <w:bottom w:val="nil" w:sz="6" w:space="0" w:color="auto"/>
              <w:right w:val="nil" w:sz="6" w:space="0" w:color="auto"/>
            </w:tcBorders>
          </w:tcPr>
          <w:p>
            <w:pPr>
              <w:pStyle w:val="TableParagraph"/>
              <w:spacing w:line="222" w:lineRule="exact"/>
              <w:ind w:right="375"/>
              <w:jc w:val="right"/>
              <w:rPr>
                <w:rFonts w:ascii="宋体" w:hAnsi="宋体" w:cs="宋体" w:eastAsia="宋体" w:hint="default"/>
                <w:sz w:val="18"/>
                <w:szCs w:val="18"/>
              </w:rPr>
            </w:pPr>
            <w:r>
              <w:rPr>
                <w:rFonts w:ascii="宋体" w:hAnsi="宋体" w:cs="宋体" w:eastAsia="宋体" w:hint="default"/>
                <w:sz w:val="18"/>
                <w:szCs w:val="18"/>
              </w:rPr>
              <w:t>—</w:t>
            </w:r>
          </w:p>
        </w:tc>
        <w:tc>
          <w:tcPr>
            <w:tcW w:w="1300"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right="-4"/>
              <w:jc w:val="right"/>
              <w:rPr>
                <w:rFonts w:ascii="Arial" w:hAnsi="Arial" w:cs="Arial" w:eastAsia="Arial" w:hint="default"/>
                <w:sz w:val="18"/>
                <w:szCs w:val="18"/>
              </w:rPr>
            </w:pPr>
            <w:r>
              <w:rPr>
                <w:rFonts w:ascii="Arial"/>
                <w:spacing w:val="-1"/>
                <w:sz w:val="18"/>
              </w:rPr>
              <w:t>181,092</w:t>
            </w:r>
          </w:p>
        </w:tc>
      </w:tr>
      <w:tr>
        <w:trPr>
          <w:trHeight w:val="287" w:hRule="exact"/>
        </w:trPr>
        <w:tc>
          <w:tcPr>
            <w:tcW w:w="1549" w:type="dxa"/>
            <w:tcBorders>
              <w:top w:val="nil" w:sz="6" w:space="0" w:color="auto"/>
              <w:left w:val="single" w:sz="4" w:space="0" w:color="000000"/>
              <w:bottom w:val="nil" w:sz="6" w:space="0" w:color="auto"/>
              <w:right w:val="nil" w:sz="6" w:space="0" w:color="auto"/>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9"/>
              <w:jc w:val="right"/>
              <w:rPr>
                <w:rFonts w:ascii="Arial" w:hAnsi="Arial" w:cs="Arial" w:eastAsia="Arial" w:hint="default"/>
                <w:sz w:val="18"/>
                <w:szCs w:val="18"/>
              </w:rPr>
            </w:pPr>
            <w:r>
              <w:rPr>
                <w:rFonts w:ascii="Arial"/>
                <w:spacing w:val="-1"/>
                <w:sz w:val="18"/>
              </w:rPr>
              <w:t>79,945</w:t>
            </w:r>
            <w:r>
              <w:rPr>
                <w:rFonts w:ascii="Arial"/>
                <w:sz w:val="18"/>
              </w:rPr>
            </w:r>
          </w:p>
        </w:tc>
        <w:tc>
          <w:tcPr>
            <w:tcW w:w="1521" w:type="dxa"/>
            <w:tcBorders>
              <w:top w:val="nil" w:sz="6" w:space="0" w:color="auto"/>
              <w:left w:val="nil" w:sz="6" w:space="0" w:color="auto"/>
              <w:bottom w:val="nil" w:sz="6" w:space="0" w:color="auto"/>
              <w:right w:val="nil" w:sz="6" w:space="0" w:color="auto"/>
            </w:tcBorders>
          </w:tcPr>
          <w:p>
            <w:pPr>
              <w:pStyle w:val="TableParagraph"/>
              <w:spacing w:line="221" w:lineRule="exact"/>
              <w:ind w:right="439"/>
              <w:jc w:val="right"/>
              <w:rPr>
                <w:rFonts w:ascii="宋体" w:hAnsi="宋体" w:cs="宋体" w:eastAsia="宋体" w:hint="default"/>
                <w:sz w:val="18"/>
                <w:szCs w:val="18"/>
              </w:rPr>
            </w:pPr>
            <w:r>
              <w:rPr>
                <w:rFonts w:ascii="宋体" w:hAnsi="宋体" w:cs="宋体" w:eastAsia="宋体" w:hint="default"/>
                <w:sz w:val="18"/>
                <w:szCs w:val="18"/>
              </w:rPr>
              <w:t>—</w:t>
            </w:r>
          </w:p>
        </w:tc>
        <w:tc>
          <w:tcPr>
            <w:tcW w:w="1295" w:type="dxa"/>
            <w:tcBorders>
              <w:top w:val="nil" w:sz="6" w:space="0" w:color="auto"/>
              <w:left w:val="nil" w:sz="6" w:space="0" w:color="auto"/>
              <w:bottom w:val="nil" w:sz="6" w:space="0" w:color="auto"/>
              <w:right w:val="nil" w:sz="6" w:space="0" w:color="auto"/>
            </w:tcBorders>
          </w:tcPr>
          <w:p>
            <w:pPr>
              <w:pStyle w:val="TableParagraph"/>
              <w:spacing w:line="221" w:lineRule="exact"/>
              <w:ind w:right="331"/>
              <w:jc w:val="right"/>
              <w:rPr>
                <w:rFonts w:ascii="宋体" w:hAnsi="宋体" w:cs="宋体" w:eastAsia="宋体" w:hint="default"/>
                <w:sz w:val="18"/>
                <w:szCs w:val="18"/>
              </w:rPr>
            </w:pPr>
            <w:r>
              <w:rPr>
                <w:rFonts w:ascii="宋体" w:hAnsi="宋体" w:cs="宋体" w:eastAsia="宋体" w:hint="default"/>
                <w:sz w:val="18"/>
                <w:szCs w:val="18"/>
              </w:rPr>
              <w:t>—</w:t>
            </w:r>
          </w:p>
        </w:tc>
        <w:tc>
          <w:tcPr>
            <w:tcW w:w="2877" w:type="dxa"/>
            <w:tcBorders>
              <w:top w:val="nil" w:sz="6" w:space="0" w:color="auto"/>
              <w:left w:val="nil" w:sz="6" w:space="0" w:color="auto"/>
              <w:bottom w:val="nil" w:sz="6" w:space="0" w:color="auto"/>
              <w:right w:val="nil" w:sz="6" w:space="0" w:color="auto"/>
            </w:tcBorders>
          </w:tcPr>
          <w:p>
            <w:pPr>
              <w:pStyle w:val="TableParagraph"/>
              <w:tabs>
                <w:tab w:pos="1403" w:val="left" w:leader="none"/>
              </w:tabs>
              <w:spacing w:line="221" w:lineRule="exact"/>
              <w:ind w:right="396"/>
              <w:jc w:val="right"/>
              <w:rPr>
                <w:rFonts w:ascii="宋体" w:hAnsi="宋体" w:cs="宋体" w:eastAsia="宋体" w:hint="default"/>
                <w:sz w:val="18"/>
                <w:szCs w:val="18"/>
              </w:rPr>
            </w:pPr>
            <w:r>
              <w:rPr>
                <w:rFonts w:ascii="宋体" w:hAnsi="宋体" w:cs="宋体" w:eastAsia="宋体" w:hint="default"/>
                <w:sz w:val="18"/>
                <w:szCs w:val="18"/>
              </w:rPr>
              <w:t>—</w:t>
              <w:tab/>
              <w:t>—</w:t>
            </w:r>
          </w:p>
        </w:tc>
        <w:tc>
          <w:tcPr>
            <w:tcW w:w="1487" w:type="dxa"/>
            <w:tcBorders>
              <w:top w:val="nil" w:sz="6" w:space="0" w:color="auto"/>
              <w:left w:val="nil" w:sz="6" w:space="0" w:color="auto"/>
              <w:bottom w:val="nil" w:sz="6" w:space="0" w:color="auto"/>
              <w:right w:val="nil" w:sz="6" w:space="0" w:color="auto"/>
            </w:tcBorders>
          </w:tcPr>
          <w:p>
            <w:pPr>
              <w:pStyle w:val="TableParagraph"/>
              <w:spacing w:line="221" w:lineRule="exact"/>
              <w:ind w:right="419"/>
              <w:jc w:val="right"/>
              <w:rPr>
                <w:rFonts w:ascii="宋体" w:hAnsi="宋体" w:cs="宋体" w:eastAsia="宋体" w:hint="default"/>
                <w:sz w:val="18"/>
                <w:szCs w:val="18"/>
              </w:rPr>
            </w:pPr>
            <w:r>
              <w:rPr>
                <w:rFonts w:ascii="宋体" w:hAnsi="宋体" w:cs="宋体" w:eastAsia="宋体" w:hint="default"/>
                <w:sz w:val="18"/>
                <w:szCs w:val="18"/>
              </w:rPr>
              <w:t>—</w:t>
            </w:r>
          </w:p>
        </w:tc>
        <w:tc>
          <w:tcPr>
            <w:tcW w:w="1567" w:type="dxa"/>
            <w:tcBorders>
              <w:top w:val="nil" w:sz="6" w:space="0" w:color="auto"/>
              <w:left w:val="nil" w:sz="6" w:space="0" w:color="auto"/>
              <w:bottom w:val="nil" w:sz="6" w:space="0" w:color="auto"/>
              <w:right w:val="nil" w:sz="6" w:space="0" w:color="auto"/>
            </w:tcBorders>
          </w:tcPr>
          <w:p>
            <w:pPr>
              <w:pStyle w:val="TableParagraph"/>
              <w:spacing w:line="221" w:lineRule="exact"/>
              <w:ind w:right="375"/>
              <w:jc w:val="right"/>
              <w:rPr>
                <w:rFonts w:ascii="宋体" w:hAnsi="宋体" w:cs="宋体" w:eastAsia="宋体" w:hint="default"/>
                <w:sz w:val="18"/>
                <w:szCs w:val="18"/>
              </w:rPr>
            </w:pPr>
            <w:r>
              <w:rPr>
                <w:rFonts w:ascii="宋体" w:hAnsi="宋体" w:cs="宋体" w:eastAsia="宋体" w:hint="default"/>
                <w:sz w:val="18"/>
                <w:szCs w:val="18"/>
              </w:rPr>
              <w:t>—</w:t>
            </w:r>
          </w:p>
        </w:tc>
        <w:tc>
          <w:tcPr>
            <w:tcW w:w="1300"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right="-3"/>
              <w:jc w:val="right"/>
              <w:rPr>
                <w:rFonts w:ascii="Arial" w:hAnsi="Arial" w:cs="Arial" w:eastAsia="Arial" w:hint="default"/>
                <w:sz w:val="18"/>
                <w:szCs w:val="18"/>
              </w:rPr>
            </w:pPr>
            <w:r>
              <w:rPr>
                <w:rFonts w:ascii="Arial"/>
                <w:spacing w:val="-2"/>
                <w:w w:val="95"/>
                <w:sz w:val="18"/>
              </w:rPr>
              <w:t>120,511</w:t>
            </w:r>
            <w:r>
              <w:rPr>
                <w:rFonts w:ascii="Arial"/>
                <w:spacing w:val="-2"/>
                <w:sz w:val="18"/>
              </w:rPr>
            </w:r>
          </w:p>
        </w:tc>
      </w:tr>
      <w:tr>
        <w:trPr>
          <w:trHeight w:val="246" w:hRule="exact"/>
        </w:trPr>
        <w:tc>
          <w:tcPr>
            <w:tcW w:w="1549" w:type="dxa"/>
            <w:tcBorders>
              <w:top w:val="nil" w:sz="6" w:space="0" w:color="auto"/>
              <w:left w:val="single" w:sz="4" w:space="0" w:color="000000"/>
              <w:bottom w:val="nil" w:sz="6" w:space="0" w:color="auto"/>
              <w:right w:val="nil" w:sz="6" w:space="0" w:color="auto"/>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78"/>
              <w:jc w:val="right"/>
              <w:rPr>
                <w:rFonts w:ascii="Arial" w:hAnsi="Arial" w:cs="Arial" w:eastAsia="Arial" w:hint="default"/>
                <w:sz w:val="18"/>
                <w:szCs w:val="18"/>
              </w:rPr>
            </w:pPr>
            <w:r>
              <w:rPr>
                <w:rFonts w:ascii="Arial"/>
                <w:spacing w:val="-1"/>
                <w:sz w:val="18"/>
              </w:rPr>
              <w:t>512,319</w:t>
            </w:r>
          </w:p>
        </w:tc>
        <w:tc>
          <w:tcPr>
            <w:tcW w:w="1521" w:type="dxa"/>
            <w:tcBorders>
              <w:top w:val="nil" w:sz="6" w:space="0" w:color="auto"/>
              <w:left w:val="nil" w:sz="6" w:space="0" w:color="auto"/>
              <w:bottom w:val="nil" w:sz="6" w:space="0" w:color="auto"/>
              <w:right w:val="nil" w:sz="6" w:space="0" w:color="auto"/>
            </w:tcBorders>
          </w:tcPr>
          <w:p>
            <w:pPr>
              <w:pStyle w:val="TableParagraph"/>
              <w:spacing w:line="222" w:lineRule="exact"/>
              <w:ind w:right="439"/>
              <w:jc w:val="right"/>
              <w:rPr>
                <w:rFonts w:ascii="宋体" w:hAnsi="宋体" w:cs="宋体" w:eastAsia="宋体" w:hint="default"/>
                <w:sz w:val="18"/>
                <w:szCs w:val="18"/>
              </w:rPr>
            </w:pPr>
            <w:r>
              <w:rPr>
                <w:rFonts w:ascii="宋体" w:hAnsi="宋体" w:cs="宋体" w:eastAsia="宋体" w:hint="default"/>
                <w:sz w:val="18"/>
                <w:szCs w:val="18"/>
              </w:rPr>
              <w:t>—</w:t>
            </w:r>
          </w:p>
        </w:tc>
        <w:tc>
          <w:tcPr>
            <w:tcW w:w="1295" w:type="dxa"/>
            <w:tcBorders>
              <w:top w:val="nil" w:sz="6" w:space="0" w:color="auto"/>
              <w:left w:val="nil" w:sz="6" w:space="0" w:color="auto"/>
              <w:bottom w:val="nil" w:sz="6" w:space="0" w:color="auto"/>
              <w:right w:val="nil" w:sz="6" w:space="0" w:color="auto"/>
            </w:tcBorders>
          </w:tcPr>
          <w:p>
            <w:pPr>
              <w:pStyle w:val="TableParagraph"/>
              <w:spacing w:line="222" w:lineRule="exact"/>
              <w:ind w:right="331"/>
              <w:jc w:val="right"/>
              <w:rPr>
                <w:rFonts w:ascii="宋体" w:hAnsi="宋体" w:cs="宋体" w:eastAsia="宋体" w:hint="default"/>
                <w:sz w:val="18"/>
                <w:szCs w:val="18"/>
              </w:rPr>
            </w:pPr>
            <w:r>
              <w:rPr>
                <w:rFonts w:ascii="宋体" w:hAnsi="宋体" w:cs="宋体" w:eastAsia="宋体" w:hint="default"/>
                <w:sz w:val="18"/>
                <w:szCs w:val="18"/>
              </w:rPr>
              <w:t>—</w:t>
            </w:r>
          </w:p>
        </w:tc>
        <w:tc>
          <w:tcPr>
            <w:tcW w:w="2877" w:type="dxa"/>
            <w:tcBorders>
              <w:top w:val="nil" w:sz="6" w:space="0" w:color="auto"/>
              <w:left w:val="nil" w:sz="6" w:space="0" w:color="auto"/>
              <w:bottom w:val="nil" w:sz="6" w:space="0" w:color="auto"/>
              <w:right w:val="nil" w:sz="6" w:space="0" w:color="auto"/>
            </w:tcBorders>
          </w:tcPr>
          <w:p>
            <w:pPr>
              <w:pStyle w:val="TableParagraph"/>
              <w:tabs>
                <w:tab w:pos="1403" w:val="left" w:leader="none"/>
              </w:tabs>
              <w:spacing w:line="222" w:lineRule="exact"/>
              <w:ind w:right="396"/>
              <w:jc w:val="right"/>
              <w:rPr>
                <w:rFonts w:ascii="宋体" w:hAnsi="宋体" w:cs="宋体" w:eastAsia="宋体" w:hint="default"/>
                <w:sz w:val="18"/>
                <w:szCs w:val="18"/>
              </w:rPr>
            </w:pPr>
            <w:r>
              <w:rPr>
                <w:rFonts w:ascii="宋体" w:hAnsi="宋体" w:cs="宋体" w:eastAsia="宋体" w:hint="default"/>
                <w:sz w:val="18"/>
                <w:szCs w:val="18"/>
              </w:rPr>
              <w:t>—</w:t>
              <w:tab/>
              <w:t>—</w:t>
            </w:r>
          </w:p>
        </w:tc>
        <w:tc>
          <w:tcPr>
            <w:tcW w:w="1487" w:type="dxa"/>
            <w:tcBorders>
              <w:top w:val="nil" w:sz="6" w:space="0" w:color="auto"/>
              <w:left w:val="nil" w:sz="6" w:space="0" w:color="auto"/>
              <w:bottom w:val="nil" w:sz="6" w:space="0" w:color="auto"/>
              <w:right w:val="nil" w:sz="6" w:space="0" w:color="auto"/>
            </w:tcBorders>
          </w:tcPr>
          <w:p>
            <w:pPr>
              <w:pStyle w:val="TableParagraph"/>
              <w:spacing w:line="222" w:lineRule="exact"/>
              <w:ind w:right="419"/>
              <w:jc w:val="right"/>
              <w:rPr>
                <w:rFonts w:ascii="宋体" w:hAnsi="宋体" w:cs="宋体" w:eastAsia="宋体" w:hint="default"/>
                <w:sz w:val="18"/>
                <w:szCs w:val="18"/>
              </w:rPr>
            </w:pPr>
            <w:r>
              <w:rPr>
                <w:rFonts w:ascii="宋体" w:hAnsi="宋体" w:cs="宋体" w:eastAsia="宋体" w:hint="default"/>
                <w:sz w:val="18"/>
                <w:szCs w:val="18"/>
              </w:rPr>
              <w:t>—</w:t>
            </w:r>
          </w:p>
        </w:tc>
        <w:tc>
          <w:tcPr>
            <w:tcW w:w="1567" w:type="dxa"/>
            <w:tcBorders>
              <w:top w:val="nil" w:sz="6" w:space="0" w:color="auto"/>
              <w:left w:val="nil" w:sz="6" w:space="0" w:color="auto"/>
              <w:bottom w:val="nil" w:sz="6" w:space="0" w:color="auto"/>
              <w:right w:val="nil" w:sz="6" w:space="0" w:color="auto"/>
            </w:tcBorders>
          </w:tcPr>
          <w:p>
            <w:pPr>
              <w:pStyle w:val="TableParagraph"/>
              <w:spacing w:line="222" w:lineRule="exact"/>
              <w:ind w:right="375"/>
              <w:jc w:val="right"/>
              <w:rPr>
                <w:rFonts w:ascii="宋体" w:hAnsi="宋体" w:cs="宋体" w:eastAsia="宋体" w:hint="default"/>
                <w:sz w:val="18"/>
                <w:szCs w:val="18"/>
              </w:rPr>
            </w:pPr>
            <w:r>
              <w:rPr>
                <w:rFonts w:ascii="宋体" w:hAnsi="宋体" w:cs="宋体" w:eastAsia="宋体" w:hint="default"/>
                <w:sz w:val="18"/>
                <w:szCs w:val="18"/>
              </w:rPr>
              <w:t>—</w:t>
            </w:r>
          </w:p>
        </w:tc>
        <w:tc>
          <w:tcPr>
            <w:tcW w:w="1300"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right="-4"/>
              <w:jc w:val="right"/>
              <w:rPr>
                <w:rFonts w:ascii="Arial" w:hAnsi="Arial" w:cs="Arial" w:eastAsia="Arial" w:hint="default"/>
                <w:sz w:val="18"/>
                <w:szCs w:val="18"/>
              </w:rPr>
            </w:pPr>
            <w:r>
              <w:rPr>
                <w:rFonts w:ascii="Arial"/>
                <w:spacing w:val="-1"/>
                <w:sz w:val="18"/>
              </w:rPr>
              <w:t>525,094</w:t>
            </w:r>
          </w:p>
        </w:tc>
      </w:tr>
      <w:tr>
        <w:trPr>
          <w:trHeight w:val="297" w:hRule="exact"/>
        </w:trPr>
        <w:tc>
          <w:tcPr>
            <w:tcW w:w="13039" w:type="dxa"/>
            <w:gridSpan w:val="8"/>
            <w:tcBorders>
              <w:top w:val="nil" w:sz="6" w:space="0" w:color="auto"/>
              <w:left w:val="single" w:sz="4" w:space="0" w:color="000000"/>
              <w:bottom w:val="single" w:sz="4" w:space="0" w:color="000000"/>
              <w:right w:val="single" w:sz="4" w:space="0" w:color="000000"/>
            </w:tcBorders>
          </w:tcPr>
          <w:p>
            <w:pPr>
              <w:pStyle w:val="TableParagraph"/>
              <w:tabs>
                <w:tab w:pos="2056" w:val="left" w:leader="none"/>
                <w:tab w:pos="3886" w:val="left" w:leader="none"/>
                <w:tab w:pos="5290" w:val="left" w:leader="none"/>
                <w:tab w:pos="6696" w:val="left" w:leader="none"/>
                <w:tab w:pos="8100" w:val="left" w:leader="none"/>
                <w:tab w:pos="9564" w:val="left" w:leader="none"/>
                <w:tab w:pos="11175" w:val="left" w:leader="none"/>
                <w:tab w:pos="12380" w:val="left" w:leader="none"/>
              </w:tabs>
              <w:spacing w:line="292" w:lineRule="exact"/>
              <w:ind w:left="103" w:right="-4"/>
              <w:jc w:val="left"/>
              <w:rPr>
                <w:rFonts w:ascii="Arial" w:hAnsi="Arial" w:cs="Arial" w:eastAsia="Arial" w:hint="default"/>
                <w:sz w:val="18"/>
                <w:szCs w:val="18"/>
              </w:rPr>
            </w:pPr>
            <w:r>
              <w:rPr>
                <w:rFonts w:ascii="宋体" w:hAnsi="宋体" w:cs="宋体" w:eastAsia="宋体" w:hint="default"/>
                <w:position w:val="7"/>
                <w:sz w:val="18"/>
                <w:szCs w:val="18"/>
              </w:rPr>
              <w:t>其他设备</w:t>
              <w:tab/>
            </w:r>
            <w:r>
              <w:rPr>
                <w:rFonts w:ascii="Arial" w:hAnsi="Arial" w:cs="Arial" w:eastAsia="Arial" w:hint="default"/>
                <w:spacing w:val="-1"/>
                <w:sz w:val="18"/>
                <w:szCs w:val="18"/>
              </w:rPr>
              <w:t>385,574</w:t>
              <w:tab/>
            </w:r>
            <w:r>
              <w:rPr>
                <w:rFonts w:ascii="宋体" w:hAnsi="宋体" w:cs="宋体" w:eastAsia="宋体" w:hint="default"/>
                <w:position w:val="1"/>
                <w:sz w:val="18"/>
                <w:szCs w:val="18"/>
              </w:rPr>
              <w:t>—</w:t>
              <w:tab/>
              <w:t>—</w:t>
              <w:tab/>
              <w:t>—</w:t>
              <w:tab/>
              <w:t>—</w:t>
              <w:tab/>
              <w:t>—</w:t>
              <w:tab/>
              <w:t>—</w:t>
              <w:tab/>
            </w:r>
            <w:r>
              <w:rPr>
                <w:rFonts w:ascii="Arial" w:hAnsi="Arial" w:cs="Arial" w:eastAsia="Arial" w:hint="default"/>
                <w:spacing w:val="-1"/>
                <w:sz w:val="18"/>
                <w:szCs w:val="18"/>
              </w:rPr>
              <w:t>417,482</w:t>
            </w:r>
          </w:p>
        </w:tc>
      </w:tr>
    </w:tbl>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before="113"/>
        <w:ind w:left="6588" w:right="8441" w:firstLine="0"/>
        <w:jc w:val="center"/>
        <w:rPr>
          <w:rFonts w:ascii="Times New Roman" w:hAnsi="Times New Roman" w:cs="Times New Roman" w:eastAsia="Times New Roman" w:hint="default"/>
          <w:sz w:val="18"/>
          <w:szCs w:val="18"/>
        </w:rPr>
      </w:pPr>
      <w:r>
        <w:rPr/>
        <w:pict>
          <v:shape style="position:absolute;margin-left:707.039978pt;margin-top:-24.883657pt;width:135pt;height:77pt;mso-position-horizontal-relative:page;mso-position-vertical-relative:paragraph;z-index:3496" type="#_x0000_t75" stroked="false">
            <v:imagedata r:id="rId10" o:title=""/>
          </v:shape>
        </w:pict>
      </w:r>
      <w:r>
        <w:rPr>
          <w:rFonts w:ascii="Times New Roman"/>
          <w:sz w:val="18"/>
        </w:rPr>
        <w:t>156</w:t>
      </w:r>
    </w:p>
    <w:p>
      <w:pPr>
        <w:spacing w:after="0"/>
        <w:jc w:val="center"/>
        <w:rPr>
          <w:rFonts w:ascii="Times New Roman" w:hAnsi="Times New Roman" w:cs="Times New Roman" w:eastAsia="Times New Roman" w:hint="default"/>
          <w:sz w:val="18"/>
          <w:szCs w:val="18"/>
        </w:rPr>
        <w:sectPr>
          <w:type w:val="continuous"/>
          <w:pgSz w:w="16850" w:h="11910" w:orient="landscape"/>
          <w:pgMar w:top="1060" w:bottom="1540" w:left="150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76"/>
        <w:gridCol w:w="8462"/>
      </w:tblGrid>
      <w:tr>
        <w:trPr>
          <w:trHeight w:val="495"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8462" w:type="dxa"/>
            <w:tcBorders>
              <w:top w:val="nil" w:sz="6" w:space="0" w:color="auto"/>
              <w:left w:val="nil" w:sz="6" w:space="0" w:color="auto"/>
              <w:bottom w:val="nil" w:sz="6" w:space="0" w:color="auto"/>
              <w:right w:val="nil" w:sz="6" w:space="0" w:color="auto"/>
            </w:tcBorders>
          </w:tcPr>
          <w:p>
            <w:pPr>
              <w:pStyle w:val="TableParagraph"/>
              <w:spacing w:line="257" w:lineRule="exact"/>
              <w:ind w:left="14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11"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(12)</w:t>
            </w:r>
          </w:p>
        </w:tc>
        <w:tc>
          <w:tcPr>
            <w:tcW w:w="846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8" w:right="0"/>
              <w:jc w:val="left"/>
              <w:rPr>
                <w:rFonts w:ascii="黑体" w:hAnsi="黑体" w:cs="黑体" w:eastAsia="黑体" w:hint="default"/>
                <w:sz w:val="24"/>
                <w:szCs w:val="24"/>
              </w:rPr>
            </w:pPr>
            <w:r>
              <w:rPr>
                <w:rFonts w:ascii="黑体" w:hAnsi="黑体" w:cs="黑体" w:eastAsia="黑体" w:hint="default"/>
                <w:sz w:val="24"/>
                <w:szCs w:val="24"/>
              </w:rPr>
              <w:t>固定资产</w:t>
            </w:r>
            <w:r>
              <w:rPr>
                <w:rFonts w:ascii="黑体" w:hAnsi="黑体" w:cs="黑体" w:eastAsia="黑体" w:hint="default"/>
                <w:sz w:val="24"/>
                <w:szCs w:val="24"/>
              </w:rPr>
              <w:t>(</w:t>
            </w:r>
            <w:r>
              <w:rPr>
                <w:rFonts w:ascii="黑体" w:hAnsi="黑体" w:cs="黑体" w:eastAsia="黑体" w:hint="default"/>
                <w:sz w:val="24"/>
                <w:szCs w:val="24"/>
              </w:rPr>
              <w:t>续</w:t>
            </w:r>
            <w:r>
              <w:rPr>
                <w:rFonts w:ascii="黑体" w:hAnsi="黑体" w:cs="黑体" w:eastAsia="黑体" w:hint="default"/>
                <w:sz w:val="24"/>
                <w:szCs w:val="24"/>
              </w:rPr>
              <w:t>)</w:t>
            </w:r>
          </w:p>
        </w:tc>
      </w:tr>
      <w:tr>
        <w:trPr>
          <w:trHeight w:val="2280" w:hRule="exact"/>
        </w:trPr>
        <w:tc>
          <w:tcPr>
            <w:tcW w:w="776" w:type="dxa"/>
            <w:tcBorders>
              <w:top w:val="nil" w:sz="6" w:space="0" w:color="auto"/>
              <w:left w:val="nil" w:sz="6" w:space="0" w:color="auto"/>
              <w:bottom w:val="nil" w:sz="6" w:space="0" w:color="auto"/>
              <w:right w:val="nil" w:sz="6" w:space="0" w:color="auto"/>
            </w:tcBorders>
          </w:tcPr>
          <w:p>
            <w:pPr/>
          </w:p>
        </w:tc>
        <w:tc>
          <w:tcPr>
            <w:tcW w:w="8462" w:type="dxa"/>
            <w:tcBorders>
              <w:top w:val="nil" w:sz="6" w:space="0" w:color="auto"/>
              <w:left w:val="nil" w:sz="6" w:space="0" w:color="auto"/>
              <w:bottom w:val="nil" w:sz="6" w:space="0" w:color="auto"/>
              <w:right w:val="nil" w:sz="6" w:space="0" w:color="auto"/>
            </w:tcBorders>
          </w:tcPr>
          <w:p>
            <w:pPr>
              <w:pStyle w:val="TableParagraph"/>
              <w:spacing w:line="320" w:lineRule="exact" w:before="145"/>
              <w:ind w:left="148"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年度固定资产计提的折旧金额约为人民币</w:t>
            </w:r>
            <w:r>
              <w:rPr>
                <w:rFonts w:ascii="宋体" w:hAnsi="宋体" w:cs="宋体" w:eastAsia="宋体" w:hint="default"/>
                <w:spacing w:val="-60"/>
                <w:sz w:val="24"/>
                <w:szCs w:val="24"/>
              </w:rPr>
              <w:t> </w:t>
            </w:r>
            <w:r>
              <w:rPr>
                <w:rFonts w:ascii="Arial" w:hAnsi="Arial" w:cs="Arial" w:eastAsia="Arial" w:hint="default"/>
                <w:sz w:val="24"/>
                <w:szCs w:val="24"/>
              </w:rPr>
              <w:t>5.52</w:t>
            </w:r>
            <w:r>
              <w:rPr>
                <w:rFonts w:ascii="Arial" w:hAnsi="Arial" w:cs="Arial" w:eastAsia="Arial" w:hint="default"/>
                <w:spacing w:val="-7"/>
                <w:sz w:val="24"/>
                <w:szCs w:val="24"/>
              </w:rPr>
              <w:t> </w:t>
            </w:r>
            <w:r>
              <w:rPr>
                <w:rFonts w:ascii="宋体" w:hAnsi="宋体" w:cs="宋体" w:eastAsia="宋体" w:hint="default"/>
                <w:spacing w:val="-3"/>
                <w:sz w:val="24"/>
                <w:szCs w:val="24"/>
              </w:rPr>
              <w:t>亿元</w:t>
            </w:r>
            <w:r>
              <w:rPr>
                <w:rFonts w:ascii="Arial" w:hAnsi="Arial" w:cs="Arial" w:eastAsia="Arial" w:hint="default"/>
                <w:spacing w:val="-3"/>
                <w:sz w:val="24"/>
                <w:szCs w:val="24"/>
              </w:rPr>
              <w:t>(2011</w:t>
            </w:r>
            <w:r>
              <w:rPr>
                <w:rFonts w:ascii="Arial" w:hAnsi="Arial" w:cs="Arial" w:eastAsia="Arial" w:hint="default"/>
                <w:spacing w:val="-7"/>
                <w:sz w:val="24"/>
                <w:szCs w:val="24"/>
              </w:rPr>
              <w:t> </w:t>
            </w:r>
            <w:r>
              <w:rPr>
                <w:rFonts w:ascii="宋体" w:hAnsi="宋体" w:cs="宋体" w:eastAsia="宋体" w:hint="default"/>
                <w:spacing w:val="-15"/>
                <w:sz w:val="24"/>
                <w:szCs w:val="24"/>
              </w:rPr>
              <w:t>年度：约人民</w:t>
            </w:r>
          </w:p>
          <w:p>
            <w:pPr>
              <w:pStyle w:val="TableParagraph"/>
              <w:spacing w:line="311" w:lineRule="exact"/>
              <w:ind w:left="148" w:right="0"/>
              <w:jc w:val="left"/>
              <w:rPr>
                <w:rFonts w:ascii="Arial" w:hAnsi="Arial" w:cs="Arial" w:eastAsia="Arial" w:hint="default"/>
                <w:sz w:val="24"/>
                <w:szCs w:val="24"/>
              </w:rPr>
            </w:pPr>
            <w:r>
              <w:rPr>
                <w:rFonts w:ascii="宋体" w:hAnsi="宋体" w:cs="宋体" w:eastAsia="宋体" w:hint="default"/>
                <w:sz w:val="24"/>
                <w:szCs w:val="24"/>
              </w:rPr>
              <w:t>币</w:t>
            </w:r>
            <w:r>
              <w:rPr>
                <w:rFonts w:ascii="宋体" w:hAnsi="宋体" w:cs="宋体" w:eastAsia="宋体" w:hint="default"/>
                <w:spacing w:val="-75"/>
                <w:sz w:val="24"/>
                <w:szCs w:val="24"/>
              </w:rPr>
              <w:t> </w:t>
            </w:r>
            <w:r>
              <w:rPr>
                <w:rFonts w:ascii="Arial" w:hAnsi="Arial" w:cs="Arial" w:eastAsia="Arial" w:hint="default"/>
                <w:w w:val="99"/>
                <w:sz w:val="24"/>
                <w:szCs w:val="24"/>
              </w:rPr>
              <w:t>3</w:t>
            </w:r>
            <w:r>
              <w:rPr>
                <w:rFonts w:ascii="Arial" w:hAnsi="Arial" w:cs="Arial" w:eastAsia="Arial" w:hint="default"/>
                <w:w w:val="100"/>
                <w:sz w:val="24"/>
                <w:szCs w:val="24"/>
              </w:rPr>
              <w:t>.</w:t>
            </w:r>
            <w:r>
              <w:rPr>
                <w:rFonts w:ascii="Arial" w:hAnsi="Arial" w:cs="Arial" w:eastAsia="Arial" w:hint="default"/>
                <w:spacing w:val="-1"/>
                <w:w w:val="100"/>
                <w:sz w:val="24"/>
                <w:szCs w:val="24"/>
              </w:rPr>
              <w:t>7</w:t>
            </w:r>
            <w:r>
              <w:rPr>
                <w:rFonts w:ascii="Arial" w:hAnsi="Arial" w:cs="Arial" w:eastAsia="Arial" w:hint="default"/>
                <w:w w:val="99"/>
                <w:sz w:val="24"/>
                <w:szCs w:val="24"/>
              </w:rPr>
              <w:t>5</w:t>
            </w:r>
            <w:r>
              <w:rPr>
                <w:rFonts w:ascii="Arial" w:hAnsi="Arial" w:cs="Arial" w:eastAsia="Arial" w:hint="default"/>
                <w:spacing w:val="-20"/>
                <w:sz w:val="24"/>
                <w:szCs w:val="24"/>
              </w:rPr>
              <w:t> </w:t>
            </w:r>
            <w:r>
              <w:rPr>
                <w:rFonts w:ascii="宋体" w:hAnsi="宋体" w:cs="宋体" w:eastAsia="宋体" w:hint="default"/>
                <w:sz w:val="24"/>
                <w:szCs w:val="24"/>
              </w:rPr>
              <w:t>亿元</w:t>
            </w:r>
            <w:r>
              <w:rPr>
                <w:rFonts w:ascii="Arial" w:hAnsi="Arial" w:cs="Arial" w:eastAsia="Arial" w:hint="default"/>
                <w:spacing w:val="-1"/>
                <w:sz w:val="24"/>
                <w:szCs w:val="24"/>
              </w:rPr>
              <w:t>)</w:t>
            </w:r>
            <w:r>
              <w:rPr>
                <w:rFonts w:ascii="宋体" w:hAnsi="宋体" w:cs="宋体" w:eastAsia="宋体" w:hint="default"/>
                <w:spacing w:val="-120"/>
                <w:sz w:val="24"/>
                <w:szCs w:val="24"/>
              </w:rPr>
              <w:t>，</w:t>
            </w:r>
            <w:r>
              <w:rPr>
                <w:rFonts w:ascii="宋体" w:hAnsi="宋体" w:cs="宋体" w:eastAsia="宋体" w:hint="default"/>
                <w:sz w:val="24"/>
                <w:szCs w:val="24"/>
              </w:rPr>
              <w:t>其中计入销售费用及管理费用的折旧费用分别约为人民币</w:t>
            </w:r>
            <w:r>
              <w:rPr>
                <w:rFonts w:ascii="宋体" w:hAnsi="宋体" w:cs="宋体" w:eastAsia="宋体" w:hint="default"/>
                <w:spacing w:val="-74"/>
                <w:sz w:val="24"/>
                <w:szCs w:val="24"/>
              </w:rPr>
              <w:t> </w:t>
            </w:r>
            <w:r>
              <w:rPr>
                <w:rFonts w:ascii="Arial" w:hAnsi="Arial" w:cs="Arial" w:eastAsia="Arial" w:hint="default"/>
                <w:w w:val="99"/>
                <w:sz w:val="24"/>
                <w:szCs w:val="24"/>
              </w:rPr>
              <w:t>3</w:t>
            </w:r>
            <w:r>
              <w:rPr>
                <w:rFonts w:ascii="Arial" w:hAnsi="Arial" w:cs="Arial" w:eastAsia="Arial" w:hint="default"/>
                <w:w w:val="100"/>
                <w:sz w:val="24"/>
                <w:szCs w:val="24"/>
              </w:rPr>
              <w:t>.</w:t>
            </w:r>
            <w:r>
              <w:rPr>
                <w:rFonts w:ascii="Arial" w:hAnsi="Arial" w:cs="Arial" w:eastAsia="Arial" w:hint="default"/>
                <w:spacing w:val="1"/>
                <w:w w:val="100"/>
                <w:sz w:val="24"/>
                <w:szCs w:val="24"/>
              </w:rPr>
              <w:t>2</w:t>
            </w:r>
            <w:r>
              <w:rPr>
                <w:rFonts w:ascii="Arial" w:hAnsi="Arial" w:cs="Arial" w:eastAsia="Arial" w:hint="default"/>
                <w:w w:val="99"/>
                <w:sz w:val="24"/>
                <w:szCs w:val="24"/>
              </w:rPr>
              <w:t>2</w:t>
            </w:r>
            <w:r>
              <w:rPr>
                <w:rFonts w:ascii="Arial" w:hAnsi="Arial" w:cs="Arial" w:eastAsia="Arial" w:hint="default"/>
                <w:sz w:val="24"/>
                <w:szCs w:val="24"/>
              </w:rPr>
            </w:r>
          </w:p>
          <w:p>
            <w:pPr>
              <w:pStyle w:val="TableParagraph"/>
              <w:spacing w:line="322" w:lineRule="exact"/>
              <w:ind w:left="148" w:right="0"/>
              <w:jc w:val="left"/>
              <w:rPr>
                <w:rFonts w:ascii="宋体" w:hAnsi="宋体" w:cs="宋体" w:eastAsia="宋体" w:hint="default"/>
                <w:sz w:val="24"/>
                <w:szCs w:val="24"/>
              </w:rPr>
            </w:pPr>
            <w:r>
              <w:rPr>
                <w:rFonts w:ascii="宋体" w:hAnsi="宋体" w:cs="宋体" w:eastAsia="宋体" w:hint="default"/>
                <w:sz w:val="24"/>
                <w:szCs w:val="24"/>
              </w:rPr>
              <w:t>亿元及人民币</w:t>
            </w:r>
            <w:r>
              <w:rPr>
                <w:rFonts w:ascii="宋体" w:hAnsi="宋体" w:cs="宋体" w:eastAsia="宋体" w:hint="default"/>
                <w:spacing w:val="-79"/>
                <w:sz w:val="24"/>
                <w:szCs w:val="24"/>
              </w:rPr>
              <w:t> </w:t>
            </w:r>
            <w:r>
              <w:rPr>
                <w:rFonts w:ascii="Arial" w:hAnsi="Arial" w:cs="Arial" w:eastAsia="Arial" w:hint="default"/>
                <w:w w:val="99"/>
                <w:sz w:val="24"/>
                <w:szCs w:val="24"/>
              </w:rPr>
              <w:t>2</w:t>
            </w:r>
            <w:r>
              <w:rPr>
                <w:rFonts w:ascii="Arial" w:hAnsi="Arial" w:cs="Arial" w:eastAsia="Arial" w:hint="default"/>
                <w:w w:val="100"/>
                <w:sz w:val="24"/>
                <w:szCs w:val="24"/>
              </w:rPr>
              <w:t>.</w:t>
            </w:r>
            <w:r>
              <w:rPr>
                <w:rFonts w:ascii="Arial" w:hAnsi="Arial" w:cs="Arial" w:eastAsia="Arial" w:hint="default"/>
                <w:spacing w:val="1"/>
                <w:w w:val="100"/>
                <w:sz w:val="24"/>
                <w:szCs w:val="24"/>
              </w:rPr>
              <w:t>3</w:t>
            </w:r>
            <w:r>
              <w:rPr>
                <w:rFonts w:ascii="Arial" w:hAnsi="Arial" w:cs="Arial" w:eastAsia="Arial" w:hint="default"/>
                <w:w w:val="99"/>
                <w:sz w:val="24"/>
                <w:szCs w:val="24"/>
              </w:rPr>
              <w:t>0</w:t>
            </w:r>
            <w:r>
              <w:rPr>
                <w:rFonts w:ascii="Arial" w:hAnsi="Arial" w:cs="Arial" w:eastAsia="Arial" w:hint="default"/>
                <w:spacing w:val="-25"/>
                <w:sz w:val="24"/>
                <w:szCs w:val="24"/>
              </w:rPr>
              <w:t> </w:t>
            </w:r>
            <w:r>
              <w:rPr>
                <w:rFonts w:ascii="宋体" w:hAnsi="宋体" w:cs="宋体" w:eastAsia="宋体" w:hint="default"/>
                <w:spacing w:val="-3"/>
                <w:sz w:val="24"/>
                <w:szCs w:val="24"/>
              </w:rPr>
              <w:t>亿</w:t>
            </w:r>
            <w:r>
              <w:rPr>
                <w:rFonts w:ascii="宋体" w:hAnsi="宋体" w:cs="宋体" w:eastAsia="宋体" w:hint="default"/>
                <w:sz w:val="24"/>
                <w:szCs w:val="24"/>
              </w:rPr>
              <w:t>元</w:t>
            </w:r>
            <w:r>
              <w:rPr>
                <w:rFonts w:ascii="Arial" w:hAnsi="Arial" w:cs="Arial" w:eastAsia="Arial" w:hint="default"/>
                <w:w w:val="99"/>
                <w:sz w:val="24"/>
                <w:szCs w:val="24"/>
              </w:rPr>
              <w:t>(20</w:t>
            </w:r>
            <w:r>
              <w:rPr>
                <w:rFonts w:ascii="Arial" w:hAnsi="Arial" w:cs="Arial" w:eastAsia="Arial" w:hint="default"/>
                <w:spacing w:val="-19"/>
                <w:w w:val="99"/>
                <w:sz w:val="24"/>
                <w:szCs w:val="24"/>
              </w:rPr>
              <w:t>1</w:t>
            </w:r>
            <w:r>
              <w:rPr>
                <w:rFonts w:ascii="Arial" w:hAnsi="Arial" w:cs="Arial" w:eastAsia="Arial" w:hint="default"/>
                <w:w w:val="99"/>
                <w:sz w:val="24"/>
                <w:szCs w:val="24"/>
              </w:rPr>
              <w:t>1</w:t>
            </w:r>
            <w:r>
              <w:rPr>
                <w:rFonts w:ascii="Arial" w:hAnsi="Arial" w:cs="Arial" w:eastAsia="Arial" w:hint="default"/>
                <w:spacing w:val="-25"/>
                <w:sz w:val="24"/>
                <w:szCs w:val="24"/>
              </w:rPr>
              <w:t> </w:t>
            </w:r>
            <w:r>
              <w:rPr>
                <w:rFonts w:ascii="宋体" w:hAnsi="宋体" w:cs="宋体" w:eastAsia="宋体" w:hint="default"/>
                <w:sz w:val="24"/>
                <w:szCs w:val="24"/>
              </w:rPr>
              <w:t>年度</w:t>
            </w:r>
            <w:r>
              <w:rPr>
                <w:rFonts w:ascii="宋体" w:hAnsi="宋体" w:cs="宋体" w:eastAsia="宋体" w:hint="default"/>
                <w:spacing w:val="-120"/>
                <w:sz w:val="24"/>
                <w:szCs w:val="24"/>
              </w:rPr>
              <w:t>：</w:t>
            </w:r>
            <w:r>
              <w:rPr>
                <w:rFonts w:ascii="宋体" w:hAnsi="宋体" w:cs="宋体" w:eastAsia="宋体" w:hint="default"/>
                <w:sz w:val="24"/>
                <w:szCs w:val="24"/>
              </w:rPr>
              <w:t>约人</w:t>
            </w:r>
            <w:r>
              <w:rPr>
                <w:rFonts w:ascii="宋体" w:hAnsi="宋体" w:cs="宋体" w:eastAsia="宋体" w:hint="default"/>
                <w:spacing w:val="-3"/>
                <w:sz w:val="24"/>
                <w:szCs w:val="24"/>
              </w:rPr>
              <w:t>民</w:t>
            </w:r>
            <w:r>
              <w:rPr>
                <w:rFonts w:ascii="宋体" w:hAnsi="宋体" w:cs="宋体" w:eastAsia="宋体" w:hint="default"/>
                <w:sz w:val="24"/>
                <w:szCs w:val="24"/>
              </w:rPr>
              <w:t>币</w:t>
            </w:r>
            <w:r>
              <w:rPr>
                <w:rFonts w:ascii="宋体" w:hAnsi="宋体" w:cs="宋体" w:eastAsia="宋体" w:hint="default"/>
                <w:spacing w:val="-79"/>
                <w:sz w:val="24"/>
                <w:szCs w:val="24"/>
              </w:rPr>
              <w:t> </w:t>
            </w:r>
            <w:r>
              <w:rPr>
                <w:rFonts w:ascii="Arial" w:hAnsi="Arial" w:cs="Arial" w:eastAsia="Arial" w:hint="default"/>
                <w:sz w:val="24"/>
                <w:szCs w:val="24"/>
              </w:rPr>
              <w:t>2.</w:t>
            </w:r>
            <w:r>
              <w:rPr>
                <w:rFonts w:ascii="Arial" w:hAnsi="Arial" w:cs="Arial" w:eastAsia="Arial" w:hint="default"/>
                <w:w w:val="99"/>
                <w:sz w:val="24"/>
                <w:szCs w:val="24"/>
              </w:rPr>
              <w:t>4</w:t>
            </w:r>
            <w:r>
              <w:rPr>
                <w:rFonts w:ascii="Arial" w:hAnsi="Arial" w:cs="Arial" w:eastAsia="Arial" w:hint="default"/>
                <w:spacing w:val="-25"/>
                <w:sz w:val="24"/>
                <w:szCs w:val="24"/>
              </w:rPr>
              <w:t> </w:t>
            </w:r>
            <w:r>
              <w:rPr>
                <w:rFonts w:ascii="宋体" w:hAnsi="宋体" w:cs="宋体" w:eastAsia="宋体" w:hint="default"/>
                <w:sz w:val="24"/>
                <w:szCs w:val="24"/>
              </w:rPr>
              <w:t>亿元及约人民币</w:t>
            </w:r>
            <w:r>
              <w:rPr>
                <w:rFonts w:ascii="宋体" w:hAnsi="宋体" w:cs="宋体" w:eastAsia="宋体" w:hint="default"/>
                <w:spacing w:val="-81"/>
                <w:sz w:val="24"/>
                <w:szCs w:val="24"/>
              </w:rPr>
              <w:t> </w:t>
            </w:r>
            <w:r>
              <w:rPr>
                <w:rFonts w:ascii="Arial" w:hAnsi="Arial" w:cs="Arial" w:eastAsia="Arial" w:hint="default"/>
                <w:w w:val="99"/>
                <w:sz w:val="24"/>
                <w:szCs w:val="24"/>
              </w:rPr>
              <w:t>1</w:t>
            </w:r>
            <w:r>
              <w:rPr>
                <w:rFonts w:ascii="Arial" w:hAnsi="Arial" w:cs="Arial" w:eastAsia="Arial" w:hint="default"/>
                <w:w w:val="100"/>
                <w:sz w:val="24"/>
                <w:szCs w:val="24"/>
              </w:rPr>
              <w:t>.</w:t>
            </w:r>
            <w:r>
              <w:rPr>
                <w:rFonts w:ascii="Arial" w:hAnsi="Arial" w:cs="Arial" w:eastAsia="Arial" w:hint="default"/>
                <w:spacing w:val="1"/>
                <w:w w:val="100"/>
                <w:sz w:val="24"/>
                <w:szCs w:val="24"/>
              </w:rPr>
              <w:t>3</w:t>
            </w:r>
            <w:r>
              <w:rPr>
                <w:rFonts w:ascii="Arial" w:hAnsi="Arial" w:cs="Arial" w:eastAsia="Arial" w:hint="default"/>
                <w:w w:val="99"/>
                <w:sz w:val="24"/>
                <w:szCs w:val="24"/>
              </w:rPr>
              <w:t>5</w:t>
            </w:r>
            <w:r>
              <w:rPr>
                <w:rFonts w:ascii="Arial" w:hAnsi="Arial" w:cs="Arial" w:eastAsia="Arial" w:hint="default"/>
                <w:spacing w:val="-25"/>
                <w:sz w:val="24"/>
                <w:szCs w:val="24"/>
              </w:rPr>
              <w:t> </w:t>
            </w:r>
            <w:r>
              <w:rPr>
                <w:rFonts w:ascii="宋体" w:hAnsi="宋体" w:cs="宋体" w:eastAsia="宋体" w:hint="default"/>
                <w:sz w:val="24"/>
                <w:szCs w:val="24"/>
              </w:rPr>
              <w:t>亿元</w:t>
            </w:r>
            <w:r>
              <w:rPr>
                <w:rFonts w:ascii="Arial" w:hAnsi="Arial" w:cs="Arial" w:eastAsia="Arial" w:hint="default"/>
                <w:spacing w:val="-1"/>
                <w:sz w:val="24"/>
                <w:szCs w:val="24"/>
              </w:rPr>
              <w:t>)</w:t>
            </w:r>
            <w:r>
              <w:rPr>
                <w:rFonts w:ascii="宋体" w:hAnsi="宋体" w:cs="宋体" w:eastAsia="宋体" w:hint="default"/>
                <w:sz w:val="24"/>
                <w:szCs w:val="24"/>
              </w:rPr>
              <w:t>。</w:t>
            </w: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320" w:lineRule="exact"/>
              <w:ind w:left="148"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3"/>
                <w:sz w:val="24"/>
                <w:szCs w:val="24"/>
              </w:rPr>
              <w:t> </w:t>
            </w:r>
            <w:r>
              <w:rPr>
                <w:rFonts w:ascii="宋体" w:hAnsi="宋体" w:cs="宋体" w:eastAsia="宋体" w:hint="default"/>
                <w:sz w:val="24"/>
                <w:szCs w:val="24"/>
              </w:rPr>
              <w:t>年度由在建工程转入固定资产的原价约人民币</w:t>
            </w:r>
            <w:r>
              <w:rPr>
                <w:rFonts w:ascii="宋体" w:hAnsi="宋体" w:cs="宋体" w:eastAsia="宋体" w:hint="default"/>
                <w:spacing w:val="-57"/>
                <w:sz w:val="24"/>
                <w:szCs w:val="24"/>
              </w:rPr>
              <w:t> </w:t>
            </w:r>
            <w:r>
              <w:rPr>
                <w:rFonts w:ascii="Arial" w:hAnsi="Arial" w:cs="Arial" w:eastAsia="Arial" w:hint="default"/>
                <w:sz w:val="24"/>
                <w:szCs w:val="24"/>
              </w:rPr>
              <w:t>12.52</w:t>
            </w:r>
            <w:r>
              <w:rPr>
                <w:rFonts w:ascii="Arial" w:hAnsi="Arial" w:cs="Arial" w:eastAsia="Arial" w:hint="default"/>
                <w:spacing w:val="-3"/>
                <w:sz w:val="24"/>
                <w:szCs w:val="24"/>
              </w:rPr>
              <w:t> </w:t>
            </w:r>
            <w:r>
              <w:rPr>
                <w:rFonts w:ascii="宋体" w:hAnsi="宋体" w:cs="宋体" w:eastAsia="宋体" w:hint="default"/>
                <w:spacing w:val="-3"/>
                <w:sz w:val="24"/>
                <w:szCs w:val="24"/>
              </w:rPr>
              <w:t>亿元</w:t>
            </w:r>
            <w:r>
              <w:rPr>
                <w:rFonts w:ascii="Arial" w:hAnsi="Arial" w:cs="Arial" w:eastAsia="Arial" w:hint="default"/>
                <w:spacing w:val="-3"/>
                <w:sz w:val="24"/>
                <w:szCs w:val="24"/>
              </w:rPr>
              <w:t>(2011 </w:t>
            </w:r>
            <w:r>
              <w:rPr>
                <w:rFonts w:ascii="宋体" w:hAnsi="宋体" w:cs="宋体" w:eastAsia="宋体" w:hint="default"/>
                <w:sz w:val="24"/>
                <w:szCs w:val="24"/>
              </w:rPr>
              <w:t>年度：</w:t>
            </w:r>
          </w:p>
          <w:p>
            <w:pPr>
              <w:pStyle w:val="TableParagraph"/>
              <w:spacing w:line="320" w:lineRule="exact"/>
              <w:ind w:left="148" w:right="0"/>
              <w:jc w:val="left"/>
              <w:rPr>
                <w:rFonts w:ascii="宋体" w:hAnsi="宋体" w:cs="宋体" w:eastAsia="宋体" w:hint="default"/>
                <w:sz w:val="24"/>
                <w:szCs w:val="24"/>
              </w:rPr>
            </w:pPr>
            <w:r>
              <w:rPr>
                <w:rFonts w:ascii="宋体" w:hAnsi="宋体" w:cs="宋体" w:eastAsia="宋体" w:hint="default"/>
                <w:sz w:val="24"/>
                <w:szCs w:val="24"/>
              </w:rPr>
              <w:t>约人民币</w:t>
            </w:r>
            <w:r>
              <w:rPr>
                <w:rFonts w:ascii="宋体" w:hAnsi="宋体" w:cs="宋体" w:eastAsia="宋体" w:hint="default"/>
                <w:spacing w:val="-62"/>
                <w:sz w:val="24"/>
                <w:szCs w:val="24"/>
              </w:rPr>
              <w:t> </w:t>
            </w:r>
            <w:r>
              <w:rPr>
                <w:rFonts w:ascii="Arial" w:hAnsi="Arial" w:cs="Arial" w:eastAsia="Arial" w:hint="default"/>
                <w:sz w:val="24"/>
                <w:szCs w:val="24"/>
              </w:rPr>
              <w:t>25.94</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1019"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00" w:right="0"/>
              <w:jc w:val="left"/>
              <w:rPr>
                <w:rFonts w:ascii="Arial" w:hAnsi="Arial" w:cs="Arial" w:eastAsia="Arial" w:hint="default"/>
                <w:sz w:val="24"/>
                <w:szCs w:val="24"/>
              </w:rPr>
            </w:pPr>
            <w:r>
              <w:rPr>
                <w:rFonts w:ascii="Arial"/>
                <w:sz w:val="24"/>
              </w:rPr>
              <w:t>(a)</w:t>
            </w:r>
          </w:p>
        </w:tc>
        <w:tc>
          <w:tcPr>
            <w:tcW w:w="8462" w:type="dxa"/>
            <w:tcBorders>
              <w:top w:val="nil" w:sz="6" w:space="0" w:color="auto"/>
              <w:left w:val="nil" w:sz="6" w:space="0" w:color="auto"/>
              <w:bottom w:val="nil" w:sz="6" w:space="0" w:color="auto"/>
              <w:right w:val="nil" w:sz="6" w:space="0" w:color="auto"/>
            </w:tcBorders>
          </w:tcPr>
          <w:p>
            <w:pPr>
              <w:pStyle w:val="TableParagraph"/>
              <w:spacing w:line="312" w:lineRule="exact" w:before="174"/>
              <w:ind w:left="148" w:right="322"/>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2"/>
                <w:sz w:val="24"/>
                <w:szCs w:val="24"/>
              </w:rPr>
              <w:t> </w:t>
            </w:r>
            <w:r>
              <w:rPr>
                <w:rFonts w:ascii="Arial" w:hAnsi="Arial" w:cs="Arial" w:eastAsia="Arial" w:hint="default"/>
                <w:sz w:val="24"/>
                <w:szCs w:val="24"/>
              </w:rPr>
              <w:t>2012</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Arial" w:hAnsi="Arial" w:cs="Arial" w:eastAsia="Arial" w:hint="default"/>
                <w:sz w:val="24"/>
                <w:szCs w:val="24"/>
              </w:rPr>
              <w:t>12</w:t>
            </w:r>
            <w:r>
              <w:rPr>
                <w:rFonts w:ascii="Arial" w:hAnsi="Arial" w:cs="Arial" w:eastAsia="Arial"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日和</w:t>
            </w:r>
            <w:r>
              <w:rPr>
                <w:rFonts w:ascii="宋体" w:hAnsi="宋体" w:cs="宋体" w:eastAsia="宋体" w:hint="default"/>
                <w:spacing w:val="-52"/>
                <w:sz w:val="24"/>
                <w:szCs w:val="24"/>
              </w:rPr>
              <w:t> </w:t>
            </w:r>
            <w:r>
              <w:rPr>
                <w:rFonts w:ascii="Arial" w:hAnsi="Arial" w:cs="Arial" w:eastAsia="Arial" w:hint="default"/>
                <w:spacing w:val="-5"/>
                <w:sz w:val="24"/>
                <w:szCs w:val="24"/>
              </w:rPr>
              <w:t>2011</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12</w:t>
            </w:r>
            <w:r>
              <w:rPr>
                <w:rFonts w:ascii="Arial" w:hAnsi="Arial" w:cs="Arial" w:eastAsia="Arial"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日，本集团无重大闲置的固定资 产。</w:t>
            </w:r>
          </w:p>
        </w:tc>
      </w:tr>
      <w:tr>
        <w:trPr>
          <w:trHeight w:val="1431"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8462" w:type="dxa"/>
            <w:tcBorders>
              <w:top w:val="nil" w:sz="6" w:space="0" w:color="auto"/>
              <w:left w:val="nil" w:sz="6" w:space="0" w:color="auto"/>
              <w:bottom w:val="nil" w:sz="6" w:space="0" w:color="auto"/>
              <w:right w:val="nil" w:sz="6" w:space="0" w:color="auto"/>
            </w:tcBorders>
          </w:tcPr>
          <w:p>
            <w:pPr>
              <w:pStyle w:val="TableParagraph"/>
              <w:spacing w:line="322" w:lineRule="exact" w:before="183"/>
              <w:ind w:left="148"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w w:val="99"/>
                <w:sz w:val="24"/>
                <w:szCs w:val="24"/>
              </w:rPr>
              <w:t>20</w:t>
            </w:r>
            <w:r>
              <w:rPr>
                <w:rFonts w:ascii="Arial" w:hAnsi="Arial" w:cs="Arial" w:eastAsia="Arial" w:hint="default"/>
                <w:spacing w:val="-2"/>
                <w:w w:val="99"/>
                <w:sz w:val="24"/>
                <w:szCs w:val="24"/>
              </w:rPr>
              <w:t>1</w:t>
            </w:r>
            <w:r>
              <w:rPr>
                <w:rFonts w:ascii="Arial" w:hAnsi="Arial" w:cs="Arial" w:eastAsia="Arial" w:hint="default"/>
                <w:w w:val="99"/>
                <w:sz w:val="24"/>
                <w:szCs w:val="24"/>
              </w:rPr>
              <w:t>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w w:val="99"/>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w w:val="99"/>
                <w:sz w:val="24"/>
                <w:szCs w:val="24"/>
              </w:rPr>
              <w:t>31</w:t>
            </w:r>
            <w:r>
              <w:rPr>
                <w:rFonts w:ascii="Arial" w:hAnsi="Arial" w:cs="Arial" w:eastAsia="Arial" w:hint="default"/>
                <w:spacing w:val="-6"/>
                <w:sz w:val="24"/>
                <w:szCs w:val="24"/>
              </w:rPr>
              <w:t> </w:t>
            </w:r>
            <w:r>
              <w:rPr>
                <w:rFonts w:ascii="宋体" w:hAnsi="宋体" w:cs="宋体" w:eastAsia="宋体" w:hint="default"/>
                <w:spacing w:val="-3"/>
                <w:sz w:val="24"/>
                <w:szCs w:val="24"/>
              </w:rPr>
              <w:t>日</w:t>
            </w:r>
            <w:r>
              <w:rPr>
                <w:rFonts w:ascii="宋体" w:hAnsi="宋体" w:cs="宋体" w:eastAsia="宋体" w:hint="default"/>
                <w:spacing w:val="-113"/>
                <w:sz w:val="24"/>
                <w:szCs w:val="24"/>
              </w:rPr>
              <w:t>，</w:t>
            </w:r>
            <w:r>
              <w:rPr>
                <w:rFonts w:ascii="宋体" w:hAnsi="宋体" w:cs="宋体" w:eastAsia="宋体" w:hint="default"/>
                <w:sz w:val="24"/>
                <w:szCs w:val="24"/>
              </w:rPr>
              <w:t>账面价值约为人民币</w:t>
            </w:r>
            <w:r>
              <w:rPr>
                <w:rFonts w:ascii="宋体" w:hAnsi="宋体" w:cs="宋体" w:eastAsia="宋体" w:hint="default"/>
                <w:spacing w:val="-60"/>
                <w:sz w:val="24"/>
                <w:szCs w:val="24"/>
              </w:rPr>
              <w:t> </w:t>
            </w:r>
            <w:r>
              <w:rPr>
                <w:rFonts w:ascii="Arial" w:hAnsi="Arial" w:cs="Arial" w:eastAsia="Arial" w:hint="default"/>
                <w:w w:val="99"/>
                <w:sz w:val="24"/>
                <w:szCs w:val="24"/>
              </w:rPr>
              <w:t>14</w:t>
            </w:r>
            <w:r>
              <w:rPr>
                <w:rFonts w:ascii="Arial" w:hAnsi="Arial" w:cs="Arial" w:eastAsia="Arial" w:hint="default"/>
                <w:w w:val="100"/>
                <w:sz w:val="24"/>
                <w:szCs w:val="24"/>
              </w:rPr>
              <w:t>.</w:t>
            </w:r>
            <w:r>
              <w:rPr>
                <w:rFonts w:ascii="Arial" w:hAnsi="Arial" w:cs="Arial" w:eastAsia="Arial" w:hint="default"/>
                <w:spacing w:val="-1"/>
                <w:w w:val="100"/>
                <w:sz w:val="24"/>
                <w:szCs w:val="24"/>
              </w:rPr>
              <w:t>8</w:t>
            </w:r>
            <w:r>
              <w:rPr>
                <w:rFonts w:ascii="Arial" w:hAnsi="Arial" w:cs="Arial" w:eastAsia="Arial" w:hint="default"/>
                <w:w w:val="99"/>
                <w:sz w:val="24"/>
                <w:szCs w:val="24"/>
              </w:rPr>
              <w:t>9</w:t>
            </w:r>
            <w:r>
              <w:rPr>
                <w:rFonts w:ascii="Arial" w:hAnsi="Arial" w:cs="Arial" w:eastAsia="Arial" w:hint="default"/>
                <w:spacing w:val="-6"/>
                <w:sz w:val="24"/>
                <w:szCs w:val="24"/>
              </w:rPr>
              <w:t> </w:t>
            </w:r>
            <w:r>
              <w:rPr>
                <w:rFonts w:ascii="宋体" w:hAnsi="宋体" w:cs="宋体" w:eastAsia="宋体" w:hint="default"/>
                <w:sz w:val="24"/>
                <w:szCs w:val="24"/>
              </w:rPr>
              <w:t>亿元</w:t>
            </w:r>
            <w:r>
              <w:rPr>
                <w:rFonts w:ascii="Arial" w:hAnsi="Arial" w:cs="Arial" w:eastAsia="Arial" w:hint="default"/>
                <w:spacing w:val="-1"/>
                <w:sz w:val="24"/>
                <w:szCs w:val="24"/>
              </w:rPr>
              <w:t>(</w:t>
            </w:r>
            <w:r>
              <w:rPr>
                <w:rFonts w:ascii="宋体" w:hAnsi="宋体" w:cs="宋体" w:eastAsia="宋体" w:hint="default"/>
                <w:sz w:val="24"/>
                <w:szCs w:val="24"/>
              </w:rPr>
              <w:t>原价约人民币</w:t>
            </w:r>
            <w:r>
              <w:rPr>
                <w:rFonts w:ascii="宋体" w:hAnsi="宋体" w:cs="宋体" w:eastAsia="宋体" w:hint="default"/>
                <w:spacing w:val="-60"/>
                <w:sz w:val="24"/>
                <w:szCs w:val="24"/>
              </w:rPr>
              <w:t> </w:t>
            </w:r>
            <w:r>
              <w:rPr>
                <w:rFonts w:ascii="Arial" w:hAnsi="Arial" w:cs="Arial" w:eastAsia="Arial" w:hint="default"/>
                <w:sz w:val="24"/>
                <w:szCs w:val="24"/>
              </w:rPr>
              <w:t>15.</w:t>
            </w:r>
            <w:r>
              <w:rPr>
                <w:rFonts w:ascii="Arial" w:hAnsi="Arial" w:cs="Arial" w:eastAsia="Arial" w:hint="default"/>
                <w:spacing w:val="-2"/>
                <w:w w:val="99"/>
                <w:sz w:val="24"/>
                <w:szCs w:val="24"/>
              </w:rPr>
              <w:t>2</w:t>
            </w:r>
            <w:r>
              <w:rPr>
                <w:rFonts w:ascii="Arial" w:hAnsi="Arial" w:cs="Arial" w:eastAsia="Arial" w:hint="default"/>
                <w:w w:val="99"/>
                <w:sz w:val="24"/>
                <w:szCs w:val="24"/>
              </w:rPr>
              <w:t>7</w:t>
            </w:r>
            <w:r>
              <w:rPr>
                <w:rFonts w:ascii="Arial" w:hAnsi="Arial" w:cs="Arial" w:eastAsia="Arial" w:hint="default"/>
                <w:sz w:val="24"/>
                <w:szCs w:val="24"/>
              </w:rPr>
            </w:r>
          </w:p>
          <w:p>
            <w:pPr>
              <w:pStyle w:val="TableParagraph"/>
              <w:spacing w:line="311" w:lineRule="exact"/>
              <w:ind w:left="148" w:right="0"/>
              <w:jc w:val="left"/>
              <w:rPr>
                <w:rFonts w:ascii="宋体" w:hAnsi="宋体" w:cs="宋体" w:eastAsia="宋体" w:hint="default"/>
                <w:sz w:val="24"/>
                <w:szCs w:val="24"/>
              </w:rPr>
            </w:pP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的房屋及建筑物</w:t>
            </w:r>
            <w:r>
              <w:rPr>
                <w:rFonts w:ascii="Arial" w:hAnsi="Arial" w:cs="Arial" w:eastAsia="Arial" w:hint="default"/>
                <w:sz w:val="24"/>
                <w:szCs w:val="24"/>
              </w:rPr>
              <w:t>(2011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日：账面价值约人民币</w:t>
            </w:r>
            <w:r>
              <w:rPr>
                <w:rFonts w:ascii="宋体" w:hAnsi="宋体" w:cs="宋体" w:eastAsia="宋体" w:hint="default"/>
                <w:spacing w:val="-54"/>
                <w:sz w:val="24"/>
                <w:szCs w:val="24"/>
              </w:rPr>
              <w:t> </w:t>
            </w:r>
            <w:r>
              <w:rPr>
                <w:rFonts w:ascii="Arial" w:hAnsi="Arial" w:cs="Arial" w:eastAsia="Arial" w:hint="default"/>
                <w:sz w:val="24"/>
                <w:szCs w:val="24"/>
              </w:rPr>
              <w:t>22.75 </w:t>
            </w:r>
            <w:r>
              <w:rPr>
                <w:rFonts w:ascii="宋体" w:hAnsi="宋体" w:cs="宋体" w:eastAsia="宋体" w:hint="default"/>
                <w:sz w:val="24"/>
                <w:szCs w:val="24"/>
              </w:rPr>
              <w:t>亿元、</w:t>
            </w:r>
          </w:p>
          <w:p>
            <w:pPr>
              <w:pStyle w:val="TableParagraph"/>
              <w:spacing w:line="312" w:lineRule="exact" w:before="20"/>
              <w:ind w:left="148" w:right="250"/>
              <w:jc w:val="left"/>
              <w:rPr>
                <w:rFonts w:ascii="宋体" w:hAnsi="宋体" w:cs="宋体" w:eastAsia="宋体" w:hint="default"/>
                <w:sz w:val="24"/>
                <w:szCs w:val="24"/>
              </w:rPr>
            </w:pPr>
            <w:r>
              <w:rPr>
                <w:rFonts w:ascii="宋体" w:hAnsi="宋体" w:cs="宋体" w:eastAsia="宋体" w:hint="default"/>
                <w:sz w:val="24"/>
                <w:szCs w:val="24"/>
              </w:rPr>
              <w:t>原价约人民币</w:t>
            </w:r>
            <w:r>
              <w:rPr>
                <w:rFonts w:ascii="宋体" w:hAnsi="宋体" w:cs="宋体" w:eastAsia="宋体" w:hint="default"/>
                <w:spacing w:val="-57"/>
                <w:sz w:val="24"/>
                <w:szCs w:val="24"/>
              </w:rPr>
              <w:t> </w:t>
            </w:r>
            <w:r>
              <w:rPr>
                <w:rFonts w:ascii="Arial" w:hAnsi="Arial" w:cs="Arial" w:eastAsia="Arial" w:hint="default"/>
                <w:sz w:val="24"/>
                <w:szCs w:val="24"/>
              </w:rPr>
              <w:t>23.2</w:t>
            </w:r>
            <w:r>
              <w:rPr>
                <w:rFonts w:ascii="Arial" w:hAnsi="Arial" w:cs="Arial" w:eastAsia="Arial" w:hint="default"/>
                <w:spacing w:val="-3"/>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由于手续原因尚未取得房屋权证，预计在</w:t>
            </w:r>
            <w:r>
              <w:rPr>
                <w:rFonts w:ascii="宋体" w:hAnsi="宋体" w:cs="宋体" w:eastAsia="宋体" w:hint="default"/>
                <w:spacing w:val="-57"/>
                <w:sz w:val="24"/>
                <w:szCs w:val="24"/>
              </w:rPr>
              <w:t> </w:t>
            </w:r>
            <w:r>
              <w:rPr>
                <w:rFonts w:ascii="Arial" w:hAnsi="Arial" w:cs="Arial" w:eastAsia="Arial" w:hint="default"/>
                <w:sz w:val="24"/>
                <w:szCs w:val="24"/>
              </w:rPr>
              <w:t>2013</w:t>
            </w:r>
            <w:r>
              <w:rPr>
                <w:rFonts w:ascii="Arial" w:hAnsi="Arial" w:cs="Arial" w:eastAsia="Arial" w:hint="default"/>
                <w:spacing w:val="-3"/>
                <w:sz w:val="24"/>
                <w:szCs w:val="24"/>
              </w:rPr>
              <w:t> </w:t>
            </w:r>
            <w:r>
              <w:rPr>
                <w:rFonts w:ascii="宋体" w:hAnsi="宋体" w:cs="宋体" w:eastAsia="宋体" w:hint="default"/>
                <w:sz w:val="24"/>
                <w:szCs w:val="24"/>
              </w:rPr>
              <w:t>年取 得房产权证。</w:t>
            </w:r>
          </w:p>
        </w:tc>
      </w:tr>
    </w:tbl>
    <w:p>
      <w:pPr>
        <w:spacing w:after="0" w:line="312" w:lineRule="exact"/>
        <w:jc w:val="left"/>
        <w:rPr>
          <w:rFonts w:ascii="宋体" w:hAnsi="宋体" w:cs="宋体" w:eastAsia="宋体" w:hint="default"/>
          <w:sz w:val="24"/>
          <w:szCs w:val="24"/>
        </w:rPr>
        <w:sectPr>
          <w:footerReference w:type="default" r:id="rId83"/>
          <w:pgSz w:w="11910" w:h="16850"/>
          <w:pgMar w:footer="1340" w:header="0" w:top="2020" w:bottom="1540" w:left="1420" w:right="0"/>
          <w:pgNumType w:start="157"/>
        </w:sectPr>
      </w:pPr>
    </w:p>
    <w:p>
      <w:pPr>
        <w:spacing w:line="240" w:lineRule="auto" w:before="0"/>
        <w:rPr>
          <w:rFonts w:ascii="Times New Roman" w:hAnsi="Times New Roman" w:cs="Times New Roman" w:eastAsia="Times New Roman" w:hint="default"/>
          <w:sz w:val="20"/>
          <w:szCs w:val="20"/>
        </w:rPr>
      </w:pPr>
      <w:r>
        <w:rPr/>
        <w:pict>
          <v:group style="position:absolute;margin-left:280.609985pt;margin-top:728.019958pt;width:32.2pt;height:.1pt;mso-position-horizontal-relative:page;mso-position-vertical-relative:page;z-index:-1595656" coordorigin="5612,14560" coordsize="644,2">
            <v:shape style="position:absolute;left:5612;top:14560;width:644;height:2" coordorigin="5612,14560" coordsize="644,0" path="m5612,14560l6255,14560e" filled="false" stroked="true" strokeweight="1.44pt" strokecolor="#000000">
              <v:path arrowok="t"/>
            </v:shape>
            <w10:wrap type="none"/>
          </v:group>
        </w:pict>
      </w: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62"/>
        <w:gridCol w:w="1870"/>
        <w:gridCol w:w="1195"/>
        <w:gridCol w:w="257"/>
        <w:gridCol w:w="1084"/>
        <w:gridCol w:w="911"/>
        <w:gridCol w:w="262"/>
        <w:gridCol w:w="1088"/>
        <w:gridCol w:w="257"/>
        <w:gridCol w:w="643"/>
        <w:gridCol w:w="257"/>
        <w:gridCol w:w="1094"/>
      </w:tblGrid>
      <w:tr>
        <w:trPr>
          <w:trHeight w:val="416" w:hRule="exact"/>
        </w:trPr>
        <w:tc>
          <w:tcPr>
            <w:tcW w:w="76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065"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3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r>
      <w:tr>
        <w:trPr>
          <w:trHeight w:val="582" w:hRule="exact"/>
        </w:trPr>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(13)</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34" w:right="0"/>
              <w:jc w:val="left"/>
              <w:rPr>
                <w:rFonts w:ascii="黑体" w:hAnsi="黑体" w:cs="黑体" w:eastAsia="黑体" w:hint="default"/>
                <w:sz w:val="24"/>
                <w:szCs w:val="24"/>
              </w:rPr>
            </w:pPr>
            <w:r>
              <w:rPr>
                <w:rFonts w:ascii="黑体" w:hAnsi="黑体" w:cs="黑体" w:eastAsia="黑体" w:hint="default"/>
                <w:sz w:val="24"/>
                <w:szCs w:val="24"/>
              </w:rPr>
              <w:t>在建工程</w:t>
            </w:r>
          </w:p>
        </w:tc>
        <w:tc>
          <w:tcPr>
            <w:tcW w:w="1195"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r>
      <w:tr>
        <w:trPr>
          <w:trHeight w:val="401"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253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14"/>
              <w:ind w:left="94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11" w:type="dxa"/>
            <w:tcBorders>
              <w:top w:val="nil" w:sz="6" w:space="0" w:color="auto"/>
              <w:left w:val="nil" w:sz="6" w:space="0" w:color="auto"/>
              <w:bottom w:val="single" w:sz="4" w:space="0" w:color="000000"/>
              <w:right w:val="nil" w:sz="6" w:space="0" w:color="auto"/>
            </w:tcBorders>
          </w:tcPr>
          <w:p>
            <w:pPr/>
          </w:p>
        </w:tc>
        <w:tc>
          <w:tcPr>
            <w:tcW w:w="360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14"/>
              <w:ind w:left="1161" w:right="0"/>
              <w:jc w:val="lef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85"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nil" w:sz="6" w:space="0" w:color="auto"/>
              <w:right w:val="nil" w:sz="6" w:space="0" w:color="auto"/>
            </w:tcBorders>
          </w:tcPr>
          <w:p>
            <w:pPr>
              <w:pStyle w:val="TableParagraph"/>
              <w:spacing w:line="204" w:lineRule="exact"/>
              <w:ind w:left="751"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left="751"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57" w:type="dxa"/>
            <w:tcBorders>
              <w:top w:val="single" w:sz="4" w:space="0" w:color="000000"/>
              <w:left w:val="nil" w:sz="6" w:space="0" w:color="auto"/>
              <w:bottom w:val="nil" w:sz="6" w:space="0" w:color="auto"/>
              <w:right w:val="nil" w:sz="6" w:space="0" w:color="auto"/>
            </w:tcBorders>
          </w:tcPr>
          <w:p>
            <w:pPr/>
          </w:p>
        </w:tc>
        <w:tc>
          <w:tcPr>
            <w:tcW w:w="1084" w:type="dxa"/>
            <w:tcBorders>
              <w:top w:val="single" w:sz="4" w:space="0" w:color="000000"/>
              <w:left w:val="nil" w:sz="6" w:space="0" w:color="auto"/>
              <w:bottom w:val="nil" w:sz="6" w:space="0" w:color="auto"/>
              <w:right w:val="nil" w:sz="6" w:space="0" w:color="auto"/>
            </w:tcBorders>
          </w:tcPr>
          <w:p>
            <w:pPr>
              <w:pStyle w:val="TableParagraph"/>
              <w:spacing w:line="204" w:lineRule="exact"/>
              <w:ind w:left="199"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4" w:lineRule="exact"/>
              <w:ind w:left="199"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911" w:type="dxa"/>
            <w:tcBorders>
              <w:top w:val="single" w:sz="4" w:space="0" w:color="000000"/>
              <w:left w:val="nil" w:sz="6" w:space="0" w:color="auto"/>
              <w:bottom w:val="nil" w:sz="6" w:space="0" w:color="auto"/>
              <w:right w:val="nil" w:sz="6" w:space="0" w:color="auto"/>
            </w:tcBorders>
          </w:tcPr>
          <w:p>
            <w:pPr>
              <w:pStyle w:val="TableParagraph"/>
              <w:spacing w:line="204" w:lineRule="exact"/>
              <w:ind w:left="466"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left="466"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single" w:sz="4" w:space="0" w:color="000000"/>
              <w:left w:val="nil" w:sz="6" w:space="0" w:color="auto"/>
              <w:bottom w:val="nil" w:sz="6" w:space="0" w:color="auto"/>
              <w:right w:val="nil" w:sz="6" w:space="0" w:color="auto"/>
            </w:tcBorders>
          </w:tcPr>
          <w:p>
            <w:pPr>
              <w:pStyle w:val="TableParagraph"/>
              <w:spacing w:line="204" w:lineRule="exact"/>
              <w:ind w:left="645"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left="645"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57" w:type="dxa"/>
            <w:tcBorders>
              <w:top w:val="single" w:sz="4" w:space="0" w:color="000000"/>
              <w:left w:val="nil" w:sz="6" w:space="0" w:color="auto"/>
              <w:bottom w:val="nil" w:sz="6" w:space="0" w:color="auto"/>
              <w:right w:val="nil" w:sz="6" w:space="0" w:color="auto"/>
            </w:tcBorders>
          </w:tcPr>
          <w:p>
            <w:pPr/>
          </w:p>
        </w:tc>
        <w:tc>
          <w:tcPr>
            <w:tcW w:w="643" w:type="dxa"/>
            <w:tcBorders>
              <w:top w:val="single" w:sz="4" w:space="0" w:color="000000"/>
              <w:left w:val="nil" w:sz="6" w:space="0" w:color="auto"/>
              <w:bottom w:val="nil" w:sz="6" w:space="0" w:color="auto"/>
              <w:right w:val="nil" w:sz="6" w:space="0" w:color="auto"/>
            </w:tcBorders>
          </w:tcPr>
          <w:p>
            <w:pPr>
              <w:pStyle w:val="TableParagraph"/>
              <w:spacing w:line="204" w:lineRule="exact"/>
              <w:ind w:left="199"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4" w:lineRule="exact"/>
              <w:ind w:left="199"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257" w:type="dxa"/>
            <w:tcBorders>
              <w:top w:val="single" w:sz="4" w:space="0" w:color="000000"/>
              <w:left w:val="nil" w:sz="6" w:space="0" w:color="auto"/>
              <w:bottom w:val="nil" w:sz="6" w:space="0" w:color="auto"/>
              <w:right w:val="nil" w:sz="6" w:space="0" w:color="auto"/>
            </w:tcBorders>
          </w:tcPr>
          <w:p>
            <w:pPr/>
          </w:p>
        </w:tc>
        <w:tc>
          <w:tcPr>
            <w:tcW w:w="1094" w:type="dxa"/>
            <w:tcBorders>
              <w:top w:val="single" w:sz="4" w:space="0" w:color="000000"/>
              <w:left w:val="nil" w:sz="6" w:space="0" w:color="auto"/>
              <w:bottom w:val="nil" w:sz="6" w:space="0" w:color="auto"/>
              <w:right w:val="nil" w:sz="6" w:space="0" w:color="auto"/>
            </w:tcBorders>
          </w:tcPr>
          <w:p>
            <w:pPr>
              <w:pStyle w:val="TableParagraph"/>
              <w:spacing w:line="204" w:lineRule="exact"/>
              <w:ind w:left="650"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left="650" w:right="0"/>
              <w:jc w:val="left"/>
              <w:rPr>
                <w:rFonts w:ascii="宋体" w:hAnsi="宋体" w:cs="宋体" w:eastAsia="宋体" w:hint="default"/>
                <w:sz w:val="18"/>
                <w:szCs w:val="18"/>
              </w:rPr>
            </w:pPr>
            <w:r>
              <w:rPr>
                <w:rFonts w:ascii="宋体" w:hAnsi="宋体" w:cs="宋体" w:eastAsia="宋体" w:hint="default"/>
                <w:sz w:val="18"/>
                <w:szCs w:val="18"/>
              </w:rPr>
              <w:t>价值</w:t>
            </w:r>
          </w:p>
        </w:tc>
      </w:tr>
      <w:tr>
        <w:trPr>
          <w:trHeight w:val="265"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22" w:lineRule="exact"/>
              <w:ind w:left="150" w:right="0"/>
              <w:jc w:val="left"/>
              <w:rPr>
                <w:rFonts w:ascii="宋体" w:hAnsi="宋体" w:cs="宋体" w:eastAsia="宋体" w:hint="default"/>
                <w:sz w:val="18"/>
                <w:szCs w:val="18"/>
              </w:rPr>
            </w:pPr>
            <w:r>
              <w:rPr>
                <w:rFonts w:ascii="宋体" w:hAnsi="宋体" w:cs="宋体" w:eastAsia="宋体" w:hint="default"/>
                <w:sz w:val="18"/>
                <w:szCs w:val="18"/>
              </w:rPr>
              <w:t>雨花物流基地二期</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2"/>
              <w:jc w:val="right"/>
              <w:rPr>
                <w:rFonts w:ascii="Arial" w:hAnsi="Arial" w:cs="Arial" w:eastAsia="Arial" w:hint="default"/>
                <w:sz w:val="18"/>
                <w:szCs w:val="18"/>
              </w:rPr>
            </w:pPr>
            <w:r>
              <w:rPr>
                <w:rFonts w:ascii="Arial"/>
                <w:spacing w:val="-1"/>
                <w:sz w:val="18"/>
              </w:rPr>
              <w:t>257,630</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73" w:right="0"/>
              <w:jc w:val="left"/>
              <w:rPr>
                <w:rFonts w:ascii="Arial" w:hAnsi="Arial" w:cs="Arial" w:eastAsia="Arial" w:hint="default"/>
                <w:sz w:val="18"/>
                <w:szCs w:val="18"/>
              </w:rPr>
            </w:pPr>
            <w:r>
              <w:rPr>
                <w:rFonts w:ascii="Arial"/>
                <w:sz w:val="18"/>
              </w:rPr>
              <w:t>257,630</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0"/>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2"/>
              <w:jc w:val="right"/>
              <w:rPr>
                <w:rFonts w:ascii="Arial" w:hAnsi="Arial" w:cs="Arial" w:eastAsia="Arial" w:hint="default"/>
                <w:sz w:val="18"/>
                <w:szCs w:val="18"/>
              </w:rPr>
            </w:pPr>
            <w:r>
              <w:rPr>
                <w:rFonts w:ascii="Arial"/>
                <w:w w:val="99"/>
                <w:sz w:val="18"/>
              </w:rPr>
              <w:t>-</w:t>
            </w:r>
            <w:r>
              <w:rPr>
                <w:rFonts w:ascii="Arial"/>
                <w:sz w:val="18"/>
              </w:rPr>
            </w:r>
          </w:p>
        </w:tc>
      </w:tr>
      <w:tr>
        <w:trPr>
          <w:trHeight w:val="483"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9" w:lineRule="exact"/>
              <w:ind w:left="150" w:right="0"/>
              <w:jc w:val="left"/>
              <w:rPr>
                <w:rFonts w:ascii="宋体" w:hAnsi="宋体" w:cs="宋体" w:eastAsia="宋体" w:hint="default"/>
                <w:sz w:val="18"/>
                <w:szCs w:val="18"/>
              </w:rPr>
            </w:pPr>
            <w:r>
              <w:rPr>
                <w:rFonts w:ascii="宋体" w:hAnsi="宋体" w:cs="宋体" w:eastAsia="宋体" w:hint="default"/>
                <w:sz w:val="18"/>
                <w:szCs w:val="18"/>
              </w:rPr>
              <w:t>北京世纪联华店购</w:t>
            </w: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置店</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83"/>
              <w:jc w:val="right"/>
              <w:rPr>
                <w:rFonts w:ascii="Arial" w:hAnsi="Arial" w:cs="Arial" w:eastAsia="Arial" w:hint="default"/>
                <w:sz w:val="18"/>
                <w:szCs w:val="18"/>
              </w:rPr>
            </w:pPr>
            <w:r>
              <w:rPr>
                <w:rFonts w:ascii="Arial"/>
                <w:spacing w:val="-1"/>
                <w:sz w:val="18"/>
              </w:rPr>
              <w:t>253,443</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73" w:right="0"/>
              <w:jc w:val="left"/>
              <w:rPr>
                <w:rFonts w:ascii="Arial" w:hAnsi="Arial" w:cs="Arial" w:eastAsia="Arial" w:hint="default"/>
                <w:sz w:val="18"/>
                <w:szCs w:val="18"/>
              </w:rPr>
            </w:pPr>
            <w:r>
              <w:rPr>
                <w:rFonts w:ascii="Arial"/>
                <w:sz w:val="18"/>
              </w:rPr>
              <w:t>253,443</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80"/>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r>
      <w:tr>
        <w:trPr>
          <w:trHeight w:val="243"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05" w:lineRule="exact"/>
              <w:ind w:left="150" w:right="0"/>
              <w:jc w:val="left"/>
              <w:rPr>
                <w:rFonts w:ascii="宋体" w:hAnsi="宋体" w:cs="宋体" w:eastAsia="宋体" w:hint="default"/>
                <w:sz w:val="18"/>
                <w:szCs w:val="18"/>
              </w:rPr>
            </w:pPr>
            <w:r>
              <w:rPr>
                <w:rFonts w:ascii="宋体" w:hAnsi="宋体" w:cs="宋体" w:eastAsia="宋体" w:hint="default"/>
                <w:sz w:val="18"/>
                <w:szCs w:val="18"/>
              </w:rPr>
              <w:t>青岛物流基地工程</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0"/>
              <w:jc w:val="right"/>
              <w:rPr>
                <w:rFonts w:ascii="Arial" w:hAnsi="Arial" w:cs="Arial" w:eastAsia="Arial" w:hint="default"/>
                <w:sz w:val="18"/>
                <w:szCs w:val="18"/>
              </w:rPr>
            </w:pPr>
            <w:r>
              <w:rPr>
                <w:rFonts w:ascii="Arial"/>
                <w:spacing w:val="-1"/>
                <w:sz w:val="18"/>
              </w:rPr>
              <w:t>208,563</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76" w:right="0"/>
              <w:jc w:val="left"/>
              <w:rPr>
                <w:rFonts w:ascii="Arial" w:hAnsi="Arial" w:cs="Arial" w:eastAsia="Arial" w:hint="default"/>
                <w:sz w:val="18"/>
                <w:szCs w:val="18"/>
              </w:rPr>
            </w:pPr>
            <w:r>
              <w:rPr>
                <w:rFonts w:ascii="Arial"/>
                <w:sz w:val="18"/>
              </w:rPr>
              <w:t>208,563</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1"/>
              <w:jc w:val="right"/>
              <w:rPr>
                <w:rFonts w:ascii="Arial" w:hAnsi="Arial" w:cs="Arial" w:eastAsia="Arial" w:hint="default"/>
                <w:sz w:val="18"/>
                <w:szCs w:val="18"/>
              </w:rPr>
            </w:pPr>
            <w:r>
              <w:rPr>
                <w:rFonts w:ascii="Arial"/>
                <w:spacing w:val="-1"/>
                <w:sz w:val="18"/>
              </w:rPr>
              <w:t>43,014</w:t>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3"/>
              <w:jc w:val="right"/>
              <w:rPr>
                <w:rFonts w:ascii="Arial" w:hAnsi="Arial" w:cs="Arial" w:eastAsia="Arial" w:hint="default"/>
                <w:sz w:val="18"/>
                <w:szCs w:val="18"/>
              </w:rPr>
            </w:pPr>
            <w:r>
              <w:rPr>
                <w:rFonts w:ascii="Arial"/>
                <w:spacing w:val="-1"/>
                <w:sz w:val="18"/>
              </w:rPr>
              <w:t>43,014</w:t>
            </w:r>
          </w:p>
        </w:tc>
      </w:tr>
      <w:tr>
        <w:trPr>
          <w:trHeight w:val="254"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0" w:right="0"/>
              <w:jc w:val="left"/>
              <w:rPr>
                <w:rFonts w:ascii="宋体" w:hAnsi="宋体" w:cs="宋体" w:eastAsia="宋体" w:hint="default"/>
                <w:sz w:val="18"/>
                <w:szCs w:val="18"/>
              </w:rPr>
            </w:pPr>
            <w:r>
              <w:rPr>
                <w:rFonts w:ascii="宋体" w:hAnsi="宋体" w:cs="宋体" w:eastAsia="宋体" w:hint="default"/>
                <w:sz w:val="18"/>
                <w:szCs w:val="18"/>
              </w:rPr>
              <w:t>广州物流项目</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0"/>
              <w:jc w:val="right"/>
              <w:rPr>
                <w:rFonts w:ascii="Arial" w:hAnsi="Arial" w:cs="Arial" w:eastAsia="Arial" w:hint="default"/>
                <w:sz w:val="18"/>
                <w:szCs w:val="18"/>
              </w:rPr>
            </w:pPr>
            <w:r>
              <w:rPr>
                <w:rFonts w:ascii="Arial"/>
                <w:spacing w:val="-1"/>
                <w:sz w:val="18"/>
              </w:rPr>
              <w:t>199,803</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76" w:right="0"/>
              <w:jc w:val="left"/>
              <w:rPr>
                <w:rFonts w:ascii="Arial" w:hAnsi="Arial" w:cs="Arial" w:eastAsia="Arial" w:hint="default"/>
                <w:sz w:val="18"/>
                <w:szCs w:val="18"/>
              </w:rPr>
            </w:pPr>
            <w:r>
              <w:rPr>
                <w:rFonts w:ascii="Arial"/>
                <w:sz w:val="18"/>
              </w:rPr>
              <w:t>199,803</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0"/>
              <w:jc w:val="right"/>
              <w:rPr>
                <w:rFonts w:ascii="Arial" w:hAnsi="Arial" w:cs="Arial" w:eastAsia="Arial" w:hint="default"/>
                <w:sz w:val="18"/>
                <w:szCs w:val="18"/>
              </w:rPr>
            </w:pPr>
            <w:r>
              <w:rPr>
                <w:rFonts w:ascii="Arial"/>
                <w:spacing w:val="-1"/>
                <w:sz w:val="18"/>
              </w:rPr>
              <w:t>21,687</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3"/>
              <w:jc w:val="right"/>
              <w:rPr>
                <w:rFonts w:ascii="Arial" w:hAnsi="Arial" w:cs="Arial" w:eastAsia="Arial" w:hint="default"/>
                <w:sz w:val="18"/>
                <w:szCs w:val="18"/>
              </w:rPr>
            </w:pPr>
            <w:r>
              <w:rPr>
                <w:rFonts w:ascii="Arial"/>
                <w:spacing w:val="-1"/>
                <w:sz w:val="18"/>
              </w:rPr>
              <w:t>21,687</w:t>
            </w:r>
            <w:r>
              <w:rPr>
                <w:rFonts w:ascii="Arial"/>
                <w:sz w:val="18"/>
              </w:rPr>
            </w:r>
          </w:p>
        </w:tc>
      </w:tr>
      <w:tr>
        <w:trPr>
          <w:trHeight w:val="252"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0" w:right="0"/>
              <w:jc w:val="left"/>
              <w:rPr>
                <w:rFonts w:ascii="宋体" w:hAnsi="宋体" w:cs="宋体" w:eastAsia="宋体" w:hint="default"/>
                <w:sz w:val="18"/>
                <w:szCs w:val="18"/>
              </w:rPr>
            </w:pPr>
            <w:r>
              <w:rPr>
                <w:rFonts w:ascii="宋体" w:hAnsi="宋体" w:cs="宋体" w:eastAsia="宋体" w:hint="default"/>
                <w:sz w:val="18"/>
                <w:szCs w:val="18"/>
              </w:rPr>
              <w:t>济南物流项目</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0"/>
              <w:jc w:val="right"/>
              <w:rPr>
                <w:rFonts w:ascii="Arial" w:hAnsi="Arial" w:cs="Arial" w:eastAsia="Arial" w:hint="default"/>
                <w:sz w:val="18"/>
                <w:szCs w:val="18"/>
              </w:rPr>
            </w:pPr>
            <w:r>
              <w:rPr>
                <w:rFonts w:ascii="Arial"/>
                <w:spacing w:val="-1"/>
                <w:sz w:val="18"/>
              </w:rPr>
              <w:t>180,915</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76" w:right="0"/>
              <w:jc w:val="left"/>
              <w:rPr>
                <w:rFonts w:ascii="Arial" w:hAnsi="Arial" w:cs="Arial" w:eastAsia="Arial" w:hint="default"/>
                <w:sz w:val="18"/>
                <w:szCs w:val="18"/>
              </w:rPr>
            </w:pPr>
            <w:r>
              <w:rPr>
                <w:rFonts w:ascii="Arial"/>
                <w:sz w:val="18"/>
              </w:rPr>
              <w:t>180,915</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8"/>
              <w:jc w:val="right"/>
              <w:rPr>
                <w:rFonts w:ascii="Arial" w:hAnsi="Arial" w:cs="Arial" w:eastAsia="Arial" w:hint="default"/>
                <w:sz w:val="18"/>
                <w:szCs w:val="18"/>
              </w:rPr>
            </w:pPr>
            <w:r>
              <w:rPr>
                <w:rFonts w:ascii="Arial"/>
                <w:spacing w:val="-1"/>
                <w:sz w:val="18"/>
              </w:rPr>
              <w:t>66,163</w:t>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0"/>
              <w:jc w:val="right"/>
              <w:rPr>
                <w:rFonts w:ascii="Arial" w:hAnsi="Arial" w:cs="Arial" w:eastAsia="Arial" w:hint="default"/>
                <w:sz w:val="18"/>
                <w:szCs w:val="18"/>
              </w:rPr>
            </w:pPr>
            <w:r>
              <w:rPr>
                <w:rFonts w:ascii="Arial"/>
                <w:spacing w:val="-1"/>
                <w:sz w:val="18"/>
              </w:rPr>
              <w:t>66,163</w:t>
            </w:r>
          </w:p>
        </w:tc>
      </w:tr>
      <w:tr>
        <w:trPr>
          <w:trHeight w:val="253"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0" w:right="0"/>
              <w:jc w:val="left"/>
              <w:rPr>
                <w:rFonts w:ascii="宋体" w:hAnsi="宋体" w:cs="宋体" w:eastAsia="宋体" w:hint="default"/>
                <w:sz w:val="18"/>
                <w:szCs w:val="18"/>
              </w:rPr>
            </w:pPr>
            <w:r>
              <w:rPr>
                <w:rFonts w:ascii="宋体" w:hAnsi="宋体" w:cs="宋体" w:eastAsia="宋体" w:hint="default"/>
                <w:sz w:val="18"/>
                <w:szCs w:val="18"/>
              </w:rPr>
              <w:t>杭州二期物流基地</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0"/>
              <w:jc w:val="right"/>
              <w:rPr>
                <w:rFonts w:ascii="Arial" w:hAnsi="Arial" w:cs="Arial" w:eastAsia="Arial" w:hint="default"/>
                <w:sz w:val="18"/>
                <w:szCs w:val="18"/>
              </w:rPr>
            </w:pPr>
            <w:r>
              <w:rPr>
                <w:rFonts w:ascii="Arial"/>
                <w:spacing w:val="-1"/>
                <w:sz w:val="18"/>
              </w:rPr>
              <w:t>154,526</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76" w:right="0"/>
              <w:jc w:val="left"/>
              <w:rPr>
                <w:rFonts w:ascii="Arial" w:hAnsi="Arial" w:cs="Arial" w:eastAsia="Arial" w:hint="default"/>
                <w:sz w:val="18"/>
                <w:szCs w:val="18"/>
              </w:rPr>
            </w:pPr>
            <w:r>
              <w:rPr>
                <w:rFonts w:ascii="Arial"/>
                <w:sz w:val="18"/>
              </w:rPr>
              <w:t>154,526</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8"/>
              <w:jc w:val="right"/>
              <w:rPr>
                <w:rFonts w:ascii="Arial" w:hAnsi="Arial" w:cs="Arial" w:eastAsia="Arial" w:hint="default"/>
                <w:sz w:val="18"/>
                <w:szCs w:val="18"/>
              </w:rPr>
            </w:pPr>
            <w:r>
              <w:rPr>
                <w:rFonts w:ascii="Arial"/>
                <w:spacing w:val="-1"/>
                <w:sz w:val="18"/>
              </w:rPr>
              <w:t>73,903</w:t>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0"/>
              <w:jc w:val="right"/>
              <w:rPr>
                <w:rFonts w:ascii="Arial" w:hAnsi="Arial" w:cs="Arial" w:eastAsia="Arial" w:hint="default"/>
                <w:sz w:val="18"/>
                <w:szCs w:val="18"/>
              </w:rPr>
            </w:pPr>
            <w:r>
              <w:rPr>
                <w:rFonts w:ascii="Arial"/>
                <w:spacing w:val="-1"/>
                <w:sz w:val="18"/>
              </w:rPr>
              <w:t>73,903</w:t>
            </w:r>
          </w:p>
        </w:tc>
      </w:tr>
      <w:tr>
        <w:trPr>
          <w:trHeight w:val="253"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6" w:lineRule="exact"/>
              <w:ind w:left="150" w:right="0"/>
              <w:jc w:val="left"/>
              <w:rPr>
                <w:rFonts w:ascii="宋体" w:hAnsi="宋体" w:cs="宋体" w:eastAsia="宋体" w:hint="default"/>
                <w:sz w:val="18"/>
                <w:szCs w:val="18"/>
              </w:rPr>
            </w:pPr>
            <w:r>
              <w:rPr>
                <w:rFonts w:ascii="宋体" w:hAnsi="宋体" w:cs="宋体" w:eastAsia="宋体" w:hint="default"/>
                <w:sz w:val="18"/>
                <w:szCs w:val="18"/>
              </w:rPr>
              <w:t>芜湖苏宁广场项目</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0"/>
              <w:jc w:val="right"/>
              <w:rPr>
                <w:rFonts w:ascii="Arial" w:hAnsi="Arial" w:cs="Arial" w:eastAsia="Arial" w:hint="default"/>
                <w:sz w:val="18"/>
                <w:szCs w:val="18"/>
              </w:rPr>
            </w:pPr>
            <w:r>
              <w:rPr>
                <w:rFonts w:ascii="Arial"/>
                <w:spacing w:val="-1"/>
                <w:sz w:val="18"/>
              </w:rPr>
              <w:t>151,709</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76" w:right="0"/>
              <w:jc w:val="left"/>
              <w:rPr>
                <w:rFonts w:ascii="Arial" w:hAnsi="Arial" w:cs="Arial" w:eastAsia="Arial" w:hint="default"/>
                <w:sz w:val="18"/>
                <w:szCs w:val="18"/>
              </w:rPr>
            </w:pPr>
            <w:r>
              <w:rPr>
                <w:rFonts w:ascii="Arial"/>
                <w:sz w:val="18"/>
              </w:rPr>
              <w:t>151,709</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9"/>
              <w:jc w:val="right"/>
              <w:rPr>
                <w:rFonts w:ascii="Arial" w:hAnsi="Arial" w:cs="Arial" w:eastAsia="Arial" w:hint="default"/>
                <w:sz w:val="18"/>
                <w:szCs w:val="18"/>
              </w:rPr>
            </w:pPr>
            <w:r>
              <w:rPr>
                <w:rFonts w:ascii="Arial"/>
                <w:spacing w:val="-1"/>
                <w:sz w:val="18"/>
              </w:rPr>
              <w:t>16,355</w:t>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0"/>
              <w:jc w:val="right"/>
              <w:rPr>
                <w:rFonts w:ascii="Arial" w:hAnsi="Arial" w:cs="Arial" w:eastAsia="Arial" w:hint="default"/>
                <w:sz w:val="18"/>
                <w:szCs w:val="18"/>
              </w:rPr>
            </w:pPr>
            <w:r>
              <w:rPr>
                <w:rFonts w:ascii="Arial"/>
                <w:spacing w:val="-1"/>
                <w:sz w:val="18"/>
              </w:rPr>
              <w:t>16,355</w:t>
            </w:r>
          </w:p>
        </w:tc>
      </w:tr>
      <w:tr>
        <w:trPr>
          <w:trHeight w:val="467"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3" w:lineRule="exact"/>
              <w:ind w:left="150" w:right="0"/>
              <w:jc w:val="left"/>
              <w:rPr>
                <w:rFonts w:ascii="宋体" w:hAnsi="宋体" w:cs="宋体" w:eastAsia="宋体" w:hint="default"/>
                <w:sz w:val="18"/>
                <w:szCs w:val="18"/>
              </w:rPr>
            </w:pPr>
            <w:r>
              <w:rPr>
                <w:rFonts w:ascii="宋体" w:hAnsi="宋体" w:cs="宋体" w:eastAsia="宋体" w:hint="default"/>
                <w:sz w:val="18"/>
                <w:szCs w:val="18"/>
              </w:rPr>
              <w:t>汕头苏宁电器广场</w:t>
            </w:r>
          </w:p>
          <w:p>
            <w:pPr>
              <w:pStyle w:val="TableParagraph"/>
              <w:spacing w:line="234" w:lineRule="exact"/>
              <w:ind w:left="36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0"/>
              <w:jc w:val="right"/>
              <w:rPr>
                <w:rFonts w:ascii="Arial" w:hAnsi="Arial" w:cs="Arial" w:eastAsia="Arial" w:hint="default"/>
                <w:sz w:val="18"/>
                <w:szCs w:val="18"/>
              </w:rPr>
            </w:pPr>
            <w:r>
              <w:rPr>
                <w:rFonts w:ascii="Arial"/>
                <w:spacing w:val="-1"/>
                <w:sz w:val="18"/>
              </w:rPr>
              <w:t>150,772</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Arial" w:hAnsi="Arial" w:cs="Arial" w:eastAsia="Arial" w:hint="default"/>
                <w:sz w:val="18"/>
                <w:szCs w:val="18"/>
              </w:rPr>
            </w:pPr>
            <w:r>
              <w:rPr>
                <w:rFonts w:ascii="Arial"/>
                <w:sz w:val="18"/>
              </w:rPr>
              <w:t>150,772</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1"/>
              <w:jc w:val="right"/>
              <w:rPr>
                <w:rFonts w:ascii="Arial" w:hAnsi="Arial" w:cs="Arial" w:eastAsia="Arial" w:hint="default"/>
                <w:sz w:val="18"/>
                <w:szCs w:val="18"/>
              </w:rPr>
            </w:pPr>
            <w:r>
              <w:rPr>
                <w:rFonts w:ascii="Arial"/>
                <w:spacing w:val="-1"/>
                <w:sz w:val="18"/>
              </w:rPr>
              <w:t>44,893</w:t>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Arial" w:hAnsi="Arial" w:cs="Arial" w:eastAsia="Arial" w:hint="default"/>
                <w:sz w:val="18"/>
                <w:szCs w:val="18"/>
              </w:rPr>
            </w:pPr>
            <w:r>
              <w:rPr>
                <w:rFonts w:ascii="Arial"/>
                <w:spacing w:val="-1"/>
                <w:sz w:val="18"/>
              </w:rPr>
              <w:t>44,893</w:t>
            </w:r>
          </w:p>
        </w:tc>
      </w:tr>
      <w:tr>
        <w:trPr>
          <w:trHeight w:val="467"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0" w:right="0"/>
              <w:jc w:val="left"/>
              <w:rPr>
                <w:rFonts w:ascii="宋体" w:hAnsi="宋体" w:cs="宋体" w:eastAsia="宋体" w:hint="default"/>
                <w:sz w:val="18"/>
                <w:szCs w:val="18"/>
              </w:rPr>
            </w:pPr>
            <w:r>
              <w:rPr>
                <w:rFonts w:ascii="宋体" w:hAnsi="宋体" w:cs="宋体" w:eastAsia="宋体" w:hint="default"/>
                <w:sz w:val="18"/>
                <w:szCs w:val="18"/>
              </w:rPr>
              <w:t>厦门物流中心一期</w:t>
            </w:r>
          </w:p>
          <w:p>
            <w:pPr>
              <w:pStyle w:val="TableParagraph"/>
              <w:spacing w:line="234" w:lineRule="exact"/>
              <w:ind w:left="366"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0"/>
              <w:jc w:val="right"/>
              <w:rPr>
                <w:rFonts w:ascii="Arial" w:hAnsi="Arial" w:cs="Arial" w:eastAsia="Arial" w:hint="default"/>
                <w:sz w:val="18"/>
                <w:szCs w:val="18"/>
              </w:rPr>
            </w:pPr>
            <w:r>
              <w:rPr>
                <w:rFonts w:ascii="Arial"/>
                <w:spacing w:val="-1"/>
                <w:sz w:val="18"/>
              </w:rPr>
              <w:t>126,719</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Arial" w:hAnsi="Arial" w:cs="Arial" w:eastAsia="Arial" w:hint="default"/>
                <w:sz w:val="18"/>
                <w:szCs w:val="18"/>
              </w:rPr>
            </w:pPr>
            <w:r>
              <w:rPr>
                <w:rFonts w:ascii="Arial"/>
                <w:sz w:val="18"/>
              </w:rPr>
              <w:t>126,719</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8"/>
              <w:jc w:val="right"/>
              <w:rPr>
                <w:rFonts w:ascii="Arial" w:hAnsi="Arial" w:cs="Arial" w:eastAsia="Arial" w:hint="default"/>
                <w:sz w:val="18"/>
                <w:szCs w:val="18"/>
              </w:rPr>
            </w:pPr>
            <w:r>
              <w:rPr>
                <w:rFonts w:ascii="Arial"/>
                <w:spacing w:val="-1"/>
                <w:sz w:val="18"/>
              </w:rPr>
              <w:t>25,968</w:t>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0"/>
              <w:jc w:val="right"/>
              <w:rPr>
                <w:rFonts w:ascii="Arial" w:hAnsi="Arial" w:cs="Arial" w:eastAsia="Arial" w:hint="default"/>
                <w:sz w:val="18"/>
                <w:szCs w:val="18"/>
              </w:rPr>
            </w:pPr>
            <w:r>
              <w:rPr>
                <w:rFonts w:ascii="Arial"/>
                <w:spacing w:val="-1"/>
                <w:sz w:val="18"/>
              </w:rPr>
              <w:t>25,968</w:t>
            </w:r>
          </w:p>
        </w:tc>
      </w:tr>
      <w:tr>
        <w:trPr>
          <w:trHeight w:val="252"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0" w:right="0"/>
              <w:jc w:val="left"/>
              <w:rPr>
                <w:rFonts w:ascii="宋体" w:hAnsi="宋体" w:cs="宋体" w:eastAsia="宋体" w:hint="default"/>
                <w:sz w:val="18"/>
                <w:szCs w:val="18"/>
              </w:rPr>
            </w:pPr>
            <w:r>
              <w:rPr>
                <w:rFonts w:ascii="宋体" w:hAnsi="宋体" w:cs="宋体" w:eastAsia="宋体" w:hint="default"/>
                <w:sz w:val="18"/>
                <w:szCs w:val="18"/>
              </w:rPr>
              <w:t>易购总部项目</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0"/>
              <w:jc w:val="right"/>
              <w:rPr>
                <w:rFonts w:ascii="Arial" w:hAnsi="Arial" w:cs="Arial" w:eastAsia="Arial" w:hint="default"/>
                <w:sz w:val="18"/>
                <w:szCs w:val="18"/>
              </w:rPr>
            </w:pPr>
            <w:r>
              <w:rPr>
                <w:rFonts w:ascii="Arial"/>
                <w:spacing w:val="-1"/>
                <w:sz w:val="18"/>
              </w:rPr>
              <w:t>126,137</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76" w:right="0"/>
              <w:jc w:val="left"/>
              <w:rPr>
                <w:rFonts w:ascii="Arial" w:hAnsi="Arial" w:cs="Arial" w:eastAsia="Arial" w:hint="default"/>
                <w:sz w:val="18"/>
                <w:szCs w:val="18"/>
              </w:rPr>
            </w:pPr>
            <w:r>
              <w:rPr>
                <w:rFonts w:ascii="Arial"/>
                <w:sz w:val="18"/>
              </w:rPr>
              <w:t>126,137</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0"/>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2"/>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0" w:right="0"/>
              <w:jc w:val="left"/>
              <w:rPr>
                <w:rFonts w:ascii="宋体" w:hAnsi="宋体" w:cs="宋体" w:eastAsia="宋体" w:hint="default"/>
                <w:sz w:val="18"/>
                <w:szCs w:val="18"/>
              </w:rPr>
            </w:pPr>
            <w:r>
              <w:rPr>
                <w:rFonts w:ascii="宋体" w:hAnsi="宋体" w:cs="宋体" w:eastAsia="宋体" w:hint="default"/>
                <w:sz w:val="18"/>
                <w:szCs w:val="18"/>
              </w:rPr>
              <w:t>哈尔滨物流项目</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0"/>
              <w:jc w:val="right"/>
              <w:rPr>
                <w:rFonts w:ascii="Arial" w:hAnsi="Arial" w:cs="Arial" w:eastAsia="Arial" w:hint="default"/>
                <w:sz w:val="18"/>
                <w:szCs w:val="18"/>
              </w:rPr>
            </w:pPr>
            <w:r>
              <w:rPr>
                <w:rFonts w:ascii="Arial"/>
                <w:spacing w:val="-1"/>
                <w:sz w:val="18"/>
              </w:rPr>
              <w:t>105,483</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76" w:right="0"/>
              <w:jc w:val="left"/>
              <w:rPr>
                <w:rFonts w:ascii="Arial" w:hAnsi="Arial" w:cs="Arial" w:eastAsia="Arial" w:hint="default"/>
                <w:sz w:val="18"/>
                <w:szCs w:val="18"/>
              </w:rPr>
            </w:pPr>
            <w:r>
              <w:rPr>
                <w:rFonts w:ascii="Arial"/>
                <w:sz w:val="18"/>
              </w:rPr>
              <w:t>105,483</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8"/>
              <w:jc w:val="right"/>
              <w:rPr>
                <w:rFonts w:ascii="Arial" w:hAnsi="Arial" w:cs="Arial" w:eastAsia="Arial" w:hint="default"/>
                <w:sz w:val="18"/>
                <w:szCs w:val="18"/>
              </w:rPr>
            </w:pPr>
            <w:r>
              <w:rPr>
                <w:rFonts w:ascii="Arial"/>
                <w:w w:val="95"/>
                <w:sz w:val="18"/>
              </w:rPr>
              <w:t>8,704</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0"/>
              <w:jc w:val="right"/>
              <w:rPr>
                <w:rFonts w:ascii="Arial" w:hAnsi="Arial" w:cs="Arial" w:eastAsia="Arial" w:hint="default"/>
                <w:sz w:val="18"/>
                <w:szCs w:val="18"/>
              </w:rPr>
            </w:pPr>
            <w:r>
              <w:rPr>
                <w:rFonts w:ascii="Arial"/>
                <w:w w:val="95"/>
                <w:sz w:val="18"/>
              </w:rPr>
              <w:t>8,704</w:t>
            </w:r>
            <w:r>
              <w:rPr>
                <w:rFonts w:ascii="Arial"/>
                <w:sz w:val="18"/>
              </w:rPr>
            </w:r>
          </w:p>
        </w:tc>
      </w:tr>
      <w:tr>
        <w:trPr>
          <w:trHeight w:val="476"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3" w:lineRule="exact"/>
              <w:ind w:left="150" w:right="0"/>
              <w:jc w:val="left"/>
              <w:rPr>
                <w:rFonts w:ascii="宋体" w:hAnsi="宋体" w:cs="宋体" w:eastAsia="宋体" w:hint="default"/>
                <w:sz w:val="18"/>
                <w:szCs w:val="18"/>
              </w:rPr>
            </w:pPr>
            <w:r>
              <w:rPr>
                <w:rFonts w:ascii="宋体" w:hAnsi="宋体" w:cs="宋体" w:eastAsia="宋体" w:hint="default"/>
                <w:sz w:val="18"/>
                <w:szCs w:val="18"/>
              </w:rPr>
              <w:t>湖州苏宁电器广场</w:t>
            </w:r>
          </w:p>
          <w:p>
            <w:pPr>
              <w:pStyle w:val="TableParagraph"/>
              <w:spacing w:line="234" w:lineRule="exact"/>
              <w:ind w:left="36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0"/>
              <w:jc w:val="right"/>
              <w:rPr>
                <w:rFonts w:ascii="Arial" w:hAnsi="Arial" w:cs="Arial" w:eastAsia="Arial" w:hint="default"/>
                <w:sz w:val="18"/>
                <w:szCs w:val="18"/>
              </w:rPr>
            </w:pPr>
            <w:r>
              <w:rPr>
                <w:rFonts w:ascii="Arial"/>
                <w:spacing w:val="-1"/>
                <w:sz w:val="18"/>
              </w:rPr>
              <w:t>94,429</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7" w:right="0"/>
              <w:jc w:val="left"/>
              <w:rPr>
                <w:rFonts w:ascii="Arial" w:hAnsi="Arial" w:cs="Arial" w:eastAsia="Arial" w:hint="default"/>
                <w:sz w:val="18"/>
                <w:szCs w:val="18"/>
              </w:rPr>
            </w:pPr>
            <w:r>
              <w:rPr>
                <w:rFonts w:ascii="Arial"/>
                <w:sz w:val="18"/>
              </w:rPr>
              <w:t>94,429</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1"/>
              <w:jc w:val="right"/>
              <w:rPr>
                <w:rFonts w:ascii="Arial" w:hAnsi="Arial" w:cs="Arial" w:eastAsia="Arial" w:hint="default"/>
                <w:sz w:val="18"/>
                <w:szCs w:val="18"/>
              </w:rPr>
            </w:pPr>
            <w:r>
              <w:rPr>
                <w:rFonts w:ascii="Arial"/>
                <w:spacing w:val="-1"/>
                <w:sz w:val="18"/>
              </w:rPr>
              <w:t>49,358</w:t>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Arial" w:hAnsi="Arial" w:cs="Arial" w:eastAsia="Arial" w:hint="default"/>
                <w:sz w:val="18"/>
                <w:szCs w:val="18"/>
              </w:rPr>
            </w:pPr>
            <w:r>
              <w:rPr>
                <w:rFonts w:ascii="Arial"/>
                <w:spacing w:val="-1"/>
                <w:sz w:val="18"/>
              </w:rPr>
              <w:t>49,358</w:t>
            </w:r>
          </w:p>
        </w:tc>
      </w:tr>
      <w:tr>
        <w:trPr>
          <w:trHeight w:val="244"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06" w:lineRule="exact"/>
              <w:ind w:left="150" w:right="0"/>
              <w:jc w:val="left"/>
              <w:rPr>
                <w:rFonts w:ascii="宋体" w:hAnsi="宋体" w:cs="宋体" w:eastAsia="宋体" w:hint="default"/>
                <w:sz w:val="18"/>
                <w:szCs w:val="18"/>
              </w:rPr>
            </w:pPr>
            <w:r>
              <w:rPr>
                <w:rFonts w:ascii="宋体" w:hAnsi="宋体" w:cs="宋体" w:eastAsia="宋体" w:hint="default"/>
                <w:sz w:val="18"/>
                <w:szCs w:val="18"/>
              </w:rPr>
              <w:t>合肥物流基地工程</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0"/>
              <w:jc w:val="right"/>
              <w:rPr>
                <w:rFonts w:ascii="Arial" w:hAnsi="Arial" w:cs="Arial" w:eastAsia="Arial" w:hint="default"/>
                <w:sz w:val="18"/>
                <w:szCs w:val="18"/>
              </w:rPr>
            </w:pPr>
            <w:r>
              <w:rPr>
                <w:rFonts w:ascii="Arial"/>
                <w:spacing w:val="-1"/>
                <w:sz w:val="18"/>
              </w:rPr>
              <w:t>83,628</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77" w:right="0"/>
              <w:jc w:val="left"/>
              <w:rPr>
                <w:rFonts w:ascii="Arial" w:hAnsi="Arial" w:cs="Arial" w:eastAsia="Arial" w:hint="default"/>
                <w:sz w:val="18"/>
                <w:szCs w:val="18"/>
              </w:rPr>
            </w:pPr>
            <w:r>
              <w:rPr>
                <w:rFonts w:ascii="Arial"/>
                <w:sz w:val="18"/>
              </w:rPr>
              <w:t>83,628</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1"/>
              <w:jc w:val="right"/>
              <w:rPr>
                <w:rFonts w:ascii="Arial" w:hAnsi="Arial" w:cs="Arial" w:eastAsia="Arial" w:hint="default"/>
                <w:sz w:val="18"/>
                <w:szCs w:val="18"/>
              </w:rPr>
            </w:pPr>
            <w:r>
              <w:rPr>
                <w:rFonts w:ascii="Arial"/>
                <w:spacing w:val="-1"/>
                <w:sz w:val="18"/>
              </w:rPr>
              <w:t>34,199</w:t>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3"/>
              <w:jc w:val="right"/>
              <w:rPr>
                <w:rFonts w:ascii="Arial" w:hAnsi="Arial" w:cs="Arial" w:eastAsia="Arial" w:hint="default"/>
                <w:sz w:val="18"/>
                <w:szCs w:val="18"/>
              </w:rPr>
            </w:pPr>
            <w:r>
              <w:rPr>
                <w:rFonts w:ascii="Arial"/>
                <w:spacing w:val="-1"/>
                <w:sz w:val="18"/>
              </w:rPr>
              <w:t>34,199</w:t>
            </w:r>
          </w:p>
        </w:tc>
      </w:tr>
      <w:tr>
        <w:trPr>
          <w:trHeight w:val="475"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4" w:lineRule="exact"/>
              <w:ind w:left="150" w:right="0"/>
              <w:jc w:val="left"/>
              <w:rPr>
                <w:rFonts w:ascii="宋体" w:hAnsi="宋体" w:cs="宋体" w:eastAsia="宋体" w:hint="default"/>
                <w:sz w:val="18"/>
                <w:szCs w:val="18"/>
              </w:rPr>
            </w:pPr>
            <w:r>
              <w:rPr>
                <w:rFonts w:ascii="宋体" w:hAnsi="宋体" w:cs="宋体" w:eastAsia="宋体" w:hint="default"/>
                <w:sz w:val="18"/>
                <w:szCs w:val="18"/>
              </w:rPr>
              <w:t>常州武进苏宁广场</w:t>
            </w:r>
          </w:p>
          <w:p>
            <w:pPr>
              <w:pStyle w:val="TableParagraph"/>
              <w:spacing w:line="234" w:lineRule="exact"/>
              <w:ind w:left="36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80"/>
              <w:jc w:val="right"/>
              <w:rPr>
                <w:rFonts w:ascii="Arial" w:hAnsi="Arial" w:cs="Arial" w:eastAsia="Arial" w:hint="default"/>
                <w:sz w:val="18"/>
                <w:szCs w:val="18"/>
              </w:rPr>
            </w:pPr>
            <w:r>
              <w:rPr>
                <w:rFonts w:ascii="Arial"/>
                <w:spacing w:val="-1"/>
                <w:sz w:val="18"/>
              </w:rPr>
              <w:t>82,983</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77" w:right="0"/>
              <w:jc w:val="left"/>
              <w:rPr>
                <w:rFonts w:ascii="Arial" w:hAnsi="Arial" w:cs="Arial" w:eastAsia="Arial" w:hint="default"/>
                <w:sz w:val="18"/>
                <w:szCs w:val="18"/>
              </w:rPr>
            </w:pPr>
            <w:r>
              <w:rPr>
                <w:rFonts w:ascii="Arial"/>
                <w:sz w:val="18"/>
              </w:rPr>
              <w:t>82,983</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77"/>
              <w:jc w:val="right"/>
              <w:rPr>
                <w:rFonts w:ascii="Arial" w:hAnsi="Arial" w:cs="Arial" w:eastAsia="Arial" w:hint="default"/>
                <w:sz w:val="18"/>
                <w:szCs w:val="18"/>
              </w:rPr>
            </w:pPr>
            <w:r>
              <w:rPr>
                <w:rFonts w:ascii="Arial"/>
                <w:w w:val="95"/>
                <w:sz w:val="18"/>
              </w:rPr>
              <w:t>898</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79"/>
              <w:jc w:val="right"/>
              <w:rPr>
                <w:rFonts w:ascii="Arial" w:hAnsi="Arial" w:cs="Arial" w:eastAsia="Arial" w:hint="default"/>
                <w:sz w:val="18"/>
                <w:szCs w:val="18"/>
              </w:rPr>
            </w:pPr>
            <w:r>
              <w:rPr>
                <w:rFonts w:ascii="Arial"/>
                <w:w w:val="95"/>
                <w:sz w:val="18"/>
              </w:rPr>
              <w:t>898</w:t>
            </w:r>
            <w:r>
              <w:rPr>
                <w:rFonts w:ascii="Arial"/>
                <w:sz w:val="18"/>
              </w:rPr>
            </w:r>
          </w:p>
        </w:tc>
      </w:tr>
      <w:tr>
        <w:trPr>
          <w:trHeight w:val="245"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04" w:lineRule="exact"/>
              <w:ind w:left="150" w:right="0"/>
              <w:jc w:val="left"/>
              <w:rPr>
                <w:rFonts w:ascii="宋体" w:hAnsi="宋体" w:cs="宋体" w:eastAsia="宋体" w:hint="default"/>
                <w:sz w:val="18"/>
                <w:szCs w:val="18"/>
              </w:rPr>
            </w:pPr>
            <w:r>
              <w:rPr>
                <w:rFonts w:ascii="宋体" w:hAnsi="宋体" w:cs="宋体" w:eastAsia="宋体" w:hint="default"/>
                <w:sz w:val="18"/>
                <w:szCs w:val="18"/>
              </w:rPr>
              <w:t>江苏物流中心</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0"/>
              <w:jc w:val="right"/>
              <w:rPr>
                <w:rFonts w:ascii="Arial" w:hAnsi="Arial" w:cs="Arial" w:eastAsia="Arial" w:hint="default"/>
                <w:sz w:val="18"/>
                <w:szCs w:val="18"/>
              </w:rPr>
            </w:pPr>
            <w:r>
              <w:rPr>
                <w:rFonts w:ascii="Arial"/>
                <w:spacing w:val="-1"/>
                <w:sz w:val="18"/>
              </w:rPr>
              <w:t>78,441</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77" w:right="0"/>
              <w:jc w:val="left"/>
              <w:rPr>
                <w:rFonts w:ascii="Arial" w:hAnsi="Arial" w:cs="Arial" w:eastAsia="Arial" w:hint="default"/>
                <w:sz w:val="18"/>
                <w:szCs w:val="18"/>
              </w:rPr>
            </w:pPr>
            <w:r>
              <w:rPr>
                <w:rFonts w:ascii="Arial"/>
                <w:sz w:val="18"/>
              </w:rPr>
              <w:t>78,441</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1"/>
              <w:jc w:val="right"/>
              <w:rPr>
                <w:rFonts w:ascii="Arial" w:hAnsi="Arial" w:cs="Arial" w:eastAsia="Arial" w:hint="default"/>
                <w:sz w:val="18"/>
                <w:szCs w:val="18"/>
              </w:rPr>
            </w:pPr>
            <w:r>
              <w:rPr>
                <w:rFonts w:ascii="Arial"/>
                <w:spacing w:val="-1"/>
                <w:sz w:val="18"/>
              </w:rPr>
              <w:t>12,244</w:t>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3"/>
              <w:jc w:val="right"/>
              <w:rPr>
                <w:rFonts w:ascii="Arial" w:hAnsi="Arial" w:cs="Arial" w:eastAsia="Arial" w:hint="default"/>
                <w:sz w:val="18"/>
                <w:szCs w:val="18"/>
              </w:rPr>
            </w:pPr>
            <w:r>
              <w:rPr>
                <w:rFonts w:ascii="Arial"/>
                <w:spacing w:val="-1"/>
                <w:sz w:val="18"/>
              </w:rPr>
              <w:t>12,244</w:t>
            </w:r>
          </w:p>
        </w:tc>
      </w:tr>
      <w:tr>
        <w:trPr>
          <w:trHeight w:val="466"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3" w:lineRule="exact"/>
              <w:ind w:left="150" w:right="0"/>
              <w:jc w:val="left"/>
              <w:rPr>
                <w:rFonts w:ascii="宋体" w:hAnsi="宋体" w:cs="宋体" w:eastAsia="宋体" w:hint="default"/>
                <w:sz w:val="18"/>
                <w:szCs w:val="18"/>
              </w:rPr>
            </w:pPr>
            <w:r>
              <w:rPr>
                <w:rFonts w:ascii="宋体" w:hAnsi="宋体" w:cs="宋体" w:eastAsia="宋体" w:hint="default"/>
                <w:sz w:val="18"/>
                <w:szCs w:val="18"/>
              </w:rPr>
              <w:t>北京京房苏宁广场</w:t>
            </w:r>
          </w:p>
          <w:p>
            <w:pPr>
              <w:pStyle w:val="TableParagraph"/>
              <w:spacing w:line="234" w:lineRule="exact"/>
              <w:ind w:left="36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0"/>
              <w:jc w:val="right"/>
              <w:rPr>
                <w:rFonts w:ascii="Arial" w:hAnsi="Arial" w:cs="Arial" w:eastAsia="Arial" w:hint="default"/>
                <w:sz w:val="18"/>
                <w:szCs w:val="18"/>
              </w:rPr>
            </w:pPr>
            <w:r>
              <w:rPr>
                <w:rFonts w:ascii="Arial"/>
                <w:spacing w:val="-1"/>
                <w:sz w:val="18"/>
              </w:rPr>
              <w:t>40,253</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7" w:right="0"/>
              <w:jc w:val="left"/>
              <w:rPr>
                <w:rFonts w:ascii="Arial" w:hAnsi="Arial" w:cs="Arial" w:eastAsia="Arial" w:hint="default"/>
                <w:sz w:val="18"/>
                <w:szCs w:val="18"/>
              </w:rPr>
            </w:pPr>
            <w:r>
              <w:rPr>
                <w:rFonts w:ascii="Arial"/>
                <w:sz w:val="18"/>
              </w:rPr>
              <w:t>40,253</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8"/>
              <w:jc w:val="right"/>
              <w:rPr>
                <w:rFonts w:ascii="Arial" w:hAnsi="Arial" w:cs="Arial" w:eastAsia="Arial" w:hint="default"/>
                <w:sz w:val="18"/>
                <w:szCs w:val="18"/>
              </w:rPr>
            </w:pPr>
            <w:r>
              <w:rPr>
                <w:rFonts w:ascii="Arial"/>
                <w:w w:val="95"/>
                <w:sz w:val="18"/>
              </w:rPr>
              <w:t>2,162</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0"/>
              <w:jc w:val="right"/>
              <w:rPr>
                <w:rFonts w:ascii="Arial" w:hAnsi="Arial" w:cs="Arial" w:eastAsia="Arial" w:hint="default"/>
                <w:sz w:val="18"/>
                <w:szCs w:val="18"/>
              </w:rPr>
            </w:pPr>
            <w:r>
              <w:rPr>
                <w:rFonts w:ascii="Arial"/>
                <w:w w:val="95"/>
                <w:sz w:val="18"/>
              </w:rPr>
              <w:t>2,162</w:t>
            </w:r>
            <w:r>
              <w:rPr>
                <w:rFonts w:ascii="Arial"/>
                <w:sz w:val="18"/>
              </w:rPr>
            </w:r>
          </w:p>
        </w:tc>
      </w:tr>
      <w:tr>
        <w:trPr>
          <w:trHeight w:val="468"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0" w:right="0"/>
              <w:jc w:val="left"/>
              <w:rPr>
                <w:rFonts w:ascii="宋体" w:hAnsi="宋体" w:cs="宋体" w:eastAsia="宋体" w:hint="default"/>
                <w:sz w:val="18"/>
                <w:szCs w:val="18"/>
              </w:rPr>
            </w:pPr>
            <w:r>
              <w:rPr>
                <w:rFonts w:ascii="宋体" w:hAnsi="宋体" w:cs="宋体" w:eastAsia="宋体" w:hint="default"/>
                <w:sz w:val="18"/>
                <w:szCs w:val="18"/>
              </w:rPr>
              <w:t>北京朝阳苏宁电器</w:t>
            </w: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广场项目</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0"/>
              <w:jc w:val="right"/>
              <w:rPr>
                <w:rFonts w:ascii="Arial" w:hAnsi="Arial" w:cs="Arial" w:eastAsia="Arial" w:hint="default"/>
                <w:sz w:val="18"/>
                <w:szCs w:val="18"/>
              </w:rPr>
            </w:pPr>
            <w:r>
              <w:rPr>
                <w:rFonts w:ascii="Arial"/>
                <w:spacing w:val="-1"/>
                <w:sz w:val="18"/>
              </w:rPr>
              <w:t>32,943</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77" w:right="0"/>
              <w:jc w:val="left"/>
              <w:rPr>
                <w:rFonts w:ascii="Arial" w:hAnsi="Arial" w:cs="Arial" w:eastAsia="Arial" w:hint="default"/>
                <w:sz w:val="18"/>
                <w:szCs w:val="18"/>
              </w:rPr>
            </w:pPr>
            <w:r>
              <w:rPr>
                <w:rFonts w:ascii="Arial"/>
                <w:sz w:val="18"/>
              </w:rPr>
              <w:t>32,943</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8"/>
              <w:jc w:val="right"/>
              <w:rPr>
                <w:rFonts w:ascii="Arial" w:hAnsi="Arial" w:cs="Arial" w:eastAsia="Arial" w:hint="default"/>
                <w:sz w:val="18"/>
                <w:szCs w:val="18"/>
              </w:rPr>
            </w:pPr>
            <w:r>
              <w:rPr>
                <w:rFonts w:ascii="Arial"/>
                <w:w w:val="95"/>
                <w:sz w:val="18"/>
              </w:rPr>
              <w:t>8,770</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0"/>
              <w:jc w:val="right"/>
              <w:rPr>
                <w:rFonts w:ascii="Arial" w:hAnsi="Arial" w:cs="Arial" w:eastAsia="Arial" w:hint="default"/>
                <w:sz w:val="18"/>
                <w:szCs w:val="18"/>
              </w:rPr>
            </w:pPr>
            <w:r>
              <w:rPr>
                <w:rFonts w:ascii="Arial"/>
                <w:w w:val="95"/>
                <w:sz w:val="18"/>
              </w:rPr>
              <w:t>8,770</w:t>
            </w:r>
            <w:r>
              <w:rPr>
                <w:rFonts w:ascii="Arial"/>
                <w:sz w:val="18"/>
              </w:rPr>
            </w:r>
          </w:p>
        </w:tc>
      </w:tr>
      <w:tr>
        <w:trPr>
          <w:trHeight w:val="466"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3" w:lineRule="exact"/>
              <w:ind w:left="150" w:right="0"/>
              <w:jc w:val="left"/>
              <w:rPr>
                <w:rFonts w:ascii="宋体" w:hAnsi="宋体" w:cs="宋体" w:eastAsia="宋体" w:hint="default"/>
                <w:sz w:val="18"/>
                <w:szCs w:val="18"/>
              </w:rPr>
            </w:pPr>
            <w:r>
              <w:rPr>
                <w:rFonts w:ascii="宋体" w:hAnsi="宋体" w:cs="宋体" w:eastAsia="宋体" w:hint="default"/>
                <w:sz w:val="18"/>
                <w:szCs w:val="18"/>
              </w:rPr>
              <w:t>江西苏宁物流基地</w:t>
            </w:r>
          </w:p>
          <w:p>
            <w:pPr>
              <w:pStyle w:val="TableParagraph"/>
              <w:spacing w:line="234" w:lineRule="exact"/>
              <w:ind w:left="36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0"/>
              <w:jc w:val="right"/>
              <w:rPr>
                <w:rFonts w:ascii="Arial" w:hAnsi="Arial" w:cs="Arial" w:eastAsia="Arial" w:hint="default"/>
                <w:sz w:val="18"/>
                <w:szCs w:val="18"/>
              </w:rPr>
            </w:pPr>
            <w:r>
              <w:rPr>
                <w:rFonts w:ascii="Arial"/>
                <w:spacing w:val="-1"/>
                <w:sz w:val="18"/>
              </w:rPr>
              <w:t>32,840</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7" w:right="0"/>
              <w:jc w:val="left"/>
              <w:rPr>
                <w:rFonts w:ascii="Arial" w:hAnsi="Arial" w:cs="Arial" w:eastAsia="Arial" w:hint="default"/>
                <w:sz w:val="18"/>
                <w:szCs w:val="18"/>
              </w:rPr>
            </w:pPr>
            <w:r>
              <w:rPr>
                <w:rFonts w:ascii="Arial"/>
                <w:sz w:val="18"/>
              </w:rPr>
              <w:t>32,840</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7"/>
              <w:jc w:val="right"/>
              <w:rPr>
                <w:rFonts w:ascii="Arial" w:hAnsi="Arial" w:cs="Arial" w:eastAsia="Arial" w:hint="default"/>
                <w:sz w:val="18"/>
                <w:szCs w:val="18"/>
              </w:rPr>
            </w:pPr>
            <w:r>
              <w:rPr>
                <w:rFonts w:ascii="Arial"/>
                <w:w w:val="95"/>
                <w:sz w:val="18"/>
              </w:rPr>
              <w:t>33</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9"/>
              <w:jc w:val="right"/>
              <w:rPr>
                <w:rFonts w:ascii="Arial" w:hAnsi="Arial" w:cs="Arial" w:eastAsia="Arial" w:hint="default"/>
                <w:sz w:val="18"/>
                <w:szCs w:val="18"/>
              </w:rPr>
            </w:pPr>
            <w:r>
              <w:rPr>
                <w:rFonts w:ascii="Arial"/>
                <w:w w:val="95"/>
                <w:sz w:val="18"/>
              </w:rPr>
              <w:t>33</w:t>
            </w:r>
            <w:r>
              <w:rPr>
                <w:rFonts w:ascii="Arial"/>
                <w:sz w:val="18"/>
              </w:rPr>
            </w:r>
          </w:p>
        </w:tc>
      </w:tr>
      <w:tr>
        <w:trPr>
          <w:trHeight w:val="468"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0" w:right="0"/>
              <w:jc w:val="left"/>
              <w:rPr>
                <w:rFonts w:ascii="宋体" w:hAnsi="宋体" w:cs="宋体" w:eastAsia="宋体" w:hint="default"/>
                <w:sz w:val="18"/>
                <w:szCs w:val="18"/>
              </w:rPr>
            </w:pPr>
            <w:r>
              <w:rPr>
                <w:rFonts w:ascii="宋体" w:hAnsi="宋体" w:cs="宋体" w:eastAsia="宋体" w:hint="default"/>
                <w:sz w:val="18"/>
                <w:szCs w:val="18"/>
              </w:rPr>
              <w:t>青岛办公区购置房</w:t>
            </w: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0"/>
              <w:jc w:val="right"/>
              <w:rPr>
                <w:rFonts w:ascii="Arial" w:hAnsi="Arial" w:cs="Arial" w:eastAsia="Arial" w:hint="default"/>
                <w:sz w:val="18"/>
                <w:szCs w:val="18"/>
              </w:rPr>
            </w:pPr>
            <w:r>
              <w:rPr>
                <w:rFonts w:ascii="Arial"/>
                <w:spacing w:val="-1"/>
                <w:sz w:val="18"/>
              </w:rPr>
              <w:t>31,060</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77" w:right="0"/>
              <w:jc w:val="left"/>
              <w:rPr>
                <w:rFonts w:ascii="Arial" w:hAnsi="Arial" w:cs="Arial" w:eastAsia="Arial" w:hint="default"/>
                <w:sz w:val="18"/>
                <w:szCs w:val="18"/>
              </w:rPr>
            </w:pPr>
            <w:r>
              <w:rPr>
                <w:rFonts w:ascii="Arial"/>
                <w:sz w:val="18"/>
              </w:rPr>
              <w:t>31,060</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0"/>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r>
      <w:tr>
        <w:trPr>
          <w:trHeight w:val="252"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0" w:right="0"/>
              <w:jc w:val="left"/>
              <w:rPr>
                <w:rFonts w:ascii="宋体" w:hAnsi="宋体" w:cs="宋体" w:eastAsia="宋体" w:hint="default"/>
                <w:sz w:val="18"/>
                <w:szCs w:val="18"/>
              </w:rPr>
            </w:pPr>
            <w:r>
              <w:rPr>
                <w:rFonts w:ascii="宋体" w:hAnsi="宋体" w:cs="宋体" w:eastAsia="宋体" w:hint="default"/>
                <w:sz w:val="18"/>
                <w:szCs w:val="18"/>
              </w:rPr>
              <w:t>贵阳物流基地项目</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0"/>
              <w:jc w:val="right"/>
              <w:rPr>
                <w:rFonts w:ascii="Arial" w:hAnsi="Arial" w:cs="Arial" w:eastAsia="Arial" w:hint="default"/>
                <w:sz w:val="18"/>
                <w:szCs w:val="18"/>
              </w:rPr>
            </w:pPr>
            <w:r>
              <w:rPr>
                <w:rFonts w:ascii="Arial"/>
                <w:spacing w:val="-1"/>
                <w:sz w:val="18"/>
              </w:rPr>
              <w:t>19,369</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7" w:right="0"/>
              <w:jc w:val="left"/>
              <w:rPr>
                <w:rFonts w:ascii="Arial" w:hAnsi="Arial" w:cs="Arial" w:eastAsia="Arial" w:hint="default"/>
                <w:sz w:val="18"/>
                <w:szCs w:val="18"/>
              </w:rPr>
            </w:pPr>
            <w:r>
              <w:rPr>
                <w:rFonts w:ascii="Arial"/>
                <w:sz w:val="18"/>
              </w:rPr>
              <w:t>19,369</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7"/>
              <w:jc w:val="right"/>
              <w:rPr>
                <w:rFonts w:ascii="Arial" w:hAnsi="Arial" w:cs="Arial" w:eastAsia="Arial" w:hint="default"/>
                <w:sz w:val="18"/>
                <w:szCs w:val="18"/>
              </w:rPr>
            </w:pPr>
            <w:r>
              <w:rPr>
                <w:rFonts w:ascii="Arial"/>
                <w:w w:val="95"/>
                <w:sz w:val="18"/>
              </w:rPr>
              <w:t>374</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9"/>
              <w:jc w:val="right"/>
              <w:rPr>
                <w:rFonts w:ascii="Arial" w:hAnsi="Arial" w:cs="Arial" w:eastAsia="Arial" w:hint="default"/>
                <w:sz w:val="18"/>
                <w:szCs w:val="18"/>
              </w:rPr>
            </w:pPr>
            <w:r>
              <w:rPr>
                <w:rFonts w:ascii="Arial"/>
                <w:w w:val="95"/>
                <w:sz w:val="18"/>
              </w:rPr>
              <w:t>374</w:t>
            </w:r>
            <w:r>
              <w:rPr>
                <w:rFonts w:ascii="Arial"/>
                <w:sz w:val="18"/>
              </w:rPr>
            </w:r>
          </w:p>
        </w:tc>
      </w:tr>
      <w:tr>
        <w:trPr>
          <w:trHeight w:val="253"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0" w:right="0"/>
              <w:jc w:val="left"/>
              <w:rPr>
                <w:rFonts w:ascii="宋体" w:hAnsi="宋体" w:cs="宋体" w:eastAsia="宋体" w:hint="default"/>
                <w:sz w:val="18"/>
                <w:szCs w:val="18"/>
              </w:rPr>
            </w:pPr>
            <w:r>
              <w:rPr>
                <w:rFonts w:ascii="宋体" w:hAnsi="宋体" w:cs="宋体" w:eastAsia="宋体" w:hint="default"/>
                <w:sz w:val="18"/>
                <w:szCs w:val="18"/>
              </w:rPr>
              <w:t>包头物流项目</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0"/>
              <w:jc w:val="right"/>
              <w:rPr>
                <w:rFonts w:ascii="Arial" w:hAnsi="Arial" w:cs="Arial" w:eastAsia="Arial" w:hint="default"/>
                <w:sz w:val="18"/>
                <w:szCs w:val="18"/>
              </w:rPr>
            </w:pPr>
            <w:r>
              <w:rPr>
                <w:rFonts w:ascii="Arial"/>
                <w:spacing w:val="-1"/>
                <w:sz w:val="18"/>
              </w:rPr>
              <w:t>12,884</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7" w:right="0"/>
              <w:jc w:val="left"/>
              <w:rPr>
                <w:rFonts w:ascii="Arial" w:hAnsi="Arial" w:cs="Arial" w:eastAsia="Arial" w:hint="default"/>
                <w:sz w:val="18"/>
                <w:szCs w:val="18"/>
              </w:rPr>
            </w:pPr>
            <w:r>
              <w:rPr>
                <w:rFonts w:ascii="Arial"/>
                <w:sz w:val="18"/>
              </w:rPr>
              <w:t>12,884</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7"/>
              <w:jc w:val="right"/>
              <w:rPr>
                <w:rFonts w:ascii="Arial" w:hAnsi="Arial" w:cs="Arial" w:eastAsia="Arial" w:hint="default"/>
                <w:sz w:val="18"/>
                <w:szCs w:val="18"/>
              </w:rPr>
            </w:pPr>
            <w:r>
              <w:rPr>
                <w:rFonts w:ascii="Arial"/>
                <w:w w:val="95"/>
                <w:sz w:val="18"/>
              </w:rPr>
              <w:t>188</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9"/>
              <w:jc w:val="right"/>
              <w:rPr>
                <w:rFonts w:ascii="Arial" w:hAnsi="Arial" w:cs="Arial" w:eastAsia="Arial" w:hint="default"/>
                <w:sz w:val="18"/>
                <w:szCs w:val="18"/>
              </w:rPr>
            </w:pPr>
            <w:r>
              <w:rPr>
                <w:rFonts w:ascii="Arial"/>
                <w:w w:val="95"/>
                <w:sz w:val="18"/>
              </w:rPr>
              <w:t>188</w:t>
            </w:r>
            <w:r>
              <w:rPr>
                <w:rFonts w:ascii="Arial"/>
                <w:sz w:val="18"/>
              </w:rPr>
            </w:r>
          </w:p>
        </w:tc>
      </w:tr>
      <w:tr>
        <w:trPr>
          <w:trHeight w:val="263"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6" w:lineRule="exact"/>
              <w:ind w:left="150" w:right="0"/>
              <w:jc w:val="left"/>
              <w:rPr>
                <w:rFonts w:ascii="宋体" w:hAnsi="宋体" w:cs="宋体" w:eastAsia="宋体" w:hint="default"/>
                <w:sz w:val="18"/>
                <w:szCs w:val="18"/>
              </w:rPr>
            </w:pPr>
            <w:r>
              <w:rPr>
                <w:rFonts w:ascii="宋体" w:hAnsi="宋体" w:cs="宋体" w:eastAsia="宋体" w:hint="default"/>
                <w:sz w:val="18"/>
                <w:szCs w:val="18"/>
              </w:rPr>
              <w:t>重庆雨田大厦</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2"/>
              <w:jc w:val="right"/>
              <w:rPr>
                <w:rFonts w:ascii="Arial" w:hAnsi="Arial" w:cs="Arial" w:eastAsia="Arial" w:hint="default"/>
                <w:sz w:val="18"/>
                <w:szCs w:val="18"/>
              </w:rPr>
            </w:pPr>
            <w:r>
              <w:rPr>
                <w:rFonts w:ascii="Arial"/>
                <w:w w:val="99"/>
                <w:sz w:val="18"/>
              </w:rPr>
              <w:t>-</w:t>
            </w:r>
            <w:r>
              <w:rPr>
                <w:rFonts w:ascii="Arial"/>
                <w:sz w:val="18"/>
              </w:rPr>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9"/>
              <w:jc w:val="right"/>
              <w:rPr>
                <w:rFonts w:ascii="Arial" w:hAnsi="Arial" w:cs="Arial" w:eastAsia="Arial" w:hint="default"/>
                <w:sz w:val="18"/>
                <w:szCs w:val="18"/>
              </w:rPr>
            </w:pPr>
            <w:r>
              <w:rPr>
                <w:rFonts w:ascii="Arial"/>
                <w:spacing w:val="-1"/>
                <w:sz w:val="18"/>
              </w:rPr>
              <w:t>196,324</w:t>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0"/>
              <w:jc w:val="right"/>
              <w:rPr>
                <w:rFonts w:ascii="Arial" w:hAnsi="Arial" w:cs="Arial" w:eastAsia="Arial" w:hint="default"/>
                <w:sz w:val="18"/>
                <w:szCs w:val="18"/>
              </w:rPr>
            </w:pPr>
            <w:r>
              <w:rPr>
                <w:rFonts w:ascii="Arial"/>
                <w:spacing w:val="-1"/>
                <w:sz w:val="18"/>
              </w:rPr>
              <w:t>196,324</w:t>
            </w:r>
          </w:p>
        </w:tc>
      </w:tr>
      <w:tr>
        <w:trPr>
          <w:trHeight w:val="244"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05" w:lineRule="exact"/>
              <w:ind w:left="150" w:right="0"/>
              <w:jc w:val="left"/>
              <w:rPr>
                <w:rFonts w:ascii="宋体" w:hAnsi="宋体" w:cs="宋体" w:eastAsia="宋体" w:hint="default"/>
                <w:sz w:val="18"/>
                <w:szCs w:val="18"/>
              </w:rPr>
            </w:pPr>
            <w:r>
              <w:rPr>
                <w:rFonts w:ascii="宋体" w:hAnsi="宋体" w:cs="宋体" w:eastAsia="宋体" w:hint="default"/>
                <w:sz w:val="18"/>
                <w:szCs w:val="18"/>
              </w:rPr>
              <w:t>徐庄总部</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2"/>
              <w:jc w:val="right"/>
              <w:rPr>
                <w:rFonts w:ascii="Arial" w:hAnsi="Arial" w:cs="Arial" w:eastAsia="Arial" w:hint="default"/>
                <w:sz w:val="18"/>
                <w:szCs w:val="18"/>
              </w:rPr>
            </w:pPr>
            <w:r>
              <w:rPr>
                <w:rFonts w:ascii="Arial"/>
                <w:w w:val="99"/>
                <w:sz w:val="18"/>
              </w:rPr>
              <w:t>-</w:t>
            </w:r>
            <w:r>
              <w:rPr>
                <w:rFonts w:ascii="Arial"/>
                <w:sz w:val="18"/>
              </w:rPr>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1"/>
              <w:jc w:val="right"/>
              <w:rPr>
                <w:rFonts w:ascii="Arial" w:hAnsi="Arial" w:cs="Arial" w:eastAsia="Arial" w:hint="default"/>
                <w:sz w:val="18"/>
                <w:szCs w:val="18"/>
              </w:rPr>
            </w:pPr>
            <w:r>
              <w:rPr>
                <w:rFonts w:ascii="Arial"/>
                <w:spacing w:val="-1"/>
                <w:sz w:val="18"/>
              </w:rPr>
              <w:t>176,764</w:t>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3"/>
              <w:jc w:val="right"/>
              <w:rPr>
                <w:rFonts w:ascii="Arial" w:hAnsi="Arial" w:cs="Arial" w:eastAsia="Arial" w:hint="default"/>
                <w:sz w:val="18"/>
                <w:szCs w:val="18"/>
              </w:rPr>
            </w:pPr>
            <w:r>
              <w:rPr>
                <w:rFonts w:ascii="Arial"/>
                <w:spacing w:val="-1"/>
                <w:sz w:val="18"/>
              </w:rPr>
              <w:t>176,764</w:t>
            </w:r>
          </w:p>
        </w:tc>
      </w:tr>
      <w:tr>
        <w:trPr>
          <w:trHeight w:val="263"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6" w:lineRule="exact"/>
              <w:ind w:left="150" w:right="0"/>
              <w:jc w:val="left"/>
              <w:rPr>
                <w:rFonts w:ascii="宋体" w:hAnsi="宋体" w:cs="宋体" w:eastAsia="宋体" w:hint="default"/>
                <w:sz w:val="18"/>
                <w:szCs w:val="18"/>
              </w:rPr>
            </w:pPr>
            <w:r>
              <w:rPr>
                <w:rFonts w:ascii="宋体" w:hAnsi="宋体" w:cs="宋体" w:eastAsia="宋体" w:hint="default"/>
                <w:sz w:val="18"/>
                <w:szCs w:val="18"/>
              </w:rPr>
              <w:t>重庆物流基地工程</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2"/>
              <w:jc w:val="right"/>
              <w:rPr>
                <w:rFonts w:ascii="Arial" w:hAnsi="Arial" w:cs="Arial" w:eastAsia="Arial" w:hint="default"/>
                <w:sz w:val="18"/>
                <w:szCs w:val="18"/>
              </w:rPr>
            </w:pPr>
            <w:r>
              <w:rPr>
                <w:rFonts w:ascii="Arial"/>
                <w:w w:val="99"/>
                <w:sz w:val="18"/>
              </w:rPr>
              <w:t>-</w:t>
            </w:r>
            <w:r>
              <w:rPr>
                <w:rFonts w:ascii="Arial"/>
                <w:sz w:val="18"/>
              </w:rPr>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1"/>
              <w:jc w:val="right"/>
              <w:rPr>
                <w:rFonts w:ascii="Arial" w:hAnsi="Arial" w:cs="Arial" w:eastAsia="Arial" w:hint="default"/>
                <w:sz w:val="18"/>
                <w:szCs w:val="18"/>
              </w:rPr>
            </w:pPr>
            <w:r>
              <w:rPr>
                <w:rFonts w:ascii="Arial"/>
                <w:spacing w:val="-3"/>
                <w:sz w:val="18"/>
              </w:rPr>
              <w:t>118,043</w:t>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3"/>
              <w:jc w:val="right"/>
              <w:rPr>
                <w:rFonts w:ascii="Arial" w:hAnsi="Arial" w:cs="Arial" w:eastAsia="Arial" w:hint="default"/>
                <w:sz w:val="18"/>
                <w:szCs w:val="18"/>
              </w:rPr>
            </w:pPr>
            <w:r>
              <w:rPr>
                <w:rFonts w:ascii="Arial"/>
                <w:spacing w:val="-3"/>
                <w:sz w:val="18"/>
              </w:rPr>
              <w:t>118,043</w:t>
            </w:r>
          </w:p>
        </w:tc>
      </w:tr>
      <w:tr>
        <w:trPr>
          <w:trHeight w:val="242"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04" w:lineRule="exact"/>
              <w:ind w:left="150" w:right="0"/>
              <w:jc w:val="left"/>
              <w:rPr>
                <w:rFonts w:ascii="宋体" w:hAnsi="宋体" w:cs="宋体" w:eastAsia="宋体" w:hint="default"/>
                <w:sz w:val="18"/>
                <w:szCs w:val="18"/>
              </w:rPr>
            </w:pPr>
            <w:r>
              <w:rPr>
                <w:rFonts w:ascii="宋体" w:hAnsi="宋体" w:cs="宋体" w:eastAsia="宋体" w:hint="default"/>
                <w:sz w:val="18"/>
                <w:szCs w:val="18"/>
              </w:rPr>
              <w:t>北京物流基地二期</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2"/>
              <w:jc w:val="right"/>
              <w:rPr>
                <w:rFonts w:ascii="Arial" w:hAnsi="Arial" w:cs="Arial" w:eastAsia="Arial" w:hint="default"/>
                <w:sz w:val="18"/>
                <w:szCs w:val="18"/>
              </w:rPr>
            </w:pPr>
            <w:r>
              <w:rPr>
                <w:rFonts w:ascii="Arial"/>
                <w:w w:val="99"/>
                <w:sz w:val="18"/>
              </w:rPr>
              <w:t>-</w:t>
            </w:r>
            <w:r>
              <w:rPr>
                <w:rFonts w:ascii="Arial"/>
                <w:sz w:val="18"/>
              </w:rPr>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1"/>
              <w:jc w:val="right"/>
              <w:rPr>
                <w:rFonts w:ascii="Arial" w:hAnsi="Arial" w:cs="Arial" w:eastAsia="Arial" w:hint="default"/>
                <w:sz w:val="18"/>
                <w:szCs w:val="18"/>
              </w:rPr>
            </w:pPr>
            <w:r>
              <w:rPr>
                <w:rFonts w:ascii="Arial"/>
                <w:spacing w:val="-1"/>
                <w:sz w:val="18"/>
              </w:rPr>
              <w:t>97,221</w:t>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3"/>
              <w:jc w:val="right"/>
              <w:rPr>
                <w:rFonts w:ascii="Arial" w:hAnsi="Arial" w:cs="Arial" w:eastAsia="Arial" w:hint="default"/>
                <w:sz w:val="18"/>
                <w:szCs w:val="18"/>
              </w:rPr>
            </w:pPr>
            <w:r>
              <w:rPr>
                <w:rFonts w:ascii="Arial"/>
                <w:spacing w:val="-1"/>
                <w:sz w:val="18"/>
              </w:rPr>
              <w:t>97,221</w:t>
            </w:r>
          </w:p>
        </w:tc>
      </w:tr>
      <w:tr>
        <w:trPr>
          <w:trHeight w:val="254"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0" w:right="0"/>
              <w:jc w:val="left"/>
              <w:rPr>
                <w:rFonts w:ascii="宋体" w:hAnsi="宋体" w:cs="宋体" w:eastAsia="宋体" w:hint="default"/>
                <w:sz w:val="18"/>
                <w:szCs w:val="18"/>
              </w:rPr>
            </w:pPr>
            <w:r>
              <w:rPr>
                <w:rFonts w:ascii="宋体" w:hAnsi="宋体" w:cs="宋体" w:eastAsia="宋体" w:hint="default"/>
                <w:sz w:val="18"/>
                <w:szCs w:val="18"/>
              </w:rPr>
              <w:t>重庆长寿店</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1"/>
              <w:jc w:val="right"/>
              <w:rPr>
                <w:rFonts w:ascii="Arial" w:hAnsi="Arial" w:cs="Arial" w:eastAsia="Arial" w:hint="default"/>
                <w:sz w:val="18"/>
                <w:szCs w:val="18"/>
              </w:rPr>
            </w:pPr>
            <w:r>
              <w:rPr>
                <w:rFonts w:ascii="Arial"/>
                <w:spacing w:val="-1"/>
                <w:sz w:val="18"/>
              </w:rPr>
              <w:t>72,750</w:t>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3"/>
              <w:jc w:val="right"/>
              <w:rPr>
                <w:rFonts w:ascii="Arial" w:hAnsi="Arial" w:cs="Arial" w:eastAsia="Arial" w:hint="default"/>
                <w:sz w:val="18"/>
                <w:szCs w:val="18"/>
              </w:rPr>
            </w:pPr>
            <w:r>
              <w:rPr>
                <w:rFonts w:ascii="Arial"/>
                <w:spacing w:val="-1"/>
                <w:sz w:val="18"/>
              </w:rPr>
              <w:t>72,750</w:t>
            </w:r>
          </w:p>
        </w:tc>
      </w:tr>
      <w:tr>
        <w:trPr>
          <w:trHeight w:val="252"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0" w:right="0"/>
              <w:jc w:val="left"/>
              <w:rPr>
                <w:rFonts w:ascii="宋体" w:hAnsi="宋体" w:cs="宋体" w:eastAsia="宋体" w:hint="default"/>
                <w:sz w:val="18"/>
                <w:szCs w:val="18"/>
              </w:rPr>
            </w:pPr>
            <w:r>
              <w:rPr>
                <w:rFonts w:ascii="宋体" w:hAnsi="宋体" w:cs="宋体" w:eastAsia="宋体" w:hint="default"/>
                <w:sz w:val="18"/>
                <w:szCs w:val="18"/>
              </w:rPr>
              <w:t>盐城物流项目</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2"/>
              <w:jc w:val="right"/>
              <w:rPr>
                <w:rFonts w:ascii="Arial" w:hAnsi="Arial" w:cs="Arial" w:eastAsia="Arial" w:hint="default"/>
                <w:sz w:val="18"/>
                <w:szCs w:val="18"/>
              </w:rPr>
            </w:pPr>
            <w:r>
              <w:rPr>
                <w:rFonts w:ascii="Arial"/>
                <w:w w:val="99"/>
                <w:sz w:val="18"/>
              </w:rPr>
              <w:t>-</w:t>
            </w:r>
            <w:r>
              <w:rPr>
                <w:rFonts w:ascii="Arial"/>
                <w:sz w:val="18"/>
              </w:rPr>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8"/>
              <w:jc w:val="right"/>
              <w:rPr>
                <w:rFonts w:ascii="Arial" w:hAnsi="Arial" w:cs="Arial" w:eastAsia="Arial" w:hint="default"/>
                <w:sz w:val="18"/>
                <w:szCs w:val="18"/>
              </w:rPr>
            </w:pPr>
            <w:r>
              <w:rPr>
                <w:rFonts w:ascii="Arial"/>
                <w:spacing w:val="-1"/>
                <w:sz w:val="18"/>
              </w:rPr>
              <w:t>54,099</w:t>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0"/>
              <w:jc w:val="right"/>
              <w:rPr>
                <w:rFonts w:ascii="Arial" w:hAnsi="Arial" w:cs="Arial" w:eastAsia="Arial" w:hint="default"/>
                <w:sz w:val="18"/>
                <w:szCs w:val="18"/>
              </w:rPr>
            </w:pPr>
            <w:r>
              <w:rPr>
                <w:rFonts w:ascii="Arial"/>
                <w:spacing w:val="-1"/>
                <w:sz w:val="18"/>
              </w:rPr>
              <w:t>54,099</w:t>
            </w:r>
          </w:p>
        </w:tc>
      </w:tr>
      <w:tr>
        <w:trPr>
          <w:trHeight w:val="253"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0" w:right="0"/>
              <w:jc w:val="left"/>
              <w:rPr>
                <w:rFonts w:ascii="宋体" w:hAnsi="宋体" w:cs="宋体" w:eastAsia="宋体" w:hint="default"/>
                <w:sz w:val="18"/>
                <w:szCs w:val="18"/>
              </w:rPr>
            </w:pPr>
            <w:r>
              <w:rPr>
                <w:rFonts w:ascii="宋体" w:hAnsi="宋体" w:cs="宋体" w:eastAsia="宋体" w:hint="default"/>
                <w:sz w:val="18"/>
                <w:szCs w:val="18"/>
              </w:rPr>
              <w:t>徐州物流项目</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2"/>
              <w:jc w:val="right"/>
              <w:rPr>
                <w:rFonts w:ascii="Arial" w:hAnsi="Arial" w:cs="Arial" w:eastAsia="Arial" w:hint="default"/>
                <w:sz w:val="18"/>
                <w:szCs w:val="18"/>
              </w:rPr>
            </w:pPr>
            <w:r>
              <w:rPr>
                <w:rFonts w:ascii="Arial"/>
                <w:w w:val="99"/>
                <w:sz w:val="18"/>
              </w:rPr>
              <w:t>-</w:t>
            </w:r>
            <w:r>
              <w:rPr>
                <w:rFonts w:ascii="Arial"/>
                <w:sz w:val="18"/>
              </w:rPr>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1"/>
              <w:jc w:val="right"/>
              <w:rPr>
                <w:rFonts w:ascii="Arial" w:hAnsi="Arial" w:cs="Arial" w:eastAsia="Arial" w:hint="default"/>
                <w:sz w:val="18"/>
                <w:szCs w:val="18"/>
              </w:rPr>
            </w:pPr>
            <w:r>
              <w:rPr>
                <w:rFonts w:ascii="Arial"/>
                <w:spacing w:val="-1"/>
                <w:sz w:val="18"/>
              </w:rPr>
              <w:t>51,505</w:t>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2"/>
              <w:jc w:val="right"/>
              <w:rPr>
                <w:rFonts w:ascii="Arial" w:hAnsi="Arial" w:cs="Arial" w:eastAsia="Arial" w:hint="default"/>
                <w:sz w:val="18"/>
                <w:szCs w:val="18"/>
              </w:rPr>
            </w:pPr>
            <w:r>
              <w:rPr>
                <w:rFonts w:ascii="Arial"/>
                <w:spacing w:val="-1"/>
                <w:sz w:val="18"/>
              </w:rPr>
              <w:t>51,505</w:t>
            </w:r>
          </w:p>
        </w:tc>
      </w:tr>
      <w:tr>
        <w:trPr>
          <w:trHeight w:val="476"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0" w:right="0"/>
              <w:jc w:val="left"/>
              <w:rPr>
                <w:rFonts w:ascii="宋体" w:hAnsi="宋体" w:cs="宋体" w:eastAsia="宋体" w:hint="default"/>
                <w:sz w:val="18"/>
                <w:szCs w:val="18"/>
              </w:rPr>
            </w:pPr>
            <w:r>
              <w:rPr>
                <w:rFonts w:ascii="宋体" w:hAnsi="宋体" w:cs="宋体" w:eastAsia="宋体" w:hint="default"/>
                <w:sz w:val="18"/>
                <w:szCs w:val="18"/>
              </w:rPr>
              <w:t>大庆会战大街三层</w:t>
            </w:r>
          </w:p>
          <w:p>
            <w:pPr>
              <w:pStyle w:val="TableParagraph"/>
              <w:spacing w:line="234" w:lineRule="exact"/>
              <w:ind w:left="424" w:right="0"/>
              <w:jc w:val="left"/>
              <w:rPr>
                <w:rFonts w:ascii="宋体" w:hAnsi="宋体" w:cs="宋体" w:eastAsia="宋体" w:hint="default"/>
                <w:sz w:val="18"/>
                <w:szCs w:val="18"/>
              </w:rPr>
            </w:pPr>
            <w:r>
              <w:rPr>
                <w:rFonts w:ascii="宋体" w:hAnsi="宋体" w:cs="宋体" w:eastAsia="宋体" w:hint="default"/>
                <w:sz w:val="18"/>
                <w:szCs w:val="18"/>
              </w:rPr>
              <w:t>商服楼</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1"/>
              <w:jc w:val="right"/>
              <w:rPr>
                <w:rFonts w:ascii="Arial" w:hAnsi="Arial" w:cs="Arial" w:eastAsia="Arial" w:hint="default"/>
                <w:sz w:val="18"/>
                <w:szCs w:val="18"/>
              </w:rPr>
            </w:pPr>
            <w:r>
              <w:rPr>
                <w:rFonts w:ascii="Arial"/>
                <w:spacing w:val="-1"/>
                <w:sz w:val="18"/>
              </w:rPr>
              <w:t>32,499</w:t>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Arial" w:hAnsi="Arial" w:cs="Arial" w:eastAsia="Arial" w:hint="default"/>
                <w:sz w:val="18"/>
                <w:szCs w:val="18"/>
              </w:rPr>
            </w:pPr>
            <w:r>
              <w:rPr>
                <w:rFonts w:ascii="Arial"/>
                <w:spacing w:val="-1"/>
                <w:sz w:val="18"/>
              </w:rPr>
              <w:t>32,499</w:t>
            </w:r>
          </w:p>
        </w:tc>
      </w:tr>
      <w:tr>
        <w:trPr>
          <w:trHeight w:val="242"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04" w:lineRule="exact"/>
              <w:ind w:left="150" w:right="0"/>
              <w:jc w:val="left"/>
              <w:rPr>
                <w:rFonts w:ascii="宋体" w:hAnsi="宋体" w:cs="宋体" w:eastAsia="宋体" w:hint="default"/>
                <w:sz w:val="18"/>
                <w:szCs w:val="18"/>
              </w:rPr>
            </w:pPr>
            <w:r>
              <w:rPr>
                <w:rFonts w:ascii="宋体" w:hAnsi="宋体" w:cs="宋体" w:eastAsia="宋体" w:hint="default"/>
                <w:sz w:val="18"/>
                <w:szCs w:val="18"/>
              </w:rPr>
              <w:t>成都物流基地工程</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2"/>
              <w:jc w:val="right"/>
              <w:rPr>
                <w:rFonts w:ascii="Arial" w:hAnsi="Arial" w:cs="Arial" w:eastAsia="Arial" w:hint="default"/>
                <w:sz w:val="18"/>
                <w:szCs w:val="18"/>
              </w:rPr>
            </w:pPr>
            <w:r>
              <w:rPr>
                <w:rFonts w:ascii="Arial"/>
                <w:w w:val="99"/>
                <w:sz w:val="18"/>
              </w:rPr>
              <w:t>-</w:t>
            </w:r>
            <w:r>
              <w:rPr>
                <w:rFonts w:ascii="Arial"/>
                <w:sz w:val="18"/>
              </w:rPr>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78"/>
              <w:jc w:val="right"/>
              <w:rPr>
                <w:rFonts w:ascii="Arial" w:hAnsi="Arial" w:cs="Arial" w:eastAsia="Arial" w:hint="default"/>
                <w:sz w:val="18"/>
                <w:szCs w:val="18"/>
              </w:rPr>
            </w:pPr>
            <w:r>
              <w:rPr>
                <w:rFonts w:ascii="Arial"/>
                <w:w w:val="95"/>
                <w:sz w:val="18"/>
              </w:rPr>
              <w:t>6,081</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0"/>
              <w:jc w:val="right"/>
              <w:rPr>
                <w:rFonts w:ascii="Arial" w:hAnsi="Arial" w:cs="Arial" w:eastAsia="Arial" w:hint="default"/>
                <w:sz w:val="18"/>
                <w:szCs w:val="18"/>
              </w:rPr>
            </w:pPr>
            <w:r>
              <w:rPr>
                <w:rFonts w:ascii="Arial"/>
                <w:w w:val="95"/>
                <w:sz w:val="18"/>
              </w:rPr>
              <w:t>6,081</w:t>
            </w:r>
            <w:r>
              <w:rPr>
                <w:rFonts w:ascii="Arial"/>
                <w:sz w:val="18"/>
              </w:rPr>
            </w:r>
          </w:p>
        </w:tc>
      </w:tr>
      <w:tr>
        <w:trPr>
          <w:trHeight w:val="280"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0"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195" w:type="dxa"/>
            <w:tcBorders>
              <w:top w:val="nil" w:sz="6" w:space="0" w:color="auto"/>
              <w:left w:val="nil" w:sz="6" w:space="0" w:color="auto"/>
              <w:bottom w:val="nil" w:sz="6" w:space="0" w:color="auto"/>
              <w:right w:val="nil" w:sz="6" w:space="0" w:color="auto"/>
            </w:tcBorders>
          </w:tcPr>
          <w:p>
            <w:pPr>
              <w:pStyle w:val="TableParagraph"/>
              <w:tabs>
                <w:tab w:pos="561" w:val="left" w:leader="none"/>
                <w:tab w:pos="1195"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53,553</w:t>
              <w:tab/>
            </w:r>
            <w:r>
              <w:rPr>
                <w:rFonts w:ascii="Arial"/>
                <w:spacing w:val="-1"/>
                <w:sz w:val="18"/>
              </w:rPr>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tabs>
                <w:tab w:pos="499" w:val="left" w:leader="none"/>
                <w:tab w:pos="914" w:val="left" w:leader="none"/>
                <w:tab w:pos="1361" w:val="left" w:leader="none"/>
              </w:tabs>
              <w:spacing w:line="240" w:lineRule="auto" w:before="36"/>
              <w:ind w:left="14" w:right="-278"/>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 </w:t>
            </w:r>
            <w:r>
              <w:rPr>
                <w:rFonts w:ascii="Arial"/>
                <w:spacing w:val="-16"/>
                <w:sz w:val="18"/>
                <w:u w:val="single" w:color="000000"/>
              </w:rPr>
              <w:t> </w:t>
            </w:r>
            <w:r>
              <w:rPr>
                <w:rFonts w:ascii="Arial"/>
                <w:spacing w:val="-16"/>
                <w:sz w:val="18"/>
              </w:rPr>
            </w:r>
            <w:r>
              <w:rPr>
                <w:rFonts w:ascii="Arial"/>
                <w:sz w:val="18"/>
              </w:rPr>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36"/>
              <w:ind w:right="-1"/>
              <w:jc w:val="right"/>
              <w:rPr>
                <w:rFonts w:ascii="Arial" w:hAnsi="Arial" w:cs="Arial" w:eastAsia="Arial" w:hint="default"/>
                <w:sz w:val="18"/>
                <w:szCs w:val="18"/>
              </w:rPr>
            </w:pPr>
            <w:r>
              <w:rPr>
                <w:rFonts w:ascii="Arial"/>
                <w:w w:val="99"/>
                <w:sz w:val="18"/>
              </w:rPr>
            </w:r>
            <w:r>
              <w:rPr>
                <w:rFonts w:ascii="Arial"/>
                <w:spacing w:val="-1"/>
                <w:sz w:val="18"/>
                <w:u w:val="single" w:color="000000"/>
              </w:rPr>
              <w:t>53,553</w:t>
              <w:tab/>
            </w:r>
            <w:r>
              <w:rPr>
                <w:rFonts w:ascii="Arial"/>
                <w:spacing w:val="-1"/>
                <w:sz w:val="18"/>
              </w:rPr>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tabs>
                <w:tab w:pos="448" w:val="left" w:leader="none"/>
                <w:tab w:pos="1080" w:val="left" w:leader="none"/>
              </w:tabs>
              <w:spacing w:line="240" w:lineRule="auto" w:before="36"/>
              <w:ind w:right="-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37,302</w:t>
              <w:tab/>
            </w:r>
            <w:r>
              <w:rPr>
                <w:rFonts w:ascii="Arial"/>
                <w:spacing w:val="-1"/>
                <w:sz w:val="18"/>
              </w:rPr>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tabs>
                <w:tab w:pos="484" w:val="left" w:leader="none"/>
                <w:tab w:pos="628"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tabs>
                <w:tab w:pos="446" w:val="left" w:leader="none"/>
                <w:tab w:pos="1079"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37,302</w:t>
              <w:tab/>
            </w:r>
            <w:r>
              <w:rPr>
                <w:rFonts w:ascii="Arial"/>
                <w:spacing w:val="-1"/>
                <w:sz w:val="18"/>
              </w:rPr>
            </w:r>
          </w:p>
        </w:tc>
      </w:tr>
      <w:tr>
        <w:trPr>
          <w:trHeight w:val="242" w:hRule="exact"/>
        </w:trPr>
        <w:tc>
          <w:tcPr>
            <w:tcW w:w="76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left="309" w:right="0"/>
              <w:jc w:val="left"/>
              <w:rPr>
                <w:rFonts w:ascii="Arial" w:hAnsi="Arial" w:cs="Arial" w:eastAsia="Arial" w:hint="default"/>
                <w:sz w:val="18"/>
                <w:szCs w:val="18"/>
              </w:rPr>
            </w:pPr>
            <w:r>
              <w:rPr>
                <w:rFonts w:ascii="Arial"/>
                <w:sz w:val="18"/>
              </w:rPr>
              <w:t>2,478,083</w:t>
            </w:r>
          </w:p>
        </w:tc>
        <w:tc>
          <w:tcPr>
            <w:tcW w:w="25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23"/>
              <w:jc w:val="center"/>
              <w:rPr>
                <w:rFonts w:ascii="Arial" w:hAnsi="Arial" w:cs="Arial" w:eastAsia="Arial" w:hint="default"/>
                <w:sz w:val="18"/>
                <w:szCs w:val="18"/>
              </w:rPr>
            </w:pPr>
            <w:r>
              <w:rPr>
                <w:rFonts w:ascii="Arial"/>
                <w:w w:val="99"/>
                <w:sz w:val="18"/>
              </w:rPr>
              <w:t>-</w:t>
            </w:r>
            <w:r>
              <w:rPr>
                <w:rFonts w:ascii="Arial"/>
                <w:sz w:val="18"/>
              </w:rPr>
            </w:r>
          </w:p>
        </w:tc>
        <w:tc>
          <w:tcPr>
            <w:tcW w:w="911"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left="25" w:right="0"/>
              <w:jc w:val="left"/>
              <w:rPr>
                <w:rFonts w:ascii="Arial" w:hAnsi="Arial" w:cs="Arial" w:eastAsia="Arial" w:hint="default"/>
                <w:sz w:val="18"/>
                <w:szCs w:val="18"/>
              </w:rPr>
            </w:pPr>
            <w:r>
              <w:rPr>
                <w:rFonts w:ascii="Arial"/>
                <w:sz w:val="18"/>
              </w:rPr>
              <w:t>2,478,083</w:t>
            </w:r>
          </w:p>
        </w:tc>
        <w:tc>
          <w:tcPr>
            <w:tcW w:w="26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left="203" w:right="0"/>
              <w:jc w:val="left"/>
              <w:rPr>
                <w:rFonts w:ascii="Arial" w:hAnsi="Arial" w:cs="Arial" w:eastAsia="Arial" w:hint="default"/>
                <w:sz w:val="18"/>
                <w:szCs w:val="18"/>
              </w:rPr>
            </w:pPr>
            <w:r>
              <w:rPr>
                <w:rFonts w:ascii="Arial"/>
                <w:sz w:val="18"/>
              </w:rPr>
              <w:t>1,251,501</w:t>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82"/>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left="208" w:right="0"/>
              <w:jc w:val="left"/>
              <w:rPr>
                <w:rFonts w:ascii="Arial" w:hAnsi="Arial" w:cs="Arial" w:eastAsia="Arial" w:hint="default"/>
                <w:sz w:val="18"/>
                <w:szCs w:val="18"/>
              </w:rPr>
            </w:pPr>
            <w:r>
              <w:rPr>
                <w:rFonts w:ascii="Arial"/>
                <w:sz w:val="18"/>
              </w:rPr>
              <w:t>1,251,501</w:t>
            </w:r>
          </w:p>
        </w:tc>
      </w:tr>
    </w:tbl>
    <w:p>
      <w:pPr>
        <w:spacing w:after="0" w:line="240" w:lineRule="auto"/>
        <w:jc w:val="left"/>
        <w:rPr>
          <w:rFonts w:ascii="Arial" w:hAnsi="Arial" w:cs="Arial" w:eastAsia="Arial" w:hint="default"/>
          <w:sz w:val="18"/>
          <w:szCs w:val="18"/>
        </w:rPr>
        <w:sectPr>
          <w:pgSz w:w="11910" w:h="16850"/>
          <w:pgMar w:header="0" w:footer="1340" w:top="2020" w:bottom="154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707.039978pt;margin-top:518.320007pt;width:135pt;height:77pt;mso-position-horizontal-relative:page;mso-position-vertical-relative:page;z-index:3544" type="#_x0000_t75" stroked="false">
            <v:imagedata r:id="rId10" o:title=""/>
          </v:shape>
        </w:pict>
      </w:r>
    </w:p>
    <w:p>
      <w:pPr>
        <w:spacing w:line="240" w:lineRule="auto" w:before="2"/>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791"/>
        <w:gridCol w:w="1782"/>
        <w:gridCol w:w="957"/>
        <w:gridCol w:w="1176"/>
        <w:gridCol w:w="991"/>
        <w:gridCol w:w="1244"/>
        <w:gridCol w:w="956"/>
        <w:gridCol w:w="1089"/>
        <w:gridCol w:w="1080"/>
        <w:gridCol w:w="2160"/>
        <w:gridCol w:w="944"/>
        <w:gridCol w:w="996"/>
        <w:gridCol w:w="947"/>
        <w:gridCol w:w="1056"/>
      </w:tblGrid>
      <w:tr>
        <w:trPr>
          <w:trHeight w:val="416"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915"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162"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991"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
        </w:tc>
      </w:tr>
      <w:tr>
        <w:trPr>
          <w:trHeight w:val="587"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(13)</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62" w:right="0"/>
              <w:jc w:val="left"/>
              <w:rPr>
                <w:rFonts w:ascii="Arial" w:hAnsi="Arial" w:cs="Arial" w:eastAsia="Arial" w:hint="default"/>
                <w:sz w:val="24"/>
                <w:szCs w:val="24"/>
              </w:rPr>
            </w:pPr>
            <w:r>
              <w:rPr>
                <w:rFonts w:ascii="黑体" w:hAnsi="黑体" w:cs="黑体" w:eastAsia="黑体" w:hint="default"/>
                <w:sz w:val="24"/>
                <w:szCs w:val="24"/>
              </w:rPr>
              <w:t>在建工程</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957"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
        </w:tc>
      </w:tr>
      <w:tr>
        <w:trPr>
          <w:trHeight w:val="581"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2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62" w:right="0"/>
              <w:jc w:val="left"/>
              <w:rPr>
                <w:rFonts w:ascii="宋体" w:hAnsi="宋体" w:cs="宋体" w:eastAsia="宋体" w:hint="default"/>
                <w:sz w:val="24"/>
                <w:szCs w:val="24"/>
              </w:rPr>
            </w:pPr>
            <w:r>
              <w:rPr>
                <w:rFonts w:ascii="宋体" w:hAnsi="宋体" w:cs="宋体" w:eastAsia="宋体" w:hint="default"/>
                <w:sz w:val="24"/>
                <w:szCs w:val="24"/>
              </w:rPr>
              <w:t>重大在建工程项目变动</w:t>
            </w:r>
          </w:p>
        </w:tc>
        <w:tc>
          <w:tcPr>
            <w:tcW w:w="117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
        </w:tc>
      </w:tr>
      <w:tr>
        <w:trPr>
          <w:trHeight w:val="1077" w:hRule="exact"/>
        </w:trPr>
        <w:tc>
          <w:tcPr>
            <w:tcW w:w="791"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81"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7"/>
              <w:jc w:val="right"/>
              <w:rPr>
                <w:rFonts w:ascii="宋体" w:hAnsi="宋体" w:cs="宋体" w:eastAsia="宋体" w:hint="default"/>
                <w:sz w:val="18"/>
                <w:szCs w:val="18"/>
              </w:rPr>
            </w:pPr>
            <w:r>
              <w:rPr>
                <w:rFonts w:ascii="宋体" w:hAnsi="宋体" w:cs="宋体" w:eastAsia="宋体" w:hint="default"/>
                <w:sz w:val="18"/>
                <w:szCs w:val="18"/>
              </w:rPr>
              <w:t>预算数</w:t>
            </w:r>
          </w:p>
        </w:tc>
        <w:tc>
          <w:tcPr>
            <w:tcW w:w="1176" w:type="dxa"/>
            <w:tcBorders>
              <w:top w:val="nil" w:sz="6" w:space="0" w:color="auto"/>
              <w:left w:val="nil" w:sz="6" w:space="0" w:color="auto"/>
              <w:bottom w:val="nil" w:sz="6" w:space="0" w:color="auto"/>
              <w:right w:val="nil" w:sz="6" w:space="0" w:color="auto"/>
            </w:tcBorders>
          </w:tcPr>
          <w:p>
            <w:pPr>
              <w:pStyle w:val="TableParagraph"/>
              <w:spacing w:line="241" w:lineRule="exact" w:before="114"/>
              <w:ind w:left="422"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1" w:lineRule="exact"/>
              <w:ind w:left="13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29"/>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244" w:type="dxa"/>
            <w:tcBorders>
              <w:top w:val="nil" w:sz="6" w:space="0" w:color="auto"/>
              <w:left w:val="nil" w:sz="6" w:space="0" w:color="auto"/>
              <w:bottom w:val="nil" w:sz="6" w:space="0" w:color="auto"/>
              <w:right w:val="nil" w:sz="6" w:space="0" w:color="auto"/>
            </w:tcBorders>
          </w:tcPr>
          <w:p>
            <w:pPr>
              <w:pStyle w:val="TableParagraph"/>
              <w:spacing w:line="237" w:lineRule="auto" w:before="116"/>
              <w:ind w:left="129" w:right="131" w:hanging="79"/>
              <w:jc w:val="center"/>
              <w:rPr>
                <w:rFonts w:ascii="Arial" w:hAnsi="Arial" w:cs="Arial" w:eastAsia="Arial" w:hint="default"/>
                <w:sz w:val="18"/>
                <w:szCs w:val="18"/>
              </w:rPr>
            </w:pPr>
            <w:r>
              <w:rPr>
                <w:rFonts w:ascii="宋体" w:hAnsi="宋体" w:cs="宋体" w:eastAsia="宋体" w:hint="default"/>
                <w:sz w:val="18"/>
                <w:szCs w:val="18"/>
              </w:rPr>
              <w:t>本年转入 固定资产 </w:t>
            </w:r>
            <w:r>
              <w:rPr>
                <w:rFonts w:ascii="Arial" w:hAnsi="Arial" w:cs="Arial" w:eastAsia="Arial" w:hint="default"/>
                <w:sz w:val="18"/>
                <w:szCs w:val="18"/>
              </w:rPr>
              <w:t>(</w:t>
            </w:r>
            <w:r>
              <w:rPr>
                <w:rFonts w:ascii="宋体" w:hAnsi="宋体" w:cs="宋体" w:eastAsia="宋体" w:hint="default"/>
                <w:sz w:val="18"/>
                <w:szCs w:val="18"/>
              </w:rPr>
              <w:t>附注五</w:t>
            </w:r>
            <w:r>
              <w:rPr>
                <w:rFonts w:ascii="Arial" w:hAnsi="Arial" w:cs="Arial" w:eastAsia="Arial" w:hint="default"/>
                <w:sz w:val="18"/>
                <w:szCs w:val="18"/>
              </w:rPr>
              <w:t>(12))</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0"/>
              <w:jc w:val="right"/>
              <w:rPr>
                <w:rFonts w:ascii="宋体" w:hAnsi="宋体" w:cs="宋体" w:eastAsia="宋体" w:hint="default"/>
                <w:sz w:val="18"/>
                <w:szCs w:val="18"/>
              </w:rPr>
            </w:pPr>
            <w:r>
              <w:rPr>
                <w:rFonts w:ascii="宋体" w:hAnsi="宋体" w:cs="宋体" w:eastAsia="宋体" w:hint="default"/>
                <w:sz w:val="18"/>
                <w:szCs w:val="18"/>
              </w:rPr>
              <w:t>其他减少</w:t>
            </w:r>
          </w:p>
        </w:tc>
        <w:tc>
          <w:tcPr>
            <w:tcW w:w="1089" w:type="dxa"/>
            <w:tcBorders>
              <w:top w:val="nil" w:sz="6" w:space="0" w:color="auto"/>
              <w:left w:val="nil" w:sz="6" w:space="0" w:color="auto"/>
              <w:bottom w:val="nil" w:sz="6" w:space="0" w:color="auto"/>
              <w:right w:val="nil" w:sz="6" w:space="0" w:color="auto"/>
            </w:tcBorders>
          </w:tcPr>
          <w:p>
            <w:pPr>
              <w:pStyle w:val="TableParagraph"/>
              <w:spacing w:line="241" w:lineRule="exact" w:before="114"/>
              <w:ind w:left="195"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1" w:lineRule="exact"/>
              <w:ind w:left="13"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80" w:type="dxa"/>
            <w:tcBorders>
              <w:top w:val="nil" w:sz="6" w:space="0" w:color="auto"/>
              <w:left w:val="nil" w:sz="6" w:space="0" w:color="auto"/>
              <w:bottom w:val="nil" w:sz="6" w:space="0" w:color="auto"/>
              <w:right w:val="nil" w:sz="6" w:space="0" w:color="auto"/>
            </w:tcBorders>
          </w:tcPr>
          <w:p>
            <w:pPr>
              <w:pStyle w:val="TableParagraph"/>
              <w:spacing w:line="232" w:lineRule="exact" w:before="139"/>
              <w:ind w:left="88" w:right="88"/>
              <w:jc w:val="left"/>
              <w:rPr>
                <w:rFonts w:ascii="宋体" w:hAnsi="宋体" w:cs="宋体" w:eastAsia="宋体" w:hint="default"/>
                <w:sz w:val="18"/>
                <w:szCs w:val="18"/>
              </w:rPr>
            </w:pPr>
            <w:r>
              <w:rPr>
                <w:rFonts w:ascii="宋体" w:hAnsi="宋体" w:cs="宋体" w:eastAsia="宋体" w:hint="default"/>
                <w:sz w:val="18"/>
                <w:szCs w:val="18"/>
              </w:rPr>
              <w:t>工程投入占 预算的比例</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3"/>
              <w:jc w:val="right"/>
              <w:rPr>
                <w:rFonts w:ascii="宋体" w:hAnsi="宋体" w:cs="宋体" w:eastAsia="宋体" w:hint="default"/>
                <w:sz w:val="18"/>
                <w:szCs w:val="18"/>
              </w:rPr>
            </w:pPr>
            <w:r>
              <w:rPr>
                <w:rFonts w:ascii="宋体" w:hAnsi="宋体" w:cs="宋体" w:eastAsia="宋体" w:hint="default"/>
                <w:sz w:val="18"/>
                <w:szCs w:val="18"/>
              </w:rPr>
              <w:t>工程进度</w:t>
            </w:r>
          </w:p>
        </w:tc>
        <w:tc>
          <w:tcPr>
            <w:tcW w:w="944" w:type="dxa"/>
            <w:tcBorders>
              <w:top w:val="nil" w:sz="6" w:space="0" w:color="auto"/>
              <w:left w:val="nil" w:sz="6" w:space="0" w:color="auto"/>
              <w:bottom w:val="nil" w:sz="6" w:space="0" w:color="auto"/>
              <w:right w:val="nil" w:sz="6" w:space="0" w:color="auto"/>
            </w:tcBorders>
          </w:tcPr>
          <w:p>
            <w:pPr>
              <w:pStyle w:val="TableParagraph"/>
              <w:spacing w:line="237" w:lineRule="auto" w:before="116"/>
              <w:ind w:left="89" w:right="132"/>
              <w:jc w:val="right"/>
              <w:rPr>
                <w:rFonts w:ascii="宋体" w:hAnsi="宋体" w:cs="宋体" w:eastAsia="宋体" w:hint="default"/>
                <w:sz w:val="18"/>
                <w:szCs w:val="18"/>
              </w:rPr>
            </w:pPr>
            <w:r>
              <w:rPr>
                <w:rFonts w:ascii="宋体" w:hAnsi="宋体" w:cs="宋体" w:eastAsia="宋体" w:hint="default"/>
                <w:sz w:val="18"/>
                <w:szCs w:val="18"/>
              </w:rPr>
              <w:t>借款费用 资本化 累计金额</w:t>
            </w:r>
          </w:p>
        </w:tc>
        <w:tc>
          <w:tcPr>
            <w:tcW w:w="996" w:type="dxa"/>
            <w:tcBorders>
              <w:top w:val="nil" w:sz="6" w:space="0" w:color="auto"/>
              <w:left w:val="nil" w:sz="6" w:space="0" w:color="auto"/>
              <w:bottom w:val="nil" w:sz="6" w:space="0" w:color="auto"/>
              <w:right w:val="nil" w:sz="6" w:space="0" w:color="auto"/>
            </w:tcBorders>
          </w:tcPr>
          <w:p>
            <w:pPr>
              <w:pStyle w:val="TableParagraph"/>
              <w:spacing w:line="237" w:lineRule="auto" w:before="116"/>
              <w:ind w:left="134" w:right="139"/>
              <w:jc w:val="both"/>
              <w:rPr>
                <w:rFonts w:ascii="宋体" w:hAnsi="宋体" w:cs="宋体" w:eastAsia="宋体" w:hint="default"/>
                <w:sz w:val="18"/>
                <w:szCs w:val="18"/>
              </w:rPr>
            </w:pPr>
            <w:r>
              <w:rPr>
                <w:rFonts w:ascii="宋体" w:hAnsi="宋体" w:cs="宋体" w:eastAsia="宋体" w:hint="default"/>
                <w:sz w:val="18"/>
                <w:szCs w:val="18"/>
              </w:rPr>
              <w:t>其中：本 年借款费 用资本化</w:t>
            </w:r>
          </w:p>
          <w:p>
            <w:pPr>
              <w:pStyle w:val="TableParagraph"/>
              <w:spacing w:line="233" w:lineRule="exact"/>
              <w:ind w:left="4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47" w:type="dxa"/>
            <w:tcBorders>
              <w:top w:val="nil" w:sz="6" w:space="0" w:color="auto"/>
              <w:left w:val="nil" w:sz="6" w:space="0" w:color="auto"/>
              <w:bottom w:val="nil" w:sz="6" w:space="0" w:color="auto"/>
              <w:right w:val="nil" w:sz="6" w:space="0" w:color="auto"/>
            </w:tcBorders>
          </w:tcPr>
          <w:p>
            <w:pPr>
              <w:pStyle w:val="TableParagraph"/>
              <w:spacing w:line="232" w:lineRule="exact" w:before="139"/>
              <w:ind w:left="141" w:right="83"/>
              <w:jc w:val="right"/>
              <w:rPr>
                <w:rFonts w:ascii="宋体" w:hAnsi="宋体" w:cs="宋体" w:eastAsia="宋体" w:hint="default"/>
                <w:sz w:val="18"/>
                <w:szCs w:val="18"/>
              </w:rPr>
            </w:pPr>
            <w:r>
              <w:rPr>
                <w:rFonts w:ascii="宋体" w:hAnsi="宋体" w:cs="宋体" w:eastAsia="宋体" w:hint="default"/>
                <w:sz w:val="18"/>
                <w:szCs w:val="18"/>
              </w:rPr>
              <w:t>本年借款 用资本化</w:t>
            </w:r>
          </w:p>
          <w:p>
            <w:pPr>
              <w:pStyle w:val="TableParagraph"/>
              <w:spacing w:line="214" w:lineRule="exact"/>
              <w:ind w:right="83"/>
              <w:jc w:val="right"/>
              <w:rPr>
                <w:rFonts w:ascii="宋体" w:hAnsi="宋体" w:cs="宋体" w:eastAsia="宋体" w:hint="default"/>
                <w:sz w:val="18"/>
                <w:szCs w:val="18"/>
              </w:rPr>
            </w:pPr>
            <w:r>
              <w:rPr>
                <w:rFonts w:ascii="宋体" w:hAnsi="宋体" w:cs="宋体" w:eastAsia="宋体" w:hint="default"/>
                <w:sz w:val="18"/>
                <w:szCs w:val="18"/>
              </w:rPr>
              <w:t>率</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35"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244" w:hRule="exact"/>
        </w:trPr>
        <w:tc>
          <w:tcPr>
            <w:tcW w:w="791"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206" w:lineRule="exact"/>
              <w:ind w:left="81" w:right="0"/>
              <w:jc w:val="left"/>
              <w:rPr>
                <w:rFonts w:ascii="宋体" w:hAnsi="宋体" w:cs="宋体" w:eastAsia="宋体" w:hint="default"/>
                <w:sz w:val="18"/>
                <w:szCs w:val="18"/>
              </w:rPr>
            </w:pPr>
            <w:r>
              <w:rPr>
                <w:rFonts w:ascii="宋体" w:hAnsi="宋体" w:cs="宋体" w:eastAsia="宋体" w:hint="default"/>
                <w:sz w:val="18"/>
                <w:szCs w:val="18"/>
              </w:rPr>
              <w:t>雨花物流基地二期</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43"/>
              <w:jc w:val="right"/>
              <w:rPr>
                <w:rFonts w:ascii="Arial" w:hAnsi="Arial" w:cs="Arial" w:eastAsia="Arial" w:hint="default"/>
                <w:sz w:val="18"/>
                <w:szCs w:val="18"/>
              </w:rPr>
            </w:pPr>
            <w:r>
              <w:rPr>
                <w:rFonts w:ascii="Arial"/>
                <w:spacing w:val="-1"/>
                <w:sz w:val="18"/>
              </w:rPr>
              <w:t>303,703</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01"/>
              <w:jc w:val="right"/>
              <w:rPr>
                <w:rFonts w:ascii="Arial" w:hAnsi="Arial" w:cs="Arial" w:eastAsia="Arial" w:hint="default"/>
                <w:sz w:val="18"/>
                <w:szCs w:val="18"/>
              </w:rPr>
            </w:pPr>
            <w:r>
              <w:rPr>
                <w:rFonts w:ascii="Arial"/>
                <w:w w:val="99"/>
                <w:sz w:val="18"/>
              </w:rPr>
              <w:t>-</w:t>
            </w:r>
            <w:r>
              <w:rPr>
                <w:rFonts w:ascii="Arial"/>
                <w:sz w:val="18"/>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8"/>
              <w:jc w:val="right"/>
              <w:rPr>
                <w:rFonts w:ascii="Arial" w:hAnsi="Arial" w:cs="Arial" w:eastAsia="Arial" w:hint="default"/>
                <w:sz w:val="18"/>
                <w:szCs w:val="18"/>
              </w:rPr>
            </w:pPr>
            <w:r>
              <w:rPr>
                <w:rFonts w:ascii="Arial"/>
                <w:spacing w:val="-1"/>
                <w:sz w:val="18"/>
              </w:rPr>
              <w:t>257,630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33"/>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0"/>
              <w:jc w:val="right"/>
              <w:rPr>
                <w:rFonts w:ascii="Arial" w:hAnsi="Arial" w:cs="Arial" w:eastAsia="Arial" w:hint="default"/>
                <w:sz w:val="18"/>
                <w:szCs w:val="18"/>
              </w:rPr>
            </w:pPr>
            <w:r>
              <w:rPr>
                <w:rFonts w:ascii="Arial"/>
                <w:w w:val="99"/>
                <w:sz w:val="18"/>
              </w:rPr>
              <w:t>-</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31"/>
              <w:jc w:val="right"/>
              <w:rPr>
                <w:rFonts w:ascii="Arial" w:hAnsi="Arial" w:cs="Arial" w:eastAsia="Arial" w:hint="default"/>
                <w:sz w:val="18"/>
                <w:szCs w:val="18"/>
              </w:rPr>
            </w:pPr>
            <w:r>
              <w:rPr>
                <w:rFonts w:ascii="Arial"/>
                <w:spacing w:val="-1"/>
                <w:sz w:val="18"/>
              </w:rPr>
              <w:t>257,630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7"/>
              <w:jc w:val="right"/>
              <w:rPr>
                <w:rFonts w:ascii="Arial" w:hAnsi="Arial" w:cs="Arial" w:eastAsia="Arial" w:hint="default"/>
                <w:sz w:val="18"/>
                <w:szCs w:val="18"/>
              </w:rPr>
            </w:pPr>
            <w:r>
              <w:rPr>
                <w:rFonts w:ascii="Arial"/>
                <w:spacing w:val="-1"/>
                <w:sz w:val="18"/>
              </w:rPr>
              <w:t>84.83%</w:t>
            </w:r>
          </w:p>
        </w:tc>
        <w:tc>
          <w:tcPr>
            <w:tcW w:w="2160" w:type="dxa"/>
            <w:tcBorders>
              <w:top w:val="nil" w:sz="6" w:space="0" w:color="auto"/>
              <w:left w:val="nil" w:sz="6" w:space="0" w:color="auto"/>
              <w:bottom w:val="nil" w:sz="6" w:space="0" w:color="auto"/>
              <w:right w:val="nil" w:sz="6" w:space="0" w:color="auto"/>
            </w:tcBorders>
          </w:tcPr>
          <w:p>
            <w:pPr>
              <w:pStyle w:val="TableParagraph"/>
              <w:spacing w:line="206" w:lineRule="exact"/>
              <w:ind w:right="88"/>
              <w:jc w:val="right"/>
              <w:rPr>
                <w:rFonts w:ascii="宋体" w:hAnsi="宋体" w:cs="宋体" w:eastAsia="宋体" w:hint="default"/>
                <w:sz w:val="18"/>
                <w:szCs w:val="18"/>
              </w:rPr>
            </w:pPr>
            <w:r>
              <w:rPr>
                <w:rFonts w:ascii="宋体" w:hAnsi="宋体" w:cs="宋体" w:eastAsia="宋体" w:hint="default"/>
                <w:sz w:val="18"/>
                <w:szCs w:val="18"/>
              </w:rPr>
              <w:t>主体工程基本完工</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32"/>
              <w:jc w:val="right"/>
              <w:rPr>
                <w:rFonts w:ascii="Arial" w:hAnsi="Arial" w:cs="Arial" w:eastAsia="Arial" w:hint="default"/>
                <w:sz w:val="18"/>
                <w:szCs w:val="18"/>
              </w:rPr>
            </w:pPr>
            <w:r>
              <w:rPr>
                <w:rFonts w:ascii="Arial"/>
                <w:w w:val="99"/>
                <w:sz w:val="18"/>
              </w:rPr>
              <w:t>-</w:t>
            </w:r>
            <w:r>
              <w:rPr>
                <w:rFonts w:ascii="Arial"/>
                <w:sz w:val="18"/>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39"/>
              <w:jc w:val="right"/>
              <w:rPr>
                <w:rFonts w:ascii="Arial" w:hAnsi="Arial" w:cs="Arial" w:eastAsia="Arial" w:hint="default"/>
                <w:sz w:val="18"/>
                <w:szCs w:val="18"/>
              </w:rPr>
            </w:pPr>
            <w:r>
              <w:rPr>
                <w:rFonts w:ascii="Arial"/>
                <w:w w:val="99"/>
                <w:sz w:val="18"/>
              </w:rPr>
              <w:t>-</w:t>
            </w:r>
            <w:r>
              <w:rPr>
                <w:rFonts w:ascii="Arial"/>
                <w:sz w:val="18"/>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2"/>
              <w:jc w:val="right"/>
              <w:rPr>
                <w:rFonts w:ascii="Arial" w:hAnsi="Arial" w:cs="Arial" w:eastAsia="Arial" w:hint="default"/>
                <w:sz w:val="18"/>
                <w:szCs w:val="18"/>
              </w:rPr>
            </w:pPr>
            <w:r>
              <w:rPr>
                <w:rFonts w:ascii="Arial"/>
                <w:w w:val="99"/>
                <w:sz w:val="18"/>
              </w:rPr>
              <w:t>-</w:t>
            </w:r>
            <w:r>
              <w:rPr>
                <w:rFonts w:ascii="Arial"/>
                <w:sz w:val="18"/>
              </w:rPr>
            </w:r>
          </w:p>
        </w:tc>
        <w:tc>
          <w:tcPr>
            <w:tcW w:w="1056" w:type="dxa"/>
            <w:tcBorders>
              <w:top w:val="nil" w:sz="6" w:space="0" w:color="auto"/>
              <w:left w:val="nil" w:sz="6" w:space="0" w:color="auto"/>
              <w:bottom w:val="nil" w:sz="6" w:space="0" w:color="auto"/>
              <w:right w:val="nil" w:sz="6" w:space="0" w:color="auto"/>
            </w:tcBorders>
          </w:tcPr>
          <w:p>
            <w:pPr>
              <w:pStyle w:val="TableParagraph"/>
              <w:spacing w:line="206" w:lineRule="exact"/>
              <w:ind w:left="85"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99" w:hRule="exact"/>
        </w:trPr>
        <w:tc>
          <w:tcPr>
            <w:tcW w:w="791"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195" w:lineRule="exact"/>
              <w:ind w:left="81" w:right="0"/>
              <w:jc w:val="left"/>
              <w:rPr>
                <w:rFonts w:ascii="宋体" w:hAnsi="宋体" w:cs="宋体" w:eastAsia="宋体" w:hint="default"/>
                <w:sz w:val="18"/>
                <w:szCs w:val="18"/>
              </w:rPr>
            </w:pPr>
            <w:r>
              <w:rPr>
                <w:rFonts w:ascii="宋体" w:hAnsi="宋体" w:cs="宋体" w:eastAsia="宋体" w:hint="default"/>
                <w:spacing w:val="21"/>
                <w:sz w:val="18"/>
                <w:szCs w:val="18"/>
              </w:rPr>
              <w:t>北京世纪联华</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购置店</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3"/>
              <w:jc w:val="right"/>
              <w:rPr>
                <w:rFonts w:ascii="Arial" w:hAnsi="Arial" w:cs="Arial" w:eastAsia="Arial" w:hint="default"/>
                <w:sz w:val="18"/>
                <w:szCs w:val="18"/>
              </w:rPr>
            </w:pPr>
            <w:r>
              <w:rPr>
                <w:rFonts w:ascii="Arial"/>
                <w:spacing w:val="-1"/>
                <w:sz w:val="18"/>
              </w:rPr>
              <w:t>254,000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1"/>
              <w:jc w:val="right"/>
              <w:rPr>
                <w:rFonts w:ascii="Arial" w:hAnsi="Arial" w:cs="Arial" w:eastAsia="Arial" w:hint="default"/>
                <w:sz w:val="18"/>
                <w:szCs w:val="18"/>
              </w:rPr>
            </w:pPr>
            <w:r>
              <w:rPr>
                <w:rFonts w:ascii="Arial"/>
                <w:w w:val="99"/>
                <w:sz w:val="18"/>
              </w:rPr>
              <w:t>-</w:t>
            </w:r>
            <w:r>
              <w:rPr>
                <w:rFonts w:ascii="Arial"/>
                <w:sz w:val="18"/>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8"/>
              <w:jc w:val="right"/>
              <w:rPr>
                <w:rFonts w:ascii="Arial" w:hAnsi="Arial" w:cs="Arial" w:eastAsia="Arial" w:hint="default"/>
                <w:sz w:val="18"/>
                <w:szCs w:val="18"/>
              </w:rPr>
            </w:pPr>
            <w:r>
              <w:rPr>
                <w:rFonts w:ascii="Arial"/>
                <w:spacing w:val="-1"/>
                <w:sz w:val="18"/>
              </w:rPr>
              <w:t>253,443</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3"/>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99"/>
                <w:sz w:val="18"/>
              </w:rPr>
              <w:t>-</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1"/>
              <w:jc w:val="right"/>
              <w:rPr>
                <w:rFonts w:ascii="Arial" w:hAnsi="Arial" w:cs="Arial" w:eastAsia="Arial" w:hint="default"/>
                <w:sz w:val="18"/>
                <w:szCs w:val="18"/>
              </w:rPr>
            </w:pPr>
            <w:r>
              <w:rPr>
                <w:rFonts w:ascii="Arial"/>
                <w:spacing w:val="-1"/>
                <w:sz w:val="18"/>
              </w:rPr>
              <w:t>253,443</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Arial" w:hAnsi="Arial" w:cs="Arial" w:eastAsia="Arial" w:hint="default"/>
                <w:sz w:val="18"/>
                <w:szCs w:val="18"/>
              </w:rPr>
            </w:pPr>
            <w:r>
              <w:rPr>
                <w:rFonts w:ascii="Arial"/>
                <w:spacing w:val="-1"/>
                <w:sz w:val="18"/>
              </w:rPr>
              <w:t>99.78%</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88"/>
              <w:jc w:val="right"/>
              <w:rPr>
                <w:rFonts w:ascii="宋体" w:hAnsi="宋体" w:cs="宋体" w:eastAsia="宋体" w:hint="default"/>
                <w:sz w:val="18"/>
                <w:szCs w:val="18"/>
              </w:rPr>
            </w:pPr>
            <w:r>
              <w:rPr>
                <w:rFonts w:ascii="宋体" w:hAnsi="宋体" w:cs="宋体" w:eastAsia="宋体" w:hint="default"/>
                <w:sz w:val="18"/>
                <w:szCs w:val="18"/>
              </w:rPr>
              <w:t>装修工程进行中</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2"/>
              <w:jc w:val="right"/>
              <w:rPr>
                <w:rFonts w:ascii="Arial" w:hAnsi="Arial" w:cs="Arial" w:eastAsia="Arial" w:hint="default"/>
                <w:sz w:val="18"/>
                <w:szCs w:val="18"/>
              </w:rPr>
            </w:pPr>
            <w:r>
              <w:rPr>
                <w:rFonts w:ascii="Arial"/>
                <w:w w:val="99"/>
                <w:sz w:val="18"/>
              </w:rPr>
              <w:t>-</w:t>
            </w:r>
            <w:r>
              <w:rPr>
                <w:rFonts w:ascii="Arial"/>
                <w:sz w:val="18"/>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9"/>
              <w:jc w:val="right"/>
              <w:rPr>
                <w:rFonts w:ascii="Arial" w:hAnsi="Arial" w:cs="Arial" w:eastAsia="Arial" w:hint="default"/>
                <w:sz w:val="18"/>
                <w:szCs w:val="18"/>
              </w:rPr>
            </w:pPr>
            <w:r>
              <w:rPr>
                <w:rFonts w:ascii="Arial"/>
                <w:w w:val="99"/>
                <w:sz w:val="18"/>
              </w:rPr>
              <w:t>-</w:t>
            </w:r>
            <w:r>
              <w:rPr>
                <w:rFonts w:ascii="Arial"/>
                <w:sz w:val="18"/>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2"/>
              <w:jc w:val="right"/>
              <w:rPr>
                <w:rFonts w:ascii="Arial" w:hAnsi="Arial" w:cs="Arial" w:eastAsia="Arial" w:hint="default"/>
                <w:sz w:val="18"/>
                <w:szCs w:val="18"/>
              </w:rPr>
            </w:pPr>
            <w:r>
              <w:rPr>
                <w:rFonts w:ascii="Arial"/>
                <w:w w:val="99"/>
                <w:sz w:val="18"/>
              </w:rPr>
              <w:t>-</w:t>
            </w:r>
            <w:r>
              <w:rPr>
                <w:rFonts w:ascii="Arial"/>
                <w:sz w:val="18"/>
              </w:rPr>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65" w:hRule="exact"/>
        </w:trPr>
        <w:tc>
          <w:tcPr>
            <w:tcW w:w="791"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226" w:lineRule="exact"/>
              <w:ind w:left="81" w:right="0"/>
              <w:jc w:val="left"/>
              <w:rPr>
                <w:rFonts w:ascii="宋体" w:hAnsi="宋体" w:cs="宋体" w:eastAsia="宋体" w:hint="default"/>
                <w:sz w:val="18"/>
                <w:szCs w:val="18"/>
              </w:rPr>
            </w:pPr>
            <w:r>
              <w:rPr>
                <w:rFonts w:ascii="宋体" w:hAnsi="宋体" w:cs="宋体" w:eastAsia="宋体" w:hint="default"/>
                <w:sz w:val="18"/>
                <w:szCs w:val="18"/>
              </w:rPr>
              <w:t>青岛物流基地工程</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43"/>
              <w:jc w:val="right"/>
              <w:rPr>
                <w:rFonts w:ascii="Arial" w:hAnsi="Arial" w:cs="Arial" w:eastAsia="Arial" w:hint="default"/>
                <w:sz w:val="18"/>
                <w:szCs w:val="18"/>
              </w:rPr>
            </w:pPr>
            <w:r>
              <w:rPr>
                <w:rFonts w:ascii="Arial"/>
                <w:spacing w:val="-2"/>
                <w:w w:val="95"/>
                <w:sz w:val="18"/>
              </w:rPr>
              <w:t>226,119</w:t>
            </w:r>
            <w:r>
              <w:rPr>
                <w:rFonts w:ascii="Arial"/>
                <w:spacing w:val="-2"/>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0"/>
              <w:jc w:val="right"/>
              <w:rPr>
                <w:rFonts w:ascii="Arial" w:hAnsi="Arial" w:cs="Arial" w:eastAsia="Arial" w:hint="default"/>
                <w:sz w:val="18"/>
                <w:szCs w:val="18"/>
              </w:rPr>
            </w:pPr>
            <w:r>
              <w:rPr>
                <w:rFonts w:ascii="Arial"/>
                <w:spacing w:val="-1"/>
                <w:sz w:val="18"/>
              </w:rPr>
              <w:t>43,014</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8"/>
              <w:jc w:val="right"/>
              <w:rPr>
                <w:rFonts w:ascii="Arial" w:hAnsi="Arial" w:cs="Arial" w:eastAsia="Arial" w:hint="default"/>
                <w:sz w:val="18"/>
                <w:szCs w:val="18"/>
              </w:rPr>
            </w:pPr>
            <w:r>
              <w:rPr>
                <w:rFonts w:ascii="Arial"/>
                <w:spacing w:val="-1"/>
                <w:sz w:val="18"/>
              </w:rPr>
              <w:t>165,549</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3"/>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0"/>
              <w:jc w:val="right"/>
              <w:rPr>
                <w:rFonts w:ascii="Arial" w:hAnsi="Arial" w:cs="Arial" w:eastAsia="Arial" w:hint="default"/>
                <w:sz w:val="18"/>
                <w:szCs w:val="18"/>
              </w:rPr>
            </w:pPr>
            <w:r>
              <w:rPr>
                <w:rFonts w:ascii="Arial"/>
                <w:w w:val="99"/>
                <w:sz w:val="18"/>
              </w:rPr>
              <w:t>-</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1"/>
              <w:jc w:val="right"/>
              <w:rPr>
                <w:rFonts w:ascii="Arial" w:hAnsi="Arial" w:cs="Arial" w:eastAsia="Arial" w:hint="default"/>
                <w:sz w:val="18"/>
                <w:szCs w:val="18"/>
              </w:rPr>
            </w:pPr>
            <w:r>
              <w:rPr>
                <w:rFonts w:ascii="Arial"/>
                <w:spacing w:val="-1"/>
                <w:sz w:val="18"/>
              </w:rPr>
              <w:t>208,563</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7"/>
              <w:jc w:val="right"/>
              <w:rPr>
                <w:rFonts w:ascii="Arial" w:hAnsi="Arial" w:cs="Arial" w:eastAsia="Arial" w:hint="default"/>
                <w:sz w:val="18"/>
                <w:szCs w:val="18"/>
              </w:rPr>
            </w:pPr>
            <w:r>
              <w:rPr>
                <w:rFonts w:ascii="Arial"/>
                <w:spacing w:val="-1"/>
                <w:sz w:val="18"/>
              </w:rPr>
              <w:t>92.24%</w:t>
            </w:r>
          </w:p>
        </w:tc>
        <w:tc>
          <w:tcPr>
            <w:tcW w:w="2160" w:type="dxa"/>
            <w:tcBorders>
              <w:top w:val="nil" w:sz="6" w:space="0" w:color="auto"/>
              <w:left w:val="nil" w:sz="6" w:space="0" w:color="auto"/>
              <w:bottom w:val="nil" w:sz="6" w:space="0" w:color="auto"/>
              <w:right w:val="nil" w:sz="6" w:space="0" w:color="auto"/>
            </w:tcBorders>
          </w:tcPr>
          <w:p>
            <w:pPr>
              <w:pStyle w:val="TableParagraph"/>
              <w:spacing w:line="226" w:lineRule="exact"/>
              <w:ind w:right="88"/>
              <w:jc w:val="right"/>
              <w:rPr>
                <w:rFonts w:ascii="宋体" w:hAnsi="宋体" w:cs="宋体" w:eastAsia="宋体" w:hint="default"/>
                <w:sz w:val="18"/>
                <w:szCs w:val="18"/>
              </w:rPr>
            </w:pPr>
            <w:r>
              <w:rPr>
                <w:rFonts w:ascii="宋体" w:hAnsi="宋体" w:cs="宋体" w:eastAsia="宋体" w:hint="default"/>
                <w:sz w:val="18"/>
                <w:szCs w:val="18"/>
              </w:rPr>
              <w:t>主体工程基本完工</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2"/>
              <w:jc w:val="right"/>
              <w:rPr>
                <w:rFonts w:ascii="Arial" w:hAnsi="Arial" w:cs="Arial" w:eastAsia="Arial" w:hint="default"/>
                <w:sz w:val="18"/>
                <w:szCs w:val="18"/>
              </w:rPr>
            </w:pPr>
            <w:r>
              <w:rPr>
                <w:rFonts w:ascii="Arial"/>
                <w:w w:val="99"/>
                <w:sz w:val="18"/>
              </w:rPr>
              <w:t>-</w:t>
            </w:r>
            <w:r>
              <w:rPr>
                <w:rFonts w:ascii="Arial"/>
                <w:sz w:val="18"/>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9"/>
              <w:jc w:val="right"/>
              <w:rPr>
                <w:rFonts w:ascii="Arial" w:hAnsi="Arial" w:cs="Arial" w:eastAsia="Arial" w:hint="default"/>
                <w:sz w:val="18"/>
                <w:szCs w:val="18"/>
              </w:rPr>
            </w:pPr>
            <w:r>
              <w:rPr>
                <w:rFonts w:ascii="Arial"/>
                <w:w w:val="99"/>
                <w:sz w:val="18"/>
              </w:rPr>
              <w:t>-</w:t>
            </w:r>
            <w:r>
              <w:rPr>
                <w:rFonts w:ascii="Arial"/>
                <w:sz w:val="18"/>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2"/>
              <w:jc w:val="right"/>
              <w:rPr>
                <w:rFonts w:ascii="Arial" w:hAnsi="Arial" w:cs="Arial" w:eastAsia="Arial" w:hint="default"/>
                <w:sz w:val="18"/>
                <w:szCs w:val="18"/>
              </w:rPr>
            </w:pPr>
            <w:r>
              <w:rPr>
                <w:rFonts w:ascii="Arial"/>
                <w:w w:val="99"/>
                <w:sz w:val="18"/>
              </w:rPr>
              <w:t>-</w:t>
            </w:r>
            <w:r>
              <w:rPr>
                <w:rFonts w:ascii="Arial"/>
                <w:sz w:val="18"/>
              </w:rPr>
            </w:r>
          </w:p>
        </w:tc>
        <w:tc>
          <w:tcPr>
            <w:tcW w:w="1056" w:type="dxa"/>
            <w:tcBorders>
              <w:top w:val="nil" w:sz="6" w:space="0" w:color="auto"/>
              <w:left w:val="nil" w:sz="6" w:space="0" w:color="auto"/>
              <w:bottom w:val="nil" w:sz="6" w:space="0" w:color="auto"/>
              <w:right w:val="nil" w:sz="6" w:space="0" w:color="auto"/>
            </w:tcBorders>
          </w:tcPr>
          <w:p>
            <w:pPr>
              <w:pStyle w:val="TableParagraph"/>
              <w:spacing w:line="226" w:lineRule="exact"/>
              <w:ind w:left="85"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234" w:hRule="exact"/>
        </w:trPr>
        <w:tc>
          <w:tcPr>
            <w:tcW w:w="791"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196" w:lineRule="exact"/>
              <w:ind w:left="81" w:right="0"/>
              <w:jc w:val="left"/>
              <w:rPr>
                <w:rFonts w:ascii="宋体" w:hAnsi="宋体" w:cs="宋体" w:eastAsia="宋体" w:hint="default"/>
                <w:sz w:val="18"/>
                <w:szCs w:val="18"/>
              </w:rPr>
            </w:pPr>
            <w:r>
              <w:rPr>
                <w:rFonts w:ascii="宋体" w:hAnsi="宋体" w:cs="宋体" w:eastAsia="宋体" w:hint="default"/>
                <w:sz w:val="18"/>
                <w:szCs w:val="18"/>
              </w:rPr>
              <w:t>广州物流项目</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3"/>
              <w:jc w:val="right"/>
              <w:rPr>
                <w:rFonts w:ascii="Arial" w:hAnsi="Arial" w:cs="Arial" w:eastAsia="Arial" w:hint="default"/>
                <w:sz w:val="18"/>
                <w:szCs w:val="18"/>
              </w:rPr>
            </w:pPr>
            <w:r>
              <w:rPr>
                <w:rFonts w:ascii="Arial"/>
                <w:spacing w:val="-1"/>
                <w:sz w:val="18"/>
              </w:rPr>
              <w:t>248,560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2"/>
              <w:jc w:val="right"/>
              <w:rPr>
                <w:rFonts w:ascii="Arial" w:hAnsi="Arial" w:cs="Arial" w:eastAsia="Arial" w:hint="default"/>
                <w:sz w:val="18"/>
                <w:szCs w:val="18"/>
              </w:rPr>
            </w:pPr>
            <w:r>
              <w:rPr>
                <w:rFonts w:ascii="Arial"/>
                <w:spacing w:val="-1"/>
                <w:sz w:val="18"/>
              </w:rPr>
              <w:t>21,687</w:t>
            </w:r>
            <w:r>
              <w:rPr>
                <w:rFonts w:ascii="Arial"/>
                <w:sz w:val="18"/>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7"/>
              <w:jc w:val="right"/>
              <w:rPr>
                <w:rFonts w:ascii="Arial" w:hAnsi="Arial" w:cs="Arial" w:eastAsia="Arial" w:hint="default"/>
                <w:sz w:val="18"/>
                <w:szCs w:val="18"/>
              </w:rPr>
            </w:pPr>
            <w:r>
              <w:rPr>
                <w:rFonts w:ascii="Arial"/>
                <w:spacing w:val="-2"/>
                <w:sz w:val="18"/>
              </w:rPr>
              <w:t>178,116</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Arial" w:hAnsi="Arial" w:cs="Arial" w:eastAsia="Arial" w:hint="default"/>
                <w:sz w:val="18"/>
                <w:szCs w:val="18"/>
              </w:rPr>
            </w:pPr>
            <w:r>
              <w:rPr>
                <w:rFonts w:ascii="Arial"/>
                <w:w w:val="99"/>
                <w:sz w:val="18"/>
              </w:rPr>
              <w:t>-</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0"/>
              <w:jc w:val="right"/>
              <w:rPr>
                <w:rFonts w:ascii="Arial" w:hAnsi="Arial" w:cs="Arial" w:eastAsia="Arial" w:hint="default"/>
                <w:sz w:val="18"/>
                <w:szCs w:val="18"/>
              </w:rPr>
            </w:pPr>
            <w:r>
              <w:rPr>
                <w:rFonts w:ascii="Arial"/>
                <w:spacing w:val="-1"/>
                <w:sz w:val="18"/>
              </w:rPr>
              <w:t>199,803</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7"/>
              <w:jc w:val="right"/>
              <w:rPr>
                <w:rFonts w:ascii="Arial" w:hAnsi="Arial" w:cs="Arial" w:eastAsia="Arial" w:hint="default"/>
                <w:sz w:val="18"/>
                <w:szCs w:val="18"/>
              </w:rPr>
            </w:pPr>
            <w:r>
              <w:rPr>
                <w:rFonts w:ascii="Arial"/>
                <w:spacing w:val="-1"/>
                <w:sz w:val="18"/>
              </w:rPr>
              <w:t>80.38%</w:t>
            </w:r>
          </w:p>
        </w:tc>
        <w:tc>
          <w:tcPr>
            <w:tcW w:w="2160" w:type="dxa"/>
            <w:tcBorders>
              <w:top w:val="nil" w:sz="6" w:space="0" w:color="auto"/>
              <w:left w:val="nil" w:sz="6" w:space="0" w:color="auto"/>
              <w:bottom w:val="nil" w:sz="6" w:space="0" w:color="auto"/>
              <w:right w:val="nil" w:sz="6" w:space="0" w:color="auto"/>
            </w:tcBorders>
          </w:tcPr>
          <w:p>
            <w:pPr>
              <w:pStyle w:val="TableParagraph"/>
              <w:spacing w:line="196" w:lineRule="exact"/>
              <w:ind w:right="89"/>
              <w:jc w:val="right"/>
              <w:rPr>
                <w:rFonts w:ascii="宋体" w:hAnsi="宋体" w:cs="宋体" w:eastAsia="宋体" w:hint="default"/>
                <w:sz w:val="18"/>
                <w:szCs w:val="18"/>
              </w:rPr>
            </w:pPr>
            <w:r>
              <w:rPr>
                <w:rFonts w:ascii="宋体" w:hAnsi="宋体" w:cs="宋体" w:eastAsia="宋体" w:hint="default"/>
                <w:sz w:val="18"/>
                <w:szCs w:val="18"/>
              </w:rPr>
              <w:t>内装施工</w:t>
            </w:r>
          </w:p>
        </w:tc>
        <w:tc>
          <w:tcPr>
            <w:tcW w:w="94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196" w:lineRule="exact"/>
              <w:ind w:left="85"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233" w:hRule="exact"/>
        </w:trPr>
        <w:tc>
          <w:tcPr>
            <w:tcW w:w="791"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195" w:lineRule="exact"/>
              <w:ind w:left="81" w:right="0"/>
              <w:jc w:val="left"/>
              <w:rPr>
                <w:rFonts w:ascii="宋体" w:hAnsi="宋体" w:cs="宋体" w:eastAsia="宋体" w:hint="default"/>
                <w:sz w:val="18"/>
                <w:szCs w:val="18"/>
              </w:rPr>
            </w:pPr>
            <w:r>
              <w:rPr>
                <w:rFonts w:ascii="宋体" w:hAnsi="宋体" w:cs="宋体" w:eastAsia="宋体" w:hint="default"/>
                <w:sz w:val="18"/>
                <w:szCs w:val="18"/>
              </w:rPr>
              <w:t>济南物流基地工程</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Arial" w:hAnsi="Arial" w:cs="Arial" w:eastAsia="Arial" w:hint="default"/>
                <w:sz w:val="18"/>
                <w:szCs w:val="18"/>
              </w:rPr>
            </w:pPr>
            <w:r>
              <w:rPr>
                <w:rFonts w:ascii="Arial"/>
                <w:spacing w:val="-1"/>
                <w:sz w:val="18"/>
              </w:rPr>
              <w:t>207,698</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3"/>
              <w:jc w:val="right"/>
              <w:rPr>
                <w:rFonts w:ascii="Arial" w:hAnsi="Arial" w:cs="Arial" w:eastAsia="Arial" w:hint="default"/>
                <w:sz w:val="18"/>
                <w:szCs w:val="18"/>
              </w:rPr>
            </w:pPr>
            <w:r>
              <w:rPr>
                <w:rFonts w:ascii="Arial"/>
                <w:spacing w:val="-1"/>
                <w:sz w:val="18"/>
              </w:rPr>
              <w:t>66,163</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8"/>
              <w:jc w:val="right"/>
              <w:rPr>
                <w:rFonts w:ascii="Arial" w:hAnsi="Arial" w:cs="Arial" w:eastAsia="Arial" w:hint="default"/>
                <w:sz w:val="18"/>
                <w:szCs w:val="18"/>
              </w:rPr>
            </w:pPr>
            <w:r>
              <w:rPr>
                <w:rFonts w:ascii="Arial"/>
                <w:spacing w:val="-2"/>
                <w:w w:val="95"/>
                <w:sz w:val="18"/>
              </w:rPr>
              <w:t>114,752</w:t>
            </w:r>
            <w:r>
              <w:rPr>
                <w:rFonts w:ascii="Arial"/>
                <w:spacing w:val="-2"/>
                <w:sz w:val="18"/>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3"/>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0"/>
              <w:jc w:val="right"/>
              <w:rPr>
                <w:rFonts w:ascii="Arial" w:hAnsi="Arial" w:cs="Arial" w:eastAsia="Arial" w:hint="default"/>
                <w:sz w:val="18"/>
                <w:szCs w:val="18"/>
              </w:rPr>
            </w:pPr>
            <w:r>
              <w:rPr>
                <w:rFonts w:ascii="Arial"/>
                <w:w w:val="99"/>
                <w:sz w:val="18"/>
              </w:rPr>
              <w:t>-</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1"/>
              <w:jc w:val="right"/>
              <w:rPr>
                <w:rFonts w:ascii="Arial" w:hAnsi="Arial" w:cs="Arial" w:eastAsia="Arial" w:hint="default"/>
                <w:sz w:val="18"/>
                <w:szCs w:val="18"/>
              </w:rPr>
            </w:pPr>
            <w:r>
              <w:rPr>
                <w:rFonts w:ascii="Arial"/>
                <w:spacing w:val="-1"/>
                <w:sz w:val="18"/>
              </w:rPr>
              <w:t>180,915</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7"/>
              <w:jc w:val="right"/>
              <w:rPr>
                <w:rFonts w:ascii="Arial" w:hAnsi="Arial" w:cs="Arial" w:eastAsia="Arial" w:hint="default"/>
                <w:sz w:val="18"/>
                <w:szCs w:val="18"/>
              </w:rPr>
            </w:pPr>
            <w:r>
              <w:rPr>
                <w:rFonts w:ascii="Arial"/>
                <w:spacing w:val="-1"/>
                <w:sz w:val="18"/>
              </w:rPr>
              <w:t>87.10%</w:t>
            </w:r>
          </w:p>
        </w:tc>
        <w:tc>
          <w:tcPr>
            <w:tcW w:w="2160" w:type="dxa"/>
            <w:tcBorders>
              <w:top w:val="nil" w:sz="6" w:space="0" w:color="auto"/>
              <w:left w:val="nil" w:sz="6" w:space="0" w:color="auto"/>
              <w:bottom w:val="nil" w:sz="6" w:space="0" w:color="auto"/>
              <w:right w:val="nil" w:sz="6" w:space="0" w:color="auto"/>
            </w:tcBorders>
          </w:tcPr>
          <w:p>
            <w:pPr>
              <w:pStyle w:val="TableParagraph"/>
              <w:spacing w:line="195" w:lineRule="exact"/>
              <w:ind w:right="88"/>
              <w:jc w:val="right"/>
              <w:rPr>
                <w:rFonts w:ascii="宋体" w:hAnsi="宋体" w:cs="宋体" w:eastAsia="宋体" w:hint="default"/>
                <w:sz w:val="18"/>
                <w:szCs w:val="18"/>
              </w:rPr>
            </w:pPr>
            <w:r>
              <w:rPr>
                <w:rFonts w:ascii="宋体" w:hAnsi="宋体" w:cs="宋体" w:eastAsia="宋体" w:hint="default"/>
                <w:sz w:val="18"/>
                <w:szCs w:val="18"/>
              </w:rPr>
              <w:t>主体工程基本完工</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2"/>
              <w:jc w:val="right"/>
              <w:rPr>
                <w:rFonts w:ascii="Arial" w:hAnsi="Arial" w:cs="Arial" w:eastAsia="Arial" w:hint="default"/>
                <w:sz w:val="18"/>
                <w:szCs w:val="18"/>
              </w:rPr>
            </w:pPr>
            <w:r>
              <w:rPr>
                <w:rFonts w:ascii="Arial"/>
                <w:w w:val="99"/>
                <w:sz w:val="18"/>
              </w:rPr>
              <w:t>-</w:t>
            </w:r>
            <w:r>
              <w:rPr>
                <w:rFonts w:ascii="Arial"/>
                <w:sz w:val="18"/>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9"/>
              <w:jc w:val="right"/>
              <w:rPr>
                <w:rFonts w:ascii="Arial" w:hAnsi="Arial" w:cs="Arial" w:eastAsia="Arial" w:hint="default"/>
                <w:sz w:val="18"/>
                <w:szCs w:val="18"/>
              </w:rPr>
            </w:pPr>
            <w:r>
              <w:rPr>
                <w:rFonts w:ascii="Arial"/>
                <w:w w:val="99"/>
                <w:sz w:val="18"/>
              </w:rPr>
              <w:t>-</w:t>
            </w:r>
            <w:r>
              <w:rPr>
                <w:rFonts w:ascii="Arial"/>
                <w:sz w:val="18"/>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2"/>
              <w:jc w:val="right"/>
              <w:rPr>
                <w:rFonts w:ascii="Arial" w:hAnsi="Arial" w:cs="Arial" w:eastAsia="Arial" w:hint="default"/>
                <w:sz w:val="18"/>
                <w:szCs w:val="18"/>
              </w:rPr>
            </w:pPr>
            <w:r>
              <w:rPr>
                <w:rFonts w:ascii="Arial"/>
                <w:w w:val="99"/>
                <w:sz w:val="18"/>
              </w:rPr>
              <w:t>-</w:t>
            </w:r>
            <w:r>
              <w:rPr>
                <w:rFonts w:ascii="Arial"/>
                <w:sz w:val="18"/>
              </w:rPr>
            </w:r>
          </w:p>
        </w:tc>
        <w:tc>
          <w:tcPr>
            <w:tcW w:w="1056" w:type="dxa"/>
            <w:tcBorders>
              <w:top w:val="nil" w:sz="6" w:space="0" w:color="auto"/>
              <w:left w:val="nil" w:sz="6" w:space="0" w:color="auto"/>
              <w:bottom w:val="nil" w:sz="6" w:space="0" w:color="auto"/>
              <w:right w:val="nil" w:sz="6" w:space="0" w:color="auto"/>
            </w:tcBorders>
          </w:tcPr>
          <w:p>
            <w:pPr>
              <w:pStyle w:val="TableParagraph"/>
              <w:spacing w:line="195" w:lineRule="exact"/>
              <w:ind w:left="85"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195" w:hRule="exact"/>
        </w:trPr>
        <w:tc>
          <w:tcPr>
            <w:tcW w:w="791"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195" w:lineRule="exact"/>
              <w:ind w:left="81" w:right="0"/>
              <w:jc w:val="left"/>
              <w:rPr>
                <w:rFonts w:ascii="宋体" w:hAnsi="宋体" w:cs="宋体" w:eastAsia="宋体" w:hint="default"/>
                <w:sz w:val="18"/>
                <w:szCs w:val="18"/>
              </w:rPr>
            </w:pPr>
            <w:r>
              <w:rPr>
                <w:rFonts w:ascii="宋体" w:hAnsi="宋体" w:cs="宋体" w:eastAsia="宋体" w:hint="default"/>
                <w:sz w:val="18"/>
                <w:szCs w:val="18"/>
              </w:rPr>
              <w:t>杭州二期物流基地</w:t>
            </w:r>
          </w:p>
        </w:tc>
        <w:tc>
          <w:tcPr>
            <w:tcW w:w="957"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
        </w:tc>
      </w:tr>
      <w:tr>
        <w:trPr>
          <w:trHeight w:val="219" w:hRule="exact"/>
        </w:trPr>
        <w:tc>
          <w:tcPr>
            <w:tcW w:w="791"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ind w:right="142"/>
              <w:jc w:val="right"/>
              <w:rPr>
                <w:rFonts w:ascii="Arial" w:hAnsi="Arial" w:cs="Arial" w:eastAsia="Arial" w:hint="default"/>
                <w:sz w:val="18"/>
                <w:szCs w:val="18"/>
              </w:rPr>
            </w:pPr>
            <w:r>
              <w:rPr>
                <w:rFonts w:ascii="Arial"/>
                <w:spacing w:val="-1"/>
                <w:sz w:val="18"/>
              </w:rPr>
              <w:t>173,040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ind w:right="201"/>
              <w:jc w:val="right"/>
              <w:rPr>
                <w:rFonts w:ascii="Arial" w:hAnsi="Arial" w:cs="Arial" w:eastAsia="Arial" w:hint="default"/>
                <w:sz w:val="18"/>
                <w:szCs w:val="18"/>
              </w:rPr>
            </w:pPr>
            <w:r>
              <w:rPr>
                <w:rFonts w:ascii="Arial"/>
                <w:spacing w:val="-1"/>
                <w:sz w:val="18"/>
              </w:rPr>
              <w:t>73,903</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ind w:right="128"/>
              <w:jc w:val="right"/>
              <w:rPr>
                <w:rFonts w:ascii="Arial" w:hAnsi="Arial" w:cs="Arial" w:eastAsia="Arial" w:hint="default"/>
                <w:sz w:val="18"/>
                <w:szCs w:val="18"/>
              </w:rPr>
            </w:pPr>
            <w:r>
              <w:rPr>
                <w:rFonts w:ascii="Arial"/>
                <w:spacing w:val="-1"/>
                <w:sz w:val="18"/>
              </w:rPr>
              <w:t>80,623</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ind w:right="133"/>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ind w:right="100"/>
              <w:jc w:val="right"/>
              <w:rPr>
                <w:rFonts w:ascii="Arial" w:hAnsi="Arial" w:cs="Arial" w:eastAsia="Arial" w:hint="default"/>
                <w:sz w:val="18"/>
                <w:szCs w:val="18"/>
              </w:rPr>
            </w:pPr>
            <w:r>
              <w:rPr>
                <w:rFonts w:ascii="Arial"/>
                <w:w w:val="99"/>
                <w:sz w:val="18"/>
              </w:rPr>
              <w:t>-</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ind w:right="131"/>
              <w:jc w:val="right"/>
              <w:rPr>
                <w:rFonts w:ascii="Arial" w:hAnsi="Arial" w:cs="Arial" w:eastAsia="Arial" w:hint="default"/>
                <w:sz w:val="18"/>
                <w:szCs w:val="18"/>
              </w:rPr>
            </w:pPr>
            <w:r>
              <w:rPr>
                <w:rFonts w:ascii="Arial"/>
                <w:spacing w:val="-1"/>
                <w:sz w:val="18"/>
              </w:rPr>
              <w:t>154,526</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87"/>
              <w:jc w:val="right"/>
              <w:rPr>
                <w:rFonts w:ascii="Arial" w:hAnsi="Arial" w:cs="Arial" w:eastAsia="Arial" w:hint="default"/>
                <w:sz w:val="18"/>
                <w:szCs w:val="18"/>
              </w:rPr>
            </w:pPr>
            <w:r>
              <w:rPr>
                <w:rFonts w:ascii="Arial"/>
                <w:spacing w:val="-1"/>
                <w:sz w:val="18"/>
              </w:rPr>
              <w:t>89.30%</w:t>
            </w:r>
          </w:p>
        </w:tc>
        <w:tc>
          <w:tcPr>
            <w:tcW w:w="2160" w:type="dxa"/>
            <w:tcBorders>
              <w:top w:val="nil" w:sz="6" w:space="0" w:color="auto"/>
              <w:left w:val="nil" w:sz="6" w:space="0" w:color="auto"/>
              <w:bottom w:val="nil" w:sz="6" w:space="0" w:color="auto"/>
              <w:right w:val="nil" w:sz="6" w:space="0" w:color="auto"/>
            </w:tcBorders>
          </w:tcPr>
          <w:p>
            <w:pPr>
              <w:pStyle w:val="TableParagraph"/>
              <w:spacing w:line="180" w:lineRule="exact"/>
              <w:ind w:right="88"/>
              <w:jc w:val="right"/>
              <w:rPr>
                <w:rFonts w:ascii="宋体" w:hAnsi="宋体" w:cs="宋体" w:eastAsia="宋体" w:hint="default"/>
                <w:sz w:val="18"/>
                <w:szCs w:val="18"/>
              </w:rPr>
            </w:pPr>
            <w:r>
              <w:rPr>
                <w:rFonts w:ascii="宋体" w:hAnsi="宋体" w:cs="宋体" w:eastAsia="宋体" w:hint="default"/>
                <w:sz w:val="18"/>
                <w:szCs w:val="18"/>
              </w:rPr>
              <w:t>主体工程基本完工</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ind w:right="132"/>
              <w:jc w:val="right"/>
              <w:rPr>
                <w:rFonts w:ascii="Arial" w:hAnsi="Arial" w:cs="Arial" w:eastAsia="Arial" w:hint="default"/>
                <w:sz w:val="18"/>
                <w:szCs w:val="18"/>
              </w:rPr>
            </w:pPr>
            <w:r>
              <w:rPr>
                <w:rFonts w:ascii="Arial"/>
                <w:w w:val="99"/>
                <w:sz w:val="18"/>
              </w:rPr>
              <w:t>-</w:t>
            </w:r>
            <w:r>
              <w:rPr>
                <w:rFonts w:ascii="Arial"/>
                <w:sz w:val="18"/>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ind w:right="139"/>
              <w:jc w:val="right"/>
              <w:rPr>
                <w:rFonts w:ascii="Arial" w:hAnsi="Arial" w:cs="Arial" w:eastAsia="Arial" w:hint="default"/>
                <w:sz w:val="18"/>
                <w:szCs w:val="18"/>
              </w:rPr>
            </w:pPr>
            <w:r>
              <w:rPr>
                <w:rFonts w:ascii="Arial"/>
                <w:w w:val="99"/>
                <w:sz w:val="18"/>
              </w:rPr>
              <w:t>-</w:t>
            </w:r>
            <w:r>
              <w:rPr>
                <w:rFonts w:ascii="Arial"/>
                <w:sz w:val="18"/>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92"/>
              <w:jc w:val="right"/>
              <w:rPr>
                <w:rFonts w:ascii="Arial" w:hAnsi="Arial" w:cs="Arial" w:eastAsia="Arial" w:hint="default"/>
                <w:sz w:val="18"/>
                <w:szCs w:val="18"/>
              </w:rPr>
            </w:pPr>
            <w:r>
              <w:rPr>
                <w:rFonts w:ascii="Arial"/>
                <w:w w:val="99"/>
                <w:sz w:val="18"/>
              </w:rPr>
              <w:t>-</w:t>
            </w:r>
            <w:r>
              <w:rPr>
                <w:rFonts w:ascii="Arial"/>
                <w:sz w:val="18"/>
              </w:rPr>
            </w:r>
          </w:p>
        </w:tc>
        <w:tc>
          <w:tcPr>
            <w:tcW w:w="1056" w:type="dxa"/>
            <w:tcBorders>
              <w:top w:val="nil" w:sz="6" w:space="0" w:color="auto"/>
              <w:left w:val="nil" w:sz="6" w:space="0" w:color="auto"/>
              <w:bottom w:val="nil" w:sz="6" w:space="0" w:color="auto"/>
              <w:right w:val="nil" w:sz="6" w:space="0" w:color="auto"/>
            </w:tcBorders>
          </w:tcPr>
          <w:p>
            <w:pPr>
              <w:pStyle w:val="TableParagraph"/>
              <w:spacing w:line="180" w:lineRule="exact"/>
              <w:ind w:left="85"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467" w:hRule="exact"/>
        </w:trPr>
        <w:tc>
          <w:tcPr>
            <w:tcW w:w="791"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195" w:lineRule="exact"/>
              <w:ind w:left="81" w:right="0"/>
              <w:jc w:val="left"/>
              <w:rPr>
                <w:rFonts w:ascii="宋体" w:hAnsi="宋体" w:cs="宋体" w:eastAsia="宋体" w:hint="default"/>
                <w:sz w:val="18"/>
                <w:szCs w:val="18"/>
              </w:rPr>
            </w:pPr>
            <w:r>
              <w:rPr>
                <w:rFonts w:ascii="宋体" w:hAnsi="宋体" w:cs="宋体" w:eastAsia="宋体" w:hint="default"/>
                <w:sz w:val="18"/>
                <w:szCs w:val="18"/>
              </w:rPr>
              <w:t>芜湖苏宁电器广场</w:t>
            </w:r>
          </w:p>
          <w:p>
            <w:pPr>
              <w:pStyle w:val="TableParagraph"/>
              <w:spacing w:line="234" w:lineRule="exact"/>
              <w:ind w:left="30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3"/>
              <w:jc w:val="right"/>
              <w:rPr>
                <w:rFonts w:ascii="Arial" w:hAnsi="Arial" w:cs="Arial" w:eastAsia="Arial" w:hint="default"/>
                <w:sz w:val="18"/>
                <w:szCs w:val="18"/>
              </w:rPr>
            </w:pPr>
            <w:r>
              <w:rPr>
                <w:rFonts w:ascii="Arial"/>
                <w:spacing w:val="-1"/>
                <w:sz w:val="18"/>
              </w:rPr>
              <w:t>175,199</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3"/>
              <w:jc w:val="right"/>
              <w:rPr>
                <w:rFonts w:ascii="Arial" w:hAnsi="Arial" w:cs="Arial" w:eastAsia="Arial" w:hint="default"/>
                <w:sz w:val="18"/>
                <w:szCs w:val="18"/>
              </w:rPr>
            </w:pPr>
            <w:r>
              <w:rPr>
                <w:rFonts w:ascii="Arial"/>
                <w:spacing w:val="-1"/>
                <w:sz w:val="18"/>
              </w:rPr>
              <w:t>16,355</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8"/>
              <w:jc w:val="right"/>
              <w:rPr>
                <w:rFonts w:ascii="Arial" w:hAnsi="Arial" w:cs="Arial" w:eastAsia="Arial" w:hint="default"/>
                <w:sz w:val="18"/>
                <w:szCs w:val="18"/>
              </w:rPr>
            </w:pPr>
            <w:r>
              <w:rPr>
                <w:rFonts w:ascii="Arial"/>
                <w:spacing w:val="-1"/>
                <w:sz w:val="18"/>
              </w:rPr>
              <w:t>135,354</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3"/>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99"/>
                <w:sz w:val="18"/>
              </w:rPr>
              <w:t>-</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1"/>
              <w:jc w:val="right"/>
              <w:rPr>
                <w:rFonts w:ascii="Arial" w:hAnsi="Arial" w:cs="Arial" w:eastAsia="Arial" w:hint="default"/>
                <w:sz w:val="18"/>
                <w:szCs w:val="18"/>
              </w:rPr>
            </w:pPr>
            <w:r>
              <w:rPr>
                <w:rFonts w:ascii="Arial"/>
                <w:spacing w:val="-1"/>
                <w:sz w:val="18"/>
              </w:rPr>
              <w:t>151,709</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Arial" w:hAnsi="Arial" w:cs="Arial" w:eastAsia="Arial" w:hint="default"/>
                <w:sz w:val="18"/>
                <w:szCs w:val="18"/>
              </w:rPr>
            </w:pPr>
            <w:r>
              <w:rPr>
                <w:rFonts w:ascii="Arial"/>
                <w:spacing w:val="-1"/>
                <w:sz w:val="18"/>
              </w:rPr>
              <w:t>86.59%</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88"/>
              <w:jc w:val="right"/>
              <w:rPr>
                <w:rFonts w:ascii="宋体" w:hAnsi="宋体" w:cs="宋体" w:eastAsia="宋体" w:hint="default"/>
                <w:sz w:val="18"/>
                <w:szCs w:val="18"/>
              </w:rPr>
            </w:pPr>
            <w:r>
              <w:rPr>
                <w:rFonts w:ascii="宋体" w:hAnsi="宋体" w:cs="宋体" w:eastAsia="宋体" w:hint="default"/>
                <w:sz w:val="18"/>
                <w:szCs w:val="18"/>
              </w:rPr>
              <w:t>主体结构施工，局部封顶</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2"/>
              <w:jc w:val="right"/>
              <w:rPr>
                <w:rFonts w:ascii="Arial" w:hAnsi="Arial" w:cs="Arial" w:eastAsia="Arial" w:hint="default"/>
                <w:sz w:val="18"/>
                <w:szCs w:val="18"/>
              </w:rPr>
            </w:pPr>
            <w:r>
              <w:rPr>
                <w:rFonts w:ascii="Arial"/>
                <w:w w:val="99"/>
                <w:sz w:val="18"/>
              </w:rPr>
              <w:t>-</w:t>
            </w:r>
            <w:r>
              <w:rPr>
                <w:rFonts w:ascii="Arial"/>
                <w:sz w:val="18"/>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9"/>
              <w:jc w:val="right"/>
              <w:rPr>
                <w:rFonts w:ascii="Arial" w:hAnsi="Arial" w:cs="Arial" w:eastAsia="Arial" w:hint="default"/>
                <w:sz w:val="18"/>
                <w:szCs w:val="18"/>
              </w:rPr>
            </w:pPr>
            <w:r>
              <w:rPr>
                <w:rFonts w:ascii="Arial"/>
                <w:w w:val="99"/>
                <w:sz w:val="18"/>
              </w:rPr>
              <w:t>-</w:t>
            </w:r>
            <w:r>
              <w:rPr>
                <w:rFonts w:ascii="Arial"/>
                <w:sz w:val="18"/>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2"/>
              <w:jc w:val="right"/>
              <w:rPr>
                <w:rFonts w:ascii="Arial" w:hAnsi="Arial" w:cs="Arial" w:eastAsia="Arial" w:hint="default"/>
                <w:sz w:val="18"/>
                <w:szCs w:val="18"/>
              </w:rPr>
            </w:pPr>
            <w:r>
              <w:rPr>
                <w:rFonts w:ascii="Arial"/>
                <w:w w:val="99"/>
                <w:sz w:val="18"/>
              </w:rPr>
              <w:t>-</w:t>
            </w:r>
            <w:r>
              <w:rPr>
                <w:rFonts w:ascii="Arial"/>
                <w:sz w:val="18"/>
              </w:rPr>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67" w:hRule="exact"/>
        </w:trPr>
        <w:tc>
          <w:tcPr>
            <w:tcW w:w="791"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193" w:lineRule="exact"/>
              <w:ind w:left="81" w:right="0"/>
              <w:jc w:val="left"/>
              <w:rPr>
                <w:rFonts w:ascii="宋体" w:hAnsi="宋体" w:cs="宋体" w:eastAsia="宋体" w:hint="default"/>
                <w:sz w:val="18"/>
                <w:szCs w:val="18"/>
              </w:rPr>
            </w:pPr>
            <w:r>
              <w:rPr>
                <w:rFonts w:ascii="宋体" w:hAnsi="宋体" w:cs="宋体" w:eastAsia="宋体" w:hint="default"/>
                <w:sz w:val="18"/>
                <w:szCs w:val="18"/>
              </w:rPr>
              <w:t>汕头苏宁电器广场</w:t>
            </w:r>
          </w:p>
          <w:p>
            <w:pPr>
              <w:pStyle w:val="TableParagraph"/>
              <w:spacing w:line="234" w:lineRule="exact"/>
              <w:ind w:left="30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3"/>
              <w:jc w:val="right"/>
              <w:rPr>
                <w:rFonts w:ascii="Arial" w:hAnsi="Arial" w:cs="Arial" w:eastAsia="Arial" w:hint="default"/>
                <w:sz w:val="18"/>
                <w:szCs w:val="18"/>
              </w:rPr>
            </w:pPr>
            <w:r>
              <w:rPr>
                <w:rFonts w:ascii="Arial"/>
                <w:spacing w:val="-1"/>
                <w:sz w:val="18"/>
              </w:rPr>
              <w:t>780,000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3"/>
              <w:jc w:val="right"/>
              <w:rPr>
                <w:rFonts w:ascii="Arial" w:hAnsi="Arial" w:cs="Arial" w:eastAsia="Arial" w:hint="default"/>
                <w:sz w:val="18"/>
                <w:szCs w:val="18"/>
              </w:rPr>
            </w:pPr>
            <w:r>
              <w:rPr>
                <w:rFonts w:ascii="Arial"/>
                <w:spacing w:val="-1"/>
                <w:sz w:val="18"/>
              </w:rPr>
              <w:t>44,893</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8"/>
              <w:jc w:val="right"/>
              <w:rPr>
                <w:rFonts w:ascii="Arial" w:hAnsi="Arial" w:cs="Arial" w:eastAsia="Arial" w:hint="default"/>
                <w:sz w:val="18"/>
                <w:szCs w:val="18"/>
              </w:rPr>
            </w:pPr>
            <w:r>
              <w:rPr>
                <w:rFonts w:ascii="Arial"/>
                <w:spacing w:val="-1"/>
                <w:sz w:val="18"/>
              </w:rPr>
              <w:t>105,879</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3"/>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99"/>
                <w:sz w:val="18"/>
              </w:rPr>
              <w:t>-</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1"/>
              <w:jc w:val="right"/>
              <w:rPr>
                <w:rFonts w:ascii="Arial" w:hAnsi="Arial" w:cs="Arial" w:eastAsia="Arial" w:hint="default"/>
                <w:sz w:val="18"/>
                <w:szCs w:val="18"/>
              </w:rPr>
            </w:pPr>
            <w:r>
              <w:rPr>
                <w:rFonts w:ascii="Arial"/>
                <w:spacing w:val="-1"/>
                <w:sz w:val="18"/>
              </w:rPr>
              <w:t>150,772</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Arial" w:hAnsi="Arial" w:cs="Arial" w:eastAsia="Arial" w:hint="default"/>
                <w:sz w:val="18"/>
                <w:szCs w:val="18"/>
              </w:rPr>
            </w:pPr>
            <w:r>
              <w:rPr>
                <w:rFonts w:ascii="Arial"/>
                <w:spacing w:val="-1"/>
                <w:sz w:val="18"/>
              </w:rPr>
              <w:t>19.33%</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土方施工</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2"/>
              <w:jc w:val="right"/>
              <w:rPr>
                <w:rFonts w:ascii="Arial" w:hAnsi="Arial" w:cs="Arial" w:eastAsia="Arial" w:hint="default"/>
                <w:sz w:val="18"/>
                <w:szCs w:val="18"/>
              </w:rPr>
            </w:pPr>
            <w:r>
              <w:rPr>
                <w:rFonts w:ascii="Arial"/>
                <w:w w:val="99"/>
                <w:sz w:val="18"/>
              </w:rPr>
              <w:t>-</w:t>
            </w:r>
            <w:r>
              <w:rPr>
                <w:rFonts w:ascii="Arial"/>
                <w:sz w:val="18"/>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9"/>
              <w:jc w:val="right"/>
              <w:rPr>
                <w:rFonts w:ascii="Arial" w:hAnsi="Arial" w:cs="Arial" w:eastAsia="Arial" w:hint="default"/>
                <w:sz w:val="18"/>
                <w:szCs w:val="18"/>
              </w:rPr>
            </w:pPr>
            <w:r>
              <w:rPr>
                <w:rFonts w:ascii="Arial"/>
                <w:w w:val="99"/>
                <w:sz w:val="18"/>
              </w:rPr>
              <w:t>-</w:t>
            </w:r>
            <w:r>
              <w:rPr>
                <w:rFonts w:ascii="Arial"/>
                <w:sz w:val="18"/>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2"/>
              <w:jc w:val="right"/>
              <w:rPr>
                <w:rFonts w:ascii="Arial" w:hAnsi="Arial" w:cs="Arial" w:eastAsia="Arial" w:hint="default"/>
                <w:sz w:val="18"/>
                <w:szCs w:val="18"/>
              </w:rPr>
            </w:pPr>
            <w:r>
              <w:rPr>
                <w:rFonts w:ascii="Arial"/>
                <w:w w:val="99"/>
                <w:sz w:val="18"/>
              </w:rPr>
              <w:t>-</w:t>
            </w:r>
            <w:r>
              <w:rPr>
                <w:rFonts w:ascii="Arial"/>
                <w:sz w:val="18"/>
              </w:rPr>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67" w:hRule="exact"/>
        </w:trPr>
        <w:tc>
          <w:tcPr>
            <w:tcW w:w="791"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195" w:lineRule="exact"/>
              <w:ind w:left="81" w:right="0"/>
              <w:jc w:val="left"/>
              <w:rPr>
                <w:rFonts w:ascii="宋体" w:hAnsi="宋体" w:cs="宋体" w:eastAsia="宋体" w:hint="default"/>
                <w:sz w:val="18"/>
                <w:szCs w:val="18"/>
              </w:rPr>
            </w:pPr>
            <w:r>
              <w:rPr>
                <w:rFonts w:ascii="宋体" w:hAnsi="宋体" w:cs="宋体" w:eastAsia="宋体" w:hint="default"/>
                <w:spacing w:val="76"/>
                <w:sz w:val="18"/>
                <w:szCs w:val="18"/>
              </w:rPr>
              <w:t>厦门物流中</w:t>
            </w:r>
            <w:r>
              <w:rPr>
                <w:rFonts w:ascii="宋体" w:hAnsi="宋体" w:cs="宋体" w:eastAsia="宋体" w:hint="default"/>
                <w:sz w:val="18"/>
                <w:szCs w:val="18"/>
              </w:rPr>
              <w:t>心</w:t>
            </w:r>
            <w:r>
              <w:rPr>
                <w:rFonts w:ascii="宋体" w:hAnsi="宋体" w:cs="宋体" w:eastAsia="宋体" w:hint="default"/>
                <w:spacing w:val="-14"/>
                <w:sz w:val="18"/>
                <w:szCs w:val="18"/>
              </w:rPr>
              <w:t> </w:t>
            </w:r>
            <w:r>
              <w:rPr>
                <w:rFonts w:ascii="宋体" w:hAnsi="宋体" w:cs="宋体" w:eastAsia="宋体" w:hint="default"/>
                <w:sz w:val="18"/>
                <w:szCs w:val="18"/>
              </w:rPr>
            </w:r>
          </w:p>
          <w:p>
            <w:pPr>
              <w:pStyle w:val="TableParagraph"/>
              <w:spacing w:line="234" w:lineRule="exact"/>
              <w:ind w:left="304" w:right="0"/>
              <w:jc w:val="left"/>
              <w:rPr>
                <w:rFonts w:ascii="宋体" w:hAnsi="宋体" w:cs="宋体" w:eastAsia="宋体" w:hint="default"/>
                <w:sz w:val="18"/>
                <w:szCs w:val="18"/>
              </w:rPr>
            </w:pPr>
            <w:r>
              <w:rPr>
                <w:rFonts w:ascii="宋体" w:hAnsi="宋体" w:cs="宋体" w:eastAsia="宋体" w:hint="default"/>
                <w:sz w:val="18"/>
                <w:szCs w:val="18"/>
              </w:rPr>
              <w:t>一期工程</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3"/>
              <w:jc w:val="right"/>
              <w:rPr>
                <w:rFonts w:ascii="Arial" w:hAnsi="Arial" w:cs="Arial" w:eastAsia="Arial" w:hint="default"/>
                <w:sz w:val="18"/>
                <w:szCs w:val="18"/>
              </w:rPr>
            </w:pPr>
            <w:r>
              <w:rPr>
                <w:rFonts w:ascii="Arial"/>
                <w:spacing w:val="-1"/>
                <w:sz w:val="18"/>
              </w:rPr>
              <w:t>129,450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1"/>
              <w:jc w:val="right"/>
              <w:rPr>
                <w:rFonts w:ascii="Arial" w:hAnsi="Arial" w:cs="Arial" w:eastAsia="Arial" w:hint="default"/>
                <w:sz w:val="18"/>
                <w:szCs w:val="18"/>
              </w:rPr>
            </w:pPr>
            <w:r>
              <w:rPr>
                <w:rFonts w:ascii="Arial"/>
                <w:spacing w:val="-1"/>
                <w:sz w:val="18"/>
              </w:rPr>
              <w:t>25,968</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8"/>
              <w:jc w:val="right"/>
              <w:rPr>
                <w:rFonts w:ascii="Arial" w:hAnsi="Arial" w:cs="Arial" w:eastAsia="Arial" w:hint="default"/>
                <w:sz w:val="18"/>
                <w:szCs w:val="18"/>
              </w:rPr>
            </w:pPr>
            <w:r>
              <w:rPr>
                <w:rFonts w:ascii="Arial"/>
                <w:spacing w:val="-1"/>
                <w:sz w:val="18"/>
              </w:rPr>
              <w:t>100,751</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3"/>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99"/>
                <w:sz w:val="18"/>
              </w:rPr>
              <w:t>-</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1"/>
              <w:jc w:val="right"/>
              <w:rPr>
                <w:rFonts w:ascii="Arial" w:hAnsi="Arial" w:cs="Arial" w:eastAsia="Arial" w:hint="default"/>
                <w:sz w:val="18"/>
                <w:szCs w:val="18"/>
              </w:rPr>
            </w:pPr>
            <w:r>
              <w:rPr>
                <w:rFonts w:ascii="Arial"/>
                <w:spacing w:val="-1"/>
                <w:sz w:val="18"/>
              </w:rPr>
              <w:t>126,719</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Arial" w:hAnsi="Arial" w:cs="Arial" w:eastAsia="Arial" w:hint="default"/>
                <w:sz w:val="18"/>
                <w:szCs w:val="18"/>
              </w:rPr>
            </w:pPr>
            <w:r>
              <w:rPr>
                <w:rFonts w:ascii="Arial"/>
                <w:spacing w:val="-1"/>
                <w:sz w:val="18"/>
              </w:rPr>
              <w:t>97.89%</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内装施工</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2"/>
              <w:jc w:val="right"/>
              <w:rPr>
                <w:rFonts w:ascii="Arial" w:hAnsi="Arial" w:cs="Arial" w:eastAsia="Arial" w:hint="default"/>
                <w:sz w:val="18"/>
                <w:szCs w:val="18"/>
              </w:rPr>
            </w:pPr>
            <w:r>
              <w:rPr>
                <w:rFonts w:ascii="Arial"/>
                <w:w w:val="99"/>
                <w:sz w:val="18"/>
              </w:rPr>
              <w:t>-</w:t>
            </w:r>
            <w:r>
              <w:rPr>
                <w:rFonts w:ascii="Arial"/>
                <w:sz w:val="18"/>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9"/>
              <w:jc w:val="right"/>
              <w:rPr>
                <w:rFonts w:ascii="Arial" w:hAnsi="Arial" w:cs="Arial" w:eastAsia="Arial" w:hint="default"/>
                <w:sz w:val="18"/>
                <w:szCs w:val="18"/>
              </w:rPr>
            </w:pPr>
            <w:r>
              <w:rPr>
                <w:rFonts w:ascii="Arial"/>
                <w:w w:val="99"/>
                <w:sz w:val="18"/>
              </w:rPr>
              <w:t>-</w:t>
            </w:r>
            <w:r>
              <w:rPr>
                <w:rFonts w:ascii="Arial"/>
                <w:sz w:val="18"/>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2"/>
              <w:jc w:val="right"/>
              <w:rPr>
                <w:rFonts w:ascii="Arial" w:hAnsi="Arial" w:cs="Arial" w:eastAsia="Arial" w:hint="default"/>
                <w:sz w:val="18"/>
                <w:szCs w:val="18"/>
              </w:rPr>
            </w:pPr>
            <w:r>
              <w:rPr>
                <w:rFonts w:ascii="Arial"/>
                <w:w w:val="99"/>
                <w:sz w:val="18"/>
              </w:rPr>
              <w:t>-</w:t>
            </w:r>
            <w:r>
              <w:rPr>
                <w:rFonts w:ascii="Arial"/>
                <w:sz w:val="18"/>
              </w:rPr>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468" w:hRule="exact"/>
        </w:trPr>
        <w:tc>
          <w:tcPr>
            <w:tcW w:w="791"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易购总部项目</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3"/>
              <w:jc w:val="right"/>
              <w:rPr>
                <w:rFonts w:ascii="Arial" w:hAnsi="Arial" w:cs="Arial" w:eastAsia="Arial" w:hint="default"/>
                <w:sz w:val="18"/>
                <w:szCs w:val="18"/>
              </w:rPr>
            </w:pPr>
            <w:r>
              <w:rPr>
                <w:rFonts w:ascii="Arial"/>
                <w:spacing w:val="-1"/>
                <w:sz w:val="18"/>
              </w:rPr>
              <w:t>930,000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1"/>
              <w:jc w:val="right"/>
              <w:rPr>
                <w:rFonts w:ascii="Arial" w:hAnsi="Arial" w:cs="Arial" w:eastAsia="Arial" w:hint="default"/>
                <w:sz w:val="18"/>
                <w:szCs w:val="18"/>
              </w:rPr>
            </w:pPr>
            <w:r>
              <w:rPr>
                <w:rFonts w:ascii="Arial"/>
                <w:w w:val="99"/>
                <w:sz w:val="18"/>
              </w:rPr>
              <w:t>-</w:t>
            </w:r>
            <w:r>
              <w:rPr>
                <w:rFonts w:ascii="Arial"/>
                <w:sz w:val="18"/>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8"/>
              <w:jc w:val="right"/>
              <w:rPr>
                <w:rFonts w:ascii="Arial" w:hAnsi="Arial" w:cs="Arial" w:eastAsia="Arial" w:hint="default"/>
                <w:sz w:val="18"/>
                <w:szCs w:val="18"/>
              </w:rPr>
            </w:pPr>
            <w:r>
              <w:rPr>
                <w:rFonts w:ascii="Arial"/>
                <w:spacing w:val="-1"/>
                <w:sz w:val="18"/>
              </w:rPr>
              <w:t>126,137</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3"/>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99"/>
                <w:sz w:val="18"/>
              </w:rPr>
              <w:t>-</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1"/>
              <w:jc w:val="right"/>
              <w:rPr>
                <w:rFonts w:ascii="Arial" w:hAnsi="Arial" w:cs="Arial" w:eastAsia="Arial" w:hint="default"/>
                <w:sz w:val="18"/>
                <w:szCs w:val="18"/>
              </w:rPr>
            </w:pPr>
            <w:r>
              <w:rPr>
                <w:rFonts w:ascii="Arial"/>
                <w:spacing w:val="-1"/>
                <w:sz w:val="18"/>
              </w:rPr>
              <w:t>126,137</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Arial" w:hAnsi="Arial" w:cs="Arial" w:eastAsia="Arial" w:hint="default"/>
                <w:sz w:val="18"/>
                <w:szCs w:val="18"/>
              </w:rPr>
            </w:pPr>
            <w:r>
              <w:rPr>
                <w:rFonts w:ascii="Arial"/>
                <w:spacing w:val="-1"/>
                <w:sz w:val="18"/>
              </w:rPr>
              <w:t>13.56%</w:t>
            </w:r>
          </w:p>
        </w:tc>
        <w:tc>
          <w:tcPr>
            <w:tcW w:w="2160" w:type="dxa"/>
            <w:tcBorders>
              <w:top w:val="nil" w:sz="6" w:space="0" w:color="auto"/>
              <w:left w:val="nil" w:sz="6" w:space="0" w:color="auto"/>
              <w:bottom w:val="nil" w:sz="6" w:space="0" w:color="auto"/>
              <w:right w:val="nil" w:sz="6" w:space="0" w:color="auto"/>
            </w:tcBorders>
          </w:tcPr>
          <w:p>
            <w:pPr>
              <w:pStyle w:val="TableParagraph"/>
              <w:spacing w:line="195" w:lineRule="exact"/>
              <w:ind w:left="269" w:right="0" w:hanging="180"/>
              <w:jc w:val="left"/>
              <w:rPr>
                <w:rFonts w:ascii="宋体" w:hAnsi="宋体" w:cs="宋体" w:eastAsia="宋体" w:hint="default"/>
                <w:sz w:val="18"/>
                <w:szCs w:val="18"/>
              </w:rPr>
            </w:pPr>
            <w:r>
              <w:rPr>
                <w:rFonts w:ascii="宋体" w:hAnsi="宋体" w:cs="宋体" w:eastAsia="宋体" w:hint="default"/>
                <w:sz w:val="18"/>
                <w:szCs w:val="18"/>
              </w:rPr>
              <w:t>地下结构施工中，部分工</w:t>
            </w: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程已进入地上结构施工</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2"/>
              <w:jc w:val="right"/>
              <w:rPr>
                <w:rFonts w:ascii="Arial" w:hAnsi="Arial" w:cs="Arial" w:eastAsia="Arial" w:hint="default"/>
                <w:sz w:val="18"/>
                <w:szCs w:val="18"/>
              </w:rPr>
            </w:pPr>
            <w:r>
              <w:rPr>
                <w:rFonts w:ascii="Arial"/>
                <w:w w:val="99"/>
                <w:sz w:val="18"/>
              </w:rPr>
              <w:t>-</w:t>
            </w:r>
            <w:r>
              <w:rPr>
                <w:rFonts w:ascii="Arial"/>
                <w:sz w:val="18"/>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9"/>
              <w:jc w:val="right"/>
              <w:rPr>
                <w:rFonts w:ascii="Arial" w:hAnsi="Arial" w:cs="Arial" w:eastAsia="Arial" w:hint="default"/>
                <w:sz w:val="18"/>
                <w:szCs w:val="18"/>
              </w:rPr>
            </w:pPr>
            <w:r>
              <w:rPr>
                <w:rFonts w:ascii="Arial"/>
                <w:w w:val="99"/>
                <w:sz w:val="18"/>
              </w:rPr>
              <w:t>-</w:t>
            </w:r>
            <w:r>
              <w:rPr>
                <w:rFonts w:ascii="Arial"/>
                <w:sz w:val="18"/>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2"/>
              <w:jc w:val="right"/>
              <w:rPr>
                <w:rFonts w:ascii="Arial" w:hAnsi="Arial" w:cs="Arial" w:eastAsia="Arial" w:hint="default"/>
                <w:sz w:val="18"/>
                <w:szCs w:val="18"/>
              </w:rPr>
            </w:pPr>
            <w:r>
              <w:rPr>
                <w:rFonts w:ascii="Arial"/>
                <w:w w:val="99"/>
                <w:sz w:val="18"/>
              </w:rPr>
              <w:t>-</w:t>
            </w:r>
            <w:r>
              <w:rPr>
                <w:rFonts w:ascii="Arial"/>
                <w:sz w:val="18"/>
              </w:rPr>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33" w:hRule="exact"/>
        </w:trPr>
        <w:tc>
          <w:tcPr>
            <w:tcW w:w="791"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195" w:lineRule="exact"/>
              <w:ind w:left="81" w:right="0"/>
              <w:jc w:val="left"/>
              <w:rPr>
                <w:rFonts w:ascii="宋体" w:hAnsi="宋体" w:cs="宋体" w:eastAsia="宋体" w:hint="default"/>
                <w:sz w:val="18"/>
                <w:szCs w:val="18"/>
              </w:rPr>
            </w:pPr>
            <w:r>
              <w:rPr>
                <w:rFonts w:ascii="宋体" w:hAnsi="宋体" w:cs="宋体" w:eastAsia="宋体" w:hint="default"/>
                <w:sz w:val="18"/>
                <w:szCs w:val="18"/>
              </w:rPr>
              <w:t>哈尔滨物流项目</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3"/>
              <w:jc w:val="right"/>
              <w:rPr>
                <w:rFonts w:ascii="Arial" w:hAnsi="Arial" w:cs="Arial" w:eastAsia="Arial" w:hint="default"/>
                <w:sz w:val="18"/>
                <w:szCs w:val="18"/>
              </w:rPr>
            </w:pPr>
            <w:r>
              <w:rPr>
                <w:rFonts w:ascii="Arial"/>
                <w:spacing w:val="-2"/>
                <w:w w:val="95"/>
                <w:sz w:val="18"/>
              </w:rPr>
              <w:t>117,203</w:t>
            </w:r>
            <w:r>
              <w:rPr>
                <w:rFonts w:ascii="Arial"/>
                <w:spacing w:val="-2"/>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1"/>
              <w:jc w:val="right"/>
              <w:rPr>
                <w:rFonts w:ascii="Arial" w:hAnsi="Arial" w:cs="Arial" w:eastAsia="Arial" w:hint="default"/>
                <w:sz w:val="18"/>
                <w:szCs w:val="18"/>
              </w:rPr>
            </w:pPr>
            <w:r>
              <w:rPr>
                <w:rFonts w:ascii="Arial"/>
                <w:w w:val="95"/>
                <w:sz w:val="18"/>
              </w:rPr>
              <w:t>8,704</w:t>
            </w:r>
            <w:r>
              <w:rPr>
                <w:rFonts w:ascii="Arial"/>
                <w:sz w:val="18"/>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8"/>
              <w:jc w:val="right"/>
              <w:rPr>
                <w:rFonts w:ascii="Arial" w:hAnsi="Arial" w:cs="Arial" w:eastAsia="Arial" w:hint="default"/>
                <w:sz w:val="18"/>
                <w:szCs w:val="18"/>
              </w:rPr>
            </w:pPr>
            <w:r>
              <w:rPr>
                <w:rFonts w:ascii="Arial"/>
                <w:spacing w:val="-1"/>
                <w:sz w:val="18"/>
              </w:rPr>
              <w:t>96,779</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3"/>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0"/>
              <w:jc w:val="right"/>
              <w:rPr>
                <w:rFonts w:ascii="Arial" w:hAnsi="Arial" w:cs="Arial" w:eastAsia="Arial" w:hint="default"/>
                <w:sz w:val="18"/>
                <w:szCs w:val="18"/>
              </w:rPr>
            </w:pPr>
            <w:r>
              <w:rPr>
                <w:rFonts w:ascii="Arial"/>
                <w:w w:val="99"/>
                <w:sz w:val="18"/>
              </w:rPr>
              <w:t>-</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1"/>
              <w:jc w:val="right"/>
              <w:rPr>
                <w:rFonts w:ascii="Arial" w:hAnsi="Arial" w:cs="Arial" w:eastAsia="Arial" w:hint="default"/>
                <w:sz w:val="18"/>
                <w:szCs w:val="18"/>
              </w:rPr>
            </w:pPr>
            <w:r>
              <w:rPr>
                <w:rFonts w:ascii="Arial"/>
                <w:spacing w:val="-1"/>
                <w:sz w:val="18"/>
              </w:rPr>
              <w:t>105,483</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7"/>
              <w:jc w:val="right"/>
              <w:rPr>
                <w:rFonts w:ascii="Arial" w:hAnsi="Arial" w:cs="Arial" w:eastAsia="Arial" w:hint="default"/>
                <w:sz w:val="18"/>
                <w:szCs w:val="18"/>
              </w:rPr>
            </w:pPr>
            <w:r>
              <w:rPr>
                <w:rFonts w:ascii="Arial"/>
                <w:spacing w:val="-1"/>
                <w:sz w:val="18"/>
              </w:rPr>
              <w:t>90.00%</w:t>
            </w:r>
          </w:p>
        </w:tc>
        <w:tc>
          <w:tcPr>
            <w:tcW w:w="2160" w:type="dxa"/>
            <w:tcBorders>
              <w:top w:val="nil" w:sz="6" w:space="0" w:color="auto"/>
              <w:left w:val="nil" w:sz="6" w:space="0" w:color="auto"/>
              <w:bottom w:val="nil" w:sz="6" w:space="0" w:color="auto"/>
              <w:right w:val="nil" w:sz="6" w:space="0" w:color="auto"/>
            </w:tcBorders>
          </w:tcPr>
          <w:p>
            <w:pPr>
              <w:pStyle w:val="TableParagraph"/>
              <w:spacing w:line="195" w:lineRule="exact"/>
              <w:ind w:right="89"/>
              <w:jc w:val="right"/>
              <w:rPr>
                <w:rFonts w:ascii="宋体" w:hAnsi="宋体" w:cs="宋体" w:eastAsia="宋体" w:hint="default"/>
                <w:sz w:val="18"/>
                <w:szCs w:val="18"/>
              </w:rPr>
            </w:pPr>
            <w:r>
              <w:rPr>
                <w:rFonts w:ascii="宋体" w:hAnsi="宋体" w:cs="宋体" w:eastAsia="宋体" w:hint="default"/>
                <w:sz w:val="18"/>
                <w:szCs w:val="18"/>
              </w:rPr>
              <w:t>内装施工</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2"/>
              <w:jc w:val="right"/>
              <w:rPr>
                <w:rFonts w:ascii="Arial" w:hAnsi="Arial" w:cs="Arial" w:eastAsia="Arial" w:hint="default"/>
                <w:sz w:val="18"/>
                <w:szCs w:val="18"/>
              </w:rPr>
            </w:pPr>
            <w:r>
              <w:rPr>
                <w:rFonts w:ascii="Arial"/>
                <w:w w:val="99"/>
                <w:sz w:val="18"/>
              </w:rPr>
              <w:t>-</w:t>
            </w:r>
            <w:r>
              <w:rPr>
                <w:rFonts w:ascii="Arial"/>
                <w:sz w:val="18"/>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9"/>
              <w:jc w:val="right"/>
              <w:rPr>
                <w:rFonts w:ascii="Arial" w:hAnsi="Arial" w:cs="Arial" w:eastAsia="Arial" w:hint="default"/>
                <w:sz w:val="18"/>
                <w:szCs w:val="18"/>
              </w:rPr>
            </w:pPr>
            <w:r>
              <w:rPr>
                <w:rFonts w:ascii="Arial"/>
                <w:w w:val="99"/>
                <w:sz w:val="18"/>
              </w:rPr>
              <w:t>-</w:t>
            </w:r>
            <w:r>
              <w:rPr>
                <w:rFonts w:ascii="Arial"/>
                <w:sz w:val="18"/>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2"/>
              <w:jc w:val="right"/>
              <w:rPr>
                <w:rFonts w:ascii="Arial" w:hAnsi="Arial" w:cs="Arial" w:eastAsia="Arial" w:hint="default"/>
                <w:sz w:val="18"/>
                <w:szCs w:val="18"/>
              </w:rPr>
            </w:pPr>
            <w:r>
              <w:rPr>
                <w:rFonts w:ascii="Arial"/>
                <w:w w:val="99"/>
                <w:sz w:val="18"/>
              </w:rPr>
              <w:t>-</w:t>
            </w:r>
            <w:r>
              <w:rPr>
                <w:rFonts w:ascii="Arial"/>
                <w:sz w:val="18"/>
              </w:rPr>
            </w:r>
          </w:p>
        </w:tc>
        <w:tc>
          <w:tcPr>
            <w:tcW w:w="1056" w:type="dxa"/>
            <w:tcBorders>
              <w:top w:val="nil" w:sz="6" w:space="0" w:color="auto"/>
              <w:left w:val="nil" w:sz="6" w:space="0" w:color="auto"/>
              <w:bottom w:val="nil" w:sz="6" w:space="0" w:color="auto"/>
              <w:right w:val="nil" w:sz="6" w:space="0" w:color="auto"/>
            </w:tcBorders>
          </w:tcPr>
          <w:p>
            <w:pPr>
              <w:pStyle w:val="TableParagraph"/>
              <w:spacing w:line="195" w:lineRule="exact"/>
              <w:ind w:left="85"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451" w:hRule="exact"/>
        </w:trPr>
        <w:tc>
          <w:tcPr>
            <w:tcW w:w="791"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193" w:lineRule="exact"/>
              <w:ind w:left="81" w:right="0"/>
              <w:jc w:val="left"/>
              <w:rPr>
                <w:rFonts w:ascii="宋体" w:hAnsi="宋体" w:cs="宋体" w:eastAsia="宋体" w:hint="default"/>
                <w:sz w:val="18"/>
                <w:szCs w:val="18"/>
              </w:rPr>
            </w:pPr>
            <w:r>
              <w:rPr>
                <w:rFonts w:ascii="宋体" w:hAnsi="宋体" w:cs="宋体" w:eastAsia="宋体" w:hint="default"/>
                <w:sz w:val="18"/>
                <w:szCs w:val="18"/>
              </w:rPr>
              <w:t>湖州苏宁电器广场</w:t>
            </w:r>
          </w:p>
          <w:p>
            <w:pPr>
              <w:pStyle w:val="TableParagraph"/>
              <w:spacing w:line="234" w:lineRule="exact"/>
              <w:ind w:left="30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3"/>
              <w:jc w:val="right"/>
              <w:rPr>
                <w:rFonts w:ascii="Arial" w:hAnsi="Arial" w:cs="Arial" w:eastAsia="Arial" w:hint="default"/>
                <w:sz w:val="18"/>
                <w:szCs w:val="18"/>
              </w:rPr>
            </w:pPr>
            <w:r>
              <w:rPr>
                <w:rFonts w:ascii="Arial"/>
                <w:spacing w:val="-1"/>
                <w:sz w:val="18"/>
              </w:rPr>
              <w:t>193,741</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3"/>
              <w:jc w:val="right"/>
              <w:rPr>
                <w:rFonts w:ascii="Arial" w:hAnsi="Arial" w:cs="Arial" w:eastAsia="Arial" w:hint="default"/>
                <w:sz w:val="18"/>
                <w:szCs w:val="18"/>
              </w:rPr>
            </w:pPr>
            <w:r>
              <w:rPr>
                <w:rFonts w:ascii="Arial"/>
                <w:spacing w:val="-1"/>
                <w:sz w:val="18"/>
              </w:rPr>
              <w:t>49,358</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8"/>
              <w:jc w:val="right"/>
              <w:rPr>
                <w:rFonts w:ascii="Arial" w:hAnsi="Arial" w:cs="Arial" w:eastAsia="Arial" w:hint="default"/>
                <w:sz w:val="18"/>
                <w:szCs w:val="18"/>
              </w:rPr>
            </w:pPr>
            <w:r>
              <w:rPr>
                <w:rFonts w:ascii="Arial"/>
                <w:spacing w:val="-1"/>
                <w:sz w:val="18"/>
              </w:rPr>
              <w:t>45,071</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3"/>
              <w:jc w:val="right"/>
              <w:rPr>
                <w:rFonts w:ascii="Arial" w:hAnsi="Arial" w:cs="Arial" w:eastAsia="Arial" w:hint="default"/>
                <w:sz w:val="18"/>
                <w:szCs w:val="18"/>
              </w:rPr>
            </w:pPr>
            <w:r>
              <w:rPr>
                <w:rFonts w:ascii="Arial"/>
                <w:w w:val="99"/>
                <w:sz w:val="18"/>
              </w:rPr>
              <w:t>-</w:t>
            </w:r>
            <w:r>
              <w:rPr>
                <w:rFonts w:ascii="Arial"/>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99"/>
                <w:sz w:val="18"/>
              </w:rPr>
              <w:t>-</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1"/>
              <w:jc w:val="right"/>
              <w:rPr>
                <w:rFonts w:ascii="Arial" w:hAnsi="Arial" w:cs="Arial" w:eastAsia="Arial" w:hint="default"/>
                <w:sz w:val="18"/>
                <w:szCs w:val="18"/>
              </w:rPr>
            </w:pPr>
            <w:r>
              <w:rPr>
                <w:rFonts w:ascii="Arial"/>
                <w:spacing w:val="-1"/>
                <w:sz w:val="18"/>
              </w:rPr>
              <w:t>94,429</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Arial" w:hAnsi="Arial" w:cs="Arial" w:eastAsia="Arial" w:hint="default"/>
                <w:sz w:val="18"/>
                <w:szCs w:val="18"/>
              </w:rPr>
            </w:pPr>
            <w:r>
              <w:rPr>
                <w:rFonts w:ascii="Arial"/>
                <w:spacing w:val="-1"/>
                <w:sz w:val="18"/>
              </w:rPr>
              <w:t>48.74%</w:t>
            </w:r>
          </w:p>
        </w:tc>
        <w:tc>
          <w:tcPr>
            <w:tcW w:w="2160" w:type="dxa"/>
            <w:tcBorders>
              <w:top w:val="nil" w:sz="6" w:space="0" w:color="auto"/>
              <w:left w:val="nil" w:sz="6" w:space="0" w:color="auto"/>
              <w:bottom w:val="nil" w:sz="6" w:space="0" w:color="auto"/>
              <w:right w:val="nil" w:sz="6" w:space="0" w:color="auto"/>
            </w:tcBorders>
          </w:tcPr>
          <w:p>
            <w:pPr>
              <w:pStyle w:val="TableParagraph"/>
              <w:spacing w:line="193" w:lineRule="exact"/>
              <w:ind w:left="146" w:right="0"/>
              <w:jc w:val="left"/>
              <w:rPr>
                <w:rFonts w:ascii="宋体" w:hAnsi="宋体" w:cs="宋体" w:eastAsia="宋体" w:hint="default"/>
                <w:sz w:val="18"/>
                <w:szCs w:val="18"/>
              </w:rPr>
            </w:pPr>
            <w:r>
              <w:rPr>
                <w:rFonts w:ascii="宋体" w:hAnsi="宋体" w:cs="宋体" w:eastAsia="宋体" w:hint="default"/>
                <w:spacing w:val="-6"/>
                <w:sz w:val="18"/>
                <w:szCs w:val="18"/>
              </w:rPr>
              <w:t>裙房幕墙施工、塔楼主体</w:t>
            </w:r>
          </w:p>
          <w:p>
            <w:pPr>
              <w:pStyle w:val="TableParagraph"/>
              <w:spacing w:line="234" w:lineRule="exact"/>
              <w:ind w:left="1349" w:right="0"/>
              <w:jc w:val="left"/>
              <w:rPr>
                <w:rFonts w:ascii="宋体" w:hAnsi="宋体" w:cs="宋体" w:eastAsia="宋体" w:hint="default"/>
                <w:sz w:val="18"/>
                <w:szCs w:val="18"/>
              </w:rPr>
            </w:pPr>
            <w:r>
              <w:rPr>
                <w:rFonts w:ascii="宋体" w:hAnsi="宋体" w:cs="宋体" w:eastAsia="宋体" w:hint="default"/>
                <w:sz w:val="18"/>
                <w:szCs w:val="18"/>
              </w:rPr>
              <w:t>结构施工</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2"/>
              <w:jc w:val="right"/>
              <w:rPr>
                <w:rFonts w:ascii="Arial" w:hAnsi="Arial" w:cs="Arial" w:eastAsia="Arial" w:hint="default"/>
                <w:sz w:val="18"/>
                <w:szCs w:val="18"/>
              </w:rPr>
            </w:pPr>
            <w:r>
              <w:rPr>
                <w:rFonts w:ascii="Arial"/>
                <w:w w:val="99"/>
                <w:sz w:val="18"/>
              </w:rPr>
              <w:t>-</w:t>
            </w:r>
            <w:r>
              <w:rPr>
                <w:rFonts w:ascii="Arial"/>
                <w:sz w:val="18"/>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9"/>
              <w:jc w:val="right"/>
              <w:rPr>
                <w:rFonts w:ascii="Arial" w:hAnsi="Arial" w:cs="Arial" w:eastAsia="Arial" w:hint="default"/>
                <w:sz w:val="18"/>
                <w:szCs w:val="18"/>
              </w:rPr>
            </w:pPr>
            <w:r>
              <w:rPr>
                <w:rFonts w:ascii="Arial"/>
                <w:w w:val="99"/>
                <w:sz w:val="18"/>
              </w:rPr>
              <w:t>-</w:t>
            </w:r>
            <w:r>
              <w:rPr>
                <w:rFonts w:ascii="Arial"/>
                <w:sz w:val="18"/>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2"/>
              <w:jc w:val="right"/>
              <w:rPr>
                <w:rFonts w:ascii="Arial" w:hAnsi="Arial" w:cs="Arial" w:eastAsia="Arial" w:hint="default"/>
                <w:sz w:val="18"/>
                <w:szCs w:val="18"/>
              </w:rPr>
            </w:pPr>
            <w:r>
              <w:rPr>
                <w:rFonts w:ascii="Arial"/>
                <w:w w:val="99"/>
                <w:sz w:val="18"/>
              </w:rPr>
              <w:t>-</w:t>
            </w:r>
            <w:r>
              <w:rPr>
                <w:rFonts w:ascii="Arial"/>
                <w:sz w:val="18"/>
              </w:rPr>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自有资金</w:t>
            </w:r>
          </w:p>
        </w:tc>
      </w:tr>
    </w:tbl>
    <w:p>
      <w:pPr>
        <w:spacing w:after="0" w:line="240" w:lineRule="auto"/>
        <w:jc w:val="left"/>
        <w:rPr>
          <w:rFonts w:ascii="宋体" w:hAnsi="宋体" w:cs="宋体" w:eastAsia="宋体" w:hint="default"/>
          <w:sz w:val="18"/>
          <w:szCs w:val="18"/>
        </w:rPr>
        <w:sectPr>
          <w:headerReference w:type="default" r:id="rId84"/>
          <w:footerReference w:type="default" r:id="rId85"/>
          <w:pgSz w:w="16850" w:h="11910" w:orient="landscape"/>
          <w:pgMar w:header="1227" w:footer="706" w:top="2440" w:bottom="900" w:left="540" w:right="0"/>
          <w:pgNumType w:start="159"/>
        </w:sectPr>
      </w:pPr>
    </w:p>
    <w:p>
      <w:pPr>
        <w:spacing w:line="240" w:lineRule="auto" w:before="0"/>
        <w:rPr>
          <w:rFonts w:ascii="Times New Roman" w:hAnsi="Times New Roman" w:cs="Times New Roman" w:eastAsia="Times New Roman" w:hint="default"/>
          <w:sz w:val="20"/>
          <w:szCs w:val="20"/>
        </w:rPr>
      </w:pPr>
      <w:r>
        <w:rPr/>
        <w:pict>
          <v:shape style="position:absolute;margin-left:707.039978pt;margin-top:518.320007pt;width:135pt;height:77pt;mso-position-horizontal-relative:page;mso-position-vertical-relative:page;z-index:-1595608" type="#_x0000_t75" stroked="false">
            <v:imagedata r:id="rId10" o:title=""/>
          </v:shape>
        </w:pict>
      </w:r>
    </w:p>
    <w:p>
      <w:pPr>
        <w:spacing w:line="240" w:lineRule="auto" w:before="9"/>
        <w:rPr>
          <w:rFonts w:ascii="Times New Roman" w:hAnsi="Times New Roman" w:cs="Times New Roman" w:eastAsia="Times New Roman"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793"/>
        <w:gridCol w:w="1568"/>
        <w:gridCol w:w="1094"/>
        <w:gridCol w:w="1077"/>
        <w:gridCol w:w="991"/>
        <w:gridCol w:w="1236"/>
        <w:gridCol w:w="925"/>
        <w:gridCol w:w="1059"/>
        <w:gridCol w:w="1206"/>
        <w:gridCol w:w="2138"/>
        <w:gridCol w:w="977"/>
        <w:gridCol w:w="1220"/>
        <w:gridCol w:w="944"/>
        <w:gridCol w:w="1021"/>
      </w:tblGrid>
      <w:tr>
        <w:trPr>
          <w:trHeight w:val="435"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740"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165"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991"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r>
      <w:tr>
        <w:trPr>
          <w:trHeight w:val="608"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0" w:right="0"/>
              <w:jc w:val="left"/>
              <w:rPr>
                <w:rFonts w:ascii="Arial" w:hAnsi="Arial" w:cs="Arial" w:eastAsia="Arial" w:hint="default"/>
                <w:sz w:val="24"/>
                <w:szCs w:val="24"/>
              </w:rPr>
            </w:pPr>
            <w:r>
              <w:rPr>
                <w:rFonts w:ascii="Arial"/>
                <w:sz w:val="24"/>
              </w:rPr>
              <w:t>(13)</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65" w:right="0"/>
              <w:jc w:val="left"/>
              <w:rPr>
                <w:rFonts w:ascii="Arial" w:hAnsi="Arial" w:cs="Arial" w:eastAsia="Arial" w:hint="default"/>
                <w:sz w:val="24"/>
                <w:szCs w:val="24"/>
              </w:rPr>
            </w:pPr>
            <w:r>
              <w:rPr>
                <w:rFonts w:ascii="黑体" w:hAnsi="黑体" w:cs="黑体" w:eastAsia="黑体" w:hint="default"/>
                <w:sz w:val="24"/>
                <w:szCs w:val="24"/>
              </w:rPr>
              <w:t>在建工程</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94" w:type="dxa"/>
            <w:tcBorders>
              <w:top w:val="nil" w:sz="6" w:space="0" w:color="auto"/>
              <w:left w:val="nil" w:sz="6" w:space="0" w:color="auto"/>
              <w:bottom w:val="nil" w:sz="6" w:space="0" w:color="auto"/>
              <w:right w:val="nil" w:sz="6" w:space="0" w:color="auto"/>
            </w:tcBorders>
          </w:tcPr>
          <w:p>
            <w:pPr/>
          </w:p>
        </w:tc>
        <w:tc>
          <w:tcPr>
            <w:tcW w:w="1077"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r>
      <w:tr>
        <w:trPr>
          <w:trHeight w:val="586"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74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7"/>
              <w:ind w:left="165" w:right="0"/>
              <w:jc w:val="left"/>
              <w:rPr>
                <w:rFonts w:ascii="Arial" w:hAnsi="Arial" w:cs="Arial" w:eastAsia="Arial" w:hint="default"/>
                <w:sz w:val="24"/>
                <w:szCs w:val="24"/>
              </w:rPr>
            </w:pPr>
            <w:r>
              <w:rPr>
                <w:rFonts w:ascii="宋体" w:hAnsi="宋体" w:cs="宋体" w:eastAsia="宋体" w:hint="default"/>
                <w:sz w:val="24"/>
                <w:szCs w:val="24"/>
              </w:rPr>
              <w:t>重大在建工程项目变动</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991"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r>
      <w:tr>
        <w:trPr>
          <w:trHeight w:val="842" w:hRule="exact"/>
        </w:trPr>
        <w:tc>
          <w:tcPr>
            <w:tcW w:w="793"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65"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8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077" w:type="dxa"/>
            <w:tcBorders>
              <w:top w:val="nil" w:sz="6" w:space="0" w:color="auto"/>
              <w:left w:val="nil" w:sz="6" w:space="0" w:color="auto"/>
              <w:bottom w:val="nil" w:sz="6" w:space="0" w:color="auto"/>
              <w:right w:val="nil" w:sz="6" w:space="0" w:color="auto"/>
            </w:tcBorders>
          </w:tcPr>
          <w:p>
            <w:pPr>
              <w:pStyle w:val="TableParagraph"/>
              <w:spacing w:line="242" w:lineRule="exact" w:before="107"/>
              <w:ind w:left="361"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2" w:lineRule="exact"/>
              <w:ind w:left="7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67"/>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236" w:type="dxa"/>
            <w:tcBorders>
              <w:top w:val="nil" w:sz="6" w:space="0" w:color="auto"/>
              <w:left w:val="nil" w:sz="6" w:space="0" w:color="auto"/>
              <w:bottom w:val="nil" w:sz="6" w:space="0" w:color="auto"/>
              <w:right w:val="nil" w:sz="6" w:space="0" w:color="auto"/>
            </w:tcBorders>
          </w:tcPr>
          <w:p>
            <w:pPr>
              <w:pStyle w:val="TableParagraph"/>
              <w:spacing w:line="237" w:lineRule="auto" w:before="109"/>
              <w:ind w:left="161" w:right="91" w:firstLine="43"/>
              <w:jc w:val="left"/>
              <w:rPr>
                <w:rFonts w:ascii="Arial" w:hAnsi="Arial" w:cs="Arial" w:eastAsia="Arial" w:hint="default"/>
                <w:sz w:val="18"/>
                <w:szCs w:val="18"/>
              </w:rPr>
            </w:pPr>
            <w:r>
              <w:rPr>
                <w:rFonts w:ascii="宋体" w:hAnsi="宋体" w:cs="宋体" w:eastAsia="宋体" w:hint="default"/>
                <w:sz w:val="18"/>
                <w:szCs w:val="18"/>
              </w:rPr>
              <w:t>本年转入 固定资产 </w:t>
            </w:r>
            <w:r>
              <w:rPr>
                <w:rFonts w:ascii="Arial" w:hAnsi="Arial" w:cs="Arial" w:eastAsia="Arial" w:hint="default"/>
                <w:sz w:val="18"/>
                <w:szCs w:val="18"/>
              </w:rPr>
              <w:t>(</w:t>
            </w:r>
            <w:r>
              <w:rPr>
                <w:rFonts w:ascii="宋体" w:hAnsi="宋体" w:cs="宋体" w:eastAsia="宋体" w:hint="default"/>
                <w:sz w:val="18"/>
                <w:szCs w:val="18"/>
              </w:rPr>
              <w:t>附注五</w:t>
            </w:r>
            <w:r>
              <w:rPr>
                <w:rFonts w:ascii="Arial" w:hAnsi="Arial" w:cs="Arial" w:eastAsia="Arial" w:hint="default"/>
                <w:sz w:val="18"/>
                <w:szCs w:val="18"/>
              </w:rPr>
              <w:t>(12))</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9"/>
              <w:jc w:val="right"/>
              <w:rPr>
                <w:rFonts w:ascii="宋体" w:hAnsi="宋体" w:cs="宋体" w:eastAsia="宋体" w:hint="default"/>
                <w:sz w:val="18"/>
                <w:szCs w:val="18"/>
              </w:rPr>
            </w:pPr>
            <w:r>
              <w:rPr>
                <w:rFonts w:ascii="宋体" w:hAnsi="宋体" w:cs="宋体" w:eastAsia="宋体" w:hint="default"/>
                <w:sz w:val="18"/>
                <w:szCs w:val="18"/>
              </w:rPr>
              <w:t>其他减少</w:t>
            </w:r>
          </w:p>
        </w:tc>
        <w:tc>
          <w:tcPr>
            <w:tcW w:w="1059" w:type="dxa"/>
            <w:tcBorders>
              <w:top w:val="nil" w:sz="6" w:space="0" w:color="auto"/>
              <w:left w:val="nil" w:sz="6" w:space="0" w:color="auto"/>
              <w:bottom w:val="nil" w:sz="6" w:space="0" w:color="auto"/>
              <w:right w:val="nil" w:sz="6" w:space="0" w:color="auto"/>
            </w:tcBorders>
          </w:tcPr>
          <w:p>
            <w:pPr>
              <w:pStyle w:val="TableParagraph"/>
              <w:spacing w:line="242" w:lineRule="exact" w:before="107"/>
              <w:ind w:left="380"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2" w:lineRule="exact"/>
              <w:ind w:left="111"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206" w:type="dxa"/>
            <w:tcBorders>
              <w:top w:val="nil" w:sz="6" w:space="0" w:color="auto"/>
              <w:left w:val="nil" w:sz="6" w:space="0" w:color="auto"/>
              <w:bottom w:val="nil" w:sz="6" w:space="0" w:color="auto"/>
              <w:right w:val="nil" w:sz="6" w:space="0" w:color="auto"/>
            </w:tcBorders>
          </w:tcPr>
          <w:p>
            <w:pPr>
              <w:pStyle w:val="TableParagraph"/>
              <w:spacing w:line="235" w:lineRule="exact" w:before="107"/>
              <w:ind w:left="49" w:right="0"/>
              <w:jc w:val="left"/>
              <w:rPr>
                <w:rFonts w:ascii="宋体" w:hAnsi="宋体" w:cs="宋体" w:eastAsia="宋体" w:hint="default"/>
                <w:sz w:val="18"/>
                <w:szCs w:val="18"/>
              </w:rPr>
            </w:pPr>
            <w:r>
              <w:rPr>
                <w:rFonts w:ascii="宋体" w:hAnsi="宋体" w:cs="宋体" w:eastAsia="宋体" w:hint="default"/>
                <w:sz w:val="18"/>
                <w:szCs w:val="18"/>
              </w:rPr>
              <w:t>工程投入占预</w:t>
            </w: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算的比例</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19"/>
              <w:jc w:val="right"/>
              <w:rPr>
                <w:rFonts w:ascii="宋体" w:hAnsi="宋体" w:cs="宋体" w:eastAsia="宋体" w:hint="default"/>
                <w:sz w:val="18"/>
                <w:szCs w:val="18"/>
              </w:rPr>
            </w:pPr>
            <w:r>
              <w:rPr>
                <w:rFonts w:ascii="宋体" w:hAnsi="宋体" w:cs="宋体" w:eastAsia="宋体" w:hint="default"/>
                <w:sz w:val="18"/>
                <w:szCs w:val="18"/>
              </w:rPr>
              <w:t>工程进度</w:t>
            </w:r>
          </w:p>
        </w:tc>
        <w:tc>
          <w:tcPr>
            <w:tcW w:w="977" w:type="dxa"/>
            <w:tcBorders>
              <w:top w:val="nil" w:sz="6" w:space="0" w:color="auto"/>
              <w:left w:val="nil" w:sz="6" w:space="0" w:color="auto"/>
              <w:bottom w:val="nil" w:sz="6" w:space="0" w:color="auto"/>
              <w:right w:val="nil" w:sz="6" w:space="0" w:color="auto"/>
            </w:tcBorders>
          </w:tcPr>
          <w:p>
            <w:pPr>
              <w:pStyle w:val="TableParagraph"/>
              <w:spacing w:line="237" w:lineRule="auto" w:before="109"/>
              <w:ind w:left="121" w:right="133"/>
              <w:jc w:val="right"/>
              <w:rPr>
                <w:rFonts w:ascii="宋体" w:hAnsi="宋体" w:cs="宋体" w:eastAsia="宋体" w:hint="default"/>
                <w:sz w:val="18"/>
                <w:szCs w:val="18"/>
              </w:rPr>
            </w:pPr>
            <w:r>
              <w:rPr>
                <w:rFonts w:ascii="宋体" w:hAnsi="宋体" w:cs="宋体" w:eastAsia="宋体" w:hint="default"/>
                <w:sz w:val="18"/>
                <w:szCs w:val="18"/>
              </w:rPr>
              <w:t>借款费用 资本化累 计金额</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98" w:right="120" w:hanging="125"/>
              <w:jc w:val="left"/>
              <w:rPr>
                <w:rFonts w:ascii="宋体" w:hAnsi="宋体" w:cs="宋体" w:eastAsia="宋体" w:hint="default"/>
                <w:sz w:val="18"/>
                <w:szCs w:val="18"/>
              </w:rPr>
            </w:pPr>
            <w:r>
              <w:rPr>
                <w:rFonts w:ascii="宋体" w:hAnsi="宋体" w:cs="宋体" w:eastAsia="宋体" w:hint="default"/>
                <w:spacing w:val="-10"/>
                <w:sz w:val="18"/>
                <w:szCs w:val="18"/>
              </w:rPr>
              <w:t>其中：本年借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款费用资本</w:t>
            </w:r>
          </w:p>
          <w:p>
            <w:pPr>
              <w:pStyle w:val="TableParagraph"/>
              <w:spacing w:line="233" w:lineRule="exact"/>
              <w:ind w:left="558" w:right="0"/>
              <w:jc w:val="left"/>
              <w:rPr>
                <w:rFonts w:ascii="宋体" w:hAnsi="宋体" w:cs="宋体" w:eastAsia="宋体" w:hint="default"/>
                <w:sz w:val="18"/>
                <w:szCs w:val="18"/>
              </w:rPr>
            </w:pPr>
            <w:r>
              <w:rPr>
                <w:rFonts w:ascii="宋体" w:hAnsi="宋体" w:cs="宋体" w:eastAsia="宋体" w:hint="default"/>
                <w:sz w:val="18"/>
                <w:szCs w:val="18"/>
              </w:rPr>
              <w:t>化金额</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22" w:right="99"/>
              <w:jc w:val="left"/>
              <w:rPr>
                <w:rFonts w:ascii="宋体" w:hAnsi="宋体" w:cs="宋体" w:eastAsia="宋体" w:hint="default"/>
                <w:sz w:val="18"/>
                <w:szCs w:val="18"/>
              </w:rPr>
            </w:pPr>
            <w:r>
              <w:rPr>
                <w:rFonts w:ascii="宋体" w:hAnsi="宋体" w:cs="宋体" w:eastAsia="宋体" w:hint="default"/>
                <w:sz w:val="18"/>
                <w:szCs w:val="18"/>
              </w:rPr>
              <w:t>本年借款 费用资本</w:t>
            </w:r>
          </w:p>
          <w:p>
            <w:pPr>
              <w:pStyle w:val="TableParagraph"/>
              <w:spacing w:line="233" w:lineRule="exact"/>
              <w:ind w:left="482" w:right="0"/>
              <w:jc w:val="left"/>
              <w:rPr>
                <w:rFonts w:ascii="宋体" w:hAnsi="宋体" w:cs="宋体" w:eastAsia="宋体" w:hint="default"/>
                <w:sz w:val="18"/>
                <w:szCs w:val="18"/>
              </w:rPr>
            </w:pPr>
            <w:r>
              <w:rPr>
                <w:rFonts w:ascii="宋体" w:hAnsi="宋体" w:cs="宋体" w:eastAsia="宋体" w:hint="default"/>
                <w:sz w:val="18"/>
                <w:szCs w:val="18"/>
              </w:rPr>
              <w:t>化率</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97"/>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74" w:hRule="exact"/>
        </w:trPr>
        <w:tc>
          <w:tcPr>
            <w:tcW w:w="793"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01" w:lineRule="exact"/>
              <w:ind w:left="225" w:right="0"/>
              <w:jc w:val="left"/>
              <w:rPr>
                <w:rFonts w:ascii="宋体" w:hAnsi="宋体" w:cs="宋体" w:eastAsia="宋体" w:hint="default"/>
                <w:sz w:val="18"/>
                <w:szCs w:val="18"/>
              </w:rPr>
            </w:pPr>
            <w:r>
              <w:rPr>
                <w:rFonts w:ascii="宋体" w:hAnsi="宋体" w:cs="宋体" w:eastAsia="宋体" w:hint="default"/>
                <w:sz w:val="18"/>
                <w:szCs w:val="18"/>
              </w:rPr>
              <w:t>合肥物流基地</w:t>
            </w:r>
          </w:p>
          <w:p>
            <w:pPr>
              <w:pStyle w:val="TableParagraph"/>
              <w:spacing w:line="234" w:lineRule="exact"/>
              <w:ind w:left="448"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12"/>
              <w:jc w:val="right"/>
              <w:rPr>
                <w:rFonts w:ascii="Arial" w:hAnsi="Arial" w:cs="Arial" w:eastAsia="Arial" w:hint="default"/>
                <w:sz w:val="18"/>
                <w:szCs w:val="18"/>
              </w:rPr>
            </w:pPr>
            <w:r>
              <w:rPr>
                <w:rFonts w:ascii="Arial"/>
                <w:spacing w:val="-1"/>
                <w:sz w:val="18"/>
              </w:rPr>
              <w:t>204,077</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6"/>
              <w:jc w:val="right"/>
              <w:rPr>
                <w:rFonts w:ascii="Arial" w:hAnsi="Arial" w:cs="Arial" w:eastAsia="Arial" w:hint="default"/>
                <w:sz w:val="18"/>
                <w:szCs w:val="18"/>
              </w:rPr>
            </w:pPr>
            <w:r>
              <w:rPr>
                <w:rFonts w:ascii="Arial"/>
                <w:spacing w:val="-1"/>
                <w:sz w:val="18"/>
              </w:rPr>
              <w:t>34,199</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59"/>
              <w:jc w:val="right"/>
              <w:rPr>
                <w:rFonts w:ascii="Arial" w:hAnsi="Arial" w:cs="Arial" w:eastAsia="Arial" w:hint="default"/>
                <w:sz w:val="18"/>
                <w:szCs w:val="18"/>
              </w:rPr>
            </w:pPr>
            <w:r>
              <w:rPr>
                <w:rFonts w:ascii="Arial"/>
                <w:spacing w:val="-1"/>
                <w:sz w:val="18"/>
              </w:rPr>
              <w:t>49,429</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Arial" w:hAnsi="Arial" w:cs="Arial" w:eastAsia="Arial" w:hint="default"/>
                <w:sz w:val="18"/>
                <w:szCs w:val="18"/>
              </w:rPr>
            </w:pPr>
            <w:r>
              <w:rPr>
                <w:rFonts w:ascii="Arial"/>
                <w:w w:val="99"/>
                <w:sz w:val="18"/>
              </w:rPr>
              <w:t>-</w:t>
            </w:r>
            <w:r>
              <w:rPr>
                <w:rFonts w:ascii="Arial"/>
                <w:sz w:val="18"/>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6"/>
              <w:jc w:val="right"/>
              <w:rPr>
                <w:rFonts w:ascii="Arial" w:hAnsi="Arial" w:cs="Arial" w:eastAsia="Arial" w:hint="default"/>
                <w:sz w:val="18"/>
                <w:szCs w:val="18"/>
              </w:rPr>
            </w:pPr>
            <w:r>
              <w:rPr>
                <w:rFonts w:ascii="Arial"/>
                <w:w w:val="99"/>
                <w:sz w:val="18"/>
              </w:rPr>
              <w:t>-</w:t>
            </w:r>
            <w:r>
              <w:rPr>
                <w:rFonts w:ascii="Arial"/>
                <w:sz w:val="18"/>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74"/>
              <w:jc w:val="right"/>
              <w:rPr>
                <w:rFonts w:ascii="Arial" w:hAnsi="Arial" w:cs="Arial" w:eastAsia="Arial" w:hint="default"/>
                <w:sz w:val="18"/>
                <w:szCs w:val="18"/>
              </w:rPr>
            </w:pPr>
            <w:r>
              <w:rPr>
                <w:rFonts w:ascii="Arial"/>
                <w:spacing w:val="-1"/>
                <w:sz w:val="18"/>
              </w:rPr>
              <w:t>83,628</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98.89%</w:t>
            </w:r>
          </w:p>
        </w:tc>
        <w:tc>
          <w:tcPr>
            <w:tcW w:w="2138" w:type="dxa"/>
            <w:tcBorders>
              <w:top w:val="nil" w:sz="6" w:space="0" w:color="auto"/>
              <w:left w:val="nil" w:sz="6" w:space="0" w:color="auto"/>
              <w:bottom w:val="nil" w:sz="6" w:space="0" w:color="auto"/>
              <w:right w:val="nil" w:sz="6" w:space="0" w:color="auto"/>
            </w:tcBorders>
          </w:tcPr>
          <w:p>
            <w:pPr>
              <w:pStyle w:val="TableParagraph"/>
              <w:spacing w:line="201" w:lineRule="exact"/>
              <w:ind w:left="215" w:right="0" w:hanging="140"/>
              <w:jc w:val="left"/>
              <w:rPr>
                <w:rFonts w:ascii="宋体" w:hAnsi="宋体" w:cs="宋体" w:eastAsia="宋体" w:hint="default"/>
                <w:sz w:val="18"/>
                <w:szCs w:val="18"/>
              </w:rPr>
            </w:pPr>
            <w:r>
              <w:rPr>
                <w:rFonts w:ascii="宋体" w:hAnsi="宋体" w:cs="宋体" w:eastAsia="宋体" w:hint="default"/>
                <w:spacing w:val="-4"/>
                <w:sz w:val="18"/>
                <w:szCs w:val="18"/>
              </w:rPr>
              <w:t>期项目已完工转固，二期</w:t>
            </w:r>
          </w:p>
          <w:p>
            <w:pPr>
              <w:pStyle w:val="TableParagraph"/>
              <w:spacing w:line="234" w:lineRule="exact"/>
              <w:ind w:left="215" w:right="0"/>
              <w:jc w:val="left"/>
              <w:rPr>
                <w:rFonts w:ascii="宋体" w:hAnsi="宋体" w:cs="宋体" w:eastAsia="宋体" w:hint="default"/>
                <w:sz w:val="18"/>
                <w:szCs w:val="18"/>
              </w:rPr>
            </w:pPr>
            <w:r>
              <w:rPr>
                <w:rFonts w:ascii="宋体" w:hAnsi="宋体" w:cs="宋体" w:eastAsia="宋体" w:hint="default"/>
                <w:sz w:val="18"/>
                <w:szCs w:val="18"/>
              </w:rPr>
              <w:t>项目主体工程基本完工</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07"/>
              <w:jc w:val="right"/>
              <w:rPr>
                <w:rFonts w:ascii="Arial" w:hAnsi="Arial" w:cs="Arial" w:eastAsia="Arial" w:hint="default"/>
                <w:sz w:val="18"/>
                <w:szCs w:val="18"/>
              </w:rPr>
            </w:pPr>
            <w:r>
              <w:rPr>
                <w:rFonts w:ascii="Arial"/>
                <w:w w:val="99"/>
                <w:sz w:val="18"/>
              </w:rPr>
              <w:t>-</w:t>
            </w:r>
            <w:r>
              <w:rPr>
                <w:rFonts w:ascii="Arial"/>
                <w:sz w:val="18"/>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66"/>
              <w:jc w:val="right"/>
              <w:rPr>
                <w:rFonts w:ascii="Arial" w:hAnsi="Arial" w:cs="Arial" w:eastAsia="Arial" w:hint="default"/>
                <w:sz w:val="18"/>
                <w:szCs w:val="18"/>
              </w:rPr>
            </w:pPr>
            <w:r>
              <w:rPr>
                <w:rFonts w:ascii="Arial"/>
                <w:w w:val="99"/>
                <w:sz w:val="18"/>
              </w:rPr>
              <w:t>-</w:t>
            </w:r>
            <w:r>
              <w:rPr>
                <w:rFonts w:ascii="Arial"/>
                <w:sz w:val="18"/>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7"/>
              <w:jc w:val="right"/>
              <w:rPr>
                <w:rFonts w:ascii="Arial" w:hAnsi="Arial" w:cs="Arial" w:eastAsia="Arial" w:hint="default"/>
                <w:sz w:val="18"/>
                <w:szCs w:val="18"/>
              </w:rPr>
            </w:pPr>
            <w:r>
              <w:rPr>
                <w:rFonts w:ascii="Arial"/>
                <w:w w:val="99"/>
                <w:sz w:val="18"/>
              </w:rPr>
              <w:t>-</w:t>
            </w:r>
            <w:r>
              <w:rPr>
                <w:rFonts w:ascii="Arial"/>
                <w:sz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67" w:hRule="exact"/>
        </w:trPr>
        <w:tc>
          <w:tcPr>
            <w:tcW w:w="793"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195" w:lineRule="exact"/>
              <w:ind w:right="35"/>
              <w:jc w:val="center"/>
              <w:rPr>
                <w:rFonts w:ascii="宋体" w:hAnsi="宋体" w:cs="宋体" w:eastAsia="宋体" w:hint="default"/>
                <w:sz w:val="18"/>
                <w:szCs w:val="18"/>
              </w:rPr>
            </w:pPr>
            <w:r>
              <w:rPr>
                <w:rFonts w:ascii="宋体" w:hAnsi="宋体" w:cs="宋体" w:eastAsia="宋体" w:hint="default"/>
                <w:sz w:val="18"/>
                <w:szCs w:val="18"/>
              </w:rPr>
              <w:t>常州武进苏宁</w:t>
            </w:r>
          </w:p>
          <w:p>
            <w:pPr>
              <w:pStyle w:val="TableParagraph"/>
              <w:spacing w:line="234" w:lineRule="exact"/>
              <w:ind w:left="49" w:right="0"/>
              <w:jc w:val="center"/>
              <w:rPr>
                <w:rFonts w:ascii="宋体" w:hAnsi="宋体" w:cs="宋体" w:eastAsia="宋体" w:hint="default"/>
                <w:sz w:val="18"/>
                <w:szCs w:val="18"/>
              </w:rPr>
            </w:pPr>
            <w:r>
              <w:rPr>
                <w:rFonts w:ascii="宋体" w:hAnsi="宋体" w:cs="宋体" w:eastAsia="宋体" w:hint="default"/>
                <w:sz w:val="18"/>
                <w:szCs w:val="18"/>
              </w:rPr>
              <w:t>广场项目</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12"/>
              <w:jc w:val="right"/>
              <w:rPr>
                <w:rFonts w:ascii="Arial" w:hAnsi="Arial" w:cs="Arial" w:eastAsia="Arial" w:hint="default"/>
                <w:sz w:val="18"/>
                <w:szCs w:val="18"/>
              </w:rPr>
            </w:pPr>
            <w:r>
              <w:rPr>
                <w:rFonts w:ascii="Arial"/>
                <w:spacing w:val="-1"/>
                <w:sz w:val="18"/>
              </w:rPr>
              <w:t>159,340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2"/>
              <w:jc w:val="right"/>
              <w:rPr>
                <w:rFonts w:ascii="Arial" w:hAnsi="Arial" w:cs="Arial" w:eastAsia="Arial" w:hint="default"/>
                <w:sz w:val="18"/>
                <w:szCs w:val="18"/>
              </w:rPr>
            </w:pPr>
            <w:r>
              <w:rPr>
                <w:rFonts w:ascii="Arial"/>
                <w:w w:val="95"/>
                <w:sz w:val="18"/>
              </w:rPr>
              <w:t>898</w:t>
            </w:r>
            <w:r>
              <w:rPr>
                <w:rFonts w:ascii="Arial"/>
                <w:sz w:val="18"/>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59"/>
              <w:jc w:val="right"/>
              <w:rPr>
                <w:rFonts w:ascii="Arial" w:hAnsi="Arial" w:cs="Arial" w:eastAsia="Arial" w:hint="default"/>
                <w:sz w:val="18"/>
                <w:szCs w:val="18"/>
              </w:rPr>
            </w:pPr>
            <w:r>
              <w:rPr>
                <w:rFonts w:ascii="Arial"/>
                <w:spacing w:val="-1"/>
                <w:sz w:val="18"/>
              </w:rPr>
              <w:t>82,085</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Arial" w:hAnsi="Arial" w:cs="Arial" w:eastAsia="Arial" w:hint="default"/>
                <w:sz w:val="18"/>
                <w:szCs w:val="18"/>
              </w:rPr>
            </w:pPr>
            <w:r>
              <w:rPr>
                <w:rFonts w:ascii="Arial"/>
                <w:w w:val="99"/>
                <w:sz w:val="18"/>
              </w:rPr>
              <w:t>-</w:t>
            </w:r>
            <w:r>
              <w:rPr>
                <w:rFonts w:ascii="Arial"/>
                <w:sz w:val="18"/>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6"/>
              <w:jc w:val="right"/>
              <w:rPr>
                <w:rFonts w:ascii="Arial" w:hAnsi="Arial" w:cs="Arial" w:eastAsia="Arial" w:hint="default"/>
                <w:sz w:val="18"/>
                <w:szCs w:val="18"/>
              </w:rPr>
            </w:pPr>
            <w:r>
              <w:rPr>
                <w:rFonts w:ascii="Arial"/>
                <w:w w:val="99"/>
                <w:sz w:val="18"/>
              </w:rPr>
              <w:t>-</w:t>
            </w:r>
            <w:r>
              <w:rPr>
                <w:rFonts w:ascii="Arial"/>
                <w:sz w:val="18"/>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4"/>
              <w:jc w:val="right"/>
              <w:rPr>
                <w:rFonts w:ascii="Arial" w:hAnsi="Arial" w:cs="Arial" w:eastAsia="Arial" w:hint="default"/>
                <w:sz w:val="18"/>
                <w:szCs w:val="18"/>
              </w:rPr>
            </w:pPr>
            <w:r>
              <w:rPr>
                <w:rFonts w:ascii="Arial"/>
                <w:spacing w:val="-1"/>
                <w:sz w:val="18"/>
              </w:rPr>
              <w:t>82,983</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sz w:val="18"/>
              </w:rPr>
              <w:t>52.08%</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幕墙施工</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18"/>
                <w:szCs w:val="18"/>
              </w:rPr>
            </w:pPr>
            <w:r>
              <w:rPr>
                <w:rFonts w:ascii="Arial"/>
                <w:w w:val="99"/>
                <w:sz w:val="18"/>
              </w:rPr>
              <w:t>-</w:t>
            </w:r>
            <w:r>
              <w:rPr>
                <w:rFonts w:ascii="Arial"/>
                <w:sz w:val="18"/>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6"/>
              <w:jc w:val="right"/>
              <w:rPr>
                <w:rFonts w:ascii="Arial" w:hAnsi="Arial" w:cs="Arial" w:eastAsia="Arial" w:hint="default"/>
                <w:sz w:val="18"/>
                <w:szCs w:val="18"/>
              </w:rPr>
            </w:pPr>
            <w:r>
              <w:rPr>
                <w:rFonts w:ascii="Arial"/>
                <w:w w:val="99"/>
                <w:sz w:val="18"/>
              </w:rPr>
              <w:t>-</w:t>
            </w:r>
            <w:r>
              <w:rPr>
                <w:rFonts w:ascii="Arial"/>
                <w:sz w:val="18"/>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7"/>
              <w:jc w:val="right"/>
              <w:rPr>
                <w:rFonts w:ascii="Arial" w:hAnsi="Arial" w:cs="Arial" w:eastAsia="Arial" w:hint="default"/>
                <w:sz w:val="18"/>
                <w:szCs w:val="18"/>
              </w:rPr>
            </w:pPr>
            <w:r>
              <w:rPr>
                <w:rFonts w:ascii="Arial"/>
                <w:w w:val="99"/>
                <w:sz w:val="18"/>
              </w:rPr>
              <w:t>-</w:t>
            </w:r>
            <w:r>
              <w:rPr>
                <w:rFonts w:ascii="Arial"/>
                <w:sz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68" w:hRule="exact"/>
        </w:trPr>
        <w:tc>
          <w:tcPr>
            <w:tcW w:w="793"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江苏物流中心</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2"/>
              <w:jc w:val="right"/>
              <w:rPr>
                <w:rFonts w:ascii="Arial" w:hAnsi="Arial" w:cs="Arial" w:eastAsia="Arial" w:hint="default"/>
                <w:sz w:val="18"/>
                <w:szCs w:val="18"/>
              </w:rPr>
            </w:pPr>
            <w:r>
              <w:rPr>
                <w:rFonts w:ascii="Arial"/>
                <w:spacing w:val="-1"/>
                <w:sz w:val="18"/>
              </w:rPr>
              <w:t>316,197</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6"/>
              <w:jc w:val="right"/>
              <w:rPr>
                <w:rFonts w:ascii="Arial" w:hAnsi="Arial" w:cs="Arial" w:eastAsia="Arial" w:hint="default"/>
                <w:sz w:val="18"/>
                <w:szCs w:val="18"/>
              </w:rPr>
            </w:pPr>
            <w:r>
              <w:rPr>
                <w:rFonts w:ascii="Arial"/>
                <w:spacing w:val="-1"/>
                <w:sz w:val="18"/>
              </w:rPr>
              <w:t>12,244</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59"/>
              <w:jc w:val="right"/>
              <w:rPr>
                <w:rFonts w:ascii="Arial" w:hAnsi="Arial" w:cs="Arial" w:eastAsia="Arial" w:hint="default"/>
                <w:sz w:val="18"/>
                <w:szCs w:val="18"/>
              </w:rPr>
            </w:pPr>
            <w:r>
              <w:rPr>
                <w:rFonts w:ascii="Arial"/>
                <w:spacing w:val="-1"/>
                <w:sz w:val="18"/>
              </w:rPr>
              <w:t>66,197</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Arial" w:hAnsi="Arial" w:cs="Arial" w:eastAsia="Arial" w:hint="default"/>
                <w:sz w:val="18"/>
                <w:szCs w:val="18"/>
              </w:rPr>
            </w:pPr>
            <w:r>
              <w:rPr>
                <w:rFonts w:ascii="Arial"/>
                <w:w w:val="99"/>
                <w:sz w:val="18"/>
              </w:rPr>
              <w:t>-</w:t>
            </w:r>
            <w:r>
              <w:rPr>
                <w:rFonts w:ascii="Arial"/>
                <w:sz w:val="18"/>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6"/>
              <w:jc w:val="right"/>
              <w:rPr>
                <w:rFonts w:ascii="Arial" w:hAnsi="Arial" w:cs="Arial" w:eastAsia="Arial" w:hint="default"/>
                <w:sz w:val="18"/>
                <w:szCs w:val="18"/>
              </w:rPr>
            </w:pPr>
            <w:r>
              <w:rPr>
                <w:rFonts w:ascii="Arial"/>
                <w:w w:val="99"/>
                <w:sz w:val="18"/>
              </w:rPr>
              <w:t>-</w:t>
            </w:r>
            <w:r>
              <w:rPr>
                <w:rFonts w:ascii="Arial"/>
                <w:sz w:val="18"/>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4"/>
              <w:jc w:val="right"/>
              <w:rPr>
                <w:rFonts w:ascii="Arial" w:hAnsi="Arial" w:cs="Arial" w:eastAsia="Arial" w:hint="default"/>
                <w:sz w:val="18"/>
                <w:szCs w:val="18"/>
              </w:rPr>
            </w:pPr>
            <w:r>
              <w:rPr>
                <w:rFonts w:ascii="Arial"/>
                <w:spacing w:val="-1"/>
                <w:sz w:val="18"/>
              </w:rPr>
              <w:t>78,441</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sz w:val="18"/>
              </w:rPr>
              <w:t>93.98%</w:t>
            </w:r>
          </w:p>
        </w:tc>
        <w:tc>
          <w:tcPr>
            <w:tcW w:w="2138" w:type="dxa"/>
            <w:tcBorders>
              <w:top w:val="nil" w:sz="6" w:space="0" w:color="auto"/>
              <w:left w:val="nil" w:sz="6" w:space="0" w:color="auto"/>
              <w:bottom w:val="nil" w:sz="6" w:space="0" w:color="auto"/>
              <w:right w:val="nil" w:sz="6" w:space="0" w:color="auto"/>
            </w:tcBorders>
          </w:tcPr>
          <w:p>
            <w:pPr>
              <w:pStyle w:val="TableParagraph"/>
              <w:spacing w:line="193" w:lineRule="exact"/>
              <w:ind w:left="755" w:right="0" w:hanging="540"/>
              <w:jc w:val="left"/>
              <w:rPr>
                <w:rFonts w:ascii="宋体" w:hAnsi="宋体" w:cs="宋体" w:eastAsia="宋体" w:hint="default"/>
                <w:sz w:val="18"/>
                <w:szCs w:val="18"/>
              </w:rPr>
            </w:pPr>
            <w:r>
              <w:rPr>
                <w:rFonts w:ascii="宋体" w:hAnsi="宋体" w:cs="宋体" w:eastAsia="宋体" w:hint="default"/>
                <w:sz w:val="18"/>
                <w:szCs w:val="18"/>
              </w:rPr>
              <w:t>配送、数据中心已完工</w:t>
            </w:r>
          </w:p>
          <w:p>
            <w:pPr>
              <w:pStyle w:val="TableParagraph"/>
              <w:spacing w:line="234" w:lineRule="exact"/>
              <w:ind w:left="755" w:right="0"/>
              <w:jc w:val="left"/>
              <w:rPr>
                <w:rFonts w:ascii="宋体" w:hAnsi="宋体" w:cs="宋体" w:eastAsia="宋体" w:hint="default"/>
                <w:sz w:val="18"/>
                <w:szCs w:val="18"/>
              </w:rPr>
            </w:pPr>
            <w:r>
              <w:rPr>
                <w:rFonts w:ascii="宋体" w:hAnsi="宋体" w:cs="宋体" w:eastAsia="宋体" w:hint="default"/>
                <w:sz w:val="18"/>
                <w:szCs w:val="18"/>
              </w:rPr>
              <w:t>高架库即将完工</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18"/>
                <w:szCs w:val="18"/>
              </w:rPr>
            </w:pPr>
            <w:r>
              <w:rPr>
                <w:rFonts w:ascii="Arial"/>
                <w:w w:val="99"/>
                <w:sz w:val="18"/>
              </w:rPr>
              <w:t>-</w:t>
            </w:r>
            <w:r>
              <w:rPr>
                <w:rFonts w:ascii="Arial"/>
                <w:sz w:val="18"/>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6"/>
              <w:jc w:val="right"/>
              <w:rPr>
                <w:rFonts w:ascii="Arial" w:hAnsi="Arial" w:cs="Arial" w:eastAsia="Arial" w:hint="default"/>
                <w:sz w:val="18"/>
                <w:szCs w:val="18"/>
              </w:rPr>
            </w:pPr>
            <w:r>
              <w:rPr>
                <w:rFonts w:ascii="Arial"/>
                <w:w w:val="99"/>
                <w:sz w:val="18"/>
              </w:rPr>
              <w:t>-</w:t>
            </w:r>
            <w:r>
              <w:rPr>
                <w:rFonts w:ascii="Arial"/>
                <w:sz w:val="18"/>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7"/>
              <w:jc w:val="right"/>
              <w:rPr>
                <w:rFonts w:ascii="Arial" w:hAnsi="Arial" w:cs="Arial" w:eastAsia="Arial" w:hint="default"/>
                <w:sz w:val="18"/>
                <w:szCs w:val="18"/>
              </w:rPr>
            </w:pPr>
            <w:r>
              <w:rPr>
                <w:rFonts w:ascii="Arial"/>
                <w:w w:val="99"/>
                <w:sz w:val="18"/>
              </w:rPr>
              <w:t>-</w:t>
            </w:r>
            <w:r>
              <w:rPr>
                <w:rFonts w:ascii="Arial"/>
                <w:sz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募集资金</w:t>
            </w:r>
          </w:p>
        </w:tc>
      </w:tr>
      <w:tr>
        <w:trPr>
          <w:trHeight w:val="466" w:hRule="exact"/>
        </w:trPr>
        <w:tc>
          <w:tcPr>
            <w:tcW w:w="793"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193" w:lineRule="exact"/>
              <w:ind w:right="35"/>
              <w:jc w:val="center"/>
              <w:rPr>
                <w:rFonts w:ascii="宋体" w:hAnsi="宋体" w:cs="宋体" w:eastAsia="宋体" w:hint="default"/>
                <w:sz w:val="18"/>
                <w:szCs w:val="18"/>
              </w:rPr>
            </w:pPr>
            <w:r>
              <w:rPr>
                <w:rFonts w:ascii="宋体" w:hAnsi="宋体" w:cs="宋体" w:eastAsia="宋体" w:hint="default"/>
                <w:sz w:val="18"/>
                <w:szCs w:val="18"/>
              </w:rPr>
              <w:t>北京京房苏宁</w:t>
            </w:r>
          </w:p>
          <w:p>
            <w:pPr>
              <w:pStyle w:val="TableParagraph"/>
              <w:spacing w:line="234" w:lineRule="exact"/>
              <w:ind w:left="49" w:right="0"/>
              <w:jc w:val="center"/>
              <w:rPr>
                <w:rFonts w:ascii="宋体" w:hAnsi="宋体" w:cs="宋体" w:eastAsia="宋体" w:hint="default"/>
                <w:sz w:val="18"/>
                <w:szCs w:val="18"/>
              </w:rPr>
            </w:pPr>
            <w:r>
              <w:rPr>
                <w:rFonts w:ascii="宋体" w:hAnsi="宋体" w:cs="宋体" w:eastAsia="宋体" w:hint="default"/>
                <w:sz w:val="18"/>
                <w:szCs w:val="18"/>
              </w:rPr>
              <w:t>广场项目</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2"/>
              <w:jc w:val="right"/>
              <w:rPr>
                <w:rFonts w:ascii="Arial" w:hAnsi="Arial" w:cs="Arial" w:eastAsia="Arial" w:hint="default"/>
                <w:sz w:val="18"/>
                <w:szCs w:val="18"/>
              </w:rPr>
            </w:pPr>
            <w:r>
              <w:rPr>
                <w:rFonts w:ascii="Arial"/>
                <w:spacing w:val="-1"/>
                <w:sz w:val="18"/>
              </w:rPr>
              <w:t>105,220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3"/>
              <w:jc w:val="right"/>
              <w:rPr>
                <w:rFonts w:ascii="Arial" w:hAnsi="Arial" w:cs="Arial" w:eastAsia="Arial" w:hint="default"/>
                <w:sz w:val="18"/>
                <w:szCs w:val="18"/>
              </w:rPr>
            </w:pPr>
            <w:r>
              <w:rPr>
                <w:rFonts w:ascii="Arial"/>
                <w:w w:val="95"/>
                <w:sz w:val="18"/>
              </w:rPr>
              <w:t>2,162</w:t>
            </w:r>
            <w:r>
              <w:rPr>
                <w:rFonts w:ascii="Arial"/>
                <w:sz w:val="18"/>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9"/>
              <w:jc w:val="right"/>
              <w:rPr>
                <w:rFonts w:ascii="Arial" w:hAnsi="Arial" w:cs="Arial" w:eastAsia="Arial" w:hint="default"/>
                <w:sz w:val="18"/>
                <w:szCs w:val="18"/>
              </w:rPr>
            </w:pPr>
            <w:r>
              <w:rPr>
                <w:rFonts w:ascii="Arial"/>
                <w:spacing w:val="-1"/>
                <w:sz w:val="18"/>
              </w:rPr>
              <w:t>38,091</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Arial" w:hAnsi="Arial" w:cs="Arial" w:eastAsia="Arial" w:hint="default"/>
                <w:sz w:val="18"/>
                <w:szCs w:val="18"/>
              </w:rPr>
            </w:pPr>
            <w:r>
              <w:rPr>
                <w:rFonts w:ascii="Arial"/>
                <w:w w:val="99"/>
                <w:sz w:val="18"/>
              </w:rPr>
              <w:t>-</w:t>
            </w:r>
            <w:r>
              <w:rPr>
                <w:rFonts w:ascii="Arial"/>
                <w:sz w:val="18"/>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6"/>
              <w:jc w:val="right"/>
              <w:rPr>
                <w:rFonts w:ascii="Arial" w:hAnsi="Arial" w:cs="Arial" w:eastAsia="Arial" w:hint="default"/>
                <w:sz w:val="18"/>
                <w:szCs w:val="18"/>
              </w:rPr>
            </w:pPr>
            <w:r>
              <w:rPr>
                <w:rFonts w:ascii="Arial"/>
                <w:w w:val="99"/>
                <w:sz w:val="18"/>
              </w:rPr>
              <w:t>-</w:t>
            </w:r>
            <w:r>
              <w:rPr>
                <w:rFonts w:ascii="Arial"/>
                <w:sz w:val="18"/>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4"/>
              <w:jc w:val="right"/>
              <w:rPr>
                <w:rFonts w:ascii="Arial" w:hAnsi="Arial" w:cs="Arial" w:eastAsia="Arial" w:hint="default"/>
                <w:sz w:val="18"/>
                <w:szCs w:val="18"/>
              </w:rPr>
            </w:pPr>
            <w:r>
              <w:rPr>
                <w:rFonts w:ascii="Arial"/>
                <w:spacing w:val="-1"/>
                <w:sz w:val="18"/>
              </w:rPr>
              <w:t>40,253</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38.26%</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主体结构施工</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18"/>
                <w:szCs w:val="18"/>
              </w:rPr>
            </w:pPr>
            <w:r>
              <w:rPr>
                <w:rFonts w:ascii="Arial"/>
                <w:w w:val="99"/>
                <w:sz w:val="18"/>
              </w:rPr>
              <w:t>-</w:t>
            </w:r>
            <w:r>
              <w:rPr>
                <w:rFonts w:ascii="Arial"/>
                <w:sz w:val="18"/>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6"/>
              <w:jc w:val="right"/>
              <w:rPr>
                <w:rFonts w:ascii="Arial" w:hAnsi="Arial" w:cs="Arial" w:eastAsia="Arial" w:hint="default"/>
                <w:sz w:val="18"/>
                <w:szCs w:val="18"/>
              </w:rPr>
            </w:pPr>
            <w:r>
              <w:rPr>
                <w:rFonts w:ascii="Arial"/>
                <w:w w:val="99"/>
                <w:sz w:val="18"/>
              </w:rPr>
              <w:t>-</w:t>
            </w:r>
            <w:r>
              <w:rPr>
                <w:rFonts w:ascii="Arial"/>
                <w:sz w:val="18"/>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7"/>
              <w:jc w:val="right"/>
              <w:rPr>
                <w:rFonts w:ascii="Arial" w:hAnsi="Arial" w:cs="Arial" w:eastAsia="Arial" w:hint="default"/>
                <w:sz w:val="18"/>
                <w:szCs w:val="18"/>
              </w:rPr>
            </w:pPr>
            <w:r>
              <w:rPr>
                <w:rFonts w:ascii="Arial"/>
                <w:w w:val="99"/>
                <w:sz w:val="18"/>
              </w:rPr>
              <w:t>-</w:t>
            </w:r>
            <w:r>
              <w:rPr>
                <w:rFonts w:ascii="Arial"/>
                <w:sz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68" w:hRule="exact"/>
        </w:trPr>
        <w:tc>
          <w:tcPr>
            <w:tcW w:w="793"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195" w:lineRule="exact"/>
              <w:ind w:left="142" w:right="0"/>
              <w:jc w:val="center"/>
              <w:rPr>
                <w:rFonts w:ascii="宋体" w:hAnsi="宋体" w:cs="宋体" w:eastAsia="宋体" w:hint="default"/>
                <w:sz w:val="18"/>
                <w:szCs w:val="18"/>
              </w:rPr>
            </w:pPr>
            <w:r>
              <w:rPr>
                <w:rFonts w:ascii="宋体" w:hAnsi="宋体" w:cs="宋体" w:eastAsia="宋体" w:hint="default"/>
                <w:sz w:val="18"/>
                <w:szCs w:val="18"/>
              </w:rPr>
              <w:t>北京朝阳苏宁电</w:t>
            </w:r>
          </w:p>
          <w:p>
            <w:pPr>
              <w:pStyle w:val="TableParagraph"/>
              <w:spacing w:line="240" w:lineRule="auto"/>
              <w:ind w:left="229" w:right="0"/>
              <w:jc w:val="center"/>
              <w:rPr>
                <w:rFonts w:ascii="宋体" w:hAnsi="宋体" w:cs="宋体" w:eastAsia="宋体" w:hint="default"/>
                <w:sz w:val="18"/>
                <w:szCs w:val="18"/>
              </w:rPr>
            </w:pPr>
            <w:r>
              <w:rPr>
                <w:rFonts w:ascii="宋体" w:hAnsi="宋体" w:cs="宋体" w:eastAsia="宋体" w:hint="default"/>
                <w:sz w:val="18"/>
                <w:szCs w:val="18"/>
              </w:rPr>
              <w:t>器广场项目</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2"/>
              <w:jc w:val="right"/>
              <w:rPr>
                <w:rFonts w:ascii="Arial" w:hAnsi="Arial" w:cs="Arial" w:eastAsia="Arial" w:hint="default"/>
                <w:sz w:val="18"/>
                <w:szCs w:val="18"/>
              </w:rPr>
            </w:pPr>
            <w:r>
              <w:rPr>
                <w:rFonts w:ascii="Arial"/>
                <w:spacing w:val="-1"/>
                <w:sz w:val="18"/>
              </w:rPr>
              <w:t>494,800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3"/>
              <w:jc w:val="right"/>
              <w:rPr>
                <w:rFonts w:ascii="Arial" w:hAnsi="Arial" w:cs="Arial" w:eastAsia="Arial" w:hint="default"/>
                <w:sz w:val="18"/>
                <w:szCs w:val="18"/>
              </w:rPr>
            </w:pPr>
            <w:r>
              <w:rPr>
                <w:rFonts w:ascii="Arial"/>
                <w:w w:val="95"/>
                <w:sz w:val="18"/>
              </w:rPr>
              <w:t>8,770</w:t>
            </w:r>
            <w:r>
              <w:rPr>
                <w:rFonts w:ascii="Arial"/>
                <w:sz w:val="18"/>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59"/>
              <w:jc w:val="right"/>
              <w:rPr>
                <w:rFonts w:ascii="Arial" w:hAnsi="Arial" w:cs="Arial" w:eastAsia="Arial" w:hint="default"/>
                <w:sz w:val="18"/>
                <w:szCs w:val="18"/>
              </w:rPr>
            </w:pPr>
            <w:r>
              <w:rPr>
                <w:rFonts w:ascii="Arial"/>
                <w:spacing w:val="-1"/>
                <w:sz w:val="18"/>
              </w:rPr>
              <w:t>24,173</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Arial" w:hAnsi="Arial" w:cs="Arial" w:eastAsia="Arial" w:hint="default"/>
                <w:sz w:val="18"/>
                <w:szCs w:val="18"/>
              </w:rPr>
            </w:pPr>
            <w:r>
              <w:rPr>
                <w:rFonts w:ascii="Arial"/>
                <w:w w:val="99"/>
                <w:sz w:val="18"/>
              </w:rPr>
              <w:t>-</w:t>
            </w:r>
            <w:r>
              <w:rPr>
                <w:rFonts w:ascii="Arial"/>
                <w:sz w:val="18"/>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6"/>
              <w:jc w:val="right"/>
              <w:rPr>
                <w:rFonts w:ascii="Arial" w:hAnsi="Arial" w:cs="Arial" w:eastAsia="Arial" w:hint="default"/>
                <w:sz w:val="18"/>
                <w:szCs w:val="18"/>
              </w:rPr>
            </w:pPr>
            <w:r>
              <w:rPr>
                <w:rFonts w:ascii="Arial"/>
                <w:w w:val="99"/>
                <w:sz w:val="18"/>
              </w:rPr>
              <w:t>-</w:t>
            </w:r>
            <w:r>
              <w:rPr>
                <w:rFonts w:ascii="Arial"/>
                <w:sz w:val="18"/>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4"/>
              <w:jc w:val="right"/>
              <w:rPr>
                <w:rFonts w:ascii="Arial" w:hAnsi="Arial" w:cs="Arial" w:eastAsia="Arial" w:hint="default"/>
                <w:sz w:val="18"/>
                <w:szCs w:val="18"/>
              </w:rPr>
            </w:pPr>
            <w:r>
              <w:rPr>
                <w:rFonts w:ascii="Arial"/>
                <w:spacing w:val="-1"/>
                <w:sz w:val="18"/>
              </w:rPr>
              <w:t>32,943</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w w:val="95"/>
                <w:sz w:val="18"/>
              </w:rPr>
              <w:t>6.66%</w:t>
            </w:r>
            <w:r>
              <w:rPr>
                <w:rFonts w:ascii="Arial"/>
                <w:sz w:val="18"/>
              </w:rPr>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基坑支护施工</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18"/>
                <w:szCs w:val="18"/>
              </w:rPr>
            </w:pPr>
            <w:r>
              <w:rPr>
                <w:rFonts w:ascii="Arial"/>
                <w:w w:val="99"/>
                <w:sz w:val="18"/>
              </w:rPr>
              <w:t>-</w:t>
            </w:r>
            <w:r>
              <w:rPr>
                <w:rFonts w:ascii="Arial"/>
                <w:sz w:val="18"/>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6"/>
              <w:jc w:val="right"/>
              <w:rPr>
                <w:rFonts w:ascii="Arial" w:hAnsi="Arial" w:cs="Arial" w:eastAsia="Arial" w:hint="default"/>
                <w:sz w:val="18"/>
                <w:szCs w:val="18"/>
              </w:rPr>
            </w:pPr>
            <w:r>
              <w:rPr>
                <w:rFonts w:ascii="Arial"/>
                <w:w w:val="99"/>
                <w:sz w:val="18"/>
              </w:rPr>
              <w:t>-</w:t>
            </w:r>
            <w:r>
              <w:rPr>
                <w:rFonts w:ascii="Arial"/>
                <w:sz w:val="18"/>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7"/>
              <w:jc w:val="right"/>
              <w:rPr>
                <w:rFonts w:ascii="Arial" w:hAnsi="Arial" w:cs="Arial" w:eastAsia="Arial" w:hint="default"/>
                <w:sz w:val="18"/>
                <w:szCs w:val="18"/>
              </w:rPr>
            </w:pPr>
            <w:r>
              <w:rPr>
                <w:rFonts w:ascii="Arial"/>
                <w:w w:val="99"/>
                <w:sz w:val="18"/>
              </w:rPr>
              <w:t>-</w:t>
            </w:r>
            <w:r>
              <w:rPr>
                <w:rFonts w:ascii="Arial"/>
                <w:sz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66" w:hRule="exact"/>
        </w:trPr>
        <w:tc>
          <w:tcPr>
            <w:tcW w:w="793"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193" w:lineRule="exact"/>
              <w:ind w:right="35"/>
              <w:jc w:val="center"/>
              <w:rPr>
                <w:rFonts w:ascii="宋体" w:hAnsi="宋体" w:cs="宋体" w:eastAsia="宋体" w:hint="default"/>
                <w:sz w:val="18"/>
                <w:szCs w:val="18"/>
              </w:rPr>
            </w:pPr>
            <w:r>
              <w:rPr>
                <w:rFonts w:ascii="宋体" w:hAnsi="宋体" w:cs="宋体" w:eastAsia="宋体" w:hint="default"/>
                <w:sz w:val="18"/>
                <w:szCs w:val="18"/>
              </w:rPr>
              <w:t>江西苏宁物流</w:t>
            </w:r>
          </w:p>
          <w:p>
            <w:pPr>
              <w:pStyle w:val="TableParagraph"/>
              <w:spacing w:line="234" w:lineRule="exact"/>
              <w:ind w:left="49" w:right="0"/>
              <w:jc w:val="center"/>
              <w:rPr>
                <w:rFonts w:ascii="宋体" w:hAnsi="宋体" w:cs="宋体" w:eastAsia="宋体" w:hint="default"/>
                <w:sz w:val="18"/>
                <w:szCs w:val="18"/>
              </w:rPr>
            </w:pPr>
            <w:r>
              <w:rPr>
                <w:rFonts w:ascii="宋体" w:hAnsi="宋体" w:cs="宋体" w:eastAsia="宋体" w:hint="default"/>
                <w:sz w:val="18"/>
                <w:szCs w:val="18"/>
              </w:rPr>
              <w:t>基地项目</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2"/>
              <w:jc w:val="right"/>
              <w:rPr>
                <w:rFonts w:ascii="Arial" w:hAnsi="Arial" w:cs="Arial" w:eastAsia="Arial" w:hint="default"/>
                <w:sz w:val="18"/>
                <w:szCs w:val="18"/>
              </w:rPr>
            </w:pPr>
            <w:r>
              <w:rPr>
                <w:rFonts w:ascii="Arial"/>
                <w:spacing w:val="-1"/>
                <w:sz w:val="18"/>
              </w:rPr>
              <w:t>100,160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2"/>
              <w:jc w:val="right"/>
              <w:rPr>
                <w:rFonts w:ascii="Arial" w:hAnsi="Arial" w:cs="Arial" w:eastAsia="Arial" w:hint="default"/>
                <w:sz w:val="18"/>
                <w:szCs w:val="18"/>
              </w:rPr>
            </w:pPr>
            <w:r>
              <w:rPr>
                <w:rFonts w:ascii="Arial"/>
                <w:w w:val="95"/>
                <w:sz w:val="18"/>
              </w:rPr>
              <w:t>33</w:t>
            </w:r>
            <w:r>
              <w:rPr>
                <w:rFonts w:ascii="Arial"/>
                <w:sz w:val="18"/>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9"/>
              <w:jc w:val="right"/>
              <w:rPr>
                <w:rFonts w:ascii="Arial" w:hAnsi="Arial" w:cs="Arial" w:eastAsia="Arial" w:hint="default"/>
                <w:sz w:val="18"/>
                <w:szCs w:val="18"/>
              </w:rPr>
            </w:pPr>
            <w:r>
              <w:rPr>
                <w:rFonts w:ascii="Arial"/>
                <w:spacing w:val="-1"/>
                <w:sz w:val="18"/>
              </w:rPr>
              <w:t>32,807</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Arial" w:hAnsi="Arial" w:cs="Arial" w:eastAsia="Arial" w:hint="default"/>
                <w:sz w:val="18"/>
                <w:szCs w:val="18"/>
              </w:rPr>
            </w:pPr>
            <w:r>
              <w:rPr>
                <w:rFonts w:ascii="Arial"/>
                <w:w w:val="99"/>
                <w:sz w:val="18"/>
              </w:rPr>
              <w:t>-</w:t>
            </w:r>
            <w:r>
              <w:rPr>
                <w:rFonts w:ascii="Arial"/>
                <w:sz w:val="18"/>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6"/>
              <w:jc w:val="right"/>
              <w:rPr>
                <w:rFonts w:ascii="Arial" w:hAnsi="Arial" w:cs="Arial" w:eastAsia="Arial" w:hint="default"/>
                <w:sz w:val="18"/>
                <w:szCs w:val="18"/>
              </w:rPr>
            </w:pPr>
            <w:r>
              <w:rPr>
                <w:rFonts w:ascii="Arial"/>
                <w:w w:val="99"/>
                <w:sz w:val="18"/>
              </w:rPr>
              <w:t>-</w:t>
            </w:r>
            <w:r>
              <w:rPr>
                <w:rFonts w:ascii="Arial"/>
                <w:sz w:val="18"/>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4"/>
              <w:jc w:val="right"/>
              <w:rPr>
                <w:rFonts w:ascii="Arial" w:hAnsi="Arial" w:cs="Arial" w:eastAsia="Arial" w:hint="default"/>
                <w:sz w:val="18"/>
                <w:szCs w:val="18"/>
              </w:rPr>
            </w:pPr>
            <w:r>
              <w:rPr>
                <w:rFonts w:ascii="Arial"/>
                <w:spacing w:val="-1"/>
                <w:sz w:val="18"/>
              </w:rPr>
              <w:t>32,840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32.79%</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主体结构施工</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18"/>
                <w:szCs w:val="18"/>
              </w:rPr>
            </w:pPr>
            <w:r>
              <w:rPr>
                <w:rFonts w:ascii="Arial"/>
                <w:w w:val="99"/>
                <w:sz w:val="18"/>
              </w:rPr>
              <w:t>-</w:t>
            </w:r>
            <w:r>
              <w:rPr>
                <w:rFonts w:ascii="Arial"/>
                <w:sz w:val="18"/>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6"/>
              <w:jc w:val="right"/>
              <w:rPr>
                <w:rFonts w:ascii="Arial" w:hAnsi="Arial" w:cs="Arial" w:eastAsia="Arial" w:hint="default"/>
                <w:sz w:val="18"/>
                <w:szCs w:val="18"/>
              </w:rPr>
            </w:pPr>
            <w:r>
              <w:rPr>
                <w:rFonts w:ascii="Arial"/>
                <w:w w:val="99"/>
                <w:sz w:val="18"/>
              </w:rPr>
              <w:t>-</w:t>
            </w:r>
            <w:r>
              <w:rPr>
                <w:rFonts w:ascii="Arial"/>
                <w:sz w:val="18"/>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7"/>
              <w:jc w:val="right"/>
              <w:rPr>
                <w:rFonts w:ascii="Arial" w:hAnsi="Arial" w:cs="Arial" w:eastAsia="Arial" w:hint="default"/>
                <w:sz w:val="18"/>
                <w:szCs w:val="18"/>
              </w:rPr>
            </w:pPr>
            <w:r>
              <w:rPr>
                <w:rFonts w:ascii="Arial"/>
                <w:w w:val="99"/>
                <w:sz w:val="18"/>
              </w:rPr>
              <w:t>-</w:t>
            </w:r>
            <w:r>
              <w:rPr>
                <w:rFonts w:ascii="Arial"/>
                <w:sz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募集资金</w:t>
            </w:r>
          </w:p>
        </w:tc>
      </w:tr>
      <w:tr>
        <w:trPr>
          <w:trHeight w:val="468" w:hRule="exact"/>
        </w:trPr>
        <w:tc>
          <w:tcPr>
            <w:tcW w:w="793"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195" w:lineRule="exact"/>
              <w:ind w:right="35"/>
              <w:jc w:val="center"/>
              <w:rPr>
                <w:rFonts w:ascii="宋体" w:hAnsi="宋体" w:cs="宋体" w:eastAsia="宋体" w:hint="default"/>
                <w:sz w:val="18"/>
                <w:szCs w:val="18"/>
              </w:rPr>
            </w:pPr>
            <w:r>
              <w:rPr>
                <w:rFonts w:ascii="宋体" w:hAnsi="宋体" w:cs="宋体" w:eastAsia="宋体" w:hint="default"/>
                <w:sz w:val="18"/>
                <w:szCs w:val="18"/>
              </w:rPr>
              <w:t>青岛办公区购</w:t>
            </w:r>
          </w:p>
          <w:p>
            <w:pPr>
              <w:pStyle w:val="TableParagraph"/>
              <w:spacing w:line="240" w:lineRule="auto"/>
              <w:ind w:left="49" w:right="0"/>
              <w:jc w:val="center"/>
              <w:rPr>
                <w:rFonts w:ascii="宋体" w:hAnsi="宋体" w:cs="宋体" w:eastAsia="宋体" w:hint="default"/>
                <w:sz w:val="18"/>
                <w:szCs w:val="18"/>
              </w:rPr>
            </w:pPr>
            <w:r>
              <w:rPr>
                <w:rFonts w:ascii="宋体" w:hAnsi="宋体" w:cs="宋体" w:eastAsia="宋体" w:hint="default"/>
                <w:sz w:val="18"/>
                <w:szCs w:val="18"/>
              </w:rPr>
              <w:t>置房项目</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2"/>
              <w:jc w:val="right"/>
              <w:rPr>
                <w:rFonts w:ascii="Arial" w:hAnsi="Arial" w:cs="Arial" w:eastAsia="Arial" w:hint="default"/>
                <w:sz w:val="18"/>
                <w:szCs w:val="18"/>
              </w:rPr>
            </w:pPr>
            <w:r>
              <w:rPr>
                <w:rFonts w:ascii="Arial"/>
                <w:spacing w:val="-1"/>
                <w:sz w:val="18"/>
              </w:rPr>
              <w:t>31,100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5"/>
              <w:jc w:val="right"/>
              <w:rPr>
                <w:rFonts w:ascii="Arial" w:hAnsi="Arial" w:cs="Arial" w:eastAsia="Arial" w:hint="default"/>
                <w:sz w:val="18"/>
                <w:szCs w:val="18"/>
              </w:rPr>
            </w:pPr>
            <w:r>
              <w:rPr>
                <w:rFonts w:ascii="Arial"/>
                <w:w w:val="99"/>
                <w:sz w:val="18"/>
              </w:rPr>
              <w:t>-</w:t>
            </w:r>
            <w:r>
              <w:rPr>
                <w:rFonts w:ascii="Arial"/>
                <w:sz w:val="18"/>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59"/>
              <w:jc w:val="right"/>
              <w:rPr>
                <w:rFonts w:ascii="Arial" w:hAnsi="Arial" w:cs="Arial" w:eastAsia="Arial" w:hint="default"/>
                <w:sz w:val="18"/>
                <w:szCs w:val="18"/>
              </w:rPr>
            </w:pPr>
            <w:r>
              <w:rPr>
                <w:rFonts w:ascii="Arial"/>
                <w:spacing w:val="-1"/>
                <w:sz w:val="18"/>
              </w:rPr>
              <w:t>31,060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Arial" w:hAnsi="Arial" w:cs="Arial" w:eastAsia="Arial" w:hint="default"/>
                <w:sz w:val="18"/>
                <w:szCs w:val="18"/>
              </w:rPr>
            </w:pPr>
            <w:r>
              <w:rPr>
                <w:rFonts w:ascii="Arial"/>
                <w:w w:val="99"/>
                <w:sz w:val="18"/>
              </w:rPr>
              <w:t>-</w:t>
            </w:r>
            <w:r>
              <w:rPr>
                <w:rFonts w:ascii="Arial"/>
                <w:sz w:val="18"/>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6"/>
              <w:jc w:val="right"/>
              <w:rPr>
                <w:rFonts w:ascii="Arial" w:hAnsi="Arial" w:cs="Arial" w:eastAsia="Arial" w:hint="default"/>
                <w:sz w:val="18"/>
                <w:szCs w:val="18"/>
              </w:rPr>
            </w:pPr>
            <w:r>
              <w:rPr>
                <w:rFonts w:ascii="Arial"/>
                <w:w w:val="99"/>
                <w:sz w:val="18"/>
              </w:rPr>
              <w:t>-</w:t>
            </w:r>
            <w:r>
              <w:rPr>
                <w:rFonts w:ascii="Arial"/>
                <w:sz w:val="18"/>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4"/>
              <w:jc w:val="right"/>
              <w:rPr>
                <w:rFonts w:ascii="Arial" w:hAnsi="Arial" w:cs="Arial" w:eastAsia="Arial" w:hint="default"/>
                <w:sz w:val="18"/>
                <w:szCs w:val="18"/>
              </w:rPr>
            </w:pPr>
            <w:r>
              <w:rPr>
                <w:rFonts w:ascii="Arial"/>
                <w:spacing w:val="-1"/>
                <w:sz w:val="18"/>
              </w:rPr>
              <w:t>31,060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Arial" w:hAnsi="Arial" w:cs="Arial" w:eastAsia="Arial" w:hint="default"/>
                <w:sz w:val="18"/>
                <w:szCs w:val="18"/>
              </w:rPr>
            </w:pPr>
            <w:r>
              <w:rPr>
                <w:rFonts w:ascii="Arial"/>
                <w:spacing w:val="-1"/>
                <w:sz w:val="18"/>
              </w:rPr>
              <w:t>99.87%</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装修工程进行中</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18"/>
                <w:szCs w:val="18"/>
              </w:rPr>
            </w:pPr>
            <w:r>
              <w:rPr>
                <w:rFonts w:ascii="Arial"/>
                <w:w w:val="99"/>
                <w:sz w:val="18"/>
              </w:rPr>
              <w:t>-</w:t>
            </w:r>
            <w:r>
              <w:rPr>
                <w:rFonts w:ascii="Arial"/>
                <w:sz w:val="18"/>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6"/>
              <w:jc w:val="right"/>
              <w:rPr>
                <w:rFonts w:ascii="Arial" w:hAnsi="Arial" w:cs="Arial" w:eastAsia="Arial" w:hint="default"/>
                <w:sz w:val="18"/>
                <w:szCs w:val="18"/>
              </w:rPr>
            </w:pPr>
            <w:r>
              <w:rPr>
                <w:rFonts w:ascii="Arial"/>
                <w:w w:val="99"/>
                <w:sz w:val="18"/>
              </w:rPr>
              <w:t>-</w:t>
            </w:r>
            <w:r>
              <w:rPr>
                <w:rFonts w:ascii="Arial"/>
                <w:sz w:val="18"/>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7"/>
              <w:jc w:val="right"/>
              <w:rPr>
                <w:rFonts w:ascii="Arial" w:hAnsi="Arial" w:cs="Arial" w:eastAsia="Arial" w:hint="default"/>
                <w:sz w:val="18"/>
                <w:szCs w:val="18"/>
              </w:rPr>
            </w:pPr>
            <w:r>
              <w:rPr>
                <w:rFonts w:ascii="Arial"/>
                <w:w w:val="99"/>
                <w:sz w:val="18"/>
              </w:rPr>
              <w:t>-</w:t>
            </w:r>
            <w:r>
              <w:rPr>
                <w:rFonts w:ascii="Arial"/>
                <w:sz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88" w:hRule="exact"/>
        </w:trPr>
        <w:tc>
          <w:tcPr>
            <w:tcW w:w="793"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194" w:lineRule="exact"/>
              <w:ind w:left="225" w:right="0"/>
              <w:jc w:val="left"/>
              <w:rPr>
                <w:rFonts w:ascii="宋体" w:hAnsi="宋体" w:cs="宋体" w:eastAsia="宋体" w:hint="default"/>
                <w:sz w:val="18"/>
                <w:szCs w:val="18"/>
              </w:rPr>
            </w:pPr>
            <w:r>
              <w:rPr>
                <w:rFonts w:ascii="宋体" w:hAnsi="宋体" w:cs="宋体" w:eastAsia="宋体" w:hint="default"/>
                <w:sz w:val="18"/>
                <w:szCs w:val="18"/>
              </w:rPr>
              <w:t>贵阳物流基地</w:t>
            </w:r>
          </w:p>
          <w:p>
            <w:pPr>
              <w:pStyle w:val="TableParagraph"/>
              <w:spacing w:line="234" w:lineRule="exact"/>
              <w:ind w:left="4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12"/>
              <w:jc w:val="right"/>
              <w:rPr>
                <w:rFonts w:ascii="Arial" w:hAnsi="Arial" w:cs="Arial" w:eastAsia="Arial" w:hint="default"/>
                <w:sz w:val="18"/>
                <w:szCs w:val="18"/>
              </w:rPr>
            </w:pPr>
            <w:r>
              <w:rPr>
                <w:rFonts w:ascii="Arial"/>
                <w:spacing w:val="-1"/>
                <w:sz w:val="18"/>
              </w:rPr>
              <w:t>100,510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32"/>
              <w:jc w:val="right"/>
              <w:rPr>
                <w:rFonts w:ascii="Arial" w:hAnsi="Arial" w:cs="Arial" w:eastAsia="Arial" w:hint="default"/>
                <w:sz w:val="18"/>
                <w:szCs w:val="18"/>
              </w:rPr>
            </w:pPr>
            <w:r>
              <w:rPr>
                <w:rFonts w:ascii="Arial"/>
                <w:w w:val="95"/>
                <w:sz w:val="18"/>
              </w:rPr>
              <w:t>374</w:t>
            </w:r>
            <w:r>
              <w:rPr>
                <w:rFonts w:ascii="Arial"/>
                <w:sz w:val="18"/>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59"/>
              <w:jc w:val="right"/>
              <w:rPr>
                <w:rFonts w:ascii="Arial" w:hAnsi="Arial" w:cs="Arial" w:eastAsia="Arial" w:hint="default"/>
                <w:sz w:val="18"/>
                <w:szCs w:val="18"/>
              </w:rPr>
            </w:pPr>
            <w:r>
              <w:rPr>
                <w:rFonts w:ascii="Arial"/>
                <w:spacing w:val="-1"/>
                <w:sz w:val="18"/>
              </w:rPr>
              <w:t>18,995</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Arial" w:hAnsi="Arial" w:cs="Arial" w:eastAsia="Arial" w:hint="default"/>
                <w:sz w:val="18"/>
                <w:szCs w:val="18"/>
              </w:rPr>
            </w:pPr>
            <w:r>
              <w:rPr>
                <w:rFonts w:ascii="Arial"/>
                <w:w w:val="99"/>
                <w:sz w:val="18"/>
              </w:rPr>
              <w:t>-</w:t>
            </w:r>
            <w:r>
              <w:rPr>
                <w:rFonts w:ascii="Arial"/>
                <w:sz w:val="18"/>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36"/>
              <w:jc w:val="right"/>
              <w:rPr>
                <w:rFonts w:ascii="Arial" w:hAnsi="Arial" w:cs="Arial" w:eastAsia="Arial" w:hint="default"/>
                <w:sz w:val="18"/>
                <w:szCs w:val="18"/>
              </w:rPr>
            </w:pPr>
            <w:r>
              <w:rPr>
                <w:rFonts w:ascii="Arial"/>
                <w:w w:val="99"/>
                <w:sz w:val="18"/>
              </w:rPr>
              <w:t>-</w:t>
            </w:r>
            <w:r>
              <w:rPr>
                <w:rFonts w:ascii="Arial"/>
                <w:sz w:val="18"/>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74"/>
              <w:jc w:val="right"/>
              <w:rPr>
                <w:rFonts w:ascii="Arial" w:hAnsi="Arial" w:cs="Arial" w:eastAsia="Arial" w:hint="default"/>
                <w:sz w:val="18"/>
                <w:szCs w:val="18"/>
              </w:rPr>
            </w:pPr>
            <w:r>
              <w:rPr>
                <w:rFonts w:ascii="Arial"/>
                <w:spacing w:val="-1"/>
                <w:sz w:val="18"/>
              </w:rPr>
              <w:t>19,369</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19.27%</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土方施工</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18"/>
                <w:szCs w:val="18"/>
              </w:rPr>
            </w:pPr>
            <w:r>
              <w:rPr>
                <w:rFonts w:ascii="Arial"/>
                <w:w w:val="99"/>
                <w:sz w:val="18"/>
              </w:rPr>
              <w:t>-</w:t>
            </w:r>
            <w:r>
              <w:rPr>
                <w:rFonts w:ascii="Arial"/>
                <w:sz w:val="18"/>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6"/>
              <w:jc w:val="right"/>
              <w:rPr>
                <w:rFonts w:ascii="Arial" w:hAnsi="Arial" w:cs="Arial" w:eastAsia="Arial" w:hint="default"/>
                <w:sz w:val="18"/>
                <w:szCs w:val="18"/>
              </w:rPr>
            </w:pPr>
            <w:r>
              <w:rPr>
                <w:rFonts w:ascii="Arial"/>
                <w:w w:val="99"/>
                <w:sz w:val="18"/>
              </w:rPr>
              <w:t>-</w:t>
            </w:r>
            <w:r>
              <w:rPr>
                <w:rFonts w:ascii="Arial"/>
                <w:sz w:val="18"/>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37"/>
              <w:jc w:val="right"/>
              <w:rPr>
                <w:rFonts w:ascii="Arial" w:hAnsi="Arial" w:cs="Arial" w:eastAsia="Arial" w:hint="default"/>
                <w:sz w:val="18"/>
                <w:szCs w:val="18"/>
              </w:rPr>
            </w:pPr>
            <w:r>
              <w:rPr>
                <w:rFonts w:ascii="Arial"/>
                <w:w w:val="99"/>
                <w:sz w:val="18"/>
              </w:rPr>
              <w:t>-</w:t>
            </w:r>
            <w:r>
              <w:rPr>
                <w:rFonts w:ascii="Arial"/>
                <w:sz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募集资金</w:t>
            </w:r>
          </w:p>
        </w:tc>
      </w:tr>
      <w:tr>
        <w:trPr>
          <w:trHeight w:val="276" w:hRule="exact"/>
        </w:trPr>
        <w:tc>
          <w:tcPr>
            <w:tcW w:w="793"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16" w:lineRule="exact"/>
              <w:ind w:left="225" w:right="0"/>
              <w:jc w:val="left"/>
              <w:rPr>
                <w:rFonts w:ascii="宋体" w:hAnsi="宋体" w:cs="宋体" w:eastAsia="宋体" w:hint="default"/>
                <w:sz w:val="18"/>
                <w:szCs w:val="18"/>
              </w:rPr>
            </w:pPr>
            <w:r>
              <w:rPr>
                <w:rFonts w:ascii="宋体" w:hAnsi="宋体" w:cs="宋体" w:eastAsia="宋体" w:hint="default"/>
                <w:sz w:val="18"/>
                <w:szCs w:val="18"/>
              </w:rPr>
              <w:t>包头物流项目</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spacing w:val="-2"/>
                <w:w w:val="95"/>
                <w:sz w:val="18"/>
              </w:rPr>
              <w:t>110,030</w:t>
            </w:r>
            <w:r>
              <w:rPr>
                <w:rFonts w:ascii="Arial"/>
                <w:spacing w:val="-2"/>
                <w:sz w:val="18"/>
              </w:rPr>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5"/>
              <w:jc w:val="right"/>
              <w:rPr>
                <w:rFonts w:ascii="Arial" w:hAnsi="Arial" w:cs="Arial" w:eastAsia="Arial" w:hint="default"/>
                <w:sz w:val="18"/>
                <w:szCs w:val="18"/>
              </w:rPr>
            </w:pPr>
            <w:r>
              <w:rPr>
                <w:rFonts w:ascii="Arial"/>
                <w:w w:val="95"/>
                <w:sz w:val="18"/>
              </w:rPr>
              <w:t>188</w:t>
            </w:r>
            <w:r>
              <w:rPr>
                <w:rFonts w:ascii="Arial"/>
                <w:sz w:val="18"/>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9"/>
              <w:jc w:val="right"/>
              <w:rPr>
                <w:rFonts w:ascii="Arial" w:hAnsi="Arial" w:cs="Arial" w:eastAsia="Arial" w:hint="default"/>
                <w:sz w:val="18"/>
                <w:szCs w:val="18"/>
              </w:rPr>
            </w:pPr>
            <w:r>
              <w:rPr>
                <w:rFonts w:ascii="Arial"/>
                <w:spacing w:val="-1"/>
                <w:sz w:val="18"/>
              </w:rPr>
              <w:t>12,696</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3"/>
              <w:jc w:val="right"/>
              <w:rPr>
                <w:rFonts w:ascii="Arial" w:hAnsi="Arial" w:cs="Arial" w:eastAsia="Arial" w:hint="default"/>
                <w:sz w:val="18"/>
                <w:szCs w:val="18"/>
              </w:rPr>
            </w:pPr>
            <w:r>
              <w:rPr>
                <w:rFonts w:ascii="Arial"/>
                <w:w w:val="99"/>
                <w:sz w:val="18"/>
              </w:rPr>
              <w:t>-</w:t>
            </w:r>
            <w:r>
              <w:rPr>
                <w:rFonts w:ascii="Arial"/>
                <w:sz w:val="18"/>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6"/>
              <w:jc w:val="right"/>
              <w:rPr>
                <w:rFonts w:ascii="Arial" w:hAnsi="Arial" w:cs="Arial" w:eastAsia="Arial" w:hint="default"/>
                <w:sz w:val="18"/>
                <w:szCs w:val="18"/>
              </w:rPr>
            </w:pPr>
            <w:r>
              <w:rPr>
                <w:rFonts w:ascii="Arial"/>
                <w:w w:val="99"/>
                <w:sz w:val="18"/>
              </w:rPr>
              <w:t>-</w:t>
            </w:r>
            <w:r>
              <w:rPr>
                <w:rFonts w:ascii="Arial"/>
                <w:sz w:val="18"/>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spacing w:val="-1"/>
                <w:sz w:val="18"/>
              </w:rPr>
              <w:t>12,884</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2"/>
              <w:jc w:val="right"/>
              <w:rPr>
                <w:rFonts w:ascii="Arial" w:hAnsi="Arial" w:cs="Arial" w:eastAsia="Arial" w:hint="default"/>
                <w:sz w:val="18"/>
                <w:szCs w:val="18"/>
              </w:rPr>
            </w:pPr>
            <w:r>
              <w:rPr>
                <w:rFonts w:ascii="Arial"/>
                <w:spacing w:val="-3"/>
                <w:sz w:val="18"/>
              </w:rPr>
              <w:t>11.71%</w:t>
            </w:r>
          </w:p>
        </w:tc>
        <w:tc>
          <w:tcPr>
            <w:tcW w:w="2138" w:type="dxa"/>
            <w:tcBorders>
              <w:top w:val="nil" w:sz="6" w:space="0" w:color="auto"/>
              <w:left w:val="nil" w:sz="6" w:space="0" w:color="auto"/>
              <w:bottom w:val="nil" w:sz="6" w:space="0" w:color="auto"/>
              <w:right w:val="nil" w:sz="6" w:space="0" w:color="auto"/>
            </w:tcBorders>
          </w:tcPr>
          <w:p>
            <w:pPr>
              <w:pStyle w:val="TableParagraph"/>
              <w:spacing w:line="216" w:lineRule="exact"/>
              <w:ind w:right="119"/>
              <w:jc w:val="right"/>
              <w:rPr>
                <w:rFonts w:ascii="宋体" w:hAnsi="宋体" w:cs="宋体" w:eastAsia="宋体" w:hint="default"/>
                <w:sz w:val="18"/>
                <w:szCs w:val="18"/>
              </w:rPr>
            </w:pPr>
            <w:r>
              <w:rPr>
                <w:rFonts w:ascii="宋体" w:hAnsi="宋体" w:cs="宋体" w:eastAsia="宋体" w:hint="default"/>
                <w:sz w:val="18"/>
                <w:szCs w:val="18"/>
              </w:rPr>
              <w:t>主体施工</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w w:val="99"/>
                <w:sz w:val="18"/>
              </w:rPr>
              <w:t>-</w:t>
            </w:r>
            <w:r>
              <w:rPr>
                <w:rFonts w:ascii="Arial"/>
                <w:sz w:val="18"/>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w w:val="99"/>
                <w:sz w:val="18"/>
              </w:rPr>
              <w:t>-</w:t>
            </w:r>
            <w:r>
              <w:rPr>
                <w:rFonts w:ascii="Arial"/>
                <w:sz w:val="18"/>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7"/>
              <w:jc w:val="right"/>
              <w:rPr>
                <w:rFonts w:ascii="Arial" w:hAnsi="Arial" w:cs="Arial" w:eastAsia="Arial" w:hint="default"/>
                <w:sz w:val="18"/>
                <w:szCs w:val="18"/>
              </w:rPr>
            </w:pPr>
            <w:r>
              <w:rPr>
                <w:rFonts w:ascii="Arial"/>
                <w:w w:val="99"/>
                <w:sz w:val="18"/>
              </w:rPr>
              <w:t>-</w:t>
            </w:r>
            <w:r>
              <w:rPr>
                <w:rFonts w:ascii="Arial"/>
                <w:sz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216" w:lineRule="exact"/>
              <w:ind w:right="97"/>
              <w:jc w:val="center"/>
              <w:rPr>
                <w:rFonts w:ascii="宋体" w:hAnsi="宋体" w:cs="宋体" w:eastAsia="宋体" w:hint="default"/>
                <w:sz w:val="18"/>
                <w:szCs w:val="18"/>
              </w:rPr>
            </w:pPr>
            <w:r>
              <w:rPr>
                <w:rFonts w:ascii="宋体" w:hAnsi="宋体" w:cs="宋体" w:eastAsia="宋体" w:hint="default"/>
                <w:sz w:val="18"/>
                <w:szCs w:val="18"/>
              </w:rPr>
              <w:t>募集资金</w:t>
            </w:r>
          </w:p>
        </w:tc>
      </w:tr>
      <w:tr>
        <w:trPr>
          <w:trHeight w:val="276" w:hRule="exact"/>
        </w:trPr>
        <w:tc>
          <w:tcPr>
            <w:tcW w:w="793"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16" w:lineRule="exact"/>
              <w:ind w:left="225" w:right="0"/>
              <w:jc w:val="left"/>
              <w:rPr>
                <w:rFonts w:ascii="宋体" w:hAnsi="宋体" w:cs="宋体" w:eastAsia="宋体" w:hint="default"/>
                <w:sz w:val="18"/>
                <w:szCs w:val="18"/>
              </w:rPr>
            </w:pPr>
            <w:r>
              <w:rPr>
                <w:rFonts w:ascii="宋体" w:hAnsi="宋体" w:cs="宋体" w:eastAsia="宋体" w:hint="default"/>
                <w:sz w:val="18"/>
                <w:szCs w:val="18"/>
              </w:rPr>
              <w:t>重庆雨田大厦</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spacing w:val="-1"/>
                <w:sz w:val="18"/>
              </w:rPr>
              <w:t>200,000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4"/>
              <w:jc w:val="right"/>
              <w:rPr>
                <w:rFonts w:ascii="Arial" w:hAnsi="Arial" w:cs="Arial" w:eastAsia="Arial" w:hint="default"/>
                <w:sz w:val="18"/>
                <w:szCs w:val="18"/>
              </w:rPr>
            </w:pPr>
            <w:r>
              <w:rPr>
                <w:rFonts w:ascii="Arial"/>
                <w:spacing w:val="-1"/>
                <w:sz w:val="18"/>
              </w:rPr>
              <w:t>196,324</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9"/>
              <w:jc w:val="right"/>
              <w:rPr>
                <w:rFonts w:ascii="Arial" w:hAnsi="Arial" w:cs="Arial" w:eastAsia="Arial" w:hint="default"/>
                <w:sz w:val="18"/>
                <w:szCs w:val="18"/>
              </w:rPr>
            </w:pPr>
            <w:r>
              <w:rPr>
                <w:rFonts w:ascii="Arial"/>
                <w:w w:val="95"/>
                <w:sz w:val="18"/>
              </w:rPr>
              <w:t>3,676</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spacing w:val="-1"/>
                <w:sz w:val="18"/>
              </w:rPr>
              <w:t>(200,000)</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6"/>
              <w:jc w:val="right"/>
              <w:rPr>
                <w:rFonts w:ascii="Arial" w:hAnsi="Arial" w:cs="Arial" w:eastAsia="Arial" w:hint="default"/>
                <w:sz w:val="18"/>
                <w:szCs w:val="18"/>
              </w:rPr>
            </w:pPr>
            <w:r>
              <w:rPr>
                <w:rFonts w:ascii="Arial"/>
                <w:w w:val="99"/>
                <w:sz w:val="18"/>
              </w:rPr>
              <w:t>-</w:t>
            </w:r>
            <w:r>
              <w:rPr>
                <w:rFonts w:ascii="Arial"/>
                <w:sz w:val="18"/>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6"/>
              <w:jc w:val="right"/>
              <w:rPr>
                <w:rFonts w:ascii="Arial" w:hAnsi="Arial" w:cs="Arial" w:eastAsia="Arial" w:hint="default"/>
                <w:sz w:val="18"/>
                <w:szCs w:val="18"/>
              </w:rPr>
            </w:pPr>
            <w:r>
              <w:rPr>
                <w:rFonts w:ascii="Arial"/>
                <w:w w:val="99"/>
                <w:sz w:val="18"/>
              </w:rPr>
              <w:t>-</w:t>
            </w:r>
            <w:r>
              <w:rPr>
                <w:rFonts w:ascii="Arial"/>
                <w:sz w:val="18"/>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3"/>
              <w:jc w:val="right"/>
              <w:rPr>
                <w:rFonts w:ascii="Arial" w:hAnsi="Arial" w:cs="Arial" w:eastAsia="Arial" w:hint="default"/>
                <w:sz w:val="18"/>
                <w:szCs w:val="18"/>
              </w:rPr>
            </w:pPr>
            <w:r>
              <w:rPr>
                <w:rFonts w:ascii="Arial"/>
                <w:spacing w:val="-1"/>
                <w:sz w:val="18"/>
              </w:rPr>
              <w:t>100.00%</w:t>
            </w:r>
          </w:p>
        </w:tc>
        <w:tc>
          <w:tcPr>
            <w:tcW w:w="2138" w:type="dxa"/>
            <w:tcBorders>
              <w:top w:val="nil" w:sz="6" w:space="0" w:color="auto"/>
              <w:left w:val="nil" w:sz="6" w:space="0" w:color="auto"/>
              <w:bottom w:val="nil" w:sz="6" w:space="0" w:color="auto"/>
              <w:right w:val="nil" w:sz="6" w:space="0" w:color="auto"/>
            </w:tcBorders>
          </w:tcPr>
          <w:p>
            <w:pPr>
              <w:pStyle w:val="TableParagraph"/>
              <w:spacing w:line="216" w:lineRule="exact"/>
              <w:ind w:right="119"/>
              <w:jc w:val="right"/>
              <w:rPr>
                <w:rFonts w:ascii="宋体" w:hAnsi="宋体" w:cs="宋体" w:eastAsia="宋体" w:hint="default"/>
                <w:sz w:val="18"/>
                <w:szCs w:val="18"/>
              </w:rPr>
            </w:pPr>
            <w:r>
              <w:rPr>
                <w:rFonts w:ascii="宋体" w:hAnsi="宋体" w:cs="宋体" w:eastAsia="宋体" w:hint="default"/>
                <w:sz w:val="18"/>
                <w:szCs w:val="18"/>
              </w:rPr>
              <w:t>已完工转固</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w w:val="99"/>
                <w:sz w:val="18"/>
              </w:rPr>
              <w:t>-</w:t>
            </w:r>
            <w:r>
              <w:rPr>
                <w:rFonts w:ascii="Arial"/>
                <w:sz w:val="18"/>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w w:val="99"/>
                <w:sz w:val="18"/>
              </w:rPr>
              <w:t>-</w:t>
            </w:r>
            <w:r>
              <w:rPr>
                <w:rFonts w:ascii="Arial"/>
                <w:sz w:val="18"/>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7"/>
              <w:jc w:val="right"/>
              <w:rPr>
                <w:rFonts w:ascii="Arial" w:hAnsi="Arial" w:cs="Arial" w:eastAsia="Arial" w:hint="default"/>
                <w:sz w:val="18"/>
                <w:szCs w:val="18"/>
              </w:rPr>
            </w:pPr>
            <w:r>
              <w:rPr>
                <w:rFonts w:ascii="Arial"/>
                <w:w w:val="99"/>
                <w:sz w:val="18"/>
              </w:rPr>
              <w:t>-</w:t>
            </w:r>
            <w:r>
              <w:rPr>
                <w:rFonts w:ascii="Arial"/>
                <w:sz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216" w:lineRule="exact"/>
              <w:ind w:right="97"/>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254" w:hRule="exact"/>
        </w:trPr>
        <w:tc>
          <w:tcPr>
            <w:tcW w:w="793"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16" w:lineRule="exact"/>
              <w:ind w:left="225" w:right="0"/>
              <w:jc w:val="left"/>
              <w:rPr>
                <w:rFonts w:ascii="宋体" w:hAnsi="宋体" w:cs="宋体" w:eastAsia="宋体" w:hint="default"/>
                <w:sz w:val="18"/>
                <w:szCs w:val="18"/>
              </w:rPr>
            </w:pPr>
            <w:r>
              <w:rPr>
                <w:rFonts w:ascii="宋体" w:hAnsi="宋体" w:cs="宋体" w:eastAsia="宋体" w:hint="default"/>
                <w:sz w:val="18"/>
                <w:szCs w:val="18"/>
              </w:rPr>
              <w:t>徐庄总部</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spacing w:val="-1"/>
                <w:sz w:val="18"/>
              </w:rPr>
              <w:t>1,572,310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4"/>
              <w:jc w:val="right"/>
              <w:rPr>
                <w:rFonts w:ascii="Arial" w:hAnsi="Arial" w:cs="Arial" w:eastAsia="Arial" w:hint="default"/>
                <w:sz w:val="18"/>
                <w:szCs w:val="18"/>
              </w:rPr>
            </w:pPr>
            <w:r>
              <w:rPr>
                <w:rFonts w:ascii="Arial"/>
                <w:spacing w:val="-1"/>
                <w:sz w:val="18"/>
              </w:rPr>
              <w:t>176,764</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0"/>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spacing w:val="-1"/>
                <w:sz w:val="18"/>
              </w:rPr>
              <w:t>(176,764)</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6"/>
              <w:jc w:val="right"/>
              <w:rPr>
                <w:rFonts w:ascii="Arial" w:hAnsi="Arial" w:cs="Arial" w:eastAsia="Arial" w:hint="default"/>
                <w:sz w:val="18"/>
                <w:szCs w:val="18"/>
              </w:rPr>
            </w:pPr>
            <w:r>
              <w:rPr>
                <w:rFonts w:ascii="Arial"/>
                <w:w w:val="99"/>
                <w:sz w:val="18"/>
              </w:rPr>
              <w:t>-</w:t>
            </w:r>
            <w:r>
              <w:rPr>
                <w:rFonts w:ascii="Arial"/>
                <w:sz w:val="18"/>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6"/>
              <w:jc w:val="right"/>
              <w:rPr>
                <w:rFonts w:ascii="Arial" w:hAnsi="Arial" w:cs="Arial" w:eastAsia="Arial" w:hint="default"/>
                <w:sz w:val="18"/>
                <w:szCs w:val="18"/>
              </w:rPr>
            </w:pPr>
            <w:r>
              <w:rPr>
                <w:rFonts w:ascii="Arial"/>
                <w:w w:val="99"/>
                <w:sz w:val="18"/>
              </w:rPr>
              <w:t>-</w:t>
            </w:r>
            <w:r>
              <w:rPr>
                <w:rFonts w:ascii="Arial"/>
                <w:sz w:val="18"/>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3"/>
              <w:jc w:val="right"/>
              <w:rPr>
                <w:rFonts w:ascii="Arial" w:hAnsi="Arial" w:cs="Arial" w:eastAsia="Arial" w:hint="default"/>
                <w:sz w:val="18"/>
                <w:szCs w:val="18"/>
              </w:rPr>
            </w:pPr>
            <w:r>
              <w:rPr>
                <w:rFonts w:ascii="Arial"/>
                <w:spacing w:val="-1"/>
                <w:sz w:val="18"/>
              </w:rPr>
              <w:t>100.00%</w:t>
            </w:r>
          </w:p>
        </w:tc>
        <w:tc>
          <w:tcPr>
            <w:tcW w:w="2138" w:type="dxa"/>
            <w:tcBorders>
              <w:top w:val="nil" w:sz="6" w:space="0" w:color="auto"/>
              <w:left w:val="nil" w:sz="6" w:space="0" w:color="auto"/>
              <w:bottom w:val="nil" w:sz="6" w:space="0" w:color="auto"/>
              <w:right w:val="nil" w:sz="6" w:space="0" w:color="auto"/>
            </w:tcBorders>
          </w:tcPr>
          <w:p>
            <w:pPr>
              <w:pStyle w:val="TableParagraph"/>
              <w:spacing w:line="216" w:lineRule="exact"/>
              <w:ind w:right="119"/>
              <w:jc w:val="right"/>
              <w:rPr>
                <w:rFonts w:ascii="宋体" w:hAnsi="宋体" w:cs="宋体" w:eastAsia="宋体" w:hint="default"/>
                <w:sz w:val="18"/>
                <w:szCs w:val="18"/>
              </w:rPr>
            </w:pPr>
            <w:r>
              <w:rPr>
                <w:rFonts w:ascii="宋体" w:hAnsi="宋体" w:cs="宋体" w:eastAsia="宋体" w:hint="default"/>
                <w:sz w:val="18"/>
                <w:szCs w:val="18"/>
              </w:rPr>
              <w:t>已完工转固</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w w:val="99"/>
                <w:sz w:val="18"/>
              </w:rPr>
              <w:t>-</w:t>
            </w:r>
            <w:r>
              <w:rPr>
                <w:rFonts w:ascii="Arial"/>
                <w:sz w:val="18"/>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w w:val="99"/>
                <w:sz w:val="18"/>
              </w:rPr>
              <w:t>-</w:t>
            </w:r>
            <w:r>
              <w:rPr>
                <w:rFonts w:ascii="Arial"/>
                <w:sz w:val="18"/>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7"/>
              <w:jc w:val="right"/>
              <w:rPr>
                <w:rFonts w:ascii="Arial" w:hAnsi="Arial" w:cs="Arial" w:eastAsia="Arial" w:hint="default"/>
                <w:sz w:val="18"/>
                <w:szCs w:val="18"/>
              </w:rPr>
            </w:pPr>
            <w:r>
              <w:rPr>
                <w:rFonts w:ascii="Arial"/>
                <w:w w:val="99"/>
                <w:sz w:val="18"/>
              </w:rPr>
              <w:t>-</w:t>
            </w:r>
            <w:r>
              <w:rPr>
                <w:rFonts w:ascii="Arial"/>
                <w:sz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216" w:lineRule="exact"/>
              <w:ind w:right="97"/>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53" w:hRule="exact"/>
        </w:trPr>
        <w:tc>
          <w:tcPr>
            <w:tcW w:w="793"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195" w:lineRule="exact"/>
              <w:ind w:left="225" w:right="0"/>
              <w:jc w:val="left"/>
              <w:rPr>
                <w:rFonts w:ascii="宋体" w:hAnsi="宋体" w:cs="宋体" w:eastAsia="宋体" w:hint="default"/>
                <w:sz w:val="18"/>
                <w:szCs w:val="18"/>
              </w:rPr>
            </w:pPr>
            <w:r>
              <w:rPr>
                <w:rFonts w:ascii="宋体" w:hAnsi="宋体" w:cs="宋体" w:eastAsia="宋体" w:hint="default"/>
                <w:sz w:val="18"/>
                <w:szCs w:val="18"/>
              </w:rPr>
              <w:t>重庆物流基地</w:t>
            </w: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6"/>
              <w:jc w:val="right"/>
              <w:rPr>
                <w:rFonts w:ascii="Arial" w:hAnsi="Arial" w:cs="Arial" w:eastAsia="Arial" w:hint="default"/>
                <w:sz w:val="18"/>
                <w:szCs w:val="18"/>
              </w:rPr>
            </w:pPr>
            <w:r>
              <w:rPr>
                <w:rFonts w:ascii="Arial"/>
                <w:spacing w:val="-1"/>
                <w:sz w:val="18"/>
              </w:rPr>
              <w:t>210,699</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4"/>
              <w:jc w:val="right"/>
              <w:rPr>
                <w:rFonts w:ascii="Arial" w:hAnsi="Arial" w:cs="Arial" w:eastAsia="Arial" w:hint="default"/>
                <w:sz w:val="18"/>
                <w:szCs w:val="18"/>
              </w:rPr>
            </w:pPr>
            <w:r>
              <w:rPr>
                <w:rFonts w:ascii="Arial"/>
                <w:spacing w:val="-2"/>
                <w:w w:val="95"/>
                <w:sz w:val="18"/>
              </w:rPr>
              <w:t>118,043</w:t>
            </w:r>
            <w:r>
              <w:rPr>
                <w:rFonts w:ascii="Arial"/>
                <w:spacing w:val="-2"/>
                <w:sz w:val="18"/>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1"/>
              <w:jc w:val="right"/>
              <w:rPr>
                <w:rFonts w:ascii="Arial" w:hAnsi="Arial" w:cs="Arial" w:eastAsia="Arial" w:hint="default"/>
                <w:sz w:val="18"/>
                <w:szCs w:val="18"/>
              </w:rPr>
            </w:pPr>
            <w:r>
              <w:rPr>
                <w:rFonts w:ascii="Arial"/>
                <w:spacing w:val="-1"/>
                <w:sz w:val="18"/>
              </w:rPr>
              <w:t>92,656</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2"/>
              <w:jc w:val="right"/>
              <w:rPr>
                <w:rFonts w:ascii="Arial" w:hAnsi="Arial" w:cs="Arial" w:eastAsia="Arial" w:hint="default"/>
                <w:sz w:val="18"/>
                <w:szCs w:val="18"/>
              </w:rPr>
            </w:pPr>
            <w:r>
              <w:rPr>
                <w:rFonts w:ascii="Arial"/>
                <w:spacing w:val="-1"/>
                <w:sz w:val="18"/>
              </w:rPr>
              <w:t>(210,699)</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6"/>
              <w:jc w:val="right"/>
              <w:rPr>
                <w:rFonts w:ascii="Arial" w:hAnsi="Arial" w:cs="Arial" w:eastAsia="Arial" w:hint="default"/>
                <w:sz w:val="18"/>
                <w:szCs w:val="18"/>
              </w:rPr>
            </w:pPr>
            <w:r>
              <w:rPr>
                <w:rFonts w:ascii="Arial"/>
                <w:w w:val="99"/>
                <w:sz w:val="18"/>
              </w:rPr>
              <w:t>-</w:t>
            </w:r>
            <w:r>
              <w:rPr>
                <w:rFonts w:ascii="Arial"/>
                <w:sz w:val="18"/>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6"/>
              <w:jc w:val="right"/>
              <w:rPr>
                <w:rFonts w:ascii="Arial" w:hAnsi="Arial" w:cs="Arial" w:eastAsia="Arial" w:hint="default"/>
                <w:sz w:val="18"/>
                <w:szCs w:val="18"/>
              </w:rPr>
            </w:pPr>
            <w:r>
              <w:rPr>
                <w:rFonts w:ascii="Arial"/>
                <w:w w:val="99"/>
                <w:sz w:val="18"/>
              </w:rPr>
              <w:t>-</w:t>
            </w:r>
            <w:r>
              <w:rPr>
                <w:rFonts w:ascii="Arial"/>
                <w:sz w:val="18"/>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spacing w:val="-1"/>
                <w:sz w:val="18"/>
              </w:rPr>
              <w:t>100.00%</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已完工转固</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1"/>
              <w:jc w:val="right"/>
              <w:rPr>
                <w:rFonts w:ascii="Arial" w:hAnsi="Arial" w:cs="Arial" w:eastAsia="Arial" w:hint="default"/>
                <w:sz w:val="18"/>
                <w:szCs w:val="18"/>
              </w:rPr>
            </w:pPr>
            <w:r>
              <w:rPr>
                <w:rFonts w:ascii="Arial"/>
                <w:w w:val="99"/>
                <w:sz w:val="18"/>
              </w:rPr>
              <w:t>-</w:t>
            </w:r>
            <w:r>
              <w:rPr>
                <w:rFonts w:ascii="Arial"/>
                <w:sz w:val="18"/>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0"/>
              <w:jc w:val="right"/>
              <w:rPr>
                <w:rFonts w:ascii="Arial" w:hAnsi="Arial" w:cs="Arial" w:eastAsia="Arial" w:hint="default"/>
                <w:sz w:val="18"/>
                <w:szCs w:val="18"/>
              </w:rPr>
            </w:pPr>
            <w:r>
              <w:rPr>
                <w:rFonts w:ascii="Arial"/>
                <w:w w:val="99"/>
                <w:sz w:val="18"/>
              </w:rPr>
              <w:t>-</w:t>
            </w:r>
            <w:r>
              <w:rPr>
                <w:rFonts w:ascii="Arial"/>
                <w:sz w:val="18"/>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募集资金</w:t>
            </w:r>
          </w:p>
        </w:tc>
      </w:tr>
    </w:tbl>
    <w:p>
      <w:pPr>
        <w:spacing w:after="0" w:line="240" w:lineRule="auto"/>
        <w:jc w:val="center"/>
        <w:rPr>
          <w:rFonts w:ascii="宋体" w:hAnsi="宋体" w:cs="宋体" w:eastAsia="宋体" w:hint="default"/>
          <w:sz w:val="18"/>
          <w:szCs w:val="18"/>
        </w:rPr>
        <w:sectPr>
          <w:pgSz w:w="16850" w:h="11910" w:orient="landscape"/>
          <w:pgMar w:header="1227" w:footer="706" w:top="2440" w:bottom="900" w:left="460" w:right="0"/>
        </w:sectPr>
      </w:pPr>
    </w:p>
    <w:p>
      <w:pPr>
        <w:spacing w:line="240" w:lineRule="auto" w:before="10"/>
        <w:rPr>
          <w:rFonts w:ascii="Times New Roman" w:hAnsi="Times New Roman" w:cs="Times New Roman" w:eastAsia="Times New Roman" w:hint="default"/>
          <w:sz w:val="11"/>
          <w:szCs w:val="11"/>
        </w:rPr>
      </w:pPr>
      <w:r>
        <w:rPr/>
        <w:pict>
          <v:shape style="position:absolute;margin-left:707.039978pt;margin-top:518.320007pt;width:135pt;height:77pt;mso-position-horizontal-relative:page;mso-position-vertical-relative:page;z-index:3592" type="#_x0000_t75" stroked="false">
            <v:imagedata r:id="rId10" o:title=""/>
          </v:shape>
        </w:pict>
      </w:r>
    </w:p>
    <w:tbl>
      <w:tblPr>
        <w:tblW w:w="0" w:type="auto"/>
        <w:jc w:val="left"/>
        <w:tblInd w:w="106" w:type="dxa"/>
        <w:tblLayout w:type="fixed"/>
        <w:tblCellMar>
          <w:top w:w="0" w:type="dxa"/>
          <w:left w:w="0" w:type="dxa"/>
          <w:bottom w:w="0" w:type="dxa"/>
          <w:right w:w="0" w:type="dxa"/>
        </w:tblCellMar>
        <w:tblLook w:val="01E0"/>
      </w:tblPr>
      <w:tblGrid>
        <w:gridCol w:w="793"/>
        <w:gridCol w:w="1458"/>
        <w:gridCol w:w="858"/>
        <w:gridCol w:w="1044"/>
        <w:gridCol w:w="963"/>
        <w:gridCol w:w="1234"/>
        <w:gridCol w:w="989"/>
        <w:gridCol w:w="1080"/>
        <w:gridCol w:w="1698"/>
        <w:gridCol w:w="1562"/>
        <w:gridCol w:w="1080"/>
        <w:gridCol w:w="1142"/>
        <w:gridCol w:w="997"/>
        <w:gridCol w:w="1181"/>
      </w:tblGrid>
      <w:tr>
        <w:trPr>
          <w:trHeight w:val="495"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360"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165"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96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r>
      <w:tr>
        <w:trPr>
          <w:trHeight w:val="747"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(13)</w:t>
            </w:r>
          </w:p>
        </w:tc>
        <w:tc>
          <w:tcPr>
            <w:tcW w:w="23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165" w:right="0"/>
              <w:jc w:val="left"/>
              <w:rPr>
                <w:rFonts w:ascii="Arial" w:hAnsi="Arial" w:cs="Arial" w:eastAsia="Arial" w:hint="default"/>
                <w:sz w:val="24"/>
                <w:szCs w:val="24"/>
              </w:rPr>
            </w:pPr>
            <w:r>
              <w:rPr>
                <w:rFonts w:ascii="黑体" w:hAnsi="黑体" w:cs="黑体" w:eastAsia="黑体" w:hint="default"/>
                <w:sz w:val="24"/>
                <w:szCs w:val="24"/>
              </w:rPr>
              <w:t>在建工程</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44"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r>
      <w:tr>
        <w:trPr>
          <w:trHeight w:val="746"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(a)</w:t>
            </w:r>
          </w:p>
        </w:tc>
        <w:tc>
          <w:tcPr>
            <w:tcW w:w="33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7"/>
              <w:ind w:left="165" w:right="0"/>
              <w:jc w:val="left"/>
              <w:rPr>
                <w:rFonts w:ascii="Arial" w:hAnsi="Arial" w:cs="Arial" w:eastAsia="Arial" w:hint="default"/>
                <w:sz w:val="24"/>
                <w:szCs w:val="24"/>
              </w:rPr>
            </w:pPr>
            <w:r>
              <w:rPr>
                <w:rFonts w:ascii="宋体" w:hAnsi="宋体" w:cs="宋体" w:eastAsia="宋体" w:hint="default"/>
                <w:sz w:val="24"/>
                <w:szCs w:val="24"/>
              </w:rPr>
              <w:t>重大在建工程项目变动</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96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r>
      <w:tr>
        <w:trPr>
          <w:trHeight w:val="1184" w:hRule="exact"/>
        </w:trPr>
        <w:tc>
          <w:tcPr>
            <w:tcW w:w="793"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403"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0" w:lineRule="auto" w:before="23"/>
              <w:ind w:left="12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8" w:lineRule="auto"/>
              <w:ind w:left="216" w:right="34" w:hanging="108"/>
              <w:jc w:val="center"/>
              <w:rPr>
                <w:rFonts w:ascii="Arial" w:hAnsi="Arial" w:cs="Arial" w:eastAsia="Arial" w:hint="default"/>
                <w:sz w:val="18"/>
                <w:szCs w:val="18"/>
              </w:rPr>
            </w:pPr>
            <w:r>
              <w:rPr>
                <w:rFonts w:ascii="宋体" w:hAnsi="宋体" w:cs="宋体" w:eastAsia="宋体" w:hint="default"/>
                <w:sz w:val="18"/>
                <w:szCs w:val="18"/>
              </w:rPr>
              <w:t>本年转入 固定资产 </w:t>
            </w:r>
            <w:r>
              <w:rPr>
                <w:rFonts w:ascii="Arial" w:hAnsi="Arial" w:cs="Arial" w:eastAsia="Arial" w:hint="default"/>
                <w:sz w:val="18"/>
                <w:szCs w:val="18"/>
              </w:rPr>
              <w:t>(</w:t>
            </w:r>
            <w:r>
              <w:rPr>
                <w:rFonts w:ascii="宋体" w:hAnsi="宋体" w:cs="宋体" w:eastAsia="宋体" w:hint="default"/>
                <w:sz w:val="18"/>
                <w:szCs w:val="18"/>
              </w:rPr>
              <w:t>附注五</w:t>
            </w:r>
            <w:r>
              <w:rPr>
                <w:rFonts w:ascii="Arial" w:hAnsi="Arial" w:cs="Arial" w:eastAsia="Arial" w:hint="default"/>
                <w:sz w:val="18"/>
                <w:szCs w:val="18"/>
              </w:rPr>
              <w:t>(12))</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424"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23"/>
              <w:ind w:left="156"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4" w:lineRule="exact"/>
              <w:ind w:left="62" w:right="0"/>
              <w:jc w:val="left"/>
              <w:rPr>
                <w:rFonts w:ascii="宋体" w:hAnsi="宋体" w:cs="宋体" w:eastAsia="宋体" w:hint="default"/>
                <w:sz w:val="18"/>
                <w:szCs w:val="18"/>
              </w:rPr>
            </w:pPr>
            <w:r>
              <w:rPr>
                <w:rFonts w:ascii="宋体" w:hAnsi="宋体" w:cs="宋体" w:eastAsia="宋体" w:hint="default"/>
                <w:sz w:val="18"/>
                <w:szCs w:val="18"/>
              </w:rPr>
              <w:t>工程投入占预</w:t>
            </w:r>
          </w:p>
          <w:p>
            <w:pPr>
              <w:pStyle w:val="TableParagraph"/>
              <w:spacing w:line="234" w:lineRule="exact"/>
              <w:ind w:left="422" w:right="0"/>
              <w:jc w:val="left"/>
              <w:rPr>
                <w:rFonts w:ascii="宋体" w:hAnsi="宋体" w:cs="宋体" w:eastAsia="宋体" w:hint="default"/>
                <w:sz w:val="18"/>
                <w:szCs w:val="18"/>
              </w:rPr>
            </w:pPr>
            <w:r>
              <w:rPr>
                <w:rFonts w:ascii="宋体" w:hAnsi="宋体" w:cs="宋体" w:eastAsia="宋体" w:hint="default"/>
                <w:sz w:val="18"/>
                <w:szCs w:val="18"/>
              </w:rPr>
              <w:t>算的比例</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12"/>
              <w:jc w:val="right"/>
              <w:rPr>
                <w:rFonts w:ascii="宋体" w:hAnsi="宋体" w:cs="宋体" w:eastAsia="宋体" w:hint="default"/>
                <w:sz w:val="18"/>
                <w:szCs w:val="18"/>
              </w:rPr>
            </w:pPr>
            <w:r>
              <w:rPr>
                <w:rFonts w:ascii="宋体" w:hAnsi="宋体" w:cs="宋体" w:eastAsia="宋体" w:hint="default"/>
                <w:sz w:val="18"/>
                <w:szCs w:val="18"/>
              </w:rPr>
              <w:t>工程进度</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37" w:lineRule="auto"/>
              <w:ind w:left="129" w:right="228"/>
              <w:jc w:val="right"/>
              <w:rPr>
                <w:rFonts w:ascii="宋体" w:hAnsi="宋体" w:cs="宋体" w:eastAsia="宋体" w:hint="default"/>
                <w:sz w:val="18"/>
                <w:szCs w:val="18"/>
              </w:rPr>
            </w:pPr>
            <w:r>
              <w:rPr>
                <w:rFonts w:ascii="宋体" w:hAnsi="宋体" w:cs="宋体" w:eastAsia="宋体" w:hint="default"/>
                <w:sz w:val="18"/>
                <w:szCs w:val="18"/>
              </w:rPr>
              <w:t>借款费用 资本化累 计金额</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13" w:right="26" w:hanging="111"/>
              <w:jc w:val="left"/>
              <w:rPr>
                <w:rFonts w:ascii="宋体" w:hAnsi="宋体" w:cs="宋体" w:eastAsia="宋体" w:hint="default"/>
                <w:sz w:val="18"/>
                <w:szCs w:val="18"/>
              </w:rPr>
            </w:pPr>
            <w:r>
              <w:rPr>
                <w:rFonts w:ascii="宋体" w:hAnsi="宋体" w:cs="宋体" w:eastAsia="宋体" w:hint="default"/>
                <w:spacing w:val="-12"/>
                <w:sz w:val="18"/>
                <w:szCs w:val="18"/>
              </w:rPr>
              <w:t>其中：本年借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款费用资本</w:t>
            </w:r>
          </w:p>
          <w:p>
            <w:pPr>
              <w:pStyle w:val="TableParagraph"/>
              <w:spacing w:line="230" w:lineRule="exact"/>
              <w:ind w:left="573" w:right="0"/>
              <w:jc w:val="left"/>
              <w:rPr>
                <w:rFonts w:ascii="宋体" w:hAnsi="宋体" w:cs="宋体" w:eastAsia="宋体" w:hint="default"/>
                <w:sz w:val="18"/>
                <w:szCs w:val="18"/>
              </w:rPr>
            </w:pPr>
            <w:r>
              <w:rPr>
                <w:rFonts w:ascii="宋体" w:hAnsi="宋体" w:cs="宋体" w:eastAsia="宋体" w:hint="default"/>
                <w:sz w:val="18"/>
                <w:szCs w:val="18"/>
              </w:rPr>
              <w:t>化金额</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96" w:right="78"/>
              <w:jc w:val="left"/>
              <w:rPr>
                <w:rFonts w:ascii="宋体" w:hAnsi="宋体" w:cs="宋体" w:eastAsia="宋体" w:hint="default"/>
                <w:sz w:val="18"/>
                <w:szCs w:val="18"/>
              </w:rPr>
            </w:pPr>
            <w:r>
              <w:rPr>
                <w:rFonts w:ascii="宋体" w:hAnsi="宋体" w:cs="宋体" w:eastAsia="宋体" w:hint="default"/>
                <w:sz w:val="18"/>
                <w:szCs w:val="18"/>
              </w:rPr>
              <w:t>本年借款 费用资本</w:t>
            </w:r>
          </w:p>
          <w:p>
            <w:pPr>
              <w:pStyle w:val="TableParagraph"/>
              <w:spacing w:line="230" w:lineRule="exact"/>
              <w:ind w:left="556" w:right="0"/>
              <w:jc w:val="left"/>
              <w:rPr>
                <w:rFonts w:ascii="宋体" w:hAnsi="宋体" w:cs="宋体" w:eastAsia="宋体" w:hint="default"/>
                <w:sz w:val="18"/>
                <w:szCs w:val="18"/>
              </w:rPr>
            </w:pPr>
            <w:r>
              <w:rPr>
                <w:rFonts w:ascii="宋体" w:hAnsi="宋体" w:cs="宋体" w:eastAsia="宋体" w:hint="default"/>
                <w:sz w:val="18"/>
                <w:szCs w:val="18"/>
              </w:rPr>
              <w:t>化率</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60"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699" w:hRule="exact"/>
        </w:trPr>
        <w:tc>
          <w:tcPr>
            <w:tcW w:w="793"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34" w:lineRule="exact"/>
              <w:ind w:left="316" w:right="10" w:hanging="152"/>
              <w:jc w:val="left"/>
              <w:rPr>
                <w:rFonts w:ascii="宋体" w:hAnsi="宋体" w:cs="宋体" w:eastAsia="宋体" w:hint="default"/>
                <w:sz w:val="18"/>
                <w:szCs w:val="18"/>
              </w:rPr>
            </w:pPr>
            <w:r>
              <w:rPr>
                <w:rFonts w:ascii="宋体" w:hAnsi="宋体" w:cs="宋体" w:eastAsia="宋体" w:hint="default"/>
                <w:spacing w:val="27"/>
                <w:sz w:val="18"/>
                <w:szCs w:val="18"/>
              </w:rPr>
              <w:t>北京物流基地</w:t>
            </w:r>
            <w:r>
              <w:rPr>
                <w:rFonts w:ascii="宋体" w:hAnsi="宋体" w:cs="宋体" w:eastAsia="宋体" w:hint="default"/>
                <w:spacing w:val="-88"/>
                <w:sz w:val="18"/>
                <w:szCs w:val="18"/>
              </w:rPr>
              <w:t> </w:t>
            </w:r>
            <w:r>
              <w:rPr>
                <w:rFonts w:ascii="宋体" w:hAnsi="宋体" w:cs="宋体" w:eastAsia="宋体" w:hint="default"/>
                <w:sz w:val="18"/>
                <w:szCs w:val="18"/>
              </w:rPr>
              <w:t>二期工程</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33"/>
              <w:jc w:val="right"/>
              <w:rPr>
                <w:rFonts w:ascii="Arial" w:hAnsi="Arial" w:cs="Arial" w:eastAsia="Arial" w:hint="default"/>
                <w:sz w:val="18"/>
                <w:szCs w:val="18"/>
              </w:rPr>
            </w:pPr>
            <w:r>
              <w:rPr>
                <w:rFonts w:ascii="Arial"/>
                <w:spacing w:val="-1"/>
                <w:sz w:val="18"/>
              </w:rPr>
              <w:t>237,459</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53"/>
              <w:jc w:val="right"/>
              <w:rPr>
                <w:rFonts w:ascii="Arial" w:hAnsi="Arial" w:cs="Arial" w:eastAsia="Arial" w:hint="default"/>
                <w:sz w:val="18"/>
                <w:szCs w:val="18"/>
              </w:rPr>
            </w:pPr>
            <w:r>
              <w:rPr>
                <w:rFonts w:ascii="Arial"/>
                <w:spacing w:val="-1"/>
                <w:sz w:val="18"/>
              </w:rPr>
              <w:t>97,221</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6"/>
              <w:jc w:val="right"/>
              <w:rPr>
                <w:rFonts w:ascii="Arial" w:hAnsi="Arial" w:cs="Arial" w:eastAsia="Arial" w:hint="default"/>
                <w:sz w:val="18"/>
                <w:szCs w:val="18"/>
              </w:rPr>
            </w:pPr>
            <w:r>
              <w:rPr>
                <w:rFonts w:ascii="Arial"/>
                <w:spacing w:val="-1"/>
                <w:sz w:val="18"/>
              </w:rPr>
              <w:t>140,238</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Arial" w:hAnsi="Arial" w:cs="Arial" w:eastAsia="Arial" w:hint="default"/>
                <w:sz w:val="18"/>
                <w:szCs w:val="18"/>
              </w:rPr>
            </w:pPr>
            <w:r>
              <w:rPr>
                <w:rFonts w:ascii="Arial"/>
                <w:spacing w:val="-1"/>
                <w:sz w:val="18"/>
              </w:rPr>
              <w:t>(237,459)</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Arial" w:hAnsi="Arial" w:cs="Arial" w:eastAsia="Arial" w:hint="default"/>
                <w:sz w:val="18"/>
                <w:szCs w:val="18"/>
              </w:rPr>
            </w:pPr>
            <w:r>
              <w:rPr>
                <w:rFonts w:ascii="Arial"/>
                <w:w w:val="99"/>
                <w:sz w:val="18"/>
              </w:rPr>
              <w:t>-</w:t>
            </w:r>
            <w:r>
              <w:rPr>
                <w:rFonts w:ascii="Arial"/>
                <w:sz w:val="18"/>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53"/>
              <w:jc w:val="right"/>
              <w:rPr>
                <w:rFonts w:ascii="Arial" w:hAnsi="Arial" w:cs="Arial" w:eastAsia="Arial" w:hint="default"/>
                <w:sz w:val="18"/>
                <w:szCs w:val="18"/>
              </w:rPr>
            </w:pPr>
            <w:r>
              <w:rPr>
                <w:rFonts w:ascii="Arial"/>
                <w:w w:val="99"/>
                <w:sz w:val="18"/>
              </w:rPr>
              <w:t>-</w:t>
            </w:r>
            <w:r>
              <w:rPr>
                <w:rFonts w:ascii="Arial"/>
                <w:sz w:val="18"/>
              </w:rPr>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05" w:right="0"/>
              <w:jc w:val="left"/>
              <w:rPr>
                <w:rFonts w:ascii="Arial" w:hAnsi="Arial" w:cs="Arial" w:eastAsia="Arial" w:hint="default"/>
                <w:sz w:val="18"/>
                <w:szCs w:val="18"/>
              </w:rPr>
            </w:pPr>
            <w:r>
              <w:rPr>
                <w:rFonts w:ascii="Arial"/>
                <w:sz w:val="18"/>
              </w:rPr>
              <w:t>100.00%</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已完工转固</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89"/>
              <w:jc w:val="right"/>
              <w:rPr>
                <w:rFonts w:ascii="Arial" w:hAnsi="Arial" w:cs="Arial" w:eastAsia="Arial" w:hint="default"/>
                <w:sz w:val="18"/>
                <w:szCs w:val="18"/>
              </w:rPr>
            </w:pPr>
            <w:r>
              <w:rPr>
                <w:rFonts w:ascii="Arial"/>
                <w:w w:val="99"/>
                <w:sz w:val="18"/>
              </w:rPr>
              <w:t>-</w:t>
            </w:r>
            <w:r>
              <w:rPr>
                <w:rFonts w:ascii="Arial"/>
                <w:sz w:val="18"/>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60"/>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16"/>
              <w:jc w:val="right"/>
              <w:rPr>
                <w:rFonts w:ascii="Arial" w:hAnsi="Arial" w:cs="Arial" w:eastAsia="Arial" w:hint="default"/>
                <w:sz w:val="18"/>
                <w:szCs w:val="18"/>
              </w:rPr>
            </w:pPr>
            <w:r>
              <w:rPr>
                <w:rFonts w:ascii="Arial"/>
                <w:w w:val="99"/>
                <w:sz w:val="18"/>
              </w:rPr>
              <w:t>-</w:t>
            </w:r>
            <w:r>
              <w:rPr>
                <w:rFonts w:ascii="Arial"/>
                <w:sz w:val="18"/>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34" w:lineRule="exact"/>
              <w:ind w:left="260" w:right="198" w:hanging="180"/>
              <w:jc w:val="left"/>
              <w:rPr>
                <w:rFonts w:ascii="宋体" w:hAnsi="宋体" w:cs="宋体" w:eastAsia="宋体" w:hint="default"/>
                <w:sz w:val="18"/>
                <w:szCs w:val="18"/>
              </w:rPr>
            </w:pPr>
            <w:r>
              <w:rPr>
                <w:rFonts w:ascii="宋体" w:hAnsi="宋体" w:cs="宋体" w:eastAsia="宋体" w:hint="default"/>
                <w:sz w:val="18"/>
                <w:szCs w:val="18"/>
              </w:rPr>
              <w:t>募集资金及 自有资金</w:t>
            </w:r>
          </w:p>
        </w:tc>
      </w:tr>
      <w:tr>
        <w:trPr>
          <w:trHeight w:val="313" w:hRule="exact"/>
        </w:trPr>
        <w:tc>
          <w:tcPr>
            <w:tcW w:w="793"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重庆长寿店</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33"/>
              <w:jc w:val="right"/>
              <w:rPr>
                <w:rFonts w:ascii="Arial" w:hAnsi="Arial" w:cs="Arial" w:eastAsia="Arial" w:hint="default"/>
                <w:sz w:val="18"/>
                <w:szCs w:val="18"/>
              </w:rPr>
            </w:pPr>
            <w:r>
              <w:rPr>
                <w:rFonts w:ascii="Arial"/>
                <w:spacing w:val="-1"/>
                <w:sz w:val="18"/>
              </w:rPr>
              <w:t>92,669</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2"/>
              <w:jc w:val="right"/>
              <w:rPr>
                <w:rFonts w:ascii="Arial" w:hAnsi="Arial" w:cs="Arial" w:eastAsia="Arial" w:hint="default"/>
                <w:sz w:val="18"/>
                <w:szCs w:val="18"/>
              </w:rPr>
            </w:pPr>
            <w:r>
              <w:rPr>
                <w:rFonts w:ascii="Arial"/>
                <w:spacing w:val="-1"/>
                <w:sz w:val="18"/>
              </w:rPr>
              <w:t>72,750</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7"/>
              <w:jc w:val="right"/>
              <w:rPr>
                <w:rFonts w:ascii="Arial" w:hAnsi="Arial" w:cs="Arial" w:eastAsia="Arial" w:hint="default"/>
                <w:sz w:val="18"/>
                <w:szCs w:val="18"/>
              </w:rPr>
            </w:pPr>
            <w:r>
              <w:rPr>
                <w:rFonts w:ascii="Arial"/>
                <w:spacing w:val="-1"/>
                <w:sz w:val="18"/>
              </w:rPr>
              <w:t>19,919</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5"/>
              <w:jc w:val="right"/>
              <w:rPr>
                <w:rFonts w:ascii="Arial" w:hAnsi="Arial" w:cs="Arial" w:eastAsia="Arial" w:hint="default"/>
                <w:sz w:val="18"/>
                <w:szCs w:val="18"/>
              </w:rPr>
            </w:pPr>
            <w:r>
              <w:rPr>
                <w:rFonts w:ascii="Arial"/>
                <w:spacing w:val="-1"/>
                <w:sz w:val="18"/>
              </w:rPr>
              <w:t>(92,669)</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0"/>
              <w:jc w:val="right"/>
              <w:rPr>
                <w:rFonts w:ascii="Arial" w:hAnsi="Arial" w:cs="Arial" w:eastAsia="Arial" w:hint="default"/>
                <w:sz w:val="18"/>
                <w:szCs w:val="18"/>
              </w:rPr>
            </w:pPr>
            <w:r>
              <w:rPr>
                <w:rFonts w:ascii="Arial"/>
                <w:w w:val="99"/>
                <w:sz w:val="18"/>
              </w:rPr>
              <w:t>-</w:t>
            </w:r>
            <w:r>
              <w:rPr>
                <w:rFonts w:ascii="Arial"/>
                <w:sz w:val="18"/>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3"/>
              <w:jc w:val="right"/>
              <w:rPr>
                <w:rFonts w:ascii="Arial" w:hAnsi="Arial" w:cs="Arial" w:eastAsia="Arial" w:hint="default"/>
                <w:sz w:val="18"/>
                <w:szCs w:val="18"/>
              </w:rPr>
            </w:pPr>
            <w:r>
              <w:rPr>
                <w:rFonts w:ascii="Arial"/>
                <w:w w:val="99"/>
                <w:sz w:val="18"/>
              </w:rPr>
              <w:t>-</w:t>
            </w:r>
            <w:r>
              <w:rPr>
                <w:rFonts w:ascii="Arial"/>
                <w:sz w:val="18"/>
              </w:rPr>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05" w:right="0"/>
              <w:jc w:val="left"/>
              <w:rPr>
                <w:rFonts w:ascii="Arial" w:hAnsi="Arial" w:cs="Arial" w:eastAsia="Arial" w:hint="default"/>
                <w:sz w:val="18"/>
                <w:szCs w:val="18"/>
              </w:rPr>
            </w:pPr>
            <w:r>
              <w:rPr>
                <w:rFonts w:ascii="Arial"/>
                <w:sz w:val="18"/>
              </w:rPr>
              <w:t>100.00%</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已完工转固</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Arial" w:hAnsi="Arial" w:cs="Arial" w:eastAsia="Arial" w:hint="default"/>
                <w:sz w:val="18"/>
                <w:szCs w:val="18"/>
              </w:rPr>
            </w:pPr>
            <w:r>
              <w:rPr>
                <w:rFonts w:ascii="Arial"/>
                <w:w w:val="99"/>
                <w:sz w:val="18"/>
              </w:rPr>
              <w:t>-</w:t>
            </w:r>
            <w:r>
              <w:rPr>
                <w:rFonts w:ascii="Arial"/>
                <w:sz w:val="18"/>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0"/>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6"/>
              <w:jc w:val="right"/>
              <w:rPr>
                <w:rFonts w:ascii="Arial" w:hAnsi="Arial" w:cs="Arial" w:eastAsia="Arial" w:hint="default"/>
                <w:sz w:val="18"/>
                <w:szCs w:val="18"/>
              </w:rPr>
            </w:pPr>
            <w:r>
              <w:rPr>
                <w:rFonts w:ascii="Arial"/>
                <w:w w:val="99"/>
                <w:sz w:val="18"/>
              </w:rPr>
              <w:t>-</w:t>
            </w:r>
            <w:r>
              <w:rPr>
                <w:rFonts w:ascii="Arial"/>
                <w:sz w:val="18"/>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ind w:left="60" w:right="0"/>
              <w:jc w:val="center"/>
              <w:rPr>
                <w:rFonts w:ascii="宋体" w:hAnsi="宋体" w:cs="宋体" w:eastAsia="宋体" w:hint="default"/>
                <w:sz w:val="18"/>
                <w:szCs w:val="18"/>
              </w:rPr>
            </w:pPr>
            <w:r>
              <w:rPr>
                <w:rFonts w:ascii="宋体" w:hAnsi="宋体" w:cs="宋体" w:eastAsia="宋体" w:hint="default"/>
                <w:sz w:val="18"/>
                <w:szCs w:val="18"/>
              </w:rPr>
              <w:t>募集资金</w:t>
            </w:r>
          </w:p>
        </w:tc>
      </w:tr>
      <w:tr>
        <w:trPr>
          <w:trHeight w:val="313" w:hRule="exact"/>
        </w:trPr>
        <w:tc>
          <w:tcPr>
            <w:tcW w:w="793"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盐城物流项目</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3"/>
              <w:jc w:val="right"/>
              <w:rPr>
                <w:rFonts w:ascii="Arial" w:hAnsi="Arial" w:cs="Arial" w:eastAsia="Arial" w:hint="default"/>
                <w:sz w:val="18"/>
                <w:szCs w:val="18"/>
              </w:rPr>
            </w:pPr>
            <w:r>
              <w:rPr>
                <w:rFonts w:ascii="Arial"/>
                <w:spacing w:val="-2"/>
                <w:sz w:val="18"/>
              </w:rPr>
              <w:t>119,570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3"/>
              <w:jc w:val="right"/>
              <w:rPr>
                <w:rFonts w:ascii="Arial" w:hAnsi="Arial" w:cs="Arial" w:eastAsia="Arial" w:hint="default"/>
                <w:sz w:val="18"/>
                <w:szCs w:val="18"/>
              </w:rPr>
            </w:pPr>
            <w:r>
              <w:rPr>
                <w:rFonts w:ascii="Arial"/>
                <w:spacing w:val="-1"/>
                <w:sz w:val="18"/>
              </w:rPr>
              <w:t>54,099</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
              <w:jc w:val="right"/>
              <w:rPr>
                <w:rFonts w:ascii="Arial" w:hAnsi="Arial" w:cs="Arial" w:eastAsia="Arial" w:hint="default"/>
                <w:sz w:val="18"/>
                <w:szCs w:val="18"/>
              </w:rPr>
            </w:pPr>
            <w:r>
              <w:rPr>
                <w:rFonts w:ascii="Arial"/>
                <w:spacing w:val="-1"/>
                <w:sz w:val="18"/>
              </w:rPr>
              <w:t>65,471</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
              <w:jc w:val="right"/>
              <w:rPr>
                <w:rFonts w:ascii="Arial" w:hAnsi="Arial" w:cs="Arial" w:eastAsia="Arial" w:hint="default"/>
                <w:sz w:val="18"/>
                <w:szCs w:val="18"/>
              </w:rPr>
            </w:pPr>
            <w:r>
              <w:rPr>
                <w:rFonts w:ascii="Arial"/>
                <w:spacing w:val="-2"/>
                <w:sz w:val="18"/>
              </w:rPr>
              <w:t>(119,570)</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0"/>
              <w:jc w:val="right"/>
              <w:rPr>
                <w:rFonts w:ascii="Arial" w:hAnsi="Arial" w:cs="Arial" w:eastAsia="Arial" w:hint="default"/>
                <w:sz w:val="18"/>
                <w:szCs w:val="18"/>
              </w:rPr>
            </w:pPr>
            <w:r>
              <w:rPr>
                <w:rFonts w:ascii="Arial"/>
                <w:w w:val="99"/>
                <w:sz w:val="18"/>
              </w:rPr>
              <w:t>-</w:t>
            </w:r>
            <w:r>
              <w:rPr>
                <w:rFonts w:ascii="Arial"/>
                <w:sz w:val="18"/>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3"/>
              <w:jc w:val="right"/>
              <w:rPr>
                <w:rFonts w:ascii="Arial" w:hAnsi="Arial" w:cs="Arial" w:eastAsia="Arial" w:hint="default"/>
                <w:sz w:val="18"/>
                <w:szCs w:val="18"/>
              </w:rPr>
            </w:pPr>
            <w:r>
              <w:rPr>
                <w:rFonts w:ascii="Arial"/>
                <w:w w:val="99"/>
                <w:sz w:val="18"/>
              </w:rPr>
              <w:t>-</w:t>
            </w:r>
            <w:r>
              <w:rPr>
                <w:rFonts w:ascii="Arial"/>
                <w:sz w:val="18"/>
              </w:rPr>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05" w:right="0"/>
              <w:jc w:val="left"/>
              <w:rPr>
                <w:rFonts w:ascii="Arial" w:hAnsi="Arial" w:cs="Arial" w:eastAsia="Arial" w:hint="default"/>
                <w:sz w:val="18"/>
                <w:szCs w:val="18"/>
              </w:rPr>
            </w:pPr>
            <w:r>
              <w:rPr>
                <w:rFonts w:ascii="Arial"/>
                <w:sz w:val="18"/>
              </w:rPr>
              <w:t>100.00%</w:t>
            </w:r>
          </w:p>
        </w:tc>
        <w:tc>
          <w:tcPr>
            <w:tcW w:w="1562" w:type="dxa"/>
            <w:tcBorders>
              <w:top w:val="nil" w:sz="6" w:space="0" w:color="auto"/>
              <w:left w:val="nil" w:sz="6" w:space="0" w:color="auto"/>
              <w:bottom w:val="nil" w:sz="6" w:space="0" w:color="auto"/>
              <w:right w:val="nil" w:sz="6" w:space="0" w:color="auto"/>
            </w:tcBorders>
          </w:tcPr>
          <w:p>
            <w:pPr>
              <w:pStyle w:val="TableParagraph"/>
              <w:spacing w:line="234" w:lineRule="exact"/>
              <w:ind w:right="104"/>
              <w:jc w:val="right"/>
              <w:rPr>
                <w:rFonts w:ascii="宋体" w:hAnsi="宋体" w:cs="宋体" w:eastAsia="宋体" w:hint="default"/>
                <w:sz w:val="18"/>
                <w:szCs w:val="18"/>
              </w:rPr>
            </w:pPr>
            <w:r>
              <w:rPr>
                <w:rFonts w:ascii="宋体" w:hAnsi="宋体" w:cs="宋体" w:eastAsia="宋体" w:hint="default"/>
                <w:sz w:val="18"/>
                <w:szCs w:val="18"/>
              </w:rPr>
              <w:t>已完工转固</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
              <w:jc w:val="right"/>
              <w:rPr>
                <w:rFonts w:ascii="Arial" w:hAnsi="Arial" w:cs="Arial" w:eastAsia="Arial" w:hint="default"/>
                <w:sz w:val="18"/>
                <w:szCs w:val="18"/>
              </w:rPr>
            </w:pPr>
            <w:r>
              <w:rPr>
                <w:rFonts w:ascii="Arial"/>
                <w:w w:val="99"/>
                <w:sz w:val="18"/>
              </w:rPr>
              <w:t>-</w:t>
            </w:r>
            <w:r>
              <w:rPr>
                <w:rFonts w:ascii="Arial"/>
                <w:sz w:val="18"/>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6"/>
              <w:jc w:val="right"/>
              <w:rPr>
                <w:rFonts w:ascii="Arial" w:hAnsi="Arial" w:cs="Arial" w:eastAsia="Arial" w:hint="default"/>
                <w:sz w:val="18"/>
                <w:szCs w:val="18"/>
              </w:rPr>
            </w:pPr>
            <w:r>
              <w:rPr>
                <w:rFonts w:ascii="Arial"/>
                <w:w w:val="99"/>
                <w:sz w:val="18"/>
              </w:rPr>
              <w:t>-</w:t>
            </w:r>
            <w:r>
              <w:rPr>
                <w:rFonts w:ascii="Arial"/>
                <w:sz w:val="18"/>
              </w:rPr>
            </w:r>
          </w:p>
        </w:tc>
        <w:tc>
          <w:tcPr>
            <w:tcW w:w="1181" w:type="dxa"/>
            <w:tcBorders>
              <w:top w:val="nil" w:sz="6" w:space="0" w:color="auto"/>
              <w:left w:val="nil" w:sz="6" w:space="0" w:color="auto"/>
              <w:bottom w:val="nil" w:sz="6" w:space="0" w:color="auto"/>
              <w:right w:val="nil" w:sz="6" w:space="0" w:color="auto"/>
            </w:tcBorders>
          </w:tcPr>
          <w:p>
            <w:pPr>
              <w:pStyle w:val="TableParagraph"/>
              <w:spacing w:line="234" w:lineRule="exact"/>
              <w:ind w:left="60" w:right="0"/>
              <w:jc w:val="center"/>
              <w:rPr>
                <w:rFonts w:ascii="宋体" w:hAnsi="宋体" w:cs="宋体" w:eastAsia="宋体" w:hint="default"/>
                <w:sz w:val="18"/>
                <w:szCs w:val="18"/>
              </w:rPr>
            </w:pPr>
            <w:r>
              <w:rPr>
                <w:rFonts w:ascii="宋体" w:hAnsi="宋体" w:cs="宋体" w:eastAsia="宋体" w:hint="default"/>
                <w:sz w:val="18"/>
                <w:szCs w:val="18"/>
              </w:rPr>
              <w:t>募集资金</w:t>
            </w:r>
          </w:p>
        </w:tc>
      </w:tr>
      <w:tr>
        <w:trPr>
          <w:trHeight w:val="313" w:hRule="exact"/>
        </w:trPr>
        <w:tc>
          <w:tcPr>
            <w:tcW w:w="793"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徐州物流项目</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33"/>
              <w:jc w:val="right"/>
              <w:rPr>
                <w:rFonts w:ascii="Arial" w:hAnsi="Arial" w:cs="Arial" w:eastAsia="Arial" w:hint="default"/>
                <w:sz w:val="18"/>
                <w:szCs w:val="18"/>
              </w:rPr>
            </w:pPr>
            <w:r>
              <w:rPr>
                <w:rFonts w:ascii="Arial"/>
                <w:spacing w:val="-1"/>
                <w:sz w:val="18"/>
              </w:rPr>
              <w:t>170,005</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3"/>
              <w:jc w:val="right"/>
              <w:rPr>
                <w:rFonts w:ascii="Arial" w:hAnsi="Arial" w:cs="Arial" w:eastAsia="Arial" w:hint="default"/>
                <w:sz w:val="18"/>
                <w:szCs w:val="18"/>
              </w:rPr>
            </w:pPr>
            <w:r>
              <w:rPr>
                <w:rFonts w:ascii="Arial"/>
                <w:spacing w:val="-1"/>
                <w:sz w:val="18"/>
              </w:rPr>
              <w:t>51,505</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6"/>
              <w:jc w:val="right"/>
              <w:rPr>
                <w:rFonts w:ascii="Arial" w:hAnsi="Arial" w:cs="Arial" w:eastAsia="Arial" w:hint="default"/>
                <w:sz w:val="18"/>
                <w:szCs w:val="18"/>
              </w:rPr>
            </w:pPr>
            <w:r>
              <w:rPr>
                <w:rFonts w:ascii="Arial"/>
                <w:spacing w:val="-2"/>
                <w:w w:val="95"/>
                <w:sz w:val="18"/>
              </w:rPr>
              <w:t>118,500</w:t>
            </w:r>
            <w:r>
              <w:rPr>
                <w:rFonts w:ascii="Arial"/>
                <w:spacing w:val="-2"/>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5"/>
              <w:jc w:val="right"/>
              <w:rPr>
                <w:rFonts w:ascii="Arial" w:hAnsi="Arial" w:cs="Arial" w:eastAsia="Arial" w:hint="default"/>
                <w:sz w:val="18"/>
                <w:szCs w:val="18"/>
              </w:rPr>
            </w:pPr>
            <w:r>
              <w:rPr>
                <w:rFonts w:ascii="Arial"/>
                <w:spacing w:val="-1"/>
                <w:sz w:val="18"/>
              </w:rPr>
              <w:t>(170,005)</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0"/>
              <w:jc w:val="right"/>
              <w:rPr>
                <w:rFonts w:ascii="Arial" w:hAnsi="Arial" w:cs="Arial" w:eastAsia="Arial" w:hint="default"/>
                <w:sz w:val="18"/>
                <w:szCs w:val="18"/>
              </w:rPr>
            </w:pPr>
            <w:r>
              <w:rPr>
                <w:rFonts w:ascii="Arial"/>
                <w:w w:val="99"/>
                <w:sz w:val="18"/>
              </w:rPr>
              <w:t>-</w:t>
            </w:r>
            <w:r>
              <w:rPr>
                <w:rFonts w:ascii="Arial"/>
                <w:sz w:val="18"/>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3"/>
              <w:jc w:val="right"/>
              <w:rPr>
                <w:rFonts w:ascii="Arial" w:hAnsi="Arial" w:cs="Arial" w:eastAsia="Arial" w:hint="default"/>
                <w:sz w:val="18"/>
                <w:szCs w:val="18"/>
              </w:rPr>
            </w:pPr>
            <w:r>
              <w:rPr>
                <w:rFonts w:ascii="Arial"/>
                <w:w w:val="99"/>
                <w:sz w:val="18"/>
              </w:rPr>
              <w:t>-</w:t>
            </w:r>
            <w:r>
              <w:rPr>
                <w:rFonts w:ascii="Arial"/>
                <w:sz w:val="18"/>
              </w:rPr>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05" w:right="0"/>
              <w:jc w:val="left"/>
              <w:rPr>
                <w:rFonts w:ascii="Arial" w:hAnsi="Arial" w:cs="Arial" w:eastAsia="Arial" w:hint="default"/>
                <w:sz w:val="18"/>
                <w:szCs w:val="18"/>
              </w:rPr>
            </w:pPr>
            <w:r>
              <w:rPr>
                <w:rFonts w:ascii="Arial"/>
                <w:sz w:val="18"/>
              </w:rPr>
              <w:t>100.00%</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已完工转固</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Arial" w:hAnsi="Arial" w:cs="Arial" w:eastAsia="Arial" w:hint="default"/>
                <w:sz w:val="18"/>
                <w:szCs w:val="18"/>
              </w:rPr>
            </w:pPr>
            <w:r>
              <w:rPr>
                <w:rFonts w:ascii="Arial"/>
                <w:w w:val="99"/>
                <w:sz w:val="18"/>
              </w:rPr>
              <w:t>-</w:t>
            </w:r>
            <w:r>
              <w:rPr>
                <w:rFonts w:ascii="Arial"/>
                <w:sz w:val="18"/>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0"/>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6"/>
              <w:jc w:val="right"/>
              <w:rPr>
                <w:rFonts w:ascii="Arial" w:hAnsi="Arial" w:cs="Arial" w:eastAsia="Arial" w:hint="default"/>
                <w:sz w:val="18"/>
                <w:szCs w:val="18"/>
              </w:rPr>
            </w:pPr>
            <w:r>
              <w:rPr>
                <w:rFonts w:ascii="Arial"/>
                <w:w w:val="99"/>
                <w:sz w:val="18"/>
              </w:rPr>
              <w:t>-</w:t>
            </w:r>
            <w:r>
              <w:rPr>
                <w:rFonts w:ascii="Arial"/>
                <w:sz w:val="18"/>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ind w:left="60" w:right="0"/>
              <w:jc w:val="center"/>
              <w:rPr>
                <w:rFonts w:ascii="宋体" w:hAnsi="宋体" w:cs="宋体" w:eastAsia="宋体" w:hint="default"/>
                <w:sz w:val="18"/>
                <w:szCs w:val="18"/>
              </w:rPr>
            </w:pPr>
            <w:r>
              <w:rPr>
                <w:rFonts w:ascii="宋体" w:hAnsi="宋体" w:cs="宋体" w:eastAsia="宋体" w:hint="default"/>
                <w:sz w:val="18"/>
                <w:szCs w:val="18"/>
              </w:rPr>
              <w:t>募集资金</w:t>
            </w:r>
          </w:p>
        </w:tc>
      </w:tr>
      <w:tr>
        <w:trPr>
          <w:trHeight w:val="547" w:hRule="exact"/>
        </w:trPr>
        <w:tc>
          <w:tcPr>
            <w:tcW w:w="793"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32" w:lineRule="exact" w:before="23"/>
              <w:ind w:left="316" w:right="10" w:hanging="152"/>
              <w:jc w:val="left"/>
              <w:rPr>
                <w:rFonts w:ascii="宋体" w:hAnsi="宋体" w:cs="宋体" w:eastAsia="宋体" w:hint="default"/>
                <w:sz w:val="18"/>
                <w:szCs w:val="18"/>
              </w:rPr>
            </w:pPr>
            <w:r>
              <w:rPr>
                <w:rFonts w:ascii="宋体" w:hAnsi="宋体" w:cs="宋体" w:eastAsia="宋体" w:hint="default"/>
                <w:spacing w:val="27"/>
                <w:sz w:val="18"/>
                <w:szCs w:val="18"/>
              </w:rPr>
              <w:t>大庆会战大街</w:t>
            </w:r>
            <w:r>
              <w:rPr>
                <w:rFonts w:ascii="宋体" w:hAnsi="宋体" w:cs="宋体" w:eastAsia="宋体" w:hint="default"/>
                <w:spacing w:val="-88"/>
                <w:sz w:val="18"/>
                <w:szCs w:val="18"/>
              </w:rPr>
              <w:t> </w:t>
            </w:r>
            <w:r>
              <w:rPr>
                <w:rFonts w:ascii="宋体" w:hAnsi="宋体" w:cs="宋体" w:eastAsia="宋体" w:hint="default"/>
                <w:sz w:val="18"/>
                <w:szCs w:val="18"/>
              </w:rPr>
              <w:t>三层商服楼</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33"/>
              <w:jc w:val="right"/>
              <w:rPr>
                <w:rFonts w:ascii="Arial" w:hAnsi="Arial" w:cs="Arial" w:eastAsia="Arial" w:hint="default"/>
                <w:sz w:val="18"/>
                <w:szCs w:val="18"/>
              </w:rPr>
            </w:pPr>
            <w:r>
              <w:rPr>
                <w:rFonts w:ascii="Arial"/>
                <w:spacing w:val="-1"/>
                <w:sz w:val="18"/>
              </w:rPr>
              <w:t>32,615</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3"/>
              <w:jc w:val="right"/>
              <w:rPr>
                <w:rFonts w:ascii="Arial" w:hAnsi="Arial" w:cs="Arial" w:eastAsia="Arial" w:hint="default"/>
                <w:sz w:val="18"/>
                <w:szCs w:val="18"/>
              </w:rPr>
            </w:pPr>
            <w:r>
              <w:rPr>
                <w:rFonts w:ascii="Arial"/>
                <w:spacing w:val="-1"/>
                <w:sz w:val="18"/>
              </w:rPr>
              <w:t>32,499</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7"/>
              <w:jc w:val="right"/>
              <w:rPr>
                <w:rFonts w:ascii="Arial" w:hAnsi="Arial" w:cs="Arial" w:eastAsia="Arial" w:hint="default"/>
                <w:sz w:val="18"/>
                <w:szCs w:val="18"/>
              </w:rPr>
            </w:pPr>
            <w:r>
              <w:rPr>
                <w:rFonts w:ascii="Arial"/>
                <w:spacing w:val="-5"/>
                <w:sz w:val="18"/>
              </w:rPr>
              <w:t>116</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5"/>
              <w:jc w:val="right"/>
              <w:rPr>
                <w:rFonts w:ascii="Arial" w:hAnsi="Arial" w:cs="Arial" w:eastAsia="Arial" w:hint="default"/>
                <w:sz w:val="18"/>
                <w:szCs w:val="18"/>
              </w:rPr>
            </w:pPr>
            <w:r>
              <w:rPr>
                <w:rFonts w:ascii="Arial"/>
                <w:spacing w:val="-1"/>
                <w:sz w:val="18"/>
              </w:rPr>
              <w:t>(32,615)</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0"/>
              <w:jc w:val="right"/>
              <w:rPr>
                <w:rFonts w:ascii="Arial" w:hAnsi="Arial" w:cs="Arial" w:eastAsia="Arial" w:hint="default"/>
                <w:sz w:val="18"/>
                <w:szCs w:val="18"/>
              </w:rPr>
            </w:pPr>
            <w:r>
              <w:rPr>
                <w:rFonts w:ascii="Arial"/>
                <w:w w:val="99"/>
                <w:sz w:val="18"/>
              </w:rPr>
              <w:t>-</w:t>
            </w:r>
            <w:r>
              <w:rPr>
                <w:rFonts w:ascii="Arial"/>
                <w:sz w:val="18"/>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3"/>
              <w:jc w:val="right"/>
              <w:rPr>
                <w:rFonts w:ascii="Arial" w:hAnsi="Arial" w:cs="Arial" w:eastAsia="Arial" w:hint="default"/>
                <w:sz w:val="18"/>
                <w:szCs w:val="18"/>
              </w:rPr>
            </w:pPr>
            <w:r>
              <w:rPr>
                <w:rFonts w:ascii="Arial"/>
                <w:w w:val="99"/>
                <w:sz w:val="18"/>
              </w:rPr>
              <w:t>-</w:t>
            </w:r>
            <w:r>
              <w:rPr>
                <w:rFonts w:ascii="Arial"/>
                <w:sz w:val="18"/>
              </w:rPr>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405" w:right="0"/>
              <w:jc w:val="left"/>
              <w:rPr>
                <w:rFonts w:ascii="Arial" w:hAnsi="Arial" w:cs="Arial" w:eastAsia="Arial" w:hint="default"/>
                <w:sz w:val="18"/>
                <w:szCs w:val="18"/>
              </w:rPr>
            </w:pPr>
            <w:r>
              <w:rPr>
                <w:rFonts w:ascii="Arial"/>
                <w:sz w:val="18"/>
              </w:rPr>
              <w:t>100.00%</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已完工转固</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89"/>
              <w:jc w:val="right"/>
              <w:rPr>
                <w:rFonts w:ascii="Arial" w:hAnsi="Arial" w:cs="Arial" w:eastAsia="Arial" w:hint="default"/>
                <w:sz w:val="18"/>
                <w:szCs w:val="18"/>
              </w:rPr>
            </w:pPr>
            <w:r>
              <w:rPr>
                <w:rFonts w:ascii="Arial"/>
                <w:w w:val="99"/>
                <w:sz w:val="18"/>
              </w:rPr>
              <w:t>-</w:t>
            </w:r>
            <w:r>
              <w:rPr>
                <w:rFonts w:ascii="Arial"/>
                <w:sz w:val="18"/>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60"/>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16"/>
              <w:jc w:val="right"/>
              <w:rPr>
                <w:rFonts w:ascii="Arial" w:hAnsi="Arial" w:cs="Arial" w:eastAsia="Arial" w:hint="default"/>
                <w:sz w:val="18"/>
                <w:szCs w:val="18"/>
              </w:rPr>
            </w:pPr>
            <w:r>
              <w:rPr>
                <w:rFonts w:ascii="Arial"/>
                <w:w w:val="99"/>
                <w:sz w:val="18"/>
              </w:rPr>
              <w:t>-</w:t>
            </w:r>
            <w:r>
              <w:rPr>
                <w:rFonts w:ascii="Arial"/>
                <w:sz w:val="18"/>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60" w:right="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569" w:hRule="exact"/>
        </w:trPr>
        <w:tc>
          <w:tcPr>
            <w:tcW w:w="793"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32" w:lineRule="exact" w:before="23"/>
              <w:ind w:left="316" w:right="10" w:hanging="152"/>
              <w:jc w:val="left"/>
              <w:rPr>
                <w:rFonts w:ascii="宋体" w:hAnsi="宋体" w:cs="宋体" w:eastAsia="宋体" w:hint="default"/>
                <w:sz w:val="18"/>
                <w:szCs w:val="18"/>
              </w:rPr>
            </w:pPr>
            <w:r>
              <w:rPr>
                <w:rFonts w:ascii="宋体" w:hAnsi="宋体" w:cs="宋体" w:eastAsia="宋体" w:hint="default"/>
                <w:spacing w:val="27"/>
                <w:sz w:val="18"/>
                <w:szCs w:val="18"/>
              </w:rPr>
              <w:t>成都物流基地</w:t>
            </w:r>
            <w:r>
              <w:rPr>
                <w:rFonts w:ascii="宋体" w:hAnsi="宋体" w:cs="宋体" w:eastAsia="宋体" w:hint="default"/>
                <w:spacing w:val="-88"/>
                <w:sz w:val="18"/>
                <w:szCs w:val="18"/>
              </w:rPr>
              <w:t> </w:t>
            </w:r>
            <w:r>
              <w:rPr>
                <w:rFonts w:ascii="宋体" w:hAnsi="宋体" w:cs="宋体" w:eastAsia="宋体" w:hint="default"/>
                <w:sz w:val="18"/>
                <w:szCs w:val="18"/>
              </w:rPr>
              <w:t>工程</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33"/>
              <w:jc w:val="right"/>
              <w:rPr>
                <w:rFonts w:ascii="Arial" w:hAnsi="Arial" w:cs="Arial" w:eastAsia="Arial" w:hint="default"/>
                <w:sz w:val="18"/>
                <w:szCs w:val="18"/>
              </w:rPr>
            </w:pPr>
            <w:r>
              <w:rPr>
                <w:rFonts w:ascii="Arial"/>
                <w:spacing w:val="-1"/>
                <w:sz w:val="18"/>
              </w:rPr>
              <w:t>174,486</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2"/>
              <w:jc w:val="right"/>
              <w:rPr>
                <w:rFonts w:ascii="Arial" w:hAnsi="Arial" w:cs="Arial" w:eastAsia="Arial" w:hint="default"/>
                <w:sz w:val="18"/>
                <w:szCs w:val="18"/>
              </w:rPr>
            </w:pPr>
            <w:r>
              <w:rPr>
                <w:rFonts w:ascii="Arial"/>
                <w:w w:val="95"/>
                <w:sz w:val="18"/>
              </w:rPr>
              <w:t>6,081</w:t>
            </w:r>
            <w:r>
              <w:rPr>
                <w:rFonts w:ascii="Arial"/>
                <w:sz w:val="18"/>
              </w:rPr>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5"/>
              <w:jc w:val="right"/>
              <w:rPr>
                <w:rFonts w:ascii="Arial" w:hAnsi="Arial" w:cs="Arial" w:eastAsia="Arial" w:hint="default"/>
                <w:sz w:val="18"/>
                <w:szCs w:val="18"/>
              </w:rPr>
            </w:pPr>
            <w:r>
              <w:rPr>
                <w:rFonts w:ascii="Arial"/>
                <w:w w:val="95"/>
                <w:sz w:val="18"/>
              </w:rPr>
              <w:t>1,462</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5"/>
              <w:jc w:val="right"/>
              <w:rPr>
                <w:rFonts w:ascii="Arial" w:hAnsi="Arial" w:cs="Arial" w:eastAsia="Arial" w:hint="default"/>
                <w:sz w:val="18"/>
                <w:szCs w:val="18"/>
              </w:rPr>
            </w:pPr>
            <w:r>
              <w:rPr>
                <w:rFonts w:ascii="Arial"/>
                <w:w w:val="95"/>
                <w:sz w:val="18"/>
              </w:rPr>
              <w:t>(7,543)</w:t>
            </w:r>
            <w:r>
              <w:rPr>
                <w:rFonts w:ascii="Arial"/>
                <w:sz w:val="18"/>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0"/>
              <w:jc w:val="right"/>
              <w:rPr>
                <w:rFonts w:ascii="Arial" w:hAnsi="Arial" w:cs="Arial" w:eastAsia="Arial" w:hint="default"/>
                <w:sz w:val="18"/>
                <w:szCs w:val="18"/>
              </w:rPr>
            </w:pPr>
            <w:r>
              <w:rPr>
                <w:rFonts w:ascii="Arial"/>
                <w:w w:val="99"/>
                <w:sz w:val="18"/>
              </w:rPr>
              <w:t>-</w:t>
            </w:r>
            <w:r>
              <w:rPr>
                <w:rFonts w:ascii="Arial"/>
                <w:sz w:val="18"/>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3"/>
              <w:jc w:val="right"/>
              <w:rPr>
                <w:rFonts w:ascii="Arial" w:hAnsi="Arial" w:cs="Arial" w:eastAsia="Arial" w:hint="default"/>
                <w:sz w:val="18"/>
                <w:szCs w:val="18"/>
              </w:rPr>
            </w:pPr>
            <w:r>
              <w:rPr>
                <w:rFonts w:ascii="Arial"/>
                <w:w w:val="99"/>
                <w:sz w:val="18"/>
              </w:rPr>
              <w:t>-</w:t>
            </w:r>
            <w:r>
              <w:rPr>
                <w:rFonts w:ascii="Arial"/>
                <w:sz w:val="18"/>
              </w:rPr>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405" w:right="0"/>
              <w:jc w:val="left"/>
              <w:rPr>
                <w:rFonts w:ascii="Arial" w:hAnsi="Arial" w:cs="Arial" w:eastAsia="Arial" w:hint="default"/>
                <w:sz w:val="18"/>
                <w:szCs w:val="18"/>
              </w:rPr>
            </w:pPr>
            <w:r>
              <w:rPr>
                <w:rFonts w:ascii="Arial"/>
                <w:sz w:val="18"/>
              </w:rPr>
              <w:t>100.00%</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已完工转固</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89"/>
              <w:jc w:val="right"/>
              <w:rPr>
                <w:rFonts w:ascii="Arial" w:hAnsi="Arial" w:cs="Arial" w:eastAsia="Arial" w:hint="default"/>
                <w:sz w:val="18"/>
                <w:szCs w:val="18"/>
              </w:rPr>
            </w:pPr>
            <w:r>
              <w:rPr>
                <w:rFonts w:ascii="Arial"/>
                <w:w w:val="99"/>
                <w:sz w:val="18"/>
              </w:rPr>
              <w:t>-</w:t>
            </w:r>
            <w:r>
              <w:rPr>
                <w:rFonts w:ascii="Arial"/>
                <w:sz w:val="18"/>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60"/>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16"/>
              <w:jc w:val="right"/>
              <w:rPr>
                <w:rFonts w:ascii="Arial" w:hAnsi="Arial" w:cs="Arial" w:eastAsia="Arial" w:hint="default"/>
                <w:sz w:val="18"/>
                <w:szCs w:val="18"/>
              </w:rPr>
            </w:pPr>
            <w:r>
              <w:rPr>
                <w:rFonts w:ascii="Arial"/>
                <w:w w:val="99"/>
                <w:sz w:val="18"/>
              </w:rPr>
              <w:t>-</w:t>
            </w:r>
            <w:r>
              <w:rPr>
                <w:rFonts w:ascii="Arial"/>
                <w:sz w:val="18"/>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60" w:right="0"/>
              <w:jc w:val="center"/>
              <w:rPr>
                <w:rFonts w:ascii="宋体" w:hAnsi="宋体" w:cs="宋体" w:eastAsia="宋体" w:hint="default"/>
                <w:sz w:val="18"/>
                <w:szCs w:val="18"/>
              </w:rPr>
            </w:pPr>
            <w:r>
              <w:rPr>
                <w:rFonts w:ascii="宋体" w:hAnsi="宋体" w:cs="宋体" w:eastAsia="宋体" w:hint="default"/>
                <w:sz w:val="18"/>
                <w:szCs w:val="18"/>
              </w:rPr>
              <w:t>募集资金</w:t>
            </w:r>
          </w:p>
        </w:tc>
      </w:tr>
      <w:tr>
        <w:trPr>
          <w:trHeight w:val="330" w:hRule="exact"/>
        </w:trPr>
        <w:tc>
          <w:tcPr>
            <w:tcW w:w="793"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65"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858"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53"/>
              <w:jc w:val="right"/>
              <w:rPr>
                <w:rFonts w:ascii="Arial" w:hAnsi="Arial" w:cs="Arial" w:eastAsia="Arial" w:hint="default"/>
                <w:sz w:val="18"/>
                <w:szCs w:val="18"/>
              </w:rPr>
            </w:pPr>
            <w:r>
              <w:rPr>
                <w:rFonts w:ascii="Arial"/>
                <w:spacing w:val="-1"/>
                <w:sz w:val="18"/>
              </w:rPr>
              <w:t>37,302</w:t>
            </w:r>
          </w:p>
        </w:tc>
        <w:tc>
          <w:tcPr>
            <w:tcW w:w="963"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25"/>
              <w:jc w:val="right"/>
              <w:rPr>
                <w:rFonts w:ascii="Arial" w:hAnsi="Arial" w:cs="Arial" w:eastAsia="Arial" w:hint="default"/>
                <w:sz w:val="18"/>
                <w:szCs w:val="18"/>
              </w:rPr>
            </w:pPr>
            <w:r>
              <w:rPr>
                <w:rFonts w:ascii="Arial"/>
                <w:spacing w:val="-1"/>
                <w:sz w:val="18"/>
              </w:rPr>
              <w:t>21,044</w:t>
            </w:r>
          </w:p>
        </w:tc>
        <w:tc>
          <w:tcPr>
            <w:tcW w:w="1234"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25"/>
              <w:jc w:val="right"/>
              <w:rPr>
                <w:rFonts w:ascii="Arial" w:hAnsi="Arial" w:cs="Arial" w:eastAsia="Arial" w:hint="default"/>
                <w:sz w:val="18"/>
                <w:szCs w:val="18"/>
              </w:rPr>
            </w:pPr>
            <w:r>
              <w:rPr>
                <w:rFonts w:ascii="Arial"/>
                <w:w w:val="95"/>
                <w:sz w:val="18"/>
              </w:rPr>
              <w:t>(4,793)</w:t>
            </w:r>
            <w:r>
              <w:rPr>
                <w:rFonts w:ascii="Arial"/>
                <w:sz w:val="18"/>
              </w:rPr>
            </w:r>
          </w:p>
        </w:tc>
        <w:tc>
          <w:tcPr>
            <w:tcW w:w="989"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50"/>
              <w:jc w:val="right"/>
              <w:rPr>
                <w:rFonts w:ascii="Arial" w:hAnsi="Arial" w:cs="Arial" w:eastAsia="Arial" w:hint="default"/>
                <w:sz w:val="18"/>
                <w:szCs w:val="18"/>
              </w:rPr>
            </w:pPr>
            <w:r>
              <w:rPr>
                <w:rFonts w:ascii="Arial"/>
                <w:w w:val="99"/>
                <w:sz w:val="18"/>
              </w:rPr>
              <w:t>-</w:t>
            </w:r>
            <w:r>
              <w:rPr>
                <w:rFonts w:ascii="Arial"/>
                <w:sz w:val="18"/>
              </w:rPr>
            </w: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52"/>
              <w:jc w:val="right"/>
              <w:rPr>
                <w:rFonts w:ascii="Arial" w:hAnsi="Arial" w:cs="Arial" w:eastAsia="Arial" w:hint="default"/>
                <w:sz w:val="18"/>
                <w:szCs w:val="18"/>
              </w:rPr>
            </w:pPr>
            <w:r>
              <w:rPr>
                <w:rFonts w:ascii="Arial"/>
                <w:spacing w:val="-1"/>
                <w:sz w:val="18"/>
              </w:rPr>
              <w:t>53,553</w:t>
            </w:r>
          </w:p>
        </w:tc>
        <w:tc>
          <w:tcPr>
            <w:tcW w:w="169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89"/>
              <w:jc w:val="right"/>
              <w:rPr>
                <w:rFonts w:ascii="Arial" w:hAnsi="Arial" w:cs="Arial" w:eastAsia="Arial" w:hint="default"/>
                <w:sz w:val="18"/>
                <w:szCs w:val="18"/>
              </w:rPr>
            </w:pPr>
            <w:r>
              <w:rPr>
                <w:rFonts w:ascii="Arial"/>
                <w:w w:val="99"/>
                <w:sz w:val="18"/>
              </w:rPr>
              <w:t>-</w:t>
            </w:r>
            <w:r>
              <w:rPr>
                <w:rFonts w:ascii="Arial"/>
                <w:sz w:val="18"/>
              </w:rPr>
            </w:r>
          </w:p>
        </w:tc>
        <w:tc>
          <w:tcPr>
            <w:tcW w:w="1142"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60"/>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6"/>
              <w:jc w:val="right"/>
              <w:rPr>
                <w:rFonts w:ascii="Arial" w:hAnsi="Arial" w:cs="Arial" w:eastAsia="Arial" w:hint="default"/>
                <w:sz w:val="18"/>
                <w:szCs w:val="18"/>
              </w:rPr>
            </w:pPr>
            <w:r>
              <w:rPr>
                <w:rFonts w:ascii="Arial"/>
                <w:w w:val="99"/>
                <w:sz w:val="18"/>
              </w:rPr>
              <w:t>-</w:t>
            </w:r>
            <w:r>
              <w:rPr>
                <w:rFonts w:ascii="Arial"/>
                <w:sz w:val="18"/>
              </w:rPr>
            </w:r>
          </w:p>
        </w:tc>
        <w:tc>
          <w:tcPr>
            <w:tcW w:w="1181" w:type="dxa"/>
            <w:tcBorders>
              <w:top w:val="nil" w:sz="6" w:space="0" w:color="auto"/>
              <w:left w:val="nil" w:sz="6" w:space="0" w:color="auto"/>
              <w:bottom w:val="nil" w:sz="6" w:space="0" w:color="auto"/>
              <w:right w:val="nil" w:sz="6" w:space="0" w:color="auto"/>
            </w:tcBorders>
          </w:tcPr>
          <w:p>
            <w:pPr/>
          </w:p>
        </w:tc>
      </w:tr>
      <w:tr>
        <w:trPr>
          <w:trHeight w:val="377" w:hRule="exact"/>
        </w:trPr>
        <w:tc>
          <w:tcPr>
            <w:tcW w:w="793"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
        </w:tc>
        <w:tc>
          <w:tcPr>
            <w:tcW w:w="104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52"/>
              <w:jc w:val="right"/>
              <w:rPr>
                <w:rFonts w:ascii="Arial" w:hAnsi="Arial" w:cs="Arial" w:eastAsia="Arial" w:hint="default"/>
                <w:sz w:val="18"/>
                <w:szCs w:val="18"/>
              </w:rPr>
            </w:pPr>
            <w:r>
              <w:rPr>
                <w:rFonts w:ascii="Arial"/>
                <w:spacing w:val="-1"/>
                <w:sz w:val="18"/>
              </w:rPr>
              <w:t>1,251,501</w:t>
            </w:r>
          </w:p>
        </w:tc>
        <w:tc>
          <w:tcPr>
            <w:tcW w:w="96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left="131" w:right="0"/>
              <w:jc w:val="left"/>
              <w:rPr>
                <w:rFonts w:ascii="Arial" w:hAnsi="Arial" w:cs="Arial" w:eastAsia="Arial" w:hint="default"/>
                <w:sz w:val="18"/>
                <w:szCs w:val="18"/>
              </w:rPr>
            </w:pPr>
            <w:r>
              <w:rPr>
                <w:rFonts w:ascii="Arial"/>
                <w:sz w:val="18"/>
              </w:rPr>
              <w:t>2,478,699</w:t>
            </w:r>
          </w:p>
        </w:tc>
        <w:tc>
          <w:tcPr>
            <w:tcW w:w="12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25"/>
              <w:jc w:val="right"/>
              <w:rPr>
                <w:rFonts w:ascii="Arial" w:hAnsi="Arial" w:cs="Arial" w:eastAsia="Arial" w:hint="default"/>
                <w:sz w:val="18"/>
                <w:szCs w:val="18"/>
              </w:rPr>
            </w:pPr>
            <w:r>
              <w:rPr>
                <w:rFonts w:ascii="Arial"/>
                <w:spacing w:val="-2"/>
                <w:sz w:val="18"/>
              </w:rPr>
              <w:t>(1,252,117)</w:t>
            </w:r>
          </w:p>
        </w:tc>
        <w:tc>
          <w:tcPr>
            <w:tcW w:w="98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50"/>
              <w:jc w:val="right"/>
              <w:rPr>
                <w:rFonts w:ascii="Arial" w:hAnsi="Arial" w:cs="Arial" w:eastAsia="Arial" w:hint="default"/>
                <w:sz w:val="18"/>
                <w:szCs w:val="18"/>
              </w:rPr>
            </w:pPr>
            <w:r>
              <w:rPr>
                <w:rFonts w:ascii="Arial"/>
                <w:w w:val="99"/>
                <w:sz w:val="18"/>
              </w:rPr>
              <w:t>-</w:t>
            </w:r>
            <w:r>
              <w:rPr>
                <w:rFonts w:ascii="Arial"/>
                <w:sz w:val="18"/>
              </w:rPr>
            </w:r>
          </w:p>
        </w:tc>
        <w:tc>
          <w:tcPr>
            <w:tcW w:w="108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53"/>
              <w:jc w:val="right"/>
              <w:rPr>
                <w:rFonts w:ascii="Arial" w:hAnsi="Arial" w:cs="Arial" w:eastAsia="Arial" w:hint="default"/>
                <w:sz w:val="18"/>
                <w:szCs w:val="18"/>
              </w:rPr>
            </w:pPr>
            <w:r>
              <w:rPr>
                <w:rFonts w:ascii="Arial"/>
                <w:spacing w:val="-1"/>
                <w:sz w:val="18"/>
              </w:rPr>
              <w:t>2,478,083</w:t>
            </w:r>
          </w:p>
        </w:tc>
        <w:tc>
          <w:tcPr>
            <w:tcW w:w="169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89"/>
              <w:jc w:val="right"/>
              <w:rPr>
                <w:rFonts w:ascii="Arial" w:hAnsi="Arial" w:cs="Arial" w:eastAsia="Arial" w:hint="default"/>
                <w:sz w:val="18"/>
                <w:szCs w:val="18"/>
              </w:rPr>
            </w:pPr>
            <w:r>
              <w:rPr>
                <w:rFonts w:ascii="Arial"/>
                <w:w w:val="99"/>
                <w:sz w:val="18"/>
              </w:rPr>
              <w:t>-</w:t>
            </w:r>
            <w:r>
              <w:rPr>
                <w:rFonts w:ascii="Arial"/>
                <w:sz w:val="18"/>
              </w:rPr>
            </w:r>
          </w:p>
        </w:tc>
        <w:tc>
          <w:tcPr>
            <w:tcW w:w="1142"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60"/>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730"/>
        <w:gridCol w:w="5956"/>
      </w:tblGrid>
      <w:tr>
        <w:trPr>
          <w:trHeight w:val="247"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5956" w:type="dxa"/>
            <w:tcBorders>
              <w:top w:val="nil" w:sz="6" w:space="0" w:color="auto"/>
              <w:left w:val="nil" w:sz="6" w:space="0" w:color="auto"/>
              <w:bottom w:val="nil" w:sz="6" w:space="0" w:color="auto"/>
              <w:right w:val="nil" w:sz="6" w:space="0" w:color="auto"/>
            </w:tcBorders>
          </w:tcPr>
          <w:p>
            <w:pPr>
              <w:pStyle w:val="TableParagraph"/>
              <w:spacing w:line="247" w:lineRule="exact"/>
              <w:ind w:left="236" w:right="0"/>
              <w:jc w:val="left"/>
              <w:rPr>
                <w:rFonts w:ascii="宋体" w:hAnsi="宋体" w:cs="宋体" w:eastAsia="宋体" w:hint="default"/>
                <w:sz w:val="24"/>
                <w:szCs w:val="24"/>
              </w:rPr>
            </w:pPr>
            <w:r>
              <w:rPr>
                <w:rFonts w:ascii="宋体" w:hAnsi="宋体" w:cs="宋体" w:eastAsia="宋体" w:hint="default"/>
                <w:sz w:val="24"/>
                <w:szCs w:val="24"/>
              </w:rPr>
              <w:t>本集团上述工程进度均以形象进度为基础进行估计。</w:t>
            </w:r>
          </w:p>
        </w:tc>
      </w:tr>
    </w:tbl>
    <w:p>
      <w:pPr>
        <w:spacing w:after="0" w:line="247" w:lineRule="exact"/>
        <w:jc w:val="left"/>
        <w:rPr>
          <w:rFonts w:ascii="宋体" w:hAnsi="宋体" w:cs="宋体" w:eastAsia="宋体" w:hint="default"/>
          <w:sz w:val="24"/>
          <w:szCs w:val="24"/>
        </w:rPr>
        <w:sectPr>
          <w:pgSz w:w="16850" w:h="11910" w:orient="landscape"/>
          <w:pgMar w:header="1227" w:footer="706" w:top="2440" w:bottom="900" w:left="44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812"/>
        <w:gridCol w:w="2051"/>
        <w:gridCol w:w="1724"/>
        <w:gridCol w:w="1722"/>
        <w:gridCol w:w="1298"/>
        <w:gridCol w:w="1416"/>
      </w:tblGrid>
      <w:tr>
        <w:trPr>
          <w:trHeight w:val="495"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775"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9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22"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742"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(14)</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07" w:right="0"/>
              <w:jc w:val="left"/>
              <w:rPr>
                <w:rFonts w:ascii="黑体" w:hAnsi="黑体" w:cs="黑体" w:eastAsia="黑体" w:hint="default"/>
                <w:sz w:val="24"/>
                <w:szCs w:val="24"/>
              </w:rPr>
            </w:pPr>
            <w:r>
              <w:rPr>
                <w:rFonts w:ascii="黑体" w:hAnsi="黑体" w:cs="黑体" w:eastAsia="黑体" w:hint="default"/>
                <w:sz w:val="24"/>
                <w:szCs w:val="24"/>
              </w:rPr>
              <w:t>无形资产</w:t>
            </w:r>
          </w:p>
        </w:tc>
        <w:tc>
          <w:tcPr>
            <w:tcW w:w="1724"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1051" w:hRule="exact"/>
        </w:trPr>
        <w:tc>
          <w:tcPr>
            <w:tcW w:w="812"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630" w:right="0"/>
              <w:jc w:val="left"/>
              <w:rPr>
                <w:rFonts w:ascii="宋体" w:hAnsi="宋体" w:cs="宋体" w:eastAsia="宋体" w:hint="default"/>
                <w:sz w:val="22"/>
                <w:szCs w:val="22"/>
              </w:rPr>
            </w:pPr>
            <w:r>
              <w:rPr>
                <w:rFonts w:ascii="Arial" w:hAnsi="Arial" w:cs="Arial" w:eastAsia="Arial" w:hint="default"/>
                <w:spacing w:val="-5"/>
                <w:sz w:val="22"/>
                <w:szCs w:val="22"/>
              </w:rPr>
              <w:t>2011</w:t>
            </w:r>
            <w:r>
              <w:rPr>
                <w:rFonts w:ascii="Arial" w:hAnsi="Arial" w:cs="Arial" w:eastAsia="Arial" w:hint="default"/>
                <w:spacing w:val="-4"/>
                <w:sz w:val="22"/>
                <w:szCs w:val="22"/>
              </w:rPr>
              <w:t> </w:t>
            </w:r>
            <w:r>
              <w:rPr>
                <w:rFonts w:ascii="宋体" w:hAnsi="宋体" w:cs="宋体" w:eastAsia="宋体" w:hint="default"/>
                <w:sz w:val="22"/>
                <w:szCs w:val="22"/>
              </w:rPr>
              <w:t>年</w:t>
            </w:r>
          </w:p>
          <w:p>
            <w:pPr>
              <w:pStyle w:val="TableParagraph"/>
              <w:spacing w:line="240" w:lineRule="auto" w:before="20"/>
              <w:ind w:left="284"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435"/>
              <w:jc w:val="right"/>
              <w:rPr>
                <w:rFonts w:ascii="宋体" w:hAnsi="宋体" w:cs="宋体" w:eastAsia="宋体" w:hint="default"/>
                <w:sz w:val="22"/>
                <w:szCs w:val="22"/>
              </w:rPr>
            </w:pPr>
            <w:r>
              <w:rPr>
                <w:rFonts w:ascii="宋体" w:hAnsi="宋体" w:cs="宋体" w:eastAsia="宋体" w:hint="default"/>
                <w:sz w:val="22"/>
                <w:szCs w:val="22"/>
              </w:rPr>
              <w:t>本年增加</w:t>
            </w:r>
          </w:p>
        </w:tc>
        <w:tc>
          <w:tcPr>
            <w:tcW w:w="1298" w:type="dxa"/>
            <w:tcBorders>
              <w:top w:val="nil" w:sz="6" w:space="0" w:color="auto"/>
              <w:left w:val="nil" w:sz="6" w:space="0" w:color="auto"/>
              <w:bottom w:val="nil" w:sz="6" w:space="0" w:color="auto"/>
              <w:right w:val="nil" w:sz="6" w:space="0" w:color="auto"/>
            </w:tcBorders>
          </w:tcPr>
          <w:p>
            <w:pPr>
              <w:pStyle w:val="TableParagraph"/>
              <w:spacing w:line="271" w:lineRule="auto" w:before="183"/>
              <w:ind w:left="409" w:right="223"/>
              <w:jc w:val="left"/>
              <w:rPr>
                <w:rFonts w:ascii="宋体" w:hAnsi="宋体" w:cs="宋体" w:eastAsia="宋体" w:hint="default"/>
                <w:sz w:val="22"/>
                <w:szCs w:val="22"/>
              </w:rPr>
            </w:pPr>
            <w:r>
              <w:rPr>
                <w:rFonts w:ascii="宋体" w:hAnsi="宋体" w:cs="宋体" w:eastAsia="宋体" w:hint="default"/>
                <w:sz w:val="22"/>
                <w:szCs w:val="22"/>
              </w:rPr>
              <w:t>外币报</w:t>
            </w:r>
            <w:r>
              <w:rPr>
                <w:rFonts w:ascii="宋体" w:hAnsi="宋体" w:cs="宋体" w:eastAsia="宋体" w:hint="default"/>
                <w:spacing w:val="-108"/>
                <w:sz w:val="22"/>
                <w:szCs w:val="22"/>
              </w:rPr>
              <w:t> </w:t>
            </w:r>
            <w:r>
              <w:rPr>
                <w:rFonts w:ascii="宋体" w:hAnsi="宋体" w:cs="宋体" w:eastAsia="宋体" w:hint="default"/>
                <w:sz w:val="22"/>
                <w:szCs w:val="22"/>
              </w:rPr>
              <w:t>表折算</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542"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40" w:lineRule="auto" w:before="20"/>
              <w:ind w:left="225"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12"/>
                <w:sz w:val="22"/>
                <w:szCs w:val="22"/>
              </w:rPr>
              <w:t>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Arial" w:hAnsi="Arial" w:cs="Arial" w:eastAsia="Arial" w:hint="default"/>
                <w:sz w:val="22"/>
                <w:szCs w:val="22"/>
              </w:rPr>
              <w:t>31</w:t>
            </w:r>
            <w:r>
              <w:rPr>
                <w:rFonts w:ascii="Arial" w:hAnsi="Arial" w:cs="Arial" w:eastAsia="Arial" w:hint="default"/>
                <w:spacing w:val="-12"/>
                <w:sz w:val="22"/>
                <w:szCs w:val="22"/>
              </w:rPr>
              <w:t> </w:t>
            </w:r>
            <w:r>
              <w:rPr>
                <w:rFonts w:ascii="宋体" w:hAnsi="宋体" w:cs="宋体" w:eastAsia="宋体" w:hint="default"/>
                <w:sz w:val="22"/>
                <w:szCs w:val="22"/>
              </w:rPr>
              <w:t>日</w:t>
            </w:r>
          </w:p>
        </w:tc>
      </w:tr>
      <w:tr>
        <w:trPr>
          <w:trHeight w:val="545" w:hRule="exact"/>
        </w:trPr>
        <w:tc>
          <w:tcPr>
            <w:tcW w:w="812"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single" w:sz="4" w:space="0" w:color="000000"/>
              <w:right w:val="nil" w:sz="6" w:space="0" w:color="auto"/>
            </w:tcBorders>
          </w:tcPr>
          <w:p>
            <w:pPr>
              <w:pStyle w:val="TableParagraph"/>
              <w:spacing w:line="240" w:lineRule="auto" w:before="177"/>
              <w:ind w:left="107" w:right="0"/>
              <w:jc w:val="left"/>
              <w:rPr>
                <w:rFonts w:ascii="宋体" w:hAnsi="宋体" w:cs="宋体" w:eastAsia="宋体" w:hint="default"/>
                <w:sz w:val="22"/>
                <w:szCs w:val="22"/>
              </w:rPr>
            </w:pPr>
            <w:r>
              <w:rPr>
                <w:rFonts w:ascii="宋体" w:hAnsi="宋体" w:cs="宋体" w:eastAsia="宋体" w:hint="default"/>
                <w:sz w:val="22"/>
                <w:szCs w:val="22"/>
              </w:rPr>
              <w:t>原价合计</w:t>
            </w:r>
          </w:p>
        </w:tc>
        <w:tc>
          <w:tcPr>
            <w:tcW w:w="172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340"/>
              <w:jc w:val="right"/>
              <w:rPr>
                <w:rFonts w:ascii="Arial" w:hAnsi="Arial" w:cs="Arial" w:eastAsia="Arial" w:hint="default"/>
                <w:sz w:val="22"/>
                <w:szCs w:val="22"/>
              </w:rPr>
            </w:pPr>
            <w:r>
              <w:rPr>
                <w:rFonts w:ascii="Arial"/>
                <w:sz w:val="22"/>
              </w:rPr>
              <w:t>4,808,254</w:t>
            </w:r>
          </w:p>
        </w:tc>
        <w:tc>
          <w:tcPr>
            <w:tcW w:w="172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437"/>
              <w:jc w:val="right"/>
              <w:rPr>
                <w:rFonts w:ascii="Arial" w:hAnsi="Arial" w:cs="Arial" w:eastAsia="Arial" w:hint="default"/>
                <w:sz w:val="22"/>
                <w:szCs w:val="22"/>
              </w:rPr>
            </w:pPr>
            <w:r>
              <w:rPr>
                <w:rFonts w:ascii="Arial"/>
                <w:spacing w:val="-2"/>
                <w:sz w:val="22"/>
              </w:rPr>
              <w:t>1,950,112</w:t>
            </w: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24"/>
              <w:jc w:val="right"/>
              <w:rPr>
                <w:rFonts w:ascii="Arial" w:hAnsi="Arial" w:cs="Arial" w:eastAsia="Arial" w:hint="default"/>
                <w:sz w:val="22"/>
                <w:szCs w:val="22"/>
              </w:rPr>
            </w:pPr>
            <w:r>
              <w:rPr>
                <w:rFonts w:ascii="Arial"/>
                <w:spacing w:val="-1"/>
                <w:sz w:val="22"/>
              </w:rPr>
              <w:t>(566)</w:t>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22"/>
                <w:szCs w:val="22"/>
              </w:rPr>
            </w:pPr>
            <w:r>
              <w:rPr>
                <w:rFonts w:ascii="Arial"/>
                <w:sz w:val="22"/>
              </w:rPr>
              <w:t>6,757,800</w:t>
            </w:r>
          </w:p>
        </w:tc>
      </w:tr>
      <w:tr>
        <w:trPr>
          <w:trHeight w:val="387" w:hRule="exact"/>
        </w:trPr>
        <w:tc>
          <w:tcPr>
            <w:tcW w:w="812" w:type="dxa"/>
            <w:tcBorders>
              <w:top w:val="nil" w:sz="6" w:space="0" w:color="auto"/>
              <w:left w:val="nil" w:sz="6" w:space="0" w:color="auto"/>
              <w:bottom w:val="nil" w:sz="6" w:space="0" w:color="auto"/>
              <w:right w:val="single" w:sz="4" w:space="0" w:color="000000"/>
            </w:tcBorders>
          </w:tcPr>
          <w:p>
            <w:pPr/>
          </w:p>
        </w:tc>
        <w:tc>
          <w:tcPr>
            <w:tcW w:w="2051"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724"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340"/>
              <w:jc w:val="right"/>
              <w:rPr>
                <w:rFonts w:ascii="Arial" w:hAnsi="Arial" w:cs="Arial" w:eastAsia="Arial" w:hint="default"/>
                <w:sz w:val="22"/>
                <w:szCs w:val="22"/>
              </w:rPr>
            </w:pPr>
            <w:r>
              <w:rPr>
                <w:rFonts w:ascii="Arial"/>
                <w:sz w:val="22"/>
              </w:rPr>
              <w:t>3,709,315</w:t>
            </w:r>
          </w:p>
        </w:tc>
        <w:tc>
          <w:tcPr>
            <w:tcW w:w="172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437"/>
              <w:jc w:val="right"/>
              <w:rPr>
                <w:rFonts w:ascii="Arial" w:hAnsi="Arial" w:cs="Arial" w:eastAsia="Arial" w:hint="default"/>
                <w:sz w:val="22"/>
                <w:szCs w:val="22"/>
              </w:rPr>
            </w:pPr>
            <w:r>
              <w:rPr>
                <w:rFonts w:ascii="Arial"/>
                <w:sz w:val="22"/>
              </w:rPr>
              <w:t>1,716,289</w:t>
            </w: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26"/>
              <w:jc w:val="right"/>
              <w:rPr>
                <w:rFonts w:ascii="Arial" w:hAnsi="Arial" w:cs="Arial" w:eastAsia="Arial" w:hint="default"/>
                <w:sz w:val="22"/>
                <w:szCs w:val="22"/>
              </w:rPr>
            </w:pPr>
            <w:r>
              <w:rPr>
                <w:rFonts w:ascii="Arial"/>
                <w:spacing w:val="-4"/>
                <w:sz w:val="22"/>
              </w:rPr>
              <w:t>(113)</w:t>
            </w:r>
          </w:p>
        </w:tc>
        <w:tc>
          <w:tcPr>
            <w:tcW w:w="1416" w:type="dxa"/>
            <w:tcBorders>
              <w:top w:val="single" w:sz="4" w:space="0" w:color="000000"/>
              <w:left w:val="nil" w:sz="6" w:space="0" w:color="auto"/>
              <w:bottom w:val="nil" w:sz="6" w:space="0" w:color="auto"/>
              <w:right w:val="single" w:sz="4" w:space="0" w:color="000000"/>
            </w:tcBorders>
          </w:tcPr>
          <w:p>
            <w:pPr>
              <w:pStyle w:val="TableParagraph"/>
              <w:spacing w:line="240" w:lineRule="auto" w:before="69"/>
              <w:ind w:right="100"/>
              <w:jc w:val="right"/>
              <w:rPr>
                <w:rFonts w:ascii="Arial" w:hAnsi="Arial" w:cs="Arial" w:eastAsia="Arial" w:hint="default"/>
                <w:sz w:val="22"/>
                <w:szCs w:val="22"/>
              </w:rPr>
            </w:pPr>
            <w:r>
              <w:rPr>
                <w:rFonts w:ascii="Arial"/>
                <w:spacing w:val="-1"/>
                <w:sz w:val="22"/>
              </w:rPr>
              <w:t>5,425,491</w:t>
            </w:r>
          </w:p>
        </w:tc>
      </w:tr>
      <w:tr>
        <w:trPr>
          <w:trHeight w:val="374" w:hRule="exact"/>
        </w:trPr>
        <w:tc>
          <w:tcPr>
            <w:tcW w:w="812" w:type="dxa"/>
            <w:tcBorders>
              <w:top w:val="nil" w:sz="6" w:space="0" w:color="auto"/>
              <w:left w:val="nil" w:sz="6" w:space="0" w:color="auto"/>
              <w:bottom w:val="nil" w:sz="6" w:space="0" w:color="auto"/>
              <w:right w:val="single" w:sz="4" w:space="0" w:color="000000"/>
            </w:tcBorders>
          </w:tcPr>
          <w:p>
            <w:pPr/>
          </w:p>
        </w:tc>
        <w:tc>
          <w:tcPr>
            <w:tcW w:w="2051" w:type="dxa"/>
            <w:tcBorders>
              <w:top w:val="nil" w:sz="6" w:space="0" w:color="auto"/>
              <w:left w:val="single" w:sz="4" w:space="0" w:color="000000"/>
              <w:bottom w:val="nil" w:sz="6" w:space="0" w:color="auto"/>
              <w:right w:val="nil" w:sz="6" w:space="0" w:color="auto"/>
            </w:tcBorders>
          </w:tcPr>
          <w:p>
            <w:pPr>
              <w:pStyle w:val="TableParagraph"/>
              <w:spacing w:line="285" w:lineRule="exact"/>
              <w:ind w:left="103"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0"/>
              <w:jc w:val="right"/>
              <w:rPr>
                <w:rFonts w:ascii="Arial" w:hAnsi="Arial" w:cs="Arial" w:eastAsia="Arial" w:hint="default"/>
                <w:sz w:val="22"/>
                <w:szCs w:val="22"/>
              </w:rPr>
            </w:pPr>
            <w:r>
              <w:rPr>
                <w:rFonts w:ascii="Arial"/>
                <w:spacing w:val="-1"/>
                <w:sz w:val="22"/>
              </w:rPr>
              <w:t>443,602</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35"/>
              <w:jc w:val="right"/>
              <w:rPr>
                <w:rFonts w:ascii="Arial" w:hAnsi="Arial" w:cs="Arial" w:eastAsia="Arial" w:hint="default"/>
                <w:sz w:val="22"/>
                <w:szCs w:val="22"/>
              </w:rPr>
            </w:pPr>
            <w:r>
              <w:rPr>
                <w:rFonts w:ascii="Arial"/>
                <w:spacing w:val="-1"/>
                <w:sz w:val="22"/>
              </w:rPr>
              <w:t>233,823</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24"/>
              <w:jc w:val="right"/>
              <w:rPr>
                <w:rFonts w:ascii="Arial" w:hAnsi="Arial" w:cs="Arial" w:eastAsia="Arial" w:hint="default"/>
                <w:sz w:val="22"/>
                <w:szCs w:val="22"/>
              </w:rPr>
            </w:pPr>
            <w:r>
              <w:rPr>
                <w:rFonts w:ascii="Arial"/>
                <w:spacing w:val="-1"/>
                <w:sz w:val="22"/>
              </w:rPr>
              <w:t>(402)</w:t>
            </w:r>
          </w:p>
        </w:tc>
        <w:tc>
          <w:tcPr>
            <w:tcW w:w="1416"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right="100"/>
              <w:jc w:val="right"/>
              <w:rPr>
                <w:rFonts w:ascii="Arial" w:hAnsi="Arial" w:cs="Arial" w:eastAsia="Arial" w:hint="default"/>
                <w:sz w:val="22"/>
                <w:szCs w:val="22"/>
              </w:rPr>
            </w:pPr>
            <w:r>
              <w:rPr>
                <w:rFonts w:ascii="Arial"/>
                <w:spacing w:val="-1"/>
                <w:sz w:val="22"/>
              </w:rPr>
              <w:t>677,023</w:t>
            </w:r>
          </w:p>
        </w:tc>
      </w:tr>
      <w:tr>
        <w:trPr>
          <w:trHeight w:val="377" w:hRule="exact"/>
        </w:trPr>
        <w:tc>
          <w:tcPr>
            <w:tcW w:w="812" w:type="dxa"/>
            <w:tcBorders>
              <w:top w:val="nil" w:sz="6" w:space="0" w:color="auto"/>
              <w:left w:val="nil" w:sz="6" w:space="0" w:color="auto"/>
              <w:bottom w:val="nil" w:sz="6" w:space="0" w:color="auto"/>
              <w:right w:val="single" w:sz="4" w:space="0" w:color="000000"/>
            </w:tcBorders>
          </w:tcPr>
          <w:p>
            <w:pPr/>
          </w:p>
        </w:tc>
        <w:tc>
          <w:tcPr>
            <w:tcW w:w="2051" w:type="dxa"/>
            <w:tcBorders>
              <w:top w:val="nil" w:sz="6" w:space="0" w:color="auto"/>
              <w:left w:val="single" w:sz="4" w:space="0" w:color="000000"/>
              <w:bottom w:val="nil" w:sz="6" w:space="0" w:color="auto"/>
              <w:right w:val="nil" w:sz="6" w:space="0" w:color="auto"/>
            </w:tcBorders>
          </w:tcPr>
          <w:p>
            <w:pPr>
              <w:pStyle w:val="TableParagraph"/>
              <w:spacing w:line="301" w:lineRule="exact"/>
              <w:ind w:left="103" w:right="0"/>
              <w:jc w:val="left"/>
              <w:rPr>
                <w:rFonts w:ascii="Arial" w:hAnsi="Arial" w:cs="Arial" w:eastAsia="Arial" w:hint="default"/>
                <w:sz w:val="22"/>
                <w:szCs w:val="22"/>
              </w:rPr>
            </w:pPr>
            <w:r>
              <w:rPr>
                <w:rFonts w:ascii="宋体" w:hAnsi="宋体" w:cs="宋体" w:eastAsia="宋体" w:hint="default"/>
                <w:sz w:val="22"/>
                <w:szCs w:val="22"/>
              </w:rPr>
              <w:t>优惠承租权</w:t>
            </w:r>
            <w:r>
              <w:rPr>
                <w:rFonts w:ascii="Arial" w:hAnsi="Arial" w:cs="Arial" w:eastAsia="Arial" w:hint="default"/>
                <w:sz w:val="22"/>
                <w:szCs w:val="22"/>
              </w:rPr>
              <w:t>(a)</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2"/>
              <w:jc w:val="right"/>
              <w:rPr>
                <w:rFonts w:ascii="Arial" w:hAnsi="Arial" w:cs="Arial" w:eastAsia="Arial" w:hint="default"/>
                <w:sz w:val="22"/>
                <w:szCs w:val="22"/>
              </w:rPr>
            </w:pPr>
            <w:r>
              <w:rPr>
                <w:rFonts w:ascii="Arial"/>
                <w:spacing w:val="-1"/>
                <w:sz w:val="22"/>
              </w:rPr>
              <w:t>245,233</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38"/>
              <w:jc w:val="right"/>
              <w:rPr>
                <w:rFonts w:ascii="Arial" w:hAnsi="Arial" w:cs="Arial" w:eastAsia="Arial" w:hint="default"/>
                <w:sz w:val="22"/>
                <w:szCs w:val="22"/>
              </w:rPr>
            </w:pPr>
            <w:r>
              <w:rPr>
                <w:rFonts w:ascii="Arial"/>
                <w:w w:val="100"/>
                <w:sz w:val="22"/>
              </w:rPr>
              <w:t>-</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w:hAnsi="Arial" w:cs="Arial" w:eastAsia="Arial" w:hint="default"/>
                <w:sz w:val="22"/>
                <w:szCs w:val="22"/>
              </w:rPr>
            </w:pPr>
            <w:r>
              <w:rPr>
                <w:rFonts w:ascii="Arial"/>
                <w:w w:val="100"/>
                <w:sz w:val="22"/>
              </w:rPr>
              <w:t>-</w:t>
            </w:r>
          </w:p>
        </w:tc>
        <w:tc>
          <w:tcPr>
            <w:tcW w:w="1416"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right="100"/>
              <w:jc w:val="right"/>
              <w:rPr>
                <w:rFonts w:ascii="Arial" w:hAnsi="Arial" w:cs="Arial" w:eastAsia="Arial" w:hint="default"/>
                <w:sz w:val="22"/>
                <w:szCs w:val="22"/>
              </w:rPr>
            </w:pPr>
            <w:r>
              <w:rPr>
                <w:rFonts w:ascii="Arial"/>
                <w:spacing w:val="-1"/>
                <w:sz w:val="22"/>
              </w:rPr>
              <w:t>245,233</w:t>
            </w:r>
          </w:p>
        </w:tc>
      </w:tr>
      <w:tr>
        <w:trPr>
          <w:trHeight w:val="364" w:hRule="exact"/>
        </w:trPr>
        <w:tc>
          <w:tcPr>
            <w:tcW w:w="812" w:type="dxa"/>
            <w:tcBorders>
              <w:top w:val="nil" w:sz="6" w:space="0" w:color="auto"/>
              <w:left w:val="nil" w:sz="6" w:space="0" w:color="auto"/>
              <w:bottom w:val="nil" w:sz="6" w:space="0" w:color="auto"/>
              <w:right w:val="single" w:sz="4" w:space="0" w:color="000000"/>
            </w:tcBorders>
          </w:tcPr>
          <w:p>
            <w:pPr/>
          </w:p>
        </w:tc>
        <w:tc>
          <w:tcPr>
            <w:tcW w:w="2051" w:type="dxa"/>
            <w:tcBorders>
              <w:top w:val="nil" w:sz="6" w:space="0" w:color="auto"/>
              <w:left w:val="single" w:sz="4" w:space="0" w:color="000000"/>
              <w:bottom w:val="single" w:sz="4" w:space="0" w:color="000000"/>
              <w:right w:val="nil" w:sz="6" w:space="0" w:color="auto"/>
            </w:tcBorders>
          </w:tcPr>
          <w:p>
            <w:pPr>
              <w:pStyle w:val="TableParagraph"/>
              <w:spacing w:line="285" w:lineRule="exact"/>
              <w:ind w:left="103" w:right="0"/>
              <w:jc w:val="left"/>
              <w:rPr>
                <w:rFonts w:ascii="宋体" w:hAnsi="宋体" w:cs="宋体" w:eastAsia="宋体" w:hint="default"/>
                <w:sz w:val="22"/>
                <w:szCs w:val="22"/>
              </w:rPr>
            </w:pPr>
            <w:r>
              <w:rPr>
                <w:rFonts w:ascii="宋体" w:hAnsi="宋体" w:cs="宋体" w:eastAsia="宋体" w:hint="default"/>
                <w:sz w:val="22"/>
                <w:szCs w:val="22"/>
              </w:rPr>
              <w:t>商标及客户关系</w:t>
            </w:r>
          </w:p>
        </w:tc>
        <w:tc>
          <w:tcPr>
            <w:tcW w:w="172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340"/>
              <w:jc w:val="right"/>
              <w:rPr>
                <w:rFonts w:ascii="Arial" w:hAnsi="Arial" w:cs="Arial" w:eastAsia="Arial" w:hint="default"/>
                <w:sz w:val="22"/>
                <w:szCs w:val="22"/>
              </w:rPr>
            </w:pPr>
            <w:r>
              <w:rPr>
                <w:rFonts w:ascii="Arial"/>
                <w:spacing w:val="-1"/>
                <w:sz w:val="22"/>
              </w:rPr>
              <w:t>410,104</w:t>
            </w:r>
          </w:p>
        </w:tc>
        <w:tc>
          <w:tcPr>
            <w:tcW w:w="172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438"/>
              <w:jc w:val="right"/>
              <w:rPr>
                <w:rFonts w:ascii="Arial" w:hAnsi="Arial" w:cs="Arial" w:eastAsia="Arial" w:hint="default"/>
                <w:sz w:val="22"/>
                <w:szCs w:val="22"/>
              </w:rPr>
            </w:pPr>
            <w:r>
              <w:rPr>
                <w:rFonts w:ascii="Arial"/>
                <w:w w:val="100"/>
                <w:sz w:val="22"/>
              </w:rPr>
              <w:t>-</w:t>
            </w: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26"/>
              <w:jc w:val="right"/>
              <w:rPr>
                <w:rFonts w:ascii="Arial" w:hAnsi="Arial" w:cs="Arial" w:eastAsia="Arial" w:hint="default"/>
                <w:sz w:val="22"/>
                <w:szCs w:val="22"/>
              </w:rPr>
            </w:pPr>
            <w:r>
              <w:rPr>
                <w:rFonts w:ascii="Arial"/>
                <w:spacing w:val="-1"/>
                <w:sz w:val="22"/>
              </w:rPr>
              <w:t>(51)</w:t>
            </w:r>
          </w:p>
        </w:tc>
        <w:tc>
          <w:tcPr>
            <w:tcW w:w="1416" w:type="dxa"/>
            <w:tcBorders>
              <w:top w:val="nil" w:sz="6" w:space="0" w:color="auto"/>
              <w:left w:val="nil" w:sz="6" w:space="0" w:color="auto"/>
              <w:bottom w:val="single" w:sz="4" w:space="0" w:color="000000"/>
              <w:right w:val="single" w:sz="4" w:space="0" w:color="000000"/>
            </w:tcBorders>
          </w:tcPr>
          <w:p>
            <w:pPr>
              <w:pStyle w:val="TableParagraph"/>
              <w:spacing w:line="240" w:lineRule="auto" w:before="62"/>
              <w:ind w:right="98"/>
              <w:jc w:val="right"/>
              <w:rPr>
                <w:rFonts w:ascii="Arial" w:hAnsi="Arial" w:cs="Arial" w:eastAsia="Arial" w:hint="default"/>
                <w:sz w:val="22"/>
                <w:szCs w:val="22"/>
              </w:rPr>
            </w:pPr>
            <w:r>
              <w:rPr>
                <w:rFonts w:ascii="Arial"/>
                <w:spacing w:val="-1"/>
                <w:sz w:val="22"/>
              </w:rPr>
              <w:t>410,053</w:t>
            </w:r>
            <w:r>
              <w:rPr>
                <w:rFonts w:ascii="Arial"/>
                <w:sz w:val="22"/>
              </w:rPr>
            </w:r>
          </w:p>
        </w:tc>
      </w:tr>
      <w:tr>
        <w:trPr>
          <w:trHeight w:val="718" w:hRule="exact"/>
        </w:trPr>
        <w:tc>
          <w:tcPr>
            <w:tcW w:w="812" w:type="dxa"/>
            <w:tcBorders>
              <w:top w:val="nil" w:sz="6" w:space="0" w:color="auto"/>
              <w:left w:val="nil" w:sz="6" w:space="0" w:color="auto"/>
              <w:bottom w:val="nil" w:sz="6" w:space="0" w:color="auto"/>
              <w:right w:val="nil" w:sz="6" w:space="0" w:color="auto"/>
            </w:tcBorders>
          </w:tcPr>
          <w:p>
            <w:pPr/>
          </w:p>
        </w:tc>
        <w:tc>
          <w:tcPr>
            <w:tcW w:w="2051"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30"/>
                <w:szCs w:val="30"/>
              </w:rPr>
            </w:pPr>
          </w:p>
          <w:p>
            <w:pPr>
              <w:pStyle w:val="TableParagraph"/>
              <w:spacing w:line="240" w:lineRule="auto"/>
              <w:ind w:left="107" w:right="0"/>
              <w:jc w:val="left"/>
              <w:rPr>
                <w:rFonts w:ascii="宋体" w:hAnsi="宋体" w:cs="宋体" w:eastAsia="宋体" w:hint="default"/>
                <w:sz w:val="22"/>
                <w:szCs w:val="22"/>
              </w:rPr>
            </w:pPr>
            <w:r>
              <w:rPr>
                <w:rFonts w:ascii="宋体" w:hAnsi="宋体" w:cs="宋体" w:eastAsia="宋体" w:hint="default"/>
                <w:sz w:val="22"/>
                <w:szCs w:val="22"/>
              </w:rPr>
              <w:t>累计摊销合计</w:t>
            </w:r>
          </w:p>
        </w:tc>
        <w:tc>
          <w:tcPr>
            <w:tcW w:w="172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7"/>
              <w:ind w:right="298"/>
              <w:jc w:val="right"/>
              <w:rPr>
                <w:rFonts w:ascii="Arial" w:hAnsi="Arial" w:cs="Arial" w:eastAsia="Arial" w:hint="default"/>
                <w:sz w:val="22"/>
                <w:szCs w:val="22"/>
              </w:rPr>
            </w:pPr>
            <w:r>
              <w:rPr>
                <w:rFonts w:ascii="Arial"/>
                <w:spacing w:val="-1"/>
                <w:sz w:val="22"/>
              </w:rPr>
              <w:t>(439,990)</w:t>
            </w:r>
          </w:p>
        </w:tc>
        <w:tc>
          <w:tcPr>
            <w:tcW w:w="172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7"/>
              <w:ind w:right="407"/>
              <w:jc w:val="right"/>
              <w:rPr>
                <w:rFonts w:ascii="Arial" w:hAnsi="Arial" w:cs="Arial" w:eastAsia="Arial" w:hint="default"/>
                <w:sz w:val="22"/>
                <w:szCs w:val="22"/>
              </w:rPr>
            </w:pPr>
            <w:r>
              <w:rPr>
                <w:rFonts w:ascii="Arial"/>
                <w:spacing w:val="-1"/>
                <w:sz w:val="22"/>
              </w:rPr>
              <w:t>(278,152)</w:t>
            </w:r>
          </w:p>
        </w:tc>
        <w:tc>
          <w:tcPr>
            <w:tcW w:w="129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7"/>
              <w:ind w:right="226"/>
              <w:jc w:val="right"/>
              <w:rPr>
                <w:rFonts w:ascii="Arial" w:hAnsi="Arial" w:cs="Arial" w:eastAsia="Arial" w:hint="default"/>
                <w:sz w:val="22"/>
                <w:szCs w:val="22"/>
              </w:rPr>
            </w:pPr>
            <w:r>
              <w:rPr>
                <w:rFonts w:ascii="Arial"/>
                <w:spacing w:val="-1"/>
                <w:sz w:val="22"/>
              </w:rPr>
              <w:t>77</w:t>
            </w:r>
            <w:r>
              <w:rPr>
                <w:rFonts w:ascii="Arial"/>
                <w:sz w:val="22"/>
              </w:rPr>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7"/>
              <w:ind w:right="46"/>
              <w:jc w:val="right"/>
              <w:rPr>
                <w:rFonts w:ascii="Arial" w:hAnsi="Arial" w:cs="Arial" w:eastAsia="Arial" w:hint="default"/>
                <w:sz w:val="22"/>
                <w:szCs w:val="22"/>
              </w:rPr>
            </w:pPr>
            <w:r>
              <w:rPr>
                <w:rFonts w:ascii="Arial"/>
                <w:spacing w:val="-1"/>
                <w:sz w:val="22"/>
              </w:rPr>
              <w:t>(718,065)</w:t>
            </w:r>
          </w:p>
        </w:tc>
      </w:tr>
      <w:tr>
        <w:trPr>
          <w:trHeight w:val="387" w:hRule="exact"/>
        </w:trPr>
        <w:tc>
          <w:tcPr>
            <w:tcW w:w="812" w:type="dxa"/>
            <w:tcBorders>
              <w:top w:val="nil" w:sz="6" w:space="0" w:color="auto"/>
              <w:left w:val="nil" w:sz="6" w:space="0" w:color="auto"/>
              <w:bottom w:val="nil" w:sz="6" w:space="0" w:color="auto"/>
              <w:right w:val="single" w:sz="4" w:space="0" w:color="000000"/>
            </w:tcBorders>
          </w:tcPr>
          <w:p>
            <w:pPr/>
          </w:p>
        </w:tc>
        <w:tc>
          <w:tcPr>
            <w:tcW w:w="2051"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724"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301"/>
              <w:jc w:val="right"/>
              <w:rPr>
                <w:rFonts w:ascii="Arial" w:hAnsi="Arial" w:cs="Arial" w:eastAsia="Arial" w:hint="default"/>
                <w:sz w:val="22"/>
                <w:szCs w:val="22"/>
              </w:rPr>
            </w:pPr>
            <w:r>
              <w:rPr>
                <w:rFonts w:ascii="Arial"/>
                <w:spacing w:val="-1"/>
                <w:sz w:val="22"/>
              </w:rPr>
              <w:t>(65,457)</w:t>
            </w:r>
          </w:p>
        </w:tc>
        <w:tc>
          <w:tcPr>
            <w:tcW w:w="172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407"/>
              <w:jc w:val="right"/>
              <w:rPr>
                <w:rFonts w:ascii="Arial" w:hAnsi="Arial" w:cs="Arial" w:eastAsia="Arial" w:hint="default"/>
                <w:sz w:val="22"/>
                <w:szCs w:val="22"/>
              </w:rPr>
            </w:pPr>
            <w:r>
              <w:rPr>
                <w:rFonts w:ascii="Arial"/>
                <w:spacing w:val="-3"/>
                <w:sz w:val="22"/>
              </w:rPr>
              <w:t>(116,224)</w:t>
            </w: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26"/>
              <w:jc w:val="right"/>
              <w:rPr>
                <w:rFonts w:ascii="Arial" w:hAnsi="Arial" w:cs="Arial" w:eastAsia="Arial" w:hint="default"/>
                <w:sz w:val="22"/>
                <w:szCs w:val="22"/>
              </w:rPr>
            </w:pPr>
            <w:r>
              <w:rPr>
                <w:rFonts w:ascii="Arial"/>
                <w:w w:val="100"/>
                <w:sz w:val="22"/>
              </w:rPr>
              <w:t>-</w:t>
            </w:r>
          </w:p>
        </w:tc>
        <w:tc>
          <w:tcPr>
            <w:tcW w:w="1416" w:type="dxa"/>
            <w:tcBorders>
              <w:top w:val="single" w:sz="4" w:space="0" w:color="000000"/>
              <w:left w:val="nil" w:sz="6" w:space="0" w:color="auto"/>
              <w:bottom w:val="nil" w:sz="6" w:space="0" w:color="auto"/>
              <w:right w:val="single" w:sz="4" w:space="0" w:color="000000"/>
            </w:tcBorders>
          </w:tcPr>
          <w:p>
            <w:pPr>
              <w:pStyle w:val="TableParagraph"/>
              <w:spacing w:line="240" w:lineRule="auto" w:before="69"/>
              <w:ind w:right="39"/>
              <w:jc w:val="right"/>
              <w:rPr>
                <w:rFonts w:ascii="Arial" w:hAnsi="Arial" w:cs="Arial" w:eastAsia="Arial" w:hint="default"/>
                <w:sz w:val="22"/>
                <w:szCs w:val="22"/>
              </w:rPr>
            </w:pPr>
            <w:r>
              <w:rPr>
                <w:rFonts w:ascii="Arial"/>
                <w:spacing w:val="-1"/>
                <w:sz w:val="22"/>
              </w:rPr>
              <w:t>(181,681)</w:t>
            </w:r>
          </w:p>
        </w:tc>
      </w:tr>
      <w:tr>
        <w:trPr>
          <w:trHeight w:val="375" w:hRule="exact"/>
        </w:trPr>
        <w:tc>
          <w:tcPr>
            <w:tcW w:w="812" w:type="dxa"/>
            <w:tcBorders>
              <w:top w:val="nil" w:sz="6" w:space="0" w:color="auto"/>
              <w:left w:val="nil" w:sz="6" w:space="0" w:color="auto"/>
              <w:bottom w:val="nil" w:sz="6" w:space="0" w:color="auto"/>
              <w:right w:val="single" w:sz="4" w:space="0" w:color="000000"/>
            </w:tcBorders>
          </w:tcPr>
          <w:p>
            <w:pPr/>
          </w:p>
        </w:tc>
        <w:tc>
          <w:tcPr>
            <w:tcW w:w="2051" w:type="dxa"/>
            <w:tcBorders>
              <w:top w:val="nil" w:sz="6" w:space="0" w:color="auto"/>
              <w:left w:val="single" w:sz="4" w:space="0" w:color="000000"/>
              <w:bottom w:val="nil" w:sz="6" w:space="0" w:color="auto"/>
              <w:right w:val="nil" w:sz="6" w:space="0" w:color="auto"/>
            </w:tcBorders>
          </w:tcPr>
          <w:p>
            <w:pPr>
              <w:pStyle w:val="TableParagraph"/>
              <w:spacing w:line="285" w:lineRule="exact"/>
              <w:ind w:left="103"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8"/>
              <w:jc w:val="right"/>
              <w:rPr>
                <w:rFonts w:ascii="Arial" w:hAnsi="Arial" w:cs="Arial" w:eastAsia="Arial" w:hint="default"/>
                <w:sz w:val="22"/>
                <w:szCs w:val="22"/>
              </w:rPr>
            </w:pPr>
            <w:r>
              <w:rPr>
                <w:rFonts w:ascii="Arial"/>
                <w:spacing w:val="-1"/>
                <w:sz w:val="22"/>
              </w:rPr>
              <w:t>(160,841)</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10"/>
              <w:jc w:val="right"/>
              <w:rPr>
                <w:rFonts w:ascii="Arial" w:hAnsi="Arial" w:cs="Arial" w:eastAsia="Arial" w:hint="default"/>
                <w:sz w:val="22"/>
                <w:szCs w:val="22"/>
              </w:rPr>
            </w:pPr>
            <w:r>
              <w:rPr>
                <w:rFonts w:ascii="Arial"/>
                <w:spacing w:val="-1"/>
                <w:sz w:val="22"/>
              </w:rPr>
              <w:t>(88,336)</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26"/>
              <w:jc w:val="right"/>
              <w:rPr>
                <w:rFonts w:ascii="Arial" w:hAnsi="Arial" w:cs="Arial" w:eastAsia="Arial" w:hint="default"/>
                <w:sz w:val="22"/>
                <w:szCs w:val="22"/>
              </w:rPr>
            </w:pPr>
            <w:r>
              <w:rPr>
                <w:rFonts w:ascii="Arial"/>
                <w:spacing w:val="-1"/>
                <w:sz w:val="22"/>
              </w:rPr>
              <w:t>73</w:t>
            </w:r>
            <w:r>
              <w:rPr>
                <w:rFonts w:ascii="Arial"/>
                <w:sz w:val="22"/>
              </w:rPr>
            </w:r>
          </w:p>
        </w:tc>
        <w:tc>
          <w:tcPr>
            <w:tcW w:w="1416"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right="42"/>
              <w:jc w:val="right"/>
              <w:rPr>
                <w:rFonts w:ascii="Arial" w:hAnsi="Arial" w:cs="Arial" w:eastAsia="Arial" w:hint="default"/>
                <w:sz w:val="22"/>
                <w:szCs w:val="22"/>
              </w:rPr>
            </w:pPr>
            <w:r>
              <w:rPr>
                <w:rFonts w:ascii="Arial"/>
                <w:spacing w:val="-1"/>
                <w:sz w:val="22"/>
              </w:rPr>
              <w:t>(249,104)</w:t>
            </w:r>
          </w:p>
        </w:tc>
      </w:tr>
      <w:tr>
        <w:trPr>
          <w:trHeight w:val="376" w:hRule="exact"/>
        </w:trPr>
        <w:tc>
          <w:tcPr>
            <w:tcW w:w="812" w:type="dxa"/>
            <w:tcBorders>
              <w:top w:val="nil" w:sz="6" w:space="0" w:color="auto"/>
              <w:left w:val="nil" w:sz="6" w:space="0" w:color="auto"/>
              <w:bottom w:val="nil" w:sz="6" w:space="0" w:color="auto"/>
              <w:right w:val="single" w:sz="4" w:space="0" w:color="000000"/>
            </w:tcBorders>
          </w:tcPr>
          <w:p>
            <w:pPr/>
          </w:p>
        </w:tc>
        <w:tc>
          <w:tcPr>
            <w:tcW w:w="2051" w:type="dxa"/>
            <w:tcBorders>
              <w:top w:val="nil" w:sz="6" w:space="0" w:color="auto"/>
              <w:left w:val="single" w:sz="4" w:space="0" w:color="000000"/>
              <w:bottom w:val="nil" w:sz="6" w:space="0" w:color="auto"/>
              <w:right w:val="nil" w:sz="6" w:space="0" w:color="auto"/>
            </w:tcBorders>
          </w:tcPr>
          <w:p>
            <w:pPr>
              <w:pStyle w:val="TableParagraph"/>
              <w:spacing w:line="301" w:lineRule="exact"/>
              <w:ind w:left="103" w:right="0"/>
              <w:jc w:val="left"/>
              <w:rPr>
                <w:rFonts w:ascii="Arial" w:hAnsi="Arial" w:cs="Arial" w:eastAsia="Arial" w:hint="default"/>
                <w:sz w:val="22"/>
                <w:szCs w:val="22"/>
              </w:rPr>
            </w:pPr>
            <w:r>
              <w:rPr>
                <w:rFonts w:ascii="宋体" w:hAnsi="宋体" w:cs="宋体" w:eastAsia="宋体" w:hint="default"/>
                <w:sz w:val="22"/>
                <w:szCs w:val="22"/>
              </w:rPr>
              <w:t>优惠承租权</w:t>
            </w:r>
            <w:r>
              <w:rPr>
                <w:rFonts w:ascii="Arial" w:hAnsi="Arial" w:cs="Arial" w:eastAsia="Arial" w:hint="default"/>
                <w:sz w:val="22"/>
                <w:szCs w:val="22"/>
              </w:rPr>
              <w:t>(a)</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01"/>
              <w:jc w:val="right"/>
              <w:rPr>
                <w:rFonts w:ascii="Arial" w:hAnsi="Arial" w:cs="Arial" w:eastAsia="Arial" w:hint="default"/>
                <w:sz w:val="22"/>
                <w:szCs w:val="22"/>
              </w:rPr>
            </w:pPr>
            <w:r>
              <w:rPr>
                <w:rFonts w:ascii="Arial"/>
                <w:spacing w:val="-1"/>
                <w:sz w:val="22"/>
              </w:rPr>
              <w:t>(209,368)</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10"/>
              <w:jc w:val="right"/>
              <w:rPr>
                <w:rFonts w:ascii="Arial" w:hAnsi="Arial" w:cs="Arial" w:eastAsia="Arial" w:hint="default"/>
                <w:sz w:val="22"/>
                <w:szCs w:val="22"/>
              </w:rPr>
            </w:pPr>
            <w:r>
              <w:rPr>
                <w:rFonts w:ascii="Arial"/>
                <w:spacing w:val="-1"/>
                <w:sz w:val="22"/>
              </w:rPr>
              <w:t>(25,298)</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w:hAnsi="Arial" w:cs="Arial" w:eastAsia="Arial" w:hint="default"/>
                <w:sz w:val="22"/>
                <w:szCs w:val="22"/>
              </w:rPr>
            </w:pPr>
            <w:r>
              <w:rPr>
                <w:rFonts w:ascii="Arial"/>
                <w:w w:val="100"/>
                <w:sz w:val="22"/>
              </w:rPr>
              <w:t>-</w:t>
            </w:r>
          </w:p>
        </w:tc>
        <w:tc>
          <w:tcPr>
            <w:tcW w:w="1416"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right="39"/>
              <w:jc w:val="right"/>
              <w:rPr>
                <w:rFonts w:ascii="Arial" w:hAnsi="Arial" w:cs="Arial" w:eastAsia="Arial" w:hint="default"/>
                <w:sz w:val="22"/>
                <w:szCs w:val="22"/>
              </w:rPr>
            </w:pPr>
            <w:r>
              <w:rPr>
                <w:rFonts w:ascii="Arial"/>
                <w:spacing w:val="-1"/>
                <w:sz w:val="22"/>
              </w:rPr>
              <w:t>(234,666)</w:t>
            </w:r>
          </w:p>
        </w:tc>
      </w:tr>
      <w:tr>
        <w:trPr>
          <w:trHeight w:val="366" w:hRule="exact"/>
        </w:trPr>
        <w:tc>
          <w:tcPr>
            <w:tcW w:w="812" w:type="dxa"/>
            <w:tcBorders>
              <w:top w:val="nil" w:sz="6" w:space="0" w:color="auto"/>
              <w:left w:val="nil" w:sz="6" w:space="0" w:color="auto"/>
              <w:bottom w:val="nil" w:sz="6" w:space="0" w:color="auto"/>
              <w:right w:val="single" w:sz="4" w:space="0" w:color="000000"/>
            </w:tcBorders>
          </w:tcPr>
          <w:p>
            <w:pPr/>
          </w:p>
        </w:tc>
        <w:tc>
          <w:tcPr>
            <w:tcW w:w="2051" w:type="dxa"/>
            <w:tcBorders>
              <w:top w:val="nil" w:sz="6" w:space="0" w:color="auto"/>
              <w:left w:val="single" w:sz="4" w:space="0" w:color="000000"/>
              <w:bottom w:val="single" w:sz="4" w:space="0" w:color="000000"/>
              <w:right w:val="nil" w:sz="6" w:space="0" w:color="auto"/>
            </w:tcBorders>
          </w:tcPr>
          <w:p>
            <w:pPr>
              <w:pStyle w:val="TableParagraph"/>
              <w:spacing w:line="284" w:lineRule="exact"/>
              <w:ind w:left="103" w:right="0"/>
              <w:jc w:val="left"/>
              <w:rPr>
                <w:rFonts w:ascii="宋体" w:hAnsi="宋体" w:cs="宋体" w:eastAsia="宋体" w:hint="default"/>
                <w:sz w:val="22"/>
                <w:szCs w:val="22"/>
              </w:rPr>
            </w:pPr>
            <w:r>
              <w:rPr>
                <w:rFonts w:ascii="宋体" w:hAnsi="宋体" w:cs="宋体" w:eastAsia="宋体" w:hint="default"/>
                <w:sz w:val="22"/>
                <w:szCs w:val="22"/>
              </w:rPr>
              <w:t>商标及客户关系</w:t>
            </w:r>
          </w:p>
        </w:tc>
        <w:tc>
          <w:tcPr>
            <w:tcW w:w="1724"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301"/>
              <w:jc w:val="right"/>
              <w:rPr>
                <w:rFonts w:ascii="Arial" w:hAnsi="Arial" w:cs="Arial" w:eastAsia="Arial" w:hint="default"/>
                <w:sz w:val="22"/>
                <w:szCs w:val="22"/>
              </w:rPr>
            </w:pPr>
            <w:r>
              <w:rPr>
                <w:rFonts w:ascii="Arial"/>
                <w:spacing w:val="-1"/>
                <w:sz w:val="22"/>
              </w:rPr>
              <w:t>(4,324)</w:t>
            </w:r>
          </w:p>
        </w:tc>
        <w:tc>
          <w:tcPr>
            <w:tcW w:w="1722"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410"/>
              <w:jc w:val="right"/>
              <w:rPr>
                <w:rFonts w:ascii="Arial" w:hAnsi="Arial" w:cs="Arial" w:eastAsia="Arial" w:hint="default"/>
                <w:sz w:val="22"/>
                <w:szCs w:val="22"/>
              </w:rPr>
            </w:pPr>
            <w:r>
              <w:rPr>
                <w:rFonts w:ascii="Arial"/>
                <w:spacing w:val="-1"/>
                <w:sz w:val="22"/>
              </w:rPr>
              <w:t>(48,294)</w:t>
            </w: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225"/>
              <w:jc w:val="right"/>
              <w:rPr>
                <w:rFonts w:ascii="Arial" w:hAnsi="Arial" w:cs="Arial" w:eastAsia="Arial" w:hint="default"/>
                <w:sz w:val="22"/>
                <w:szCs w:val="22"/>
              </w:rPr>
            </w:pPr>
            <w:r>
              <w:rPr>
                <w:rFonts w:ascii="Arial"/>
                <w:w w:val="100"/>
                <w:sz w:val="22"/>
              </w:rPr>
              <w:t>4</w:t>
            </w:r>
          </w:p>
        </w:tc>
        <w:tc>
          <w:tcPr>
            <w:tcW w:w="1416" w:type="dxa"/>
            <w:tcBorders>
              <w:top w:val="nil" w:sz="6" w:space="0" w:color="auto"/>
              <w:left w:val="nil" w:sz="6" w:space="0" w:color="auto"/>
              <w:bottom w:val="single" w:sz="4" w:space="0" w:color="000000"/>
              <w:right w:val="single" w:sz="4" w:space="0" w:color="000000"/>
            </w:tcBorders>
          </w:tcPr>
          <w:p>
            <w:pPr>
              <w:pStyle w:val="TableParagraph"/>
              <w:spacing w:line="240" w:lineRule="auto" w:before="63"/>
              <w:ind w:right="42"/>
              <w:jc w:val="right"/>
              <w:rPr>
                <w:rFonts w:ascii="Arial" w:hAnsi="Arial" w:cs="Arial" w:eastAsia="Arial" w:hint="default"/>
                <w:sz w:val="22"/>
                <w:szCs w:val="22"/>
              </w:rPr>
            </w:pPr>
            <w:r>
              <w:rPr>
                <w:rFonts w:ascii="Arial"/>
                <w:spacing w:val="-1"/>
                <w:sz w:val="22"/>
              </w:rPr>
              <w:t>(52,614)</w:t>
            </w:r>
          </w:p>
        </w:tc>
      </w:tr>
      <w:tr>
        <w:trPr>
          <w:trHeight w:val="730" w:hRule="exact"/>
        </w:trPr>
        <w:tc>
          <w:tcPr>
            <w:tcW w:w="812" w:type="dxa"/>
            <w:tcBorders>
              <w:top w:val="nil" w:sz="6" w:space="0" w:color="auto"/>
              <w:left w:val="nil" w:sz="6" w:space="0" w:color="auto"/>
              <w:bottom w:val="nil" w:sz="6" w:space="0" w:color="auto"/>
              <w:right w:val="nil" w:sz="6" w:space="0" w:color="auto"/>
            </w:tcBorders>
          </w:tcPr>
          <w:p>
            <w:pPr/>
          </w:p>
        </w:tc>
        <w:tc>
          <w:tcPr>
            <w:tcW w:w="2051"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1"/>
                <w:szCs w:val="31"/>
              </w:rPr>
            </w:pPr>
          </w:p>
          <w:p>
            <w:pPr>
              <w:pStyle w:val="TableParagraph"/>
              <w:spacing w:line="240" w:lineRule="auto"/>
              <w:ind w:left="107" w:right="0"/>
              <w:jc w:val="left"/>
              <w:rPr>
                <w:rFonts w:ascii="宋体" w:hAnsi="宋体" w:cs="宋体" w:eastAsia="宋体" w:hint="default"/>
                <w:sz w:val="22"/>
                <w:szCs w:val="22"/>
              </w:rPr>
            </w:pPr>
            <w:r>
              <w:rPr>
                <w:rFonts w:ascii="宋体" w:hAnsi="宋体" w:cs="宋体" w:eastAsia="宋体" w:hint="default"/>
                <w:sz w:val="22"/>
                <w:szCs w:val="22"/>
              </w:rPr>
              <w:t>账面价值合计</w:t>
            </w:r>
          </w:p>
        </w:tc>
        <w:tc>
          <w:tcPr>
            <w:tcW w:w="172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2"/>
              <w:ind w:right="340"/>
              <w:jc w:val="right"/>
              <w:rPr>
                <w:rFonts w:ascii="Arial" w:hAnsi="Arial" w:cs="Arial" w:eastAsia="Arial" w:hint="default"/>
                <w:sz w:val="22"/>
                <w:szCs w:val="22"/>
              </w:rPr>
            </w:pPr>
            <w:r>
              <w:rPr>
                <w:rFonts w:ascii="Arial"/>
                <w:spacing w:val="-1"/>
                <w:sz w:val="22"/>
              </w:rPr>
              <w:t>4,368,264</w:t>
            </w:r>
          </w:p>
        </w:tc>
        <w:tc>
          <w:tcPr>
            <w:tcW w:w="1722" w:type="dxa"/>
            <w:tcBorders>
              <w:top w:val="single" w:sz="4" w:space="0" w:color="000000"/>
              <w:left w:val="nil" w:sz="6" w:space="0" w:color="auto"/>
              <w:bottom w:val="single" w:sz="4" w:space="0" w:color="000000"/>
              <w:right w:val="nil" w:sz="6" w:space="0" w:color="auto"/>
            </w:tcBorders>
          </w:tcPr>
          <w:p>
            <w:pPr/>
          </w:p>
        </w:tc>
        <w:tc>
          <w:tcPr>
            <w:tcW w:w="1298" w:type="dxa"/>
            <w:tcBorders>
              <w:top w:val="single" w:sz="4" w:space="0" w:color="000000"/>
              <w:left w:val="nil" w:sz="6" w:space="0" w:color="auto"/>
              <w:bottom w:val="single" w:sz="4" w:space="0" w:color="000000"/>
              <w:right w:val="nil" w:sz="6" w:space="0" w:color="auto"/>
            </w:tcBorders>
          </w:tcPr>
          <w:p>
            <w:pP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2"/>
              <w:ind w:right="105"/>
              <w:jc w:val="right"/>
              <w:rPr>
                <w:rFonts w:ascii="Arial" w:hAnsi="Arial" w:cs="Arial" w:eastAsia="Arial" w:hint="default"/>
                <w:sz w:val="22"/>
                <w:szCs w:val="22"/>
              </w:rPr>
            </w:pPr>
            <w:r>
              <w:rPr>
                <w:rFonts w:ascii="Arial"/>
                <w:spacing w:val="-1"/>
                <w:sz w:val="22"/>
              </w:rPr>
              <w:t>6,039,735</w:t>
            </w:r>
          </w:p>
        </w:tc>
      </w:tr>
      <w:tr>
        <w:trPr>
          <w:trHeight w:val="383" w:hRule="exact"/>
        </w:trPr>
        <w:tc>
          <w:tcPr>
            <w:tcW w:w="812" w:type="dxa"/>
            <w:tcBorders>
              <w:top w:val="nil" w:sz="6" w:space="0" w:color="auto"/>
              <w:left w:val="nil" w:sz="6" w:space="0" w:color="auto"/>
              <w:bottom w:val="nil" w:sz="6" w:space="0" w:color="auto"/>
              <w:right w:val="single" w:sz="4" w:space="0" w:color="000000"/>
            </w:tcBorders>
          </w:tcPr>
          <w:p>
            <w:pPr/>
          </w:p>
        </w:tc>
        <w:tc>
          <w:tcPr>
            <w:tcW w:w="2051"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left="103"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724"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340"/>
              <w:jc w:val="right"/>
              <w:rPr>
                <w:rFonts w:ascii="Arial" w:hAnsi="Arial" w:cs="Arial" w:eastAsia="Arial" w:hint="default"/>
                <w:sz w:val="22"/>
                <w:szCs w:val="22"/>
              </w:rPr>
            </w:pPr>
            <w:r>
              <w:rPr>
                <w:rFonts w:ascii="Arial"/>
                <w:sz w:val="22"/>
              </w:rPr>
              <w:t>3,643,858</w:t>
            </w:r>
          </w:p>
        </w:tc>
        <w:tc>
          <w:tcPr>
            <w:tcW w:w="172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438"/>
              <w:jc w:val="right"/>
              <w:rPr>
                <w:rFonts w:ascii="Arial" w:hAnsi="Arial" w:cs="Arial" w:eastAsia="Arial" w:hint="default"/>
                <w:sz w:val="18"/>
                <w:szCs w:val="18"/>
              </w:rPr>
            </w:pPr>
            <w:r>
              <w:rPr>
                <w:rFonts w:ascii="Arial"/>
                <w:w w:val="99"/>
                <w:sz w:val="18"/>
              </w:rPr>
              <w:t>-</w:t>
            </w:r>
            <w:r>
              <w:rPr>
                <w:rFonts w:ascii="Arial"/>
                <w:sz w:val="18"/>
              </w:rPr>
            </w: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25"/>
              <w:jc w:val="right"/>
              <w:rPr>
                <w:rFonts w:ascii="Arial" w:hAnsi="Arial" w:cs="Arial" w:eastAsia="Arial" w:hint="default"/>
                <w:sz w:val="18"/>
                <w:szCs w:val="18"/>
              </w:rPr>
            </w:pPr>
            <w:r>
              <w:rPr>
                <w:rFonts w:ascii="Arial"/>
                <w:w w:val="99"/>
                <w:sz w:val="18"/>
              </w:rPr>
              <w:t>-</w:t>
            </w:r>
            <w:r>
              <w:rPr>
                <w:rFonts w:ascii="Arial"/>
                <w:sz w:val="18"/>
              </w:rPr>
            </w:r>
          </w:p>
        </w:tc>
        <w:tc>
          <w:tcPr>
            <w:tcW w:w="1416" w:type="dxa"/>
            <w:tcBorders>
              <w:top w:val="single" w:sz="4" w:space="0" w:color="000000"/>
              <w:left w:val="nil" w:sz="6" w:space="0" w:color="auto"/>
              <w:bottom w:val="nil" w:sz="6" w:space="0" w:color="auto"/>
              <w:right w:val="single" w:sz="4" w:space="0" w:color="000000"/>
            </w:tcBorders>
          </w:tcPr>
          <w:p>
            <w:pPr>
              <w:pStyle w:val="TableParagraph"/>
              <w:spacing w:line="240" w:lineRule="auto" w:before="69"/>
              <w:ind w:right="98"/>
              <w:jc w:val="right"/>
              <w:rPr>
                <w:rFonts w:ascii="Arial" w:hAnsi="Arial" w:cs="Arial" w:eastAsia="Arial" w:hint="default"/>
                <w:sz w:val="22"/>
                <w:szCs w:val="22"/>
              </w:rPr>
            </w:pPr>
            <w:r>
              <w:rPr>
                <w:rFonts w:ascii="Arial"/>
                <w:spacing w:val="-1"/>
                <w:sz w:val="22"/>
              </w:rPr>
              <w:t>5,243,810</w:t>
            </w:r>
          </w:p>
        </w:tc>
      </w:tr>
      <w:tr>
        <w:trPr>
          <w:trHeight w:val="365" w:hRule="exact"/>
        </w:trPr>
        <w:tc>
          <w:tcPr>
            <w:tcW w:w="812" w:type="dxa"/>
            <w:tcBorders>
              <w:top w:val="nil" w:sz="6" w:space="0" w:color="auto"/>
              <w:left w:val="nil" w:sz="6" w:space="0" w:color="auto"/>
              <w:bottom w:val="nil" w:sz="6" w:space="0" w:color="auto"/>
              <w:right w:val="single" w:sz="4" w:space="0" w:color="000000"/>
            </w:tcBorders>
          </w:tcPr>
          <w:p>
            <w:pPr/>
          </w:p>
        </w:tc>
        <w:tc>
          <w:tcPr>
            <w:tcW w:w="2051" w:type="dxa"/>
            <w:tcBorders>
              <w:top w:val="nil" w:sz="6" w:space="0" w:color="auto"/>
              <w:left w:val="single" w:sz="4" w:space="0" w:color="000000"/>
              <w:bottom w:val="nil" w:sz="6" w:space="0" w:color="auto"/>
              <w:right w:val="nil" w:sz="6" w:space="0" w:color="auto"/>
            </w:tcBorders>
          </w:tcPr>
          <w:p>
            <w:pPr>
              <w:pStyle w:val="TableParagraph"/>
              <w:spacing w:line="279" w:lineRule="exact"/>
              <w:ind w:left="103"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40"/>
              <w:jc w:val="right"/>
              <w:rPr>
                <w:rFonts w:ascii="Arial" w:hAnsi="Arial" w:cs="Arial" w:eastAsia="Arial" w:hint="default"/>
                <w:sz w:val="22"/>
                <w:szCs w:val="22"/>
              </w:rPr>
            </w:pPr>
            <w:r>
              <w:rPr>
                <w:rFonts w:ascii="Arial"/>
                <w:spacing w:val="-1"/>
                <w:sz w:val="22"/>
              </w:rPr>
              <w:t>282,761</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38"/>
              <w:jc w:val="right"/>
              <w:rPr>
                <w:rFonts w:ascii="Arial" w:hAnsi="Arial" w:cs="Arial" w:eastAsia="Arial" w:hint="default"/>
                <w:sz w:val="18"/>
                <w:szCs w:val="18"/>
              </w:rPr>
            </w:pPr>
            <w:r>
              <w:rPr>
                <w:rFonts w:ascii="Arial"/>
                <w:w w:val="99"/>
                <w:sz w:val="18"/>
              </w:rPr>
              <w:t>-</w:t>
            </w:r>
            <w:r>
              <w:rPr>
                <w:rFonts w:ascii="Arial"/>
                <w:sz w:val="18"/>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25"/>
              <w:jc w:val="right"/>
              <w:rPr>
                <w:rFonts w:ascii="Arial" w:hAnsi="Arial" w:cs="Arial" w:eastAsia="Arial" w:hint="default"/>
                <w:sz w:val="18"/>
                <w:szCs w:val="18"/>
              </w:rPr>
            </w:pPr>
            <w:r>
              <w:rPr>
                <w:rFonts w:ascii="Arial"/>
                <w:w w:val="99"/>
                <w:sz w:val="18"/>
              </w:rPr>
              <w:t>-</w:t>
            </w:r>
            <w:r>
              <w:rPr>
                <w:rFonts w:ascii="Arial"/>
                <w:sz w:val="18"/>
              </w:rPr>
            </w:r>
          </w:p>
        </w:tc>
        <w:tc>
          <w:tcPr>
            <w:tcW w:w="1416"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right="98"/>
              <w:jc w:val="right"/>
              <w:rPr>
                <w:rFonts w:ascii="Arial" w:hAnsi="Arial" w:cs="Arial" w:eastAsia="Arial" w:hint="default"/>
                <w:sz w:val="22"/>
                <w:szCs w:val="22"/>
              </w:rPr>
            </w:pPr>
            <w:r>
              <w:rPr>
                <w:rFonts w:ascii="Arial"/>
                <w:spacing w:val="-1"/>
                <w:sz w:val="22"/>
              </w:rPr>
              <w:t>427,919</w:t>
            </w:r>
            <w:r>
              <w:rPr>
                <w:rFonts w:ascii="Arial"/>
                <w:sz w:val="22"/>
              </w:rPr>
            </w:r>
          </w:p>
        </w:tc>
      </w:tr>
      <w:tr>
        <w:trPr>
          <w:trHeight w:val="366" w:hRule="exact"/>
        </w:trPr>
        <w:tc>
          <w:tcPr>
            <w:tcW w:w="812" w:type="dxa"/>
            <w:tcBorders>
              <w:top w:val="nil" w:sz="6" w:space="0" w:color="auto"/>
              <w:left w:val="nil" w:sz="6" w:space="0" w:color="auto"/>
              <w:bottom w:val="nil" w:sz="6" w:space="0" w:color="auto"/>
              <w:right w:val="single" w:sz="4" w:space="0" w:color="000000"/>
            </w:tcBorders>
          </w:tcPr>
          <w:p>
            <w:pPr/>
          </w:p>
        </w:tc>
        <w:tc>
          <w:tcPr>
            <w:tcW w:w="2051" w:type="dxa"/>
            <w:tcBorders>
              <w:top w:val="nil" w:sz="6" w:space="0" w:color="auto"/>
              <w:left w:val="single" w:sz="4" w:space="0" w:color="000000"/>
              <w:bottom w:val="nil" w:sz="6" w:space="0" w:color="auto"/>
              <w:right w:val="nil" w:sz="6" w:space="0" w:color="auto"/>
            </w:tcBorders>
          </w:tcPr>
          <w:p>
            <w:pPr>
              <w:pStyle w:val="TableParagraph"/>
              <w:spacing w:line="295" w:lineRule="exact"/>
              <w:ind w:left="103" w:right="0"/>
              <w:jc w:val="left"/>
              <w:rPr>
                <w:rFonts w:ascii="Arial" w:hAnsi="Arial" w:cs="Arial" w:eastAsia="Arial" w:hint="default"/>
                <w:sz w:val="22"/>
                <w:szCs w:val="22"/>
              </w:rPr>
            </w:pPr>
            <w:r>
              <w:rPr>
                <w:rFonts w:ascii="宋体" w:hAnsi="宋体" w:cs="宋体" w:eastAsia="宋体" w:hint="default"/>
                <w:sz w:val="22"/>
                <w:szCs w:val="22"/>
              </w:rPr>
              <w:t>优惠承租权</w:t>
            </w:r>
            <w:r>
              <w:rPr>
                <w:rFonts w:ascii="Arial" w:hAnsi="Arial" w:cs="Arial" w:eastAsia="Arial" w:hint="default"/>
                <w:sz w:val="22"/>
                <w:szCs w:val="22"/>
              </w:rPr>
              <w:t>(a)</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40"/>
              <w:jc w:val="right"/>
              <w:rPr>
                <w:rFonts w:ascii="Arial" w:hAnsi="Arial" w:cs="Arial" w:eastAsia="Arial" w:hint="default"/>
                <w:sz w:val="22"/>
                <w:szCs w:val="22"/>
              </w:rPr>
            </w:pPr>
            <w:r>
              <w:rPr>
                <w:rFonts w:ascii="Arial"/>
                <w:spacing w:val="-1"/>
                <w:sz w:val="22"/>
              </w:rPr>
              <w:t>35,865</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38"/>
              <w:jc w:val="right"/>
              <w:rPr>
                <w:rFonts w:ascii="Arial" w:hAnsi="Arial" w:cs="Arial" w:eastAsia="Arial" w:hint="default"/>
                <w:sz w:val="18"/>
                <w:szCs w:val="18"/>
              </w:rPr>
            </w:pPr>
            <w:r>
              <w:rPr>
                <w:rFonts w:ascii="Arial"/>
                <w:w w:val="99"/>
                <w:sz w:val="18"/>
              </w:rPr>
              <w:t>-</w:t>
            </w:r>
            <w:r>
              <w:rPr>
                <w:rFonts w:ascii="Arial"/>
                <w:sz w:val="18"/>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25"/>
              <w:jc w:val="right"/>
              <w:rPr>
                <w:rFonts w:ascii="Arial" w:hAnsi="Arial" w:cs="Arial" w:eastAsia="Arial" w:hint="default"/>
                <w:sz w:val="18"/>
                <w:szCs w:val="18"/>
              </w:rPr>
            </w:pPr>
            <w:r>
              <w:rPr>
                <w:rFonts w:ascii="Arial"/>
                <w:w w:val="99"/>
                <w:sz w:val="18"/>
              </w:rPr>
              <w:t>-</w:t>
            </w:r>
            <w:r>
              <w:rPr>
                <w:rFonts w:ascii="Arial"/>
                <w:sz w:val="18"/>
              </w:rPr>
            </w:r>
          </w:p>
        </w:tc>
        <w:tc>
          <w:tcPr>
            <w:tcW w:w="1416"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right="98"/>
              <w:jc w:val="right"/>
              <w:rPr>
                <w:rFonts w:ascii="Arial" w:hAnsi="Arial" w:cs="Arial" w:eastAsia="Arial" w:hint="default"/>
                <w:sz w:val="22"/>
                <w:szCs w:val="22"/>
              </w:rPr>
            </w:pPr>
            <w:r>
              <w:rPr>
                <w:rFonts w:ascii="Arial"/>
                <w:spacing w:val="-1"/>
                <w:sz w:val="22"/>
              </w:rPr>
              <w:t>10,567</w:t>
            </w:r>
          </w:p>
        </w:tc>
      </w:tr>
      <w:tr>
        <w:trPr>
          <w:trHeight w:val="357" w:hRule="exact"/>
        </w:trPr>
        <w:tc>
          <w:tcPr>
            <w:tcW w:w="812" w:type="dxa"/>
            <w:tcBorders>
              <w:top w:val="nil" w:sz="6" w:space="0" w:color="auto"/>
              <w:left w:val="nil" w:sz="6" w:space="0" w:color="auto"/>
              <w:bottom w:val="nil" w:sz="6" w:space="0" w:color="auto"/>
              <w:right w:val="single" w:sz="4" w:space="0" w:color="000000"/>
            </w:tcBorders>
          </w:tcPr>
          <w:p>
            <w:pPr/>
          </w:p>
        </w:tc>
        <w:tc>
          <w:tcPr>
            <w:tcW w:w="2051" w:type="dxa"/>
            <w:tcBorders>
              <w:top w:val="nil" w:sz="6" w:space="0" w:color="auto"/>
              <w:left w:val="single" w:sz="4" w:space="0" w:color="000000"/>
              <w:bottom w:val="single" w:sz="4" w:space="0" w:color="000000"/>
              <w:right w:val="nil" w:sz="6" w:space="0" w:color="auto"/>
            </w:tcBorders>
          </w:tcPr>
          <w:p>
            <w:pPr>
              <w:pStyle w:val="TableParagraph"/>
              <w:spacing w:line="278" w:lineRule="exact"/>
              <w:ind w:left="103" w:right="0"/>
              <w:jc w:val="left"/>
              <w:rPr>
                <w:rFonts w:ascii="宋体" w:hAnsi="宋体" w:cs="宋体" w:eastAsia="宋体" w:hint="default"/>
                <w:sz w:val="22"/>
                <w:szCs w:val="22"/>
              </w:rPr>
            </w:pPr>
            <w:r>
              <w:rPr>
                <w:rFonts w:ascii="宋体" w:hAnsi="宋体" w:cs="宋体" w:eastAsia="宋体" w:hint="default"/>
                <w:sz w:val="22"/>
                <w:szCs w:val="22"/>
              </w:rPr>
              <w:t>商标及客户关系</w:t>
            </w:r>
          </w:p>
        </w:tc>
        <w:tc>
          <w:tcPr>
            <w:tcW w:w="1724"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340"/>
              <w:jc w:val="right"/>
              <w:rPr>
                <w:rFonts w:ascii="Arial" w:hAnsi="Arial" w:cs="Arial" w:eastAsia="Arial" w:hint="default"/>
                <w:sz w:val="22"/>
                <w:szCs w:val="22"/>
              </w:rPr>
            </w:pPr>
            <w:r>
              <w:rPr>
                <w:rFonts w:ascii="Arial"/>
                <w:spacing w:val="-1"/>
                <w:sz w:val="22"/>
              </w:rPr>
              <w:t>405,780</w:t>
            </w:r>
          </w:p>
        </w:tc>
        <w:tc>
          <w:tcPr>
            <w:tcW w:w="1722"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438"/>
              <w:jc w:val="right"/>
              <w:rPr>
                <w:rFonts w:ascii="Arial" w:hAnsi="Arial" w:cs="Arial" w:eastAsia="Arial" w:hint="default"/>
                <w:sz w:val="18"/>
                <w:szCs w:val="18"/>
              </w:rPr>
            </w:pPr>
            <w:r>
              <w:rPr>
                <w:rFonts w:ascii="Arial"/>
                <w:w w:val="99"/>
                <w:sz w:val="18"/>
              </w:rPr>
              <w:t>-</w:t>
            </w:r>
            <w:r>
              <w:rPr>
                <w:rFonts w:ascii="Arial"/>
                <w:sz w:val="18"/>
              </w:rPr>
            </w: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225"/>
              <w:jc w:val="right"/>
              <w:rPr>
                <w:rFonts w:ascii="Arial" w:hAnsi="Arial" w:cs="Arial" w:eastAsia="Arial" w:hint="default"/>
                <w:sz w:val="18"/>
                <w:szCs w:val="18"/>
              </w:rPr>
            </w:pPr>
            <w:r>
              <w:rPr>
                <w:rFonts w:ascii="Arial"/>
                <w:w w:val="99"/>
                <w:sz w:val="18"/>
              </w:rPr>
              <w:t>-</w:t>
            </w:r>
            <w:r>
              <w:rPr>
                <w:rFonts w:ascii="Arial"/>
                <w:sz w:val="18"/>
              </w:rPr>
            </w:r>
          </w:p>
        </w:tc>
        <w:tc>
          <w:tcPr>
            <w:tcW w:w="1416" w:type="dxa"/>
            <w:tcBorders>
              <w:top w:val="nil" w:sz="6" w:space="0" w:color="auto"/>
              <w:left w:val="nil" w:sz="6" w:space="0" w:color="auto"/>
              <w:bottom w:val="single" w:sz="4" w:space="0" w:color="000000"/>
              <w:right w:val="single" w:sz="4" w:space="0" w:color="000000"/>
            </w:tcBorders>
          </w:tcPr>
          <w:p>
            <w:pPr>
              <w:pStyle w:val="TableParagraph"/>
              <w:spacing w:line="240" w:lineRule="auto" w:before="57"/>
              <w:ind w:right="98"/>
              <w:jc w:val="right"/>
              <w:rPr>
                <w:rFonts w:ascii="Arial" w:hAnsi="Arial" w:cs="Arial" w:eastAsia="Arial" w:hint="default"/>
                <w:sz w:val="22"/>
                <w:szCs w:val="22"/>
              </w:rPr>
            </w:pPr>
            <w:r>
              <w:rPr>
                <w:rFonts w:ascii="Arial"/>
                <w:spacing w:val="-1"/>
                <w:sz w:val="22"/>
              </w:rPr>
              <w:t>357,439</w:t>
            </w:r>
          </w:p>
        </w:tc>
      </w:tr>
      <w:tr>
        <w:trPr>
          <w:trHeight w:val="1257" w:hRule="exact"/>
        </w:trPr>
        <w:tc>
          <w:tcPr>
            <w:tcW w:w="812" w:type="dxa"/>
            <w:tcBorders>
              <w:top w:val="nil" w:sz="6" w:space="0" w:color="auto"/>
              <w:left w:val="nil" w:sz="6" w:space="0" w:color="auto"/>
              <w:bottom w:val="nil" w:sz="6" w:space="0" w:color="auto"/>
              <w:right w:val="nil" w:sz="6" w:space="0" w:color="auto"/>
            </w:tcBorders>
          </w:tcPr>
          <w:p>
            <w:pPr/>
          </w:p>
        </w:tc>
        <w:tc>
          <w:tcPr>
            <w:tcW w:w="8212" w:type="dxa"/>
            <w:gridSpan w:val="5"/>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320" w:lineRule="exact"/>
              <w:ind w:left="107" w:right="0"/>
              <w:jc w:val="left"/>
              <w:rPr>
                <w:rFonts w:ascii="Arial" w:hAnsi="Arial" w:cs="Arial" w:eastAsia="Arial" w:hint="default"/>
                <w:sz w:val="24"/>
                <w:szCs w:val="24"/>
              </w:rPr>
            </w:pPr>
            <w:r>
              <w:rPr>
                <w:rFonts w:ascii="Arial" w:hAnsi="Arial" w:cs="Arial" w:eastAsia="Arial" w:hint="default"/>
                <w:w w:val="99"/>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年度无形资产</w:t>
            </w:r>
            <w:r>
              <w:rPr>
                <w:rFonts w:ascii="宋体" w:hAnsi="宋体" w:cs="宋体" w:eastAsia="宋体" w:hint="default"/>
                <w:spacing w:val="-3"/>
                <w:sz w:val="24"/>
                <w:szCs w:val="24"/>
              </w:rPr>
              <w:t>的</w:t>
            </w:r>
            <w:r>
              <w:rPr>
                <w:rFonts w:ascii="宋体" w:hAnsi="宋体" w:cs="宋体" w:eastAsia="宋体" w:hint="default"/>
                <w:sz w:val="24"/>
                <w:szCs w:val="24"/>
              </w:rPr>
              <w:t>摊销金额约人民币</w:t>
            </w:r>
            <w:r>
              <w:rPr>
                <w:rFonts w:ascii="宋体" w:hAnsi="宋体" w:cs="宋体" w:eastAsia="宋体" w:hint="default"/>
                <w:spacing w:val="-62"/>
                <w:sz w:val="24"/>
                <w:szCs w:val="24"/>
              </w:rPr>
              <w:t> </w:t>
            </w:r>
            <w:r>
              <w:rPr>
                <w:rFonts w:ascii="Arial" w:hAnsi="Arial" w:cs="Arial" w:eastAsia="Arial" w:hint="default"/>
                <w:w w:val="99"/>
                <w:sz w:val="24"/>
                <w:szCs w:val="24"/>
              </w:rPr>
              <w:t>2</w:t>
            </w:r>
            <w:r>
              <w:rPr>
                <w:rFonts w:ascii="Arial" w:hAnsi="Arial" w:cs="Arial" w:eastAsia="Arial" w:hint="default"/>
                <w:w w:val="100"/>
                <w:sz w:val="24"/>
                <w:szCs w:val="24"/>
              </w:rPr>
              <w:t>.</w:t>
            </w:r>
            <w:r>
              <w:rPr>
                <w:rFonts w:ascii="Arial" w:hAnsi="Arial" w:cs="Arial" w:eastAsia="Arial" w:hint="default"/>
                <w:spacing w:val="-1"/>
                <w:w w:val="100"/>
                <w:sz w:val="24"/>
                <w:szCs w:val="24"/>
              </w:rPr>
              <w:t>7</w:t>
            </w:r>
            <w:r>
              <w:rPr>
                <w:rFonts w:ascii="Arial" w:hAnsi="Arial" w:cs="Arial" w:eastAsia="Arial" w:hint="default"/>
                <w:w w:val="99"/>
                <w:sz w:val="24"/>
                <w:szCs w:val="24"/>
              </w:rPr>
              <w:t>8</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w w:val="99"/>
                <w:sz w:val="24"/>
                <w:szCs w:val="24"/>
              </w:rPr>
              <w:t>(20</w:t>
            </w:r>
            <w:r>
              <w:rPr>
                <w:rFonts w:ascii="Arial" w:hAnsi="Arial" w:cs="Arial" w:eastAsia="Arial" w:hint="default"/>
                <w:spacing w:val="-18"/>
                <w:w w:val="99"/>
                <w:sz w:val="24"/>
                <w:szCs w:val="24"/>
              </w:rPr>
              <w:t>1</w:t>
            </w:r>
            <w:r>
              <w:rPr>
                <w:rFonts w:ascii="Arial" w:hAnsi="Arial" w:cs="Arial" w:eastAsia="Arial" w:hint="default"/>
                <w:w w:val="99"/>
                <w:sz w:val="24"/>
                <w:szCs w:val="24"/>
              </w:rPr>
              <w:t>1</w:t>
            </w:r>
            <w:r>
              <w:rPr>
                <w:rFonts w:ascii="Arial" w:hAnsi="Arial" w:cs="Arial" w:eastAsia="Arial" w:hint="default"/>
                <w:spacing w:val="-9"/>
                <w:sz w:val="24"/>
                <w:szCs w:val="24"/>
              </w:rPr>
              <w:t> </w:t>
            </w:r>
            <w:r>
              <w:rPr>
                <w:rFonts w:ascii="宋体" w:hAnsi="宋体" w:cs="宋体" w:eastAsia="宋体" w:hint="default"/>
                <w:sz w:val="24"/>
                <w:szCs w:val="24"/>
              </w:rPr>
              <w:t>年度</w:t>
            </w:r>
            <w:r>
              <w:rPr>
                <w:rFonts w:ascii="宋体" w:hAnsi="宋体" w:cs="宋体" w:eastAsia="宋体" w:hint="default"/>
                <w:spacing w:val="-120"/>
                <w:sz w:val="24"/>
                <w:szCs w:val="24"/>
              </w:rPr>
              <w:t>：</w:t>
            </w:r>
            <w:r>
              <w:rPr>
                <w:rFonts w:ascii="宋体" w:hAnsi="宋体" w:cs="宋体" w:eastAsia="宋体" w:hint="default"/>
                <w:sz w:val="24"/>
                <w:szCs w:val="24"/>
              </w:rPr>
              <w:t>约</w:t>
            </w:r>
            <w:r>
              <w:rPr>
                <w:rFonts w:ascii="宋体" w:hAnsi="宋体" w:cs="宋体" w:eastAsia="宋体" w:hint="default"/>
                <w:spacing w:val="-3"/>
                <w:sz w:val="24"/>
                <w:szCs w:val="24"/>
              </w:rPr>
              <w:t>人</w:t>
            </w:r>
            <w:r>
              <w:rPr>
                <w:rFonts w:ascii="宋体" w:hAnsi="宋体" w:cs="宋体" w:eastAsia="宋体" w:hint="default"/>
                <w:sz w:val="24"/>
                <w:szCs w:val="24"/>
              </w:rPr>
              <w:t>民币</w:t>
            </w:r>
            <w:r>
              <w:rPr>
                <w:rFonts w:ascii="宋体" w:hAnsi="宋体" w:cs="宋体" w:eastAsia="宋体" w:hint="default"/>
                <w:spacing w:val="-62"/>
                <w:sz w:val="24"/>
                <w:szCs w:val="24"/>
              </w:rPr>
              <w:t> </w:t>
            </w:r>
            <w:r>
              <w:rPr>
                <w:rFonts w:ascii="Arial" w:hAnsi="Arial" w:cs="Arial" w:eastAsia="Arial" w:hint="default"/>
                <w:w w:val="99"/>
                <w:sz w:val="24"/>
                <w:szCs w:val="24"/>
              </w:rPr>
              <w:t>1</w:t>
            </w:r>
            <w:r>
              <w:rPr>
                <w:rFonts w:ascii="Arial" w:hAnsi="Arial" w:cs="Arial" w:eastAsia="Arial" w:hint="default"/>
                <w:w w:val="100"/>
                <w:sz w:val="24"/>
                <w:szCs w:val="24"/>
              </w:rPr>
              <w:t>.</w:t>
            </w:r>
            <w:r>
              <w:rPr>
                <w:rFonts w:ascii="Arial" w:hAnsi="Arial" w:cs="Arial" w:eastAsia="Arial" w:hint="default"/>
                <w:spacing w:val="1"/>
                <w:w w:val="100"/>
                <w:sz w:val="24"/>
                <w:szCs w:val="24"/>
              </w:rPr>
              <w:t>5</w:t>
            </w:r>
            <w:r>
              <w:rPr>
                <w:rFonts w:ascii="Arial" w:hAnsi="Arial" w:cs="Arial" w:eastAsia="Arial" w:hint="default"/>
                <w:w w:val="99"/>
                <w:sz w:val="24"/>
                <w:szCs w:val="24"/>
              </w:rPr>
              <w:t>8</w:t>
            </w:r>
            <w:r>
              <w:rPr>
                <w:rFonts w:ascii="Arial" w:hAnsi="Arial" w:cs="Arial" w:eastAsia="Arial" w:hint="default"/>
                <w:sz w:val="24"/>
                <w:szCs w:val="24"/>
              </w:rPr>
            </w:r>
          </w:p>
          <w:p>
            <w:pPr>
              <w:pStyle w:val="TableParagraph"/>
              <w:spacing w:line="320" w:lineRule="exact"/>
              <w:ind w:left="107" w:right="0"/>
              <w:jc w:val="left"/>
              <w:rPr>
                <w:rFonts w:ascii="宋体" w:hAnsi="宋体" w:cs="宋体" w:eastAsia="宋体" w:hint="default"/>
                <w:sz w:val="24"/>
                <w:szCs w:val="24"/>
              </w:rPr>
            </w:pP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810" w:hRule="exact"/>
        </w:trPr>
        <w:tc>
          <w:tcPr>
            <w:tcW w:w="812" w:type="dxa"/>
            <w:tcBorders>
              <w:top w:val="nil" w:sz="6" w:space="0" w:color="auto"/>
              <w:left w:val="nil" w:sz="6" w:space="0" w:color="auto"/>
              <w:bottom w:val="nil" w:sz="6" w:space="0" w:color="auto"/>
              <w:right w:val="nil" w:sz="6" w:space="0" w:color="auto"/>
            </w:tcBorders>
          </w:tcPr>
          <w:p>
            <w:pPr/>
          </w:p>
        </w:tc>
        <w:tc>
          <w:tcPr>
            <w:tcW w:w="8212" w:type="dxa"/>
            <w:gridSpan w:val="5"/>
            <w:tcBorders>
              <w:top w:val="nil" w:sz="6" w:space="0" w:color="auto"/>
              <w:left w:val="nil" w:sz="6" w:space="0" w:color="auto"/>
              <w:bottom w:val="nil" w:sz="6" w:space="0" w:color="auto"/>
              <w:right w:val="nil" w:sz="6" w:space="0" w:color="auto"/>
            </w:tcBorders>
          </w:tcPr>
          <w:p>
            <w:pPr>
              <w:pStyle w:val="TableParagraph"/>
              <w:spacing w:line="312" w:lineRule="exact" w:before="214"/>
              <w:ind w:left="107" w:right="106"/>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2"/>
                <w:sz w:val="24"/>
                <w:szCs w:val="24"/>
              </w:rPr>
              <w:t> </w:t>
            </w:r>
            <w:r>
              <w:rPr>
                <w:rFonts w:ascii="Arial" w:hAnsi="Arial" w:cs="Arial" w:eastAsia="Arial" w:hint="default"/>
                <w:sz w:val="24"/>
                <w:szCs w:val="24"/>
              </w:rPr>
              <w:t>2012</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12</w:t>
            </w:r>
            <w:r>
              <w:rPr>
                <w:rFonts w:ascii="Arial" w:hAnsi="Arial" w:cs="Arial" w:eastAsia="Arial"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日及</w:t>
            </w:r>
            <w:r>
              <w:rPr>
                <w:rFonts w:ascii="宋体" w:hAnsi="宋体" w:cs="宋体" w:eastAsia="宋体" w:hint="default"/>
                <w:spacing w:val="-52"/>
                <w:sz w:val="24"/>
                <w:szCs w:val="24"/>
              </w:rPr>
              <w:t> </w:t>
            </w:r>
            <w:r>
              <w:rPr>
                <w:rFonts w:ascii="Arial" w:hAnsi="Arial" w:cs="Arial" w:eastAsia="Arial" w:hint="default"/>
                <w:spacing w:val="-5"/>
                <w:sz w:val="24"/>
                <w:szCs w:val="24"/>
              </w:rPr>
              <w:t>2011</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Arial" w:hAnsi="Arial" w:cs="Arial" w:eastAsia="Arial" w:hint="default"/>
                <w:sz w:val="24"/>
                <w:szCs w:val="24"/>
              </w:rPr>
              <w:t>12</w:t>
            </w:r>
            <w:r>
              <w:rPr>
                <w:rFonts w:ascii="Arial" w:hAnsi="Arial" w:cs="Arial" w:eastAsia="Arial"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日，本集团无土地使用权作为借 款的抵押物。</w:t>
            </w:r>
          </w:p>
        </w:tc>
      </w:tr>
    </w:tbl>
    <w:p>
      <w:pPr>
        <w:spacing w:after="0" w:line="312" w:lineRule="exact"/>
        <w:jc w:val="left"/>
        <w:rPr>
          <w:rFonts w:ascii="宋体" w:hAnsi="宋体" w:cs="宋体" w:eastAsia="宋体" w:hint="default"/>
          <w:sz w:val="24"/>
          <w:szCs w:val="24"/>
        </w:rPr>
        <w:sectPr>
          <w:headerReference w:type="default" r:id="rId86"/>
          <w:footerReference w:type="default" r:id="rId87"/>
          <w:pgSz w:w="11910" w:h="16850"/>
          <w:pgMar w:header="795" w:footer="1340" w:top="2020" w:bottom="1540" w:left="1420" w:right="0"/>
          <w:pgNumType w:start="162"/>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781"/>
        <w:gridCol w:w="3963"/>
        <w:gridCol w:w="135"/>
        <w:gridCol w:w="1217"/>
        <w:gridCol w:w="134"/>
        <w:gridCol w:w="1306"/>
        <w:gridCol w:w="135"/>
        <w:gridCol w:w="1351"/>
      </w:tblGrid>
      <w:tr>
        <w:trPr>
          <w:trHeight w:val="497"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963" w:type="dxa"/>
            <w:tcBorders>
              <w:top w:val="nil" w:sz="6" w:space="0" w:color="auto"/>
              <w:left w:val="nil" w:sz="6" w:space="0" w:color="auto"/>
              <w:bottom w:val="nil" w:sz="6" w:space="0" w:color="auto"/>
              <w:right w:val="nil" w:sz="6" w:space="0" w:color="auto"/>
            </w:tcBorders>
          </w:tcPr>
          <w:p>
            <w:pPr>
              <w:pStyle w:val="TableParagraph"/>
              <w:spacing w:line="257" w:lineRule="exact"/>
              <w:ind w:left="15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r>
      <w:tr>
        <w:trPr>
          <w:trHeight w:val="748"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(14)</w:t>
            </w:r>
          </w:p>
        </w:tc>
        <w:tc>
          <w:tcPr>
            <w:tcW w:w="3963"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53" w:right="0"/>
              <w:jc w:val="left"/>
              <w:rPr>
                <w:rFonts w:ascii="Arial" w:hAnsi="Arial" w:cs="Arial" w:eastAsia="Arial" w:hint="default"/>
                <w:sz w:val="24"/>
                <w:szCs w:val="24"/>
              </w:rPr>
            </w:pPr>
            <w:r>
              <w:rPr>
                <w:rFonts w:ascii="黑体" w:hAnsi="黑体" w:cs="黑体" w:eastAsia="黑体" w:hint="default"/>
                <w:sz w:val="24"/>
                <w:szCs w:val="24"/>
              </w:rPr>
              <w:t>无形资产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r>
      <w:tr>
        <w:trPr>
          <w:trHeight w:val="744"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(a)</w:t>
            </w:r>
          </w:p>
        </w:tc>
        <w:tc>
          <w:tcPr>
            <w:tcW w:w="396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3" w:right="0"/>
              <w:jc w:val="left"/>
              <w:rPr>
                <w:rFonts w:ascii="宋体" w:hAnsi="宋体" w:cs="宋体" w:eastAsia="宋体" w:hint="default"/>
                <w:sz w:val="24"/>
                <w:szCs w:val="24"/>
              </w:rPr>
            </w:pPr>
            <w:r>
              <w:rPr>
                <w:rFonts w:ascii="宋体" w:hAnsi="宋体" w:cs="宋体" w:eastAsia="宋体" w:hint="default"/>
                <w:sz w:val="24"/>
                <w:szCs w:val="24"/>
              </w:rPr>
              <w:t>优惠承租权</w:t>
            </w:r>
          </w:p>
        </w:tc>
        <w:tc>
          <w:tcPr>
            <w:tcW w:w="1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r>
      <w:tr>
        <w:trPr>
          <w:trHeight w:val="1989" w:hRule="exact"/>
        </w:trPr>
        <w:tc>
          <w:tcPr>
            <w:tcW w:w="9022" w:type="dxa"/>
            <w:gridSpan w:val="8"/>
            <w:tcBorders>
              <w:top w:val="nil" w:sz="6" w:space="0" w:color="auto"/>
              <w:left w:val="nil" w:sz="6" w:space="0" w:color="auto"/>
              <w:bottom w:val="nil" w:sz="6" w:space="0" w:color="auto"/>
              <w:right w:val="nil" w:sz="6" w:space="0" w:color="auto"/>
            </w:tcBorders>
          </w:tcPr>
          <w:p>
            <w:pPr>
              <w:pStyle w:val="TableParagraph"/>
              <w:spacing w:line="235" w:lineRule="auto" w:before="184"/>
              <w:ind w:left="934" w:right="52"/>
              <w:jc w:val="both"/>
              <w:rPr>
                <w:rFonts w:ascii="宋体" w:hAnsi="宋体" w:cs="宋体" w:eastAsia="宋体" w:hint="default"/>
                <w:sz w:val="24"/>
                <w:szCs w:val="24"/>
              </w:rPr>
            </w:pPr>
            <w:r>
              <w:rPr>
                <w:rFonts w:ascii="宋体" w:hAnsi="宋体" w:cs="宋体" w:eastAsia="宋体" w:hint="default"/>
                <w:sz w:val="24"/>
                <w:szCs w:val="24"/>
              </w:rPr>
              <w:t>优惠承租权系</w:t>
            </w:r>
            <w:r>
              <w:rPr>
                <w:rFonts w:ascii="Arial" w:hAnsi="Arial" w:cs="Arial" w:eastAsia="Arial" w:hint="default"/>
                <w:sz w:val="24"/>
                <w:szCs w:val="24"/>
              </w:rPr>
              <w:t>2007</w:t>
            </w:r>
            <w:r>
              <w:rPr>
                <w:rFonts w:ascii="宋体" w:hAnsi="宋体" w:cs="宋体" w:eastAsia="宋体" w:hint="default"/>
                <w:sz w:val="24"/>
                <w:szCs w:val="24"/>
              </w:rPr>
              <w:t>年度本集团对加盟店进行业务合并的过程中确认的无形资</w:t>
            </w:r>
            <w:r>
              <w:rPr>
                <w:rFonts w:ascii="宋体" w:hAnsi="宋体" w:cs="宋体" w:eastAsia="宋体" w:hint="default"/>
                <w:spacing w:val="-72"/>
                <w:sz w:val="24"/>
                <w:szCs w:val="24"/>
              </w:rPr>
              <w:t> </w:t>
            </w:r>
            <w:r>
              <w:rPr>
                <w:rFonts w:ascii="宋体" w:hAnsi="宋体" w:cs="宋体" w:eastAsia="宋体" w:hint="default"/>
                <w:spacing w:val="-72"/>
                <w:sz w:val="24"/>
                <w:szCs w:val="24"/>
              </w:rPr>
            </w:r>
            <w:r>
              <w:rPr>
                <w:rFonts w:ascii="宋体" w:hAnsi="宋体" w:cs="宋体" w:eastAsia="宋体" w:hint="default"/>
                <w:spacing w:val="-4"/>
                <w:sz w:val="24"/>
                <w:szCs w:val="24"/>
              </w:rPr>
              <w:t>产。根据本集团与加盟公司签署《特许加盟终止协议》，加盟公司须协助本集</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2"/>
                <w:sz w:val="24"/>
                <w:szCs w:val="24"/>
              </w:rPr>
              <w:t>团承接原加盟店的租约。由于部分租约的租金较市场租金优惠，本集团按照</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评估值确认该优惠承租权作为本集团的无形资产，并依照预计受益期以直线</w:t>
            </w:r>
            <w:r>
              <w:rPr>
                <w:rFonts w:ascii="宋体" w:hAnsi="宋体" w:cs="宋体" w:eastAsia="宋体" w:hint="default"/>
                <w:spacing w:val="2"/>
                <w:sz w:val="24"/>
                <w:szCs w:val="24"/>
              </w:rPr>
              <w:t> </w:t>
            </w:r>
            <w:r>
              <w:rPr>
                <w:rFonts w:ascii="宋体" w:hAnsi="宋体" w:cs="宋体" w:eastAsia="宋体" w:hint="default"/>
                <w:sz w:val="24"/>
                <w:szCs w:val="24"/>
              </w:rPr>
              <w:t>法摊销。</w:t>
            </w:r>
          </w:p>
        </w:tc>
      </w:tr>
      <w:tr>
        <w:trPr>
          <w:trHeight w:val="749"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3963"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3" w:right="0"/>
              <w:jc w:val="left"/>
              <w:rPr>
                <w:rFonts w:ascii="宋体" w:hAnsi="宋体" w:cs="宋体" w:eastAsia="宋体" w:hint="default"/>
                <w:sz w:val="24"/>
                <w:szCs w:val="24"/>
              </w:rPr>
            </w:pPr>
            <w:r>
              <w:rPr>
                <w:rFonts w:ascii="宋体" w:hAnsi="宋体" w:cs="宋体" w:eastAsia="宋体" w:hint="default"/>
                <w:sz w:val="24"/>
                <w:szCs w:val="24"/>
              </w:rPr>
              <w:t>本集团开发支出列示如下：</w:t>
            </w:r>
          </w:p>
        </w:tc>
        <w:tc>
          <w:tcPr>
            <w:tcW w:w="1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r>
      <w:tr>
        <w:trPr>
          <w:trHeight w:val="876" w:hRule="exact"/>
        </w:trPr>
        <w:tc>
          <w:tcPr>
            <w:tcW w:w="781" w:type="dxa"/>
            <w:tcBorders>
              <w:top w:val="nil" w:sz="6" w:space="0" w:color="auto"/>
              <w:left w:val="nil" w:sz="6" w:space="0" w:color="auto"/>
              <w:bottom w:val="nil" w:sz="6" w:space="0" w:color="auto"/>
              <w:right w:val="nil" w:sz="6" w:space="0" w:color="auto"/>
            </w:tcBorders>
          </w:tcPr>
          <w:p>
            <w:pPr/>
          </w:p>
        </w:tc>
        <w:tc>
          <w:tcPr>
            <w:tcW w:w="3963" w:type="dxa"/>
            <w:tcBorders>
              <w:top w:val="nil" w:sz="6" w:space="0" w:color="auto"/>
              <w:left w:val="nil" w:sz="6" w:space="0" w:color="auto"/>
              <w:bottom w:val="single" w:sz="4" w:space="0" w:color="000000"/>
              <w:right w:val="nil" w:sz="6" w:space="0" w:color="auto"/>
            </w:tcBorders>
          </w:tcPr>
          <w:p>
            <w:pPr>
              <w:pStyle w:val="TableParagraph"/>
              <w:spacing w:line="240" w:lineRule="auto" w:before="184"/>
              <w:ind w:right="53"/>
              <w:jc w:val="right"/>
              <w:rPr>
                <w:rFonts w:ascii="宋体" w:hAnsi="宋体" w:cs="宋体" w:eastAsia="宋体" w:hint="default"/>
                <w:sz w:val="22"/>
                <w:szCs w:val="22"/>
              </w:rPr>
            </w:pPr>
            <w:r>
              <w:rPr>
                <w:rFonts w:ascii="Arial" w:hAnsi="Arial" w:cs="Arial" w:eastAsia="Arial" w:hint="default"/>
                <w:spacing w:val="-5"/>
                <w:sz w:val="22"/>
                <w:szCs w:val="22"/>
              </w:rPr>
              <w:t>2011</w:t>
            </w:r>
            <w:r>
              <w:rPr>
                <w:rFonts w:ascii="Arial" w:hAnsi="Arial" w:cs="Arial" w:eastAsia="Arial" w:hint="default"/>
                <w:spacing w:val="-4"/>
                <w:sz w:val="22"/>
                <w:szCs w:val="22"/>
              </w:rPr>
              <w:t> </w:t>
            </w:r>
            <w:r>
              <w:rPr>
                <w:rFonts w:ascii="宋体" w:hAnsi="宋体" w:cs="宋体" w:eastAsia="宋体" w:hint="default"/>
                <w:sz w:val="22"/>
                <w:szCs w:val="22"/>
              </w:rPr>
              <w:t>年</w:t>
            </w:r>
          </w:p>
          <w:p>
            <w:pPr>
              <w:pStyle w:val="TableParagraph"/>
              <w:spacing w:line="240" w:lineRule="auto" w:before="20"/>
              <w:ind w:right="50"/>
              <w:jc w:val="righ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53"/>
              <w:jc w:val="right"/>
              <w:rPr>
                <w:rFonts w:ascii="宋体" w:hAnsi="宋体" w:cs="宋体" w:eastAsia="宋体" w:hint="default"/>
                <w:sz w:val="22"/>
                <w:szCs w:val="22"/>
              </w:rPr>
            </w:pPr>
            <w:r>
              <w:rPr>
                <w:rFonts w:ascii="宋体" w:hAnsi="宋体" w:cs="宋体" w:eastAsia="宋体" w:hint="default"/>
                <w:sz w:val="22"/>
                <w:szCs w:val="22"/>
              </w:rPr>
              <w:t>本年增加</w:t>
            </w:r>
          </w:p>
        </w:tc>
        <w:tc>
          <w:tcPr>
            <w:tcW w:w="13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single" w:sz="4" w:space="0" w:color="000000"/>
              <w:right w:val="nil" w:sz="6" w:space="0" w:color="auto"/>
            </w:tcBorders>
          </w:tcPr>
          <w:p>
            <w:pPr>
              <w:pStyle w:val="TableParagraph"/>
              <w:spacing w:line="271" w:lineRule="auto" w:before="184"/>
              <w:ind w:left="213" w:right="207" w:firstLine="110"/>
              <w:jc w:val="left"/>
              <w:rPr>
                <w:rFonts w:ascii="宋体" w:hAnsi="宋体" w:cs="宋体" w:eastAsia="宋体" w:hint="default"/>
                <w:sz w:val="22"/>
                <w:szCs w:val="22"/>
              </w:rPr>
            </w:pPr>
            <w:r>
              <w:rPr>
                <w:rFonts w:ascii="宋体" w:hAnsi="宋体" w:cs="宋体" w:eastAsia="宋体" w:hint="default"/>
                <w:sz w:val="22"/>
                <w:szCs w:val="22"/>
              </w:rPr>
              <w:t>确认为</w:t>
            </w:r>
            <w:r>
              <w:rPr>
                <w:rFonts w:ascii="宋体" w:hAnsi="宋体" w:cs="宋体" w:eastAsia="宋体" w:hint="default"/>
                <w:w w:val="100"/>
                <w:sz w:val="22"/>
                <w:szCs w:val="22"/>
              </w:rPr>
              <w:t> </w:t>
            </w:r>
            <w:r>
              <w:rPr>
                <w:rFonts w:ascii="宋体" w:hAnsi="宋体" w:cs="宋体" w:eastAsia="宋体" w:hint="default"/>
                <w:sz w:val="22"/>
                <w:szCs w:val="22"/>
              </w:rPr>
              <w:t>无形资产</w:t>
            </w:r>
          </w:p>
        </w:tc>
        <w:tc>
          <w:tcPr>
            <w:tcW w:w="13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single" w:sz="4" w:space="0" w:color="000000"/>
              <w:right w:val="nil" w:sz="6" w:space="0" w:color="auto"/>
            </w:tcBorders>
          </w:tcPr>
          <w:p>
            <w:pPr>
              <w:pStyle w:val="TableParagraph"/>
              <w:spacing w:line="240" w:lineRule="auto" w:before="184"/>
              <w:ind w:left="530"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40" w:lineRule="auto" w:before="20"/>
              <w:ind w:left="201"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668" w:hRule="exact"/>
        </w:trPr>
        <w:tc>
          <w:tcPr>
            <w:tcW w:w="781" w:type="dxa"/>
            <w:tcBorders>
              <w:top w:val="nil" w:sz="6" w:space="0" w:color="auto"/>
              <w:left w:val="nil" w:sz="6" w:space="0" w:color="auto"/>
              <w:bottom w:val="nil" w:sz="6" w:space="0" w:color="auto"/>
              <w:right w:val="nil" w:sz="6" w:space="0" w:color="auto"/>
            </w:tcBorders>
          </w:tcPr>
          <w:p>
            <w:pPr/>
          </w:p>
        </w:tc>
        <w:tc>
          <w:tcPr>
            <w:tcW w:w="396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40" w:lineRule="auto"/>
              <w:ind w:left="153" w:right="0"/>
              <w:jc w:val="left"/>
              <w:rPr>
                <w:rFonts w:ascii="宋体" w:hAnsi="宋体" w:cs="宋体" w:eastAsia="宋体" w:hint="default"/>
                <w:sz w:val="24"/>
                <w:szCs w:val="24"/>
              </w:rPr>
            </w:pPr>
            <w:r>
              <w:rPr>
                <w:rFonts w:ascii="宋体" w:hAnsi="宋体" w:cs="宋体" w:eastAsia="宋体" w:hint="default"/>
                <w:sz w:val="24"/>
                <w:szCs w:val="24"/>
              </w:rPr>
              <w:t>系统软件开发</w:t>
            </w:r>
          </w:p>
        </w:tc>
        <w:tc>
          <w:tcPr>
            <w:tcW w:w="135"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6" w:type="dxa"/>
            <w:tcBorders>
              <w:top w:val="single" w:sz="4" w:space="0" w:color="000000"/>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351" w:type="dxa"/>
            <w:tcBorders>
              <w:top w:val="single" w:sz="4" w:space="0" w:color="000000"/>
              <w:left w:val="nil" w:sz="6" w:space="0" w:color="auto"/>
              <w:bottom w:val="nil" w:sz="6" w:space="0" w:color="auto"/>
              <w:right w:val="nil" w:sz="6" w:space="0" w:color="auto"/>
            </w:tcBorders>
          </w:tcPr>
          <w:p>
            <w:pPr/>
          </w:p>
        </w:tc>
      </w:tr>
      <w:tr>
        <w:trPr>
          <w:trHeight w:val="319" w:hRule="exact"/>
        </w:trPr>
        <w:tc>
          <w:tcPr>
            <w:tcW w:w="781" w:type="dxa"/>
            <w:tcBorders>
              <w:top w:val="nil" w:sz="6" w:space="0" w:color="auto"/>
              <w:left w:val="nil" w:sz="6" w:space="0" w:color="auto"/>
              <w:bottom w:val="nil" w:sz="6" w:space="0" w:color="auto"/>
              <w:right w:val="nil" w:sz="6" w:space="0" w:color="auto"/>
            </w:tcBorders>
          </w:tcPr>
          <w:p>
            <w:pPr/>
          </w:p>
        </w:tc>
        <w:tc>
          <w:tcPr>
            <w:tcW w:w="3963" w:type="dxa"/>
            <w:tcBorders>
              <w:top w:val="nil" w:sz="6" w:space="0" w:color="auto"/>
              <w:left w:val="nil" w:sz="6" w:space="0" w:color="auto"/>
              <w:bottom w:val="single" w:sz="12" w:space="0" w:color="000000"/>
              <w:right w:val="nil" w:sz="6" w:space="0" w:color="auto"/>
            </w:tcBorders>
          </w:tcPr>
          <w:p>
            <w:pPr>
              <w:pStyle w:val="TableParagraph"/>
              <w:spacing w:line="260" w:lineRule="exact"/>
              <w:ind w:right="93"/>
              <w:jc w:val="right"/>
              <w:rPr>
                <w:rFonts w:ascii="Arial" w:hAnsi="Arial" w:cs="Arial" w:eastAsia="Arial" w:hint="default"/>
                <w:sz w:val="24"/>
                <w:szCs w:val="24"/>
              </w:rPr>
            </w:pPr>
            <w:r>
              <w:rPr>
                <w:rFonts w:ascii="Arial"/>
                <w:spacing w:val="-1"/>
                <w:sz w:val="24"/>
              </w:rPr>
              <w:t>93,898</w:t>
            </w:r>
          </w:p>
        </w:tc>
        <w:tc>
          <w:tcPr>
            <w:tcW w:w="1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12" w:space="0" w:color="000000"/>
              <w:right w:val="nil" w:sz="6" w:space="0" w:color="auto"/>
            </w:tcBorders>
          </w:tcPr>
          <w:p>
            <w:pPr>
              <w:pStyle w:val="TableParagraph"/>
              <w:spacing w:line="260" w:lineRule="exact"/>
              <w:ind w:right="54"/>
              <w:jc w:val="right"/>
              <w:rPr>
                <w:rFonts w:ascii="Arial" w:hAnsi="Arial" w:cs="Arial" w:eastAsia="Arial" w:hint="default"/>
                <w:sz w:val="24"/>
                <w:szCs w:val="24"/>
              </w:rPr>
            </w:pPr>
            <w:r>
              <w:rPr>
                <w:rFonts w:ascii="Arial"/>
                <w:spacing w:val="-3"/>
                <w:sz w:val="24"/>
              </w:rPr>
              <w:t>114,558</w:t>
            </w:r>
          </w:p>
        </w:tc>
        <w:tc>
          <w:tcPr>
            <w:tcW w:w="13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single" w:sz="12" w:space="0" w:color="000000"/>
              <w:right w:val="nil" w:sz="6" w:space="0" w:color="auto"/>
            </w:tcBorders>
          </w:tcPr>
          <w:p>
            <w:pPr>
              <w:pStyle w:val="TableParagraph"/>
              <w:spacing w:line="260" w:lineRule="exact"/>
              <w:ind w:left="223" w:right="0"/>
              <w:jc w:val="left"/>
              <w:rPr>
                <w:rFonts w:ascii="Arial" w:hAnsi="Arial" w:cs="Arial" w:eastAsia="Arial" w:hint="default"/>
                <w:sz w:val="24"/>
                <w:szCs w:val="24"/>
              </w:rPr>
            </w:pPr>
            <w:r>
              <w:rPr>
                <w:rFonts w:ascii="Arial"/>
                <w:sz w:val="24"/>
              </w:rPr>
              <w:t>(166,159)</w:t>
            </w:r>
          </w:p>
        </w:tc>
        <w:tc>
          <w:tcPr>
            <w:tcW w:w="13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single" w:sz="12" w:space="0" w:color="000000"/>
              <w:right w:val="nil" w:sz="6" w:space="0" w:color="auto"/>
            </w:tcBorders>
          </w:tcPr>
          <w:p>
            <w:pPr>
              <w:pStyle w:val="TableParagraph"/>
              <w:spacing w:line="260" w:lineRule="exact"/>
              <w:ind w:left="571" w:right="0"/>
              <w:jc w:val="left"/>
              <w:rPr>
                <w:rFonts w:ascii="Arial" w:hAnsi="Arial" w:cs="Arial" w:eastAsia="Arial" w:hint="default"/>
                <w:sz w:val="24"/>
                <w:szCs w:val="24"/>
              </w:rPr>
            </w:pPr>
            <w:r>
              <w:rPr>
                <w:rFonts w:ascii="Arial"/>
                <w:sz w:val="24"/>
              </w:rPr>
              <w:t>42,297</w:t>
            </w:r>
          </w:p>
        </w:tc>
      </w:tr>
      <w:tr>
        <w:trPr>
          <w:trHeight w:val="2230" w:hRule="exact"/>
        </w:trPr>
        <w:tc>
          <w:tcPr>
            <w:tcW w:w="781" w:type="dxa"/>
            <w:tcBorders>
              <w:top w:val="nil" w:sz="6" w:space="0" w:color="auto"/>
              <w:left w:val="nil" w:sz="6" w:space="0" w:color="auto"/>
              <w:bottom w:val="nil" w:sz="6" w:space="0" w:color="auto"/>
              <w:right w:val="nil" w:sz="6" w:space="0" w:color="auto"/>
            </w:tcBorders>
          </w:tcPr>
          <w:p>
            <w:pPr/>
          </w:p>
        </w:tc>
        <w:tc>
          <w:tcPr>
            <w:tcW w:w="8241"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0"/>
                <w:szCs w:val="30"/>
              </w:rPr>
            </w:pPr>
          </w:p>
          <w:p>
            <w:pPr>
              <w:pStyle w:val="TableParagraph"/>
              <w:spacing w:line="320" w:lineRule="exact"/>
              <w:ind w:left="153" w:right="0"/>
              <w:jc w:val="both"/>
              <w:rPr>
                <w:rFonts w:ascii="宋体" w:hAnsi="宋体" w:cs="宋体" w:eastAsia="宋体" w:hint="default"/>
                <w:sz w:val="24"/>
                <w:szCs w:val="24"/>
              </w:rPr>
            </w:pPr>
            <w:r>
              <w:rPr>
                <w:rFonts w:ascii="Arial" w:hAnsi="Arial" w:cs="Arial" w:eastAsia="Arial" w:hint="default"/>
                <w:spacing w:val="-2"/>
                <w:sz w:val="24"/>
                <w:szCs w:val="24"/>
              </w:rPr>
              <w:t>2012</w:t>
            </w:r>
            <w:r>
              <w:rPr>
                <w:rFonts w:ascii="宋体" w:hAnsi="宋体" w:cs="宋体" w:eastAsia="宋体" w:hint="default"/>
                <w:spacing w:val="-2"/>
                <w:sz w:val="24"/>
                <w:szCs w:val="24"/>
              </w:rPr>
              <w:t>年度，本集团研究开发支出共计约人民币</w:t>
            </w:r>
            <w:r>
              <w:rPr>
                <w:rFonts w:ascii="Arial" w:hAnsi="Arial" w:cs="Arial" w:eastAsia="Arial" w:hint="default"/>
                <w:spacing w:val="-2"/>
                <w:sz w:val="24"/>
                <w:szCs w:val="24"/>
              </w:rPr>
              <w:t>1.15</w:t>
            </w:r>
            <w:r>
              <w:rPr>
                <w:rFonts w:ascii="宋体" w:hAnsi="宋体" w:cs="宋体" w:eastAsia="宋体" w:hint="default"/>
                <w:spacing w:val="-2"/>
                <w:sz w:val="24"/>
                <w:szCs w:val="24"/>
              </w:rPr>
              <w:t>亿元</w:t>
            </w:r>
            <w:r>
              <w:rPr>
                <w:rFonts w:ascii="Arial" w:hAnsi="Arial" w:cs="Arial" w:eastAsia="Arial" w:hint="default"/>
                <w:spacing w:val="-2"/>
                <w:sz w:val="24"/>
                <w:szCs w:val="24"/>
              </w:rPr>
              <w:t>(2011</w:t>
            </w:r>
            <w:r>
              <w:rPr>
                <w:rFonts w:ascii="宋体" w:hAnsi="宋体" w:cs="宋体" w:eastAsia="宋体" w:hint="default"/>
                <w:spacing w:val="-2"/>
                <w:sz w:val="24"/>
                <w:szCs w:val="24"/>
              </w:rPr>
              <w:t>年度：约人民币</w:t>
            </w:r>
          </w:p>
          <w:p>
            <w:pPr>
              <w:pStyle w:val="TableParagraph"/>
              <w:spacing w:line="225" w:lineRule="auto" w:before="6"/>
              <w:ind w:left="153" w:right="50"/>
              <w:jc w:val="both"/>
              <w:rPr>
                <w:rFonts w:ascii="宋体" w:hAnsi="宋体" w:cs="宋体" w:eastAsia="宋体" w:hint="default"/>
                <w:sz w:val="24"/>
                <w:szCs w:val="24"/>
              </w:rPr>
            </w:pPr>
            <w:r>
              <w:rPr>
                <w:rFonts w:ascii="Arial" w:hAnsi="Arial" w:cs="Arial" w:eastAsia="Arial" w:hint="default"/>
                <w:spacing w:val="-3"/>
                <w:sz w:val="24"/>
                <w:szCs w:val="24"/>
              </w:rPr>
              <w:t>8,772</w:t>
            </w:r>
            <w:r>
              <w:rPr>
                <w:rFonts w:ascii="宋体" w:hAnsi="宋体" w:cs="宋体" w:eastAsia="宋体" w:hint="default"/>
                <w:spacing w:val="-3"/>
                <w:sz w:val="24"/>
                <w:szCs w:val="24"/>
              </w:rPr>
              <w:t>万元</w:t>
            </w:r>
            <w:r>
              <w:rPr>
                <w:rFonts w:ascii="Arial" w:hAnsi="Arial" w:cs="Arial" w:eastAsia="Arial" w:hint="default"/>
                <w:spacing w:val="-3"/>
                <w:sz w:val="24"/>
                <w:szCs w:val="24"/>
              </w:rPr>
              <w:t>)</w:t>
            </w:r>
            <w:r>
              <w:rPr>
                <w:rFonts w:ascii="宋体" w:hAnsi="宋体" w:cs="宋体" w:eastAsia="宋体" w:hint="default"/>
                <w:spacing w:val="-3"/>
                <w:sz w:val="24"/>
                <w:szCs w:val="24"/>
              </w:rPr>
              <w:t>；其中约人民币</w:t>
            </w:r>
            <w:r>
              <w:rPr>
                <w:rFonts w:ascii="Arial" w:hAnsi="Arial" w:cs="Arial" w:eastAsia="Arial" w:hint="default"/>
                <w:spacing w:val="-3"/>
                <w:sz w:val="24"/>
                <w:szCs w:val="24"/>
              </w:rPr>
              <w:t>7,226</w:t>
            </w:r>
            <w:r>
              <w:rPr>
                <w:rFonts w:ascii="宋体" w:hAnsi="宋体" w:cs="宋体" w:eastAsia="宋体" w:hint="default"/>
                <w:spacing w:val="-3"/>
                <w:sz w:val="24"/>
                <w:szCs w:val="24"/>
              </w:rPr>
              <w:t>万元</w:t>
            </w:r>
            <w:r>
              <w:rPr>
                <w:rFonts w:ascii="Arial" w:hAnsi="Arial" w:cs="Arial" w:eastAsia="Arial" w:hint="default"/>
                <w:spacing w:val="-3"/>
                <w:sz w:val="24"/>
                <w:szCs w:val="24"/>
              </w:rPr>
              <w:t>(2011</w:t>
            </w:r>
            <w:r>
              <w:rPr>
                <w:rFonts w:ascii="宋体" w:hAnsi="宋体" w:cs="宋体" w:eastAsia="宋体" w:hint="default"/>
                <w:spacing w:val="-3"/>
                <w:sz w:val="24"/>
                <w:szCs w:val="24"/>
              </w:rPr>
              <w:t>年度：约人民币</w:t>
            </w:r>
            <w:r>
              <w:rPr>
                <w:rFonts w:ascii="Arial" w:hAnsi="Arial" w:cs="Arial" w:eastAsia="Arial" w:hint="default"/>
                <w:spacing w:val="-3"/>
                <w:sz w:val="24"/>
                <w:szCs w:val="24"/>
              </w:rPr>
              <w:t>380</w:t>
            </w:r>
            <w:r>
              <w:rPr>
                <w:rFonts w:ascii="宋体" w:hAnsi="宋体" w:cs="宋体" w:eastAsia="宋体" w:hint="default"/>
                <w:spacing w:val="-3"/>
                <w:sz w:val="24"/>
                <w:szCs w:val="24"/>
              </w:rPr>
              <w:t>万元</w:t>
            </w:r>
            <w:r>
              <w:rPr>
                <w:rFonts w:ascii="Arial" w:hAnsi="Arial" w:cs="Arial" w:eastAsia="Arial" w:hint="default"/>
                <w:spacing w:val="-3"/>
                <w:sz w:val="24"/>
                <w:szCs w:val="24"/>
              </w:rPr>
              <w:t>)</w:t>
            </w:r>
            <w:r>
              <w:rPr>
                <w:rFonts w:ascii="宋体" w:hAnsi="宋体" w:cs="宋体" w:eastAsia="宋体" w:hint="default"/>
                <w:spacing w:val="-3"/>
                <w:sz w:val="24"/>
                <w:szCs w:val="24"/>
              </w:rPr>
              <w:t>于当期确</w:t>
            </w:r>
            <w:r>
              <w:rPr>
                <w:rFonts w:ascii="宋体" w:hAnsi="宋体" w:cs="宋体" w:eastAsia="宋体" w:hint="default"/>
                <w:spacing w:val="-105"/>
                <w:sz w:val="24"/>
                <w:szCs w:val="24"/>
              </w:rPr>
              <w:t> </w:t>
            </w:r>
            <w:r>
              <w:rPr>
                <w:rFonts w:ascii="宋体" w:hAnsi="宋体" w:cs="宋体" w:eastAsia="宋体" w:hint="default"/>
                <w:sz w:val="24"/>
                <w:szCs w:val="24"/>
              </w:rPr>
              <w:t>认为无形资产，约人民币</w:t>
            </w:r>
            <w:r>
              <w:rPr>
                <w:rFonts w:ascii="Arial" w:hAnsi="Arial" w:cs="Arial" w:eastAsia="Arial" w:hint="default"/>
                <w:sz w:val="24"/>
                <w:szCs w:val="24"/>
              </w:rPr>
              <w:t>4,230</w:t>
            </w:r>
            <w:r>
              <w:rPr>
                <w:rFonts w:ascii="宋体" w:hAnsi="宋体" w:cs="宋体" w:eastAsia="宋体" w:hint="default"/>
                <w:sz w:val="24"/>
                <w:szCs w:val="24"/>
              </w:rPr>
              <w:t>万元</w:t>
            </w:r>
            <w:r>
              <w:rPr>
                <w:rFonts w:ascii="Arial" w:hAnsi="Arial" w:cs="Arial" w:eastAsia="Arial" w:hint="default"/>
                <w:sz w:val="24"/>
                <w:szCs w:val="24"/>
              </w:rPr>
              <w:t>(2011</w:t>
            </w:r>
            <w:r>
              <w:rPr>
                <w:rFonts w:ascii="宋体" w:hAnsi="宋体" w:cs="宋体" w:eastAsia="宋体" w:hint="default"/>
                <w:sz w:val="24"/>
                <w:szCs w:val="24"/>
              </w:rPr>
              <w:t>年度：约人民币</w:t>
            </w:r>
            <w:r>
              <w:rPr>
                <w:rFonts w:ascii="Arial" w:hAnsi="Arial" w:cs="Arial" w:eastAsia="Arial" w:hint="default"/>
                <w:sz w:val="24"/>
                <w:szCs w:val="24"/>
              </w:rPr>
              <w:t>8,392</w:t>
            </w:r>
            <w:r>
              <w:rPr>
                <w:rFonts w:ascii="宋体" w:hAnsi="宋体" w:cs="宋体" w:eastAsia="宋体" w:hint="default"/>
                <w:sz w:val="24"/>
                <w:szCs w:val="24"/>
              </w:rPr>
              <w:t>万元</w:t>
            </w:r>
            <w:r>
              <w:rPr>
                <w:rFonts w:ascii="Arial" w:hAnsi="Arial" w:cs="Arial" w:eastAsia="Arial" w:hint="default"/>
                <w:sz w:val="24"/>
                <w:szCs w:val="24"/>
              </w:rPr>
              <w:t>)</w:t>
            </w:r>
            <w:r>
              <w:rPr>
                <w:rFonts w:ascii="Arial" w:hAnsi="Arial" w:cs="Arial" w:eastAsia="Arial" w:hint="default"/>
                <w:spacing w:val="60"/>
                <w:sz w:val="24"/>
                <w:szCs w:val="24"/>
              </w:rPr>
              <w:t> </w:t>
            </w:r>
            <w:r>
              <w:rPr>
                <w:rFonts w:ascii="宋体" w:hAnsi="宋体" w:cs="宋体" w:eastAsia="宋体" w:hint="default"/>
                <w:sz w:val="24"/>
                <w:szCs w:val="24"/>
              </w:rPr>
              <w:t>包含在 开发成本的年末余额中。</w:t>
            </w:r>
            <w:r>
              <w:rPr>
                <w:rFonts w:ascii="Arial" w:hAnsi="Arial" w:cs="Arial" w:eastAsia="Arial" w:hint="default"/>
                <w:sz w:val="24"/>
                <w:szCs w:val="24"/>
              </w:rPr>
              <w:t>2012</w:t>
            </w:r>
            <w:r>
              <w:rPr>
                <w:rFonts w:ascii="宋体" w:hAnsi="宋体" w:cs="宋体" w:eastAsia="宋体" w:hint="default"/>
                <w:sz w:val="24"/>
                <w:szCs w:val="24"/>
              </w:rPr>
              <w:t>年度系统软件开发支出占</w:t>
            </w:r>
            <w:r>
              <w:rPr>
                <w:rFonts w:ascii="Arial" w:hAnsi="Arial" w:cs="Arial" w:eastAsia="Arial" w:hint="default"/>
                <w:sz w:val="24"/>
                <w:szCs w:val="24"/>
              </w:rPr>
              <w:t>2012</w:t>
            </w:r>
            <w:r>
              <w:rPr>
                <w:rFonts w:ascii="宋体" w:hAnsi="宋体" w:cs="宋体" w:eastAsia="宋体" w:hint="default"/>
                <w:sz w:val="24"/>
                <w:szCs w:val="24"/>
              </w:rPr>
              <w:t>年度研究开发支 </w:t>
            </w:r>
            <w:r>
              <w:rPr>
                <w:rFonts w:ascii="宋体" w:hAnsi="宋体" w:cs="宋体" w:eastAsia="宋体" w:hint="default"/>
                <w:spacing w:val="-3"/>
                <w:sz w:val="24"/>
                <w:szCs w:val="24"/>
              </w:rPr>
              <w:t>出总额的比例为</w:t>
            </w:r>
            <w:r>
              <w:rPr>
                <w:rFonts w:ascii="Arial" w:hAnsi="Arial" w:cs="Arial" w:eastAsia="Arial" w:hint="default"/>
                <w:spacing w:val="-3"/>
                <w:sz w:val="24"/>
                <w:szCs w:val="24"/>
              </w:rPr>
              <w:t>100%(2011</w:t>
            </w:r>
            <w:r>
              <w:rPr>
                <w:rFonts w:ascii="宋体" w:hAnsi="宋体" w:cs="宋体" w:eastAsia="宋体" w:hint="default"/>
                <w:spacing w:val="-3"/>
                <w:sz w:val="24"/>
                <w:szCs w:val="24"/>
              </w:rPr>
              <w:t>年度：</w:t>
            </w:r>
            <w:r>
              <w:rPr>
                <w:rFonts w:ascii="Arial" w:hAnsi="Arial" w:cs="Arial" w:eastAsia="Arial" w:hint="default"/>
                <w:spacing w:val="-3"/>
                <w:sz w:val="24"/>
                <w:szCs w:val="24"/>
              </w:rPr>
              <w:t>100%)</w:t>
            </w:r>
            <w:r>
              <w:rPr>
                <w:rFonts w:ascii="宋体" w:hAnsi="宋体" w:cs="宋体" w:eastAsia="宋体" w:hint="default"/>
                <w:spacing w:val="-3"/>
                <w:sz w:val="24"/>
                <w:szCs w:val="24"/>
              </w:rPr>
              <w:t>。于</w:t>
            </w:r>
            <w:r>
              <w:rPr>
                <w:rFonts w:ascii="Arial" w:hAnsi="Arial" w:cs="Arial" w:eastAsia="Arial" w:hint="default"/>
                <w:spacing w:val="-3"/>
                <w:sz w:val="24"/>
                <w:szCs w:val="24"/>
              </w:rPr>
              <w:t>2012</w:t>
            </w:r>
            <w:r>
              <w:rPr>
                <w:rFonts w:ascii="宋体" w:hAnsi="宋体" w:cs="宋体" w:eastAsia="宋体" w:hint="default"/>
                <w:spacing w:val="-3"/>
                <w:sz w:val="24"/>
                <w:szCs w:val="24"/>
              </w:rPr>
              <w:t>年</w:t>
            </w:r>
            <w:r>
              <w:rPr>
                <w:rFonts w:ascii="Arial" w:hAnsi="Arial" w:cs="Arial" w:eastAsia="Arial" w:hint="default"/>
                <w:spacing w:val="-3"/>
                <w:sz w:val="24"/>
                <w:szCs w:val="24"/>
              </w:rPr>
              <w:t>12</w:t>
            </w:r>
            <w:r>
              <w:rPr>
                <w:rFonts w:ascii="宋体" w:hAnsi="宋体" w:cs="宋体" w:eastAsia="宋体" w:hint="default"/>
                <w:spacing w:val="-3"/>
                <w:sz w:val="24"/>
                <w:szCs w:val="24"/>
              </w:rPr>
              <w:t>月</w:t>
            </w:r>
            <w:r>
              <w:rPr>
                <w:rFonts w:ascii="Arial" w:hAnsi="Arial" w:cs="Arial" w:eastAsia="Arial" w:hint="default"/>
                <w:spacing w:val="-3"/>
                <w:sz w:val="24"/>
                <w:szCs w:val="24"/>
              </w:rPr>
              <w:t>31</w:t>
            </w:r>
            <w:r>
              <w:rPr>
                <w:rFonts w:ascii="宋体" w:hAnsi="宋体" w:cs="宋体" w:eastAsia="宋体" w:hint="default"/>
                <w:spacing w:val="-3"/>
                <w:sz w:val="24"/>
                <w:szCs w:val="24"/>
              </w:rPr>
              <w:t>日及</w:t>
            </w:r>
            <w:r>
              <w:rPr>
                <w:rFonts w:ascii="Arial" w:hAnsi="Arial" w:cs="Arial" w:eastAsia="Arial" w:hint="default"/>
                <w:spacing w:val="-3"/>
                <w:sz w:val="24"/>
                <w:szCs w:val="24"/>
              </w:rPr>
              <w:t>2011</w:t>
            </w:r>
            <w:r>
              <w:rPr>
                <w:rFonts w:ascii="宋体" w:hAnsi="宋体" w:cs="宋体" w:eastAsia="宋体" w:hint="default"/>
                <w:spacing w:val="-3"/>
                <w:sz w:val="24"/>
                <w:szCs w:val="24"/>
              </w:rPr>
              <w:t>年</w:t>
            </w:r>
            <w:r>
              <w:rPr>
                <w:rFonts w:ascii="Arial" w:hAnsi="Arial" w:cs="Arial" w:eastAsia="Arial" w:hint="default"/>
                <w:spacing w:val="-3"/>
                <w:sz w:val="24"/>
                <w:szCs w:val="24"/>
              </w:rPr>
              <w:t>12</w:t>
            </w:r>
            <w:r>
              <w:rPr>
                <w:rFonts w:ascii="宋体" w:hAnsi="宋体" w:cs="宋体" w:eastAsia="宋体" w:hint="default"/>
                <w:spacing w:val="-3"/>
                <w:sz w:val="24"/>
                <w:szCs w:val="24"/>
              </w:rPr>
              <w:t>月</w:t>
            </w:r>
            <w:r>
              <w:rPr>
                <w:rFonts w:ascii="宋体" w:hAnsi="宋体" w:cs="宋体" w:eastAsia="宋体" w:hint="default"/>
                <w:spacing w:val="-79"/>
                <w:sz w:val="24"/>
                <w:szCs w:val="24"/>
              </w:rPr>
              <w:t> </w:t>
            </w:r>
            <w:r>
              <w:rPr>
                <w:rFonts w:ascii="Arial" w:hAnsi="Arial" w:cs="Arial" w:eastAsia="Arial" w:hint="default"/>
                <w:sz w:val="24"/>
                <w:szCs w:val="24"/>
              </w:rPr>
              <w:t>31</w:t>
            </w:r>
            <w:r>
              <w:rPr>
                <w:rFonts w:ascii="宋体" w:hAnsi="宋体" w:cs="宋体" w:eastAsia="宋体" w:hint="default"/>
                <w:sz w:val="24"/>
                <w:szCs w:val="24"/>
              </w:rPr>
              <w:t>日，无通过本集团内部研发形成的无形资产。</w:t>
            </w:r>
          </w:p>
        </w:tc>
      </w:tr>
    </w:tbl>
    <w:p>
      <w:pPr>
        <w:spacing w:after="0" w:line="225" w:lineRule="auto"/>
        <w:jc w:val="both"/>
        <w:rPr>
          <w:rFonts w:ascii="宋体" w:hAnsi="宋体" w:cs="宋体" w:eastAsia="宋体"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1595560" type="#_x0000_t75" stroked="false">
            <v:imagedata r:id="rId10" o:title=""/>
          </v:shape>
        </w:pict>
      </w:r>
    </w:p>
    <w:p>
      <w:pPr>
        <w:spacing w:line="240" w:lineRule="auto" w:before="4"/>
        <w:rPr>
          <w:rFonts w:ascii="Times New Roman" w:hAnsi="Times New Roman" w:cs="Times New Roman" w:eastAsia="Times New Roman"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777"/>
        <w:gridCol w:w="2949"/>
        <w:gridCol w:w="1359"/>
        <w:gridCol w:w="137"/>
        <w:gridCol w:w="1123"/>
        <w:gridCol w:w="137"/>
        <w:gridCol w:w="1097"/>
        <w:gridCol w:w="135"/>
        <w:gridCol w:w="1361"/>
      </w:tblGrid>
      <w:tr>
        <w:trPr>
          <w:trHeight w:val="495"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2949" w:type="dxa"/>
            <w:tcBorders>
              <w:top w:val="nil" w:sz="6" w:space="0" w:color="auto"/>
              <w:left w:val="nil" w:sz="6" w:space="0" w:color="auto"/>
              <w:bottom w:val="nil" w:sz="6" w:space="0" w:color="auto"/>
              <w:right w:val="nil" w:sz="6" w:space="0" w:color="auto"/>
            </w:tcBorders>
          </w:tcPr>
          <w:p>
            <w:pPr>
              <w:pStyle w:val="TableParagraph"/>
              <w:spacing w:line="257" w:lineRule="exact"/>
              <w:ind w:right="-1"/>
              <w:jc w:val="right"/>
              <w:rPr>
                <w:rFonts w:ascii="Arial" w:hAnsi="Arial" w:cs="Arial" w:eastAsia="Arial" w:hint="default"/>
                <w:sz w:val="24"/>
                <w:szCs w:val="24"/>
              </w:rPr>
            </w:pPr>
            <w:r>
              <w:rPr>
                <w:rFonts w:ascii="黑体" w:hAnsi="黑体" w:cs="黑体" w:eastAsia="黑体" w:hint="default"/>
                <w:spacing w:val="-1"/>
                <w:sz w:val="24"/>
                <w:szCs w:val="24"/>
              </w:rPr>
              <w:t>合并财务报表项目附注</w:t>
            </w:r>
            <w:r>
              <w:rPr>
                <w:rFonts w:ascii="Arial" w:hAnsi="Arial" w:cs="Arial" w:eastAsia="Arial" w:hint="default"/>
                <w:spacing w:val="-1"/>
                <w:sz w:val="24"/>
                <w:szCs w:val="24"/>
              </w:rPr>
              <w:t>(</w:t>
            </w:r>
            <w:r>
              <w:rPr>
                <w:rFonts w:ascii="黑体" w:hAnsi="黑体" w:cs="黑体" w:eastAsia="黑体" w:hint="default"/>
                <w:spacing w:val="-1"/>
                <w:sz w:val="24"/>
                <w:szCs w:val="24"/>
              </w:rPr>
              <w:t>续</w:t>
            </w:r>
            <w:r>
              <w:rPr>
                <w:rFonts w:ascii="Arial" w:hAnsi="Arial" w:cs="Arial" w:eastAsia="Arial" w:hint="default"/>
                <w:spacing w:val="-1"/>
                <w:sz w:val="24"/>
                <w:szCs w:val="24"/>
              </w:rPr>
              <w:t>)</w:t>
            </w:r>
          </w:p>
        </w:tc>
        <w:tc>
          <w:tcPr>
            <w:tcW w:w="1359"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744"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(15)</w:t>
            </w:r>
          </w:p>
        </w:tc>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9" w:right="0"/>
              <w:jc w:val="left"/>
              <w:rPr>
                <w:rFonts w:ascii="黑体" w:hAnsi="黑体" w:cs="黑体" w:eastAsia="黑体" w:hint="default"/>
                <w:sz w:val="24"/>
                <w:szCs w:val="24"/>
              </w:rPr>
            </w:pPr>
            <w:r>
              <w:rPr>
                <w:rFonts w:ascii="黑体" w:hAnsi="黑体" w:cs="黑体" w:eastAsia="黑体" w:hint="default"/>
                <w:sz w:val="24"/>
                <w:szCs w:val="24"/>
              </w:rPr>
              <w:t>商誉</w:t>
            </w:r>
          </w:p>
        </w:tc>
        <w:tc>
          <w:tcPr>
            <w:tcW w:w="1359"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926" w:hRule="exact"/>
        </w:trPr>
        <w:tc>
          <w:tcPr>
            <w:tcW w:w="777" w:type="dxa"/>
            <w:tcBorders>
              <w:top w:val="nil" w:sz="6" w:space="0" w:color="auto"/>
              <w:left w:val="nil" w:sz="6" w:space="0" w:color="auto"/>
              <w:bottom w:val="nil" w:sz="6" w:space="0" w:color="auto"/>
              <w:right w:val="nil" w:sz="6" w:space="0" w:color="auto"/>
            </w:tcBorders>
          </w:tcPr>
          <w:p>
            <w:pPr/>
          </w:p>
        </w:tc>
        <w:tc>
          <w:tcPr>
            <w:tcW w:w="43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right="50"/>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240" w:lineRule="auto" w:before="19"/>
              <w:ind w:right="50"/>
              <w:jc w:val="righ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37"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53"/>
              <w:jc w:val="right"/>
              <w:rPr>
                <w:rFonts w:ascii="宋体" w:hAnsi="宋体" w:cs="宋体" w:eastAsia="宋体" w:hint="default"/>
                <w:sz w:val="24"/>
                <w:szCs w:val="24"/>
              </w:rPr>
            </w:pPr>
            <w:r>
              <w:rPr>
                <w:rFonts w:ascii="宋体" w:hAnsi="宋体" w:cs="宋体" w:eastAsia="宋体" w:hint="default"/>
                <w:sz w:val="24"/>
                <w:szCs w:val="24"/>
              </w:rPr>
              <w:t>本年增加</w:t>
            </w:r>
          </w:p>
        </w:tc>
        <w:tc>
          <w:tcPr>
            <w:tcW w:w="137"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53"/>
              <w:jc w:val="right"/>
              <w:rPr>
                <w:rFonts w:ascii="宋体" w:hAnsi="宋体" w:cs="宋体" w:eastAsia="宋体" w:hint="default"/>
                <w:sz w:val="24"/>
                <w:szCs w:val="24"/>
              </w:rPr>
            </w:pPr>
            <w:r>
              <w:rPr>
                <w:rFonts w:ascii="宋体" w:hAnsi="宋体" w:cs="宋体" w:eastAsia="宋体" w:hint="default"/>
                <w:sz w:val="24"/>
                <w:szCs w:val="24"/>
              </w:rPr>
              <w:t>本年减少</w:t>
            </w:r>
          </w:p>
        </w:tc>
        <w:tc>
          <w:tcPr>
            <w:tcW w:w="13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436"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240" w:lineRule="auto" w:before="19"/>
              <w:ind w:left="76"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393" w:hRule="exact"/>
        </w:trPr>
        <w:tc>
          <w:tcPr>
            <w:tcW w:w="777" w:type="dxa"/>
            <w:tcBorders>
              <w:top w:val="nil" w:sz="6" w:space="0" w:color="auto"/>
              <w:left w:val="nil" w:sz="6" w:space="0" w:color="auto"/>
              <w:bottom w:val="nil" w:sz="6" w:space="0" w:color="auto"/>
              <w:right w:val="nil" w:sz="6" w:space="0" w:color="auto"/>
            </w:tcBorders>
          </w:tcPr>
          <w:p>
            <w:pPr/>
          </w:p>
        </w:tc>
        <w:tc>
          <w:tcPr>
            <w:tcW w:w="2949" w:type="dxa"/>
            <w:tcBorders>
              <w:top w:val="nil" w:sz="6" w:space="0" w:color="auto"/>
              <w:left w:val="nil" w:sz="6" w:space="0" w:color="auto"/>
              <w:bottom w:val="nil" w:sz="6" w:space="0" w:color="auto"/>
              <w:right w:val="nil" w:sz="6" w:space="0" w:color="auto"/>
            </w:tcBorders>
          </w:tcPr>
          <w:p>
            <w:pPr>
              <w:pStyle w:val="TableParagraph"/>
              <w:spacing w:line="328" w:lineRule="exact"/>
              <w:ind w:left="159" w:right="0"/>
              <w:jc w:val="left"/>
              <w:rPr>
                <w:rFonts w:ascii="Arial" w:hAnsi="Arial" w:cs="Arial" w:eastAsia="Arial" w:hint="default"/>
                <w:sz w:val="24"/>
                <w:szCs w:val="24"/>
              </w:rPr>
            </w:pPr>
            <w:r>
              <w:rPr>
                <w:rFonts w:ascii="宋体" w:hAnsi="宋体" w:cs="宋体" w:eastAsia="宋体" w:hint="default"/>
                <w:sz w:val="24"/>
                <w:szCs w:val="24"/>
              </w:rPr>
              <w:t>商誉 </w:t>
            </w:r>
            <w:r>
              <w:rPr>
                <w:rFonts w:ascii="Arial" w:hAnsi="Arial" w:cs="Arial" w:eastAsia="Arial" w:hint="default"/>
                <w:sz w:val="24"/>
                <w:szCs w:val="24"/>
              </w:rPr>
              <w:t>-</w:t>
            </w:r>
          </w:p>
        </w:tc>
        <w:tc>
          <w:tcPr>
            <w:tcW w:w="1359"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349" w:hRule="exact"/>
        </w:trPr>
        <w:tc>
          <w:tcPr>
            <w:tcW w:w="777" w:type="dxa"/>
            <w:tcBorders>
              <w:top w:val="nil" w:sz="6" w:space="0" w:color="auto"/>
              <w:left w:val="nil" w:sz="6" w:space="0" w:color="auto"/>
              <w:bottom w:val="nil" w:sz="6" w:space="0" w:color="auto"/>
              <w:right w:val="nil" w:sz="6" w:space="0" w:color="auto"/>
            </w:tcBorders>
          </w:tcPr>
          <w:p>
            <w:pPr/>
          </w:p>
        </w:tc>
        <w:tc>
          <w:tcPr>
            <w:tcW w:w="2949" w:type="dxa"/>
            <w:tcBorders>
              <w:top w:val="nil" w:sz="6" w:space="0" w:color="auto"/>
              <w:left w:val="nil" w:sz="6" w:space="0" w:color="auto"/>
              <w:bottom w:val="nil" w:sz="6" w:space="0" w:color="auto"/>
              <w:right w:val="nil" w:sz="6" w:space="0" w:color="auto"/>
            </w:tcBorders>
          </w:tcPr>
          <w:p>
            <w:pPr>
              <w:pStyle w:val="TableParagraph"/>
              <w:spacing w:line="327" w:lineRule="exact"/>
              <w:ind w:left="159" w:right="0"/>
              <w:jc w:val="left"/>
              <w:rPr>
                <w:rFonts w:ascii="宋体" w:hAnsi="宋体" w:cs="宋体" w:eastAsia="宋体" w:hint="default"/>
                <w:sz w:val="24"/>
                <w:szCs w:val="24"/>
              </w:rPr>
            </w:pPr>
            <w:r>
              <w:rPr>
                <w:rFonts w:ascii="宋体" w:hAnsi="宋体" w:cs="宋体" w:eastAsia="宋体" w:hint="default"/>
                <w:sz w:val="24"/>
                <w:szCs w:val="24"/>
              </w:rPr>
              <w:t>日本</w:t>
            </w:r>
            <w:r>
              <w:rPr>
                <w:rFonts w:ascii="宋体" w:hAnsi="宋体" w:cs="宋体" w:eastAsia="宋体" w:hint="default"/>
                <w:spacing w:val="-60"/>
                <w:sz w:val="24"/>
                <w:szCs w:val="24"/>
              </w:rPr>
              <w:t> </w:t>
            </w:r>
            <w:r>
              <w:rPr>
                <w:rFonts w:ascii="Arial" w:hAnsi="Arial" w:cs="Arial" w:eastAsia="Arial" w:hint="default"/>
                <w:sz w:val="24"/>
                <w:szCs w:val="24"/>
              </w:rPr>
              <w:t>LAOX</w:t>
            </w:r>
            <w:r>
              <w:rPr>
                <w:rFonts w:ascii="Arial" w:hAnsi="Arial" w:cs="Arial" w:eastAsia="Arial" w:hint="default"/>
                <w:spacing w:val="-8"/>
                <w:sz w:val="24"/>
                <w:szCs w:val="24"/>
              </w:rPr>
              <w:t> </w:t>
            </w:r>
            <w:r>
              <w:rPr>
                <w:rFonts w:ascii="宋体" w:hAnsi="宋体" w:cs="宋体" w:eastAsia="宋体" w:hint="default"/>
                <w:sz w:val="24"/>
                <w:szCs w:val="24"/>
              </w:rPr>
              <w:t>株式会社</w:t>
            </w:r>
          </w:p>
        </w:tc>
        <w:tc>
          <w:tcPr>
            <w:tcW w:w="1359"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326" w:hRule="exact"/>
        </w:trPr>
        <w:tc>
          <w:tcPr>
            <w:tcW w:w="777" w:type="dxa"/>
            <w:tcBorders>
              <w:top w:val="nil" w:sz="6" w:space="0" w:color="auto"/>
              <w:left w:val="nil" w:sz="6" w:space="0" w:color="auto"/>
              <w:bottom w:val="nil" w:sz="6" w:space="0" w:color="auto"/>
              <w:right w:val="nil" w:sz="6" w:space="0" w:color="auto"/>
            </w:tcBorders>
          </w:tcPr>
          <w:p>
            <w:pPr/>
          </w:p>
        </w:tc>
        <w:tc>
          <w:tcPr>
            <w:tcW w:w="2949"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Style w:val="TableParagraph"/>
              <w:spacing w:line="273" w:lineRule="exact"/>
              <w:ind w:right="53"/>
              <w:jc w:val="right"/>
              <w:rPr>
                <w:rFonts w:ascii="Arial" w:hAnsi="Arial" w:cs="Arial" w:eastAsia="Arial" w:hint="default"/>
                <w:sz w:val="24"/>
                <w:szCs w:val="24"/>
              </w:rPr>
            </w:pPr>
            <w:r>
              <w:rPr>
                <w:rFonts w:ascii="Arial"/>
                <w:spacing w:val="-1"/>
                <w:sz w:val="24"/>
              </w:rPr>
              <w:t>226,007</w:t>
            </w:r>
          </w:p>
        </w:tc>
        <w:tc>
          <w:tcPr>
            <w:tcW w:w="137"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73" w:lineRule="exact"/>
              <w:ind w:right="117"/>
              <w:jc w:val="right"/>
              <w:rPr>
                <w:rFonts w:ascii="Arial" w:hAnsi="Arial" w:cs="Arial" w:eastAsia="Arial" w:hint="default"/>
                <w:sz w:val="24"/>
                <w:szCs w:val="24"/>
              </w:rPr>
            </w:pPr>
            <w:r>
              <w:rPr>
                <w:rFonts w:ascii="Arial"/>
                <w:w w:val="99"/>
                <w:sz w:val="24"/>
              </w:rPr>
              <w:t>-</w:t>
            </w:r>
            <w:r>
              <w:rPr>
                <w:rFonts w:ascii="Arial"/>
                <w:sz w:val="24"/>
              </w:rPr>
            </w:r>
          </w:p>
        </w:tc>
        <w:tc>
          <w:tcPr>
            <w:tcW w:w="137"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73" w:lineRule="exact"/>
              <w:ind w:right="52"/>
              <w:jc w:val="right"/>
              <w:rPr>
                <w:rFonts w:ascii="Arial" w:hAnsi="Arial" w:cs="Arial" w:eastAsia="Arial" w:hint="default"/>
                <w:sz w:val="24"/>
                <w:szCs w:val="24"/>
              </w:rPr>
            </w:pPr>
            <w:r>
              <w:rPr>
                <w:rFonts w:ascii="Arial"/>
                <w:w w:val="99"/>
                <w:sz w:val="24"/>
              </w:rPr>
              <w:t>-</w:t>
            </w:r>
            <w:r>
              <w:rPr>
                <w:rFonts w:ascii="Arial"/>
                <w:sz w:val="24"/>
              </w:rPr>
            </w:r>
          </w:p>
        </w:tc>
        <w:tc>
          <w:tcPr>
            <w:tcW w:w="13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73" w:lineRule="exact"/>
              <w:ind w:right="55"/>
              <w:jc w:val="right"/>
              <w:rPr>
                <w:rFonts w:ascii="Arial" w:hAnsi="Arial" w:cs="Arial" w:eastAsia="Arial" w:hint="default"/>
                <w:sz w:val="24"/>
                <w:szCs w:val="24"/>
              </w:rPr>
            </w:pPr>
            <w:r>
              <w:rPr>
                <w:rFonts w:ascii="Arial"/>
                <w:spacing w:val="-1"/>
                <w:sz w:val="24"/>
              </w:rPr>
              <w:t>226,007</w:t>
            </w:r>
          </w:p>
        </w:tc>
      </w:tr>
      <w:tr>
        <w:trPr>
          <w:trHeight w:val="1027" w:hRule="exact"/>
        </w:trPr>
        <w:tc>
          <w:tcPr>
            <w:tcW w:w="777" w:type="dxa"/>
            <w:tcBorders>
              <w:top w:val="nil" w:sz="6" w:space="0" w:color="auto"/>
              <w:left w:val="nil" w:sz="6" w:space="0" w:color="auto"/>
              <w:bottom w:val="nil" w:sz="6" w:space="0" w:color="auto"/>
              <w:right w:val="nil" w:sz="6" w:space="0" w:color="auto"/>
            </w:tcBorders>
          </w:tcPr>
          <w:p>
            <w:pPr/>
          </w:p>
        </w:tc>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66" w:right="0"/>
              <w:jc w:val="left"/>
              <w:rPr>
                <w:rFonts w:ascii="Arial" w:hAnsi="Arial" w:cs="Arial" w:eastAsia="Arial" w:hint="default"/>
                <w:sz w:val="24"/>
                <w:szCs w:val="24"/>
              </w:rPr>
            </w:pPr>
            <w:r>
              <w:rPr>
                <w:rFonts w:ascii="Arial"/>
                <w:sz w:val="24"/>
              </w:rPr>
              <w:t>Citical</w:t>
            </w:r>
            <w:r>
              <w:rPr>
                <w:rFonts w:ascii="Arial"/>
                <w:spacing w:val="-4"/>
                <w:sz w:val="24"/>
              </w:rPr>
              <w:t> </w:t>
            </w:r>
            <w:r>
              <w:rPr>
                <w:rFonts w:ascii="Arial"/>
                <w:sz w:val="24"/>
              </w:rPr>
              <w:t>Retain</w:t>
            </w:r>
          </w:p>
          <w:p>
            <w:pPr>
              <w:pStyle w:val="TableParagraph"/>
              <w:spacing w:line="240" w:lineRule="auto" w:before="38"/>
              <w:ind w:left="639" w:right="0"/>
              <w:jc w:val="left"/>
              <w:rPr>
                <w:rFonts w:ascii="Arial" w:hAnsi="Arial" w:cs="Arial" w:eastAsia="Arial" w:hint="default"/>
                <w:sz w:val="24"/>
                <w:szCs w:val="24"/>
              </w:rPr>
            </w:pPr>
            <w:r>
              <w:rPr>
                <w:rFonts w:ascii="Arial"/>
                <w:sz w:val="24"/>
              </w:rPr>
              <w:t>Management</w:t>
            </w:r>
            <w:r>
              <w:rPr>
                <w:rFonts w:ascii="Arial"/>
                <w:spacing w:val="-8"/>
                <w:sz w:val="24"/>
              </w:rPr>
              <w:t> </w:t>
            </w:r>
            <w:r>
              <w:rPr>
                <w:rFonts w:ascii="Arial"/>
                <w:sz w:val="24"/>
              </w:rPr>
              <w:t>Limited</w:t>
            </w:r>
          </w:p>
          <w:p>
            <w:pPr>
              <w:pStyle w:val="TableParagraph"/>
              <w:spacing w:line="240" w:lineRule="auto" w:before="5"/>
              <w:ind w:left="639" w:right="0"/>
              <w:jc w:val="left"/>
              <w:rPr>
                <w:rFonts w:ascii="宋体" w:hAnsi="宋体" w:cs="宋体" w:eastAsia="宋体" w:hint="default"/>
                <w:sz w:val="24"/>
                <w:szCs w:val="24"/>
              </w:rPr>
            </w:pPr>
            <w:r>
              <w:rPr>
                <w:rFonts w:ascii="宋体" w:hAnsi="宋体" w:cs="宋体" w:eastAsia="宋体" w:hint="default"/>
                <w:sz w:val="24"/>
                <w:szCs w:val="24"/>
              </w:rPr>
              <w:t>之零售批发业务</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3"/>
              <w:ind w:right="51"/>
              <w:jc w:val="right"/>
              <w:rPr>
                <w:rFonts w:ascii="Arial" w:hAnsi="Arial" w:cs="Arial" w:eastAsia="Arial" w:hint="default"/>
                <w:sz w:val="24"/>
                <w:szCs w:val="24"/>
              </w:rPr>
            </w:pPr>
            <w:r>
              <w:rPr>
                <w:rFonts w:ascii="Arial"/>
                <w:w w:val="95"/>
                <w:sz w:val="24"/>
              </w:rPr>
              <w:t>616</w:t>
            </w:r>
            <w:r>
              <w:rPr>
                <w:rFonts w:ascii="Arial"/>
                <w:sz w:val="24"/>
              </w:rPr>
            </w:r>
          </w:p>
        </w:tc>
        <w:tc>
          <w:tcPr>
            <w:tcW w:w="137"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3"/>
              <w:ind w:right="117"/>
              <w:jc w:val="right"/>
              <w:rPr>
                <w:rFonts w:ascii="Arial" w:hAnsi="Arial" w:cs="Arial" w:eastAsia="Arial" w:hint="default"/>
                <w:sz w:val="24"/>
                <w:szCs w:val="24"/>
              </w:rPr>
            </w:pPr>
            <w:r>
              <w:rPr>
                <w:rFonts w:ascii="Arial"/>
                <w:w w:val="99"/>
                <w:sz w:val="24"/>
              </w:rPr>
              <w:t>-</w:t>
            </w:r>
            <w:r>
              <w:rPr>
                <w:rFonts w:ascii="Arial"/>
                <w:sz w:val="24"/>
              </w:rPr>
            </w:r>
          </w:p>
        </w:tc>
        <w:tc>
          <w:tcPr>
            <w:tcW w:w="137"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3"/>
              <w:ind w:right="52"/>
              <w:jc w:val="right"/>
              <w:rPr>
                <w:rFonts w:ascii="Arial" w:hAnsi="Arial" w:cs="Arial" w:eastAsia="Arial" w:hint="default"/>
                <w:sz w:val="24"/>
                <w:szCs w:val="24"/>
              </w:rPr>
            </w:pPr>
            <w:r>
              <w:rPr>
                <w:rFonts w:ascii="Arial"/>
                <w:w w:val="99"/>
                <w:sz w:val="24"/>
              </w:rPr>
              <w:t>-</w:t>
            </w:r>
            <w:r>
              <w:rPr>
                <w:rFonts w:ascii="Arial"/>
                <w:sz w:val="24"/>
              </w:rPr>
            </w:r>
          </w:p>
        </w:tc>
        <w:tc>
          <w:tcPr>
            <w:tcW w:w="13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3"/>
              <w:ind w:right="53"/>
              <w:jc w:val="right"/>
              <w:rPr>
                <w:rFonts w:ascii="Arial" w:hAnsi="Arial" w:cs="Arial" w:eastAsia="Arial" w:hint="default"/>
                <w:sz w:val="24"/>
                <w:szCs w:val="24"/>
              </w:rPr>
            </w:pPr>
            <w:r>
              <w:rPr>
                <w:rFonts w:ascii="Arial"/>
                <w:w w:val="95"/>
                <w:sz w:val="24"/>
              </w:rPr>
              <w:t>616</w:t>
            </w:r>
            <w:r>
              <w:rPr>
                <w:rFonts w:ascii="Arial"/>
                <w:sz w:val="24"/>
              </w:rPr>
            </w:r>
          </w:p>
        </w:tc>
      </w:tr>
      <w:tr>
        <w:trPr>
          <w:trHeight w:val="695" w:hRule="exact"/>
        </w:trPr>
        <w:tc>
          <w:tcPr>
            <w:tcW w:w="777" w:type="dxa"/>
            <w:tcBorders>
              <w:top w:val="nil" w:sz="6" w:space="0" w:color="auto"/>
              <w:left w:val="nil" w:sz="6" w:space="0" w:color="auto"/>
              <w:bottom w:val="nil" w:sz="6" w:space="0" w:color="auto"/>
              <w:right w:val="nil" w:sz="6" w:space="0" w:color="auto"/>
            </w:tcBorders>
          </w:tcPr>
          <w:p>
            <w:pPr/>
          </w:p>
        </w:tc>
        <w:tc>
          <w:tcPr>
            <w:tcW w:w="2949" w:type="dxa"/>
            <w:tcBorders>
              <w:top w:val="nil" w:sz="6" w:space="0" w:color="auto"/>
              <w:left w:val="nil" w:sz="6" w:space="0" w:color="auto"/>
              <w:bottom w:val="nil" w:sz="6" w:space="0" w:color="auto"/>
              <w:right w:val="nil" w:sz="6" w:space="0" w:color="auto"/>
            </w:tcBorders>
          </w:tcPr>
          <w:p>
            <w:pPr>
              <w:pStyle w:val="TableParagraph"/>
              <w:spacing w:line="310" w:lineRule="exact" w:before="19"/>
              <w:ind w:left="430" w:right="65" w:hanging="264"/>
              <w:jc w:val="left"/>
              <w:rPr>
                <w:rFonts w:ascii="宋体" w:hAnsi="宋体" w:cs="宋体" w:eastAsia="宋体" w:hint="default"/>
                <w:sz w:val="24"/>
                <w:szCs w:val="24"/>
              </w:rPr>
            </w:pPr>
            <w:r>
              <w:rPr>
                <w:rFonts w:ascii="宋体" w:hAnsi="宋体" w:cs="宋体" w:eastAsia="宋体" w:hint="default"/>
                <w:spacing w:val="6"/>
                <w:sz w:val="24"/>
                <w:szCs w:val="24"/>
              </w:rPr>
              <w:t>无锡胜利门苏宁电器有限</w:t>
            </w:r>
            <w:r>
              <w:rPr>
                <w:rFonts w:ascii="宋体" w:hAnsi="宋体" w:cs="宋体" w:eastAsia="宋体" w:hint="default"/>
                <w:sz w:val="24"/>
                <w:szCs w:val="24"/>
              </w:rPr>
              <w:t> 公司</w:t>
            </w:r>
          </w:p>
        </w:tc>
        <w:tc>
          <w:tcPr>
            <w:tcW w:w="1359"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right="52"/>
              <w:jc w:val="right"/>
              <w:rPr>
                <w:rFonts w:ascii="Arial" w:hAnsi="Arial" w:cs="Arial" w:eastAsia="Arial" w:hint="default"/>
                <w:sz w:val="24"/>
                <w:szCs w:val="24"/>
              </w:rPr>
            </w:pPr>
            <w:r>
              <w:rPr>
                <w:rFonts w:ascii="Arial"/>
                <w:w w:val="99"/>
                <w:sz w:val="24"/>
              </w:rPr>
              <w:t>-</w:t>
            </w:r>
            <w:r>
              <w:rPr>
                <w:rFonts w:ascii="Arial"/>
                <w:sz w:val="24"/>
              </w:rPr>
            </w:r>
          </w:p>
        </w:tc>
        <w:tc>
          <w:tcPr>
            <w:tcW w:w="137"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right="115"/>
              <w:jc w:val="right"/>
              <w:rPr>
                <w:rFonts w:ascii="Arial" w:hAnsi="Arial" w:cs="Arial" w:eastAsia="Arial" w:hint="default"/>
                <w:sz w:val="24"/>
                <w:szCs w:val="24"/>
              </w:rPr>
            </w:pPr>
            <w:r>
              <w:rPr>
                <w:rFonts w:ascii="Arial"/>
                <w:w w:val="95"/>
                <w:sz w:val="24"/>
              </w:rPr>
              <w:t>569</w:t>
            </w:r>
            <w:r>
              <w:rPr>
                <w:rFonts w:ascii="Arial"/>
                <w:sz w:val="24"/>
              </w:rPr>
            </w:r>
          </w:p>
        </w:tc>
        <w:tc>
          <w:tcPr>
            <w:tcW w:w="137"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right="52"/>
              <w:jc w:val="right"/>
              <w:rPr>
                <w:rFonts w:ascii="Arial" w:hAnsi="Arial" w:cs="Arial" w:eastAsia="Arial" w:hint="default"/>
                <w:sz w:val="24"/>
                <w:szCs w:val="24"/>
              </w:rPr>
            </w:pPr>
            <w:r>
              <w:rPr>
                <w:rFonts w:ascii="Arial"/>
                <w:w w:val="99"/>
                <w:sz w:val="24"/>
              </w:rPr>
              <w:t>-</w:t>
            </w:r>
            <w:r>
              <w:rPr>
                <w:rFonts w:ascii="Arial"/>
                <w:sz w:val="24"/>
              </w:rPr>
            </w:r>
          </w:p>
        </w:tc>
        <w:tc>
          <w:tcPr>
            <w:tcW w:w="13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right="53"/>
              <w:jc w:val="right"/>
              <w:rPr>
                <w:rFonts w:ascii="Arial" w:hAnsi="Arial" w:cs="Arial" w:eastAsia="Arial" w:hint="default"/>
                <w:sz w:val="24"/>
                <w:szCs w:val="24"/>
              </w:rPr>
            </w:pPr>
            <w:r>
              <w:rPr>
                <w:rFonts w:ascii="Arial"/>
                <w:w w:val="95"/>
                <w:sz w:val="24"/>
              </w:rPr>
              <w:t>569</w:t>
            </w:r>
            <w:r>
              <w:rPr>
                <w:rFonts w:ascii="Arial"/>
                <w:sz w:val="24"/>
              </w:rPr>
            </w:r>
          </w:p>
        </w:tc>
      </w:tr>
      <w:tr>
        <w:trPr>
          <w:trHeight w:val="370" w:hRule="exact"/>
        </w:trPr>
        <w:tc>
          <w:tcPr>
            <w:tcW w:w="777" w:type="dxa"/>
            <w:tcBorders>
              <w:top w:val="nil" w:sz="6" w:space="0" w:color="auto"/>
              <w:left w:val="nil" w:sz="6" w:space="0" w:color="auto"/>
              <w:bottom w:val="nil" w:sz="6" w:space="0" w:color="auto"/>
              <w:right w:val="nil" w:sz="6" w:space="0" w:color="auto"/>
            </w:tcBorders>
          </w:tcPr>
          <w:p>
            <w:pPr/>
          </w:p>
        </w:tc>
        <w:tc>
          <w:tcPr>
            <w:tcW w:w="2949" w:type="dxa"/>
            <w:tcBorders>
              <w:top w:val="nil" w:sz="6" w:space="0" w:color="auto"/>
              <w:left w:val="nil" w:sz="6" w:space="0" w:color="auto"/>
              <w:bottom w:val="nil" w:sz="6" w:space="0" w:color="auto"/>
              <w:right w:val="nil" w:sz="6" w:space="0" w:color="auto"/>
            </w:tcBorders>
          </w:tcPr>
          <w:p>
            <w:pPr/>
          </w:p>
        </w:tc>
        <w:tc>
          <w:tcPr>
            <w:tcW w:w="1359"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53"/>
              <w:jc w:val="right"/>
              <w:rPr>
                <w:rFonts w:ascii="Arial" w:hAnsi="Arial" w:cs="Arial" w:eastAsia="Arial" w:hint="default"/>
                <w:sz w:val="24"/>
                <w:szCs w:val="24"/>
              </w:rPr>
            </w:pPr>
            <w:r>
              <w:rPr>
                <w:rFonts w:ascii="Arial"/>
                <w:spacing w:val="-1"/>
                <w:sz w:val="24"/>
              </w:rPr>
              <w:t>226,623</w:t>
            </w:r>
          </w:p>
        </w:tc>
        <w:tc>
          <w:tcPr>
            <w:tcW w:w="137" w:type="dxa"/>
            <w:tcBorders>
              <w:top w:val="nil" w:sz="6" w:space="0" w:color="auto"/>
              <w:left w:val="nil" w:sz="6" w:space="0" w:color="auto"/>
              <w:bottom w:val="nil" w:sz="6" w:space="0" w:color="auto"/>
              <w:right w:val="nil" w:sz="6" w:space="0" w:color="auto"/>
            </w:tcBorders>
          </w:tcPr>
          <w:p>
            <w:pPr/>
          </w:p>
        </w:tc>
        <w:tc>
          <w:tcPr>
            <w:tcW w:w="1123"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110"/>
              <w:jc w:val="right"/>
              <w:rPr>
                <w:rFonts w:ascii="Arial" w:hAnsi="Arial" w:cs="Arial" w:eastAsia="Arial" w:hint="default"/>
                <w:sz w:val="24"/>
                <w:szCs w:val="24"/>
              </w:rPr>
            </w:pPr>
            <w:r>
              <w:rPr>
                <w:rFonts w:ascii="Arial"/>
                <w:w w:val="95"/>
                <w:sz w:val="24"/>
              </w:rPr>
              <w:t>569</w:t>
            </w:r>
            <w:r>
              <w:rPr>
                <w:rFonts w:ascii="Arial"/>
                <w:sz w:val="24"/>
              </w:rPr>
            </w:r>
          </w:p>
        </w:tc>
        <w:tc>
          <w:tcPr>
            <w:tcW w:w="137" w:type="dxa"/>
            <w:tcBorders>
              <w:top w:val="nil" w:sz="6" w:space="0" w:color="auto"/>
              <w:left w:val="nil" w:sz="6" w:space="0" w:color="auto"/>
              <w:bottom w:val="nil" w:sz="6" w:space="0" w:color="auto"/>
              <w:right w:val="nil" w:sz="6" w:space="0" w:color="auto"/>
            </w:tcBorders>
          </w:tcPr>
          <w:p>
            <w:pPr/>
          </w:p>
        </w:tc>
        <w:tc>
          <w:tcPr>
            <w:tcW w:w="1097"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52"/>
              <w:jc w:val="right"/>
              <w:rPr>
                <w:rFonts w:ascii="Arial" w:hAnsi="Arial" w:cs="Arial" w:eastAsia="Arial" w:hint="default"/>
                <w:sz w:val="24"/>
                <w:szCs w:val="24"/>
              </w:rPr>
            </w:pPr>
            <w:r>
              <w:rPr>
                <w:rFonts w:ascii="Arial"/>
                <w:w w:val="99"/>
                <w:sz w:val="24"/>
              </w:rPr>
              <w:t>-</w:t>
            </w:r>
            <w:r>
              <w:rPr>
                <w:rFonts w:ascii="Arial"/>
                <w:sz w:val="24"/>
              </w:rPr>
            </w:r>
          </w:p>
        </w:tc>
        <w:tc>
          <w:tcPr>
            <w:tcW w:w="135" w:type="dxa"/>
            <w:tcBorders>
              <w:top w:val="nil" w:sz="6" w:space="0" w:color="auto"/>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55"/>
              <w:jc w:val="right"/>
              <w:rPr>
                <w:rFonts w:ascii="Arial" w:hAnsi="Arial" w:cs="Arial" w:eastAsia="Arial" w:hint="default"/>
                <w:sz w:val="24"/>
                <w:szCs w:val="24"/>
              </w:rPr>
            </w:pPr>
            <w:r>
              <w:rPr>
                <w:rFonts w:ascii="Arial"/>
                <w:spacing w:val="-1"/>
                <w:sz w:val="24"/>
              </w:rPr>
              <w:t>227,192</w:t>
            </w:r>
          </w:p>
        </w:tc>
      </w:tr>
      <w:tr>
        <w:trPr>
          <w:trHeight w:val="408" w:hRule="exact"/>
        </w:trPr>
        <w:tc>
          <w:tcPr>
            <w:tcW w:w="777" w:type="dxa"/>
            <w:tcBorders>
              <w:top w:val="nil" w:sz="6" w:space="0" w:color="auto"/>
              <w:left w:val="nil" w:sz="6" w:space="0" w:color="auto"/>
              <w:bottom w:val="nil" w:sz="6" w:space="0" w:color="auto"/>
              <w:right w:val="nil" w:sz="6" w:space="0" w:color="auto"/>
            </w:tcBorders>
          </w:tcPr>
          <w:p>
            <w:pPr/>
          </w:p>
        </w:tc>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59" w:right="0"/>
              <w:jc w:val="left"/>
              <w:rPr>
                <w:rFonts w:ascii="Arial" w:hAnsi="Arial" w:cs="Arial" w:eastAsia="Arial" w:hint="default"/>
                <w:sz w:val="24"/>
                <w:szCs w:val="24"/>
              </w:rPr>
            </w:pPr>
            <w:r>
              <w:rPr>
                <w:rFonts w:ascii="宋体" w:hAnsi="宋体" w:cs="宋体" w:eastAsia="宋体" w:hint="default"/>
                <w:sz w:val="24"/>
                <w:szCs w:val="24"/>
              </w:rPr>
              <w:t>减：减值准备</w:t>
            </w:r>
            <w:r>
              <w:rPr>
                <w:rFonts w:ascii="Arial" w:hAnsi="Arial" w:cs="Arial" w:eastAsia="Arial" w:hint="default"/>
                <w:sz w:val="24"/>
                <w:szCs w:val="24"/>
              </w:rPr>
              <w:t>(a)</w:t>
            </w:r>
            <w:r>
              <w:rPr>
                <w:rFonts w:ascii="Arial" w:hAnsi="Arial" w:cs="Arial" w:eastAsia="Arial" w:hint="default"/>
                <w:spacing w:val="-3"/>
                <w:sz w:val="24"/>
                <w:szCs w:val="24"/>
              </w:rPr>
              <w:t> </w:t>
            </w:r>
            <w:r>
              <w:rPr>
                <w:rFonts w:ascii="Arial" w:hAnsi="Arial" w:cs="Arial" w:eastAsia="Arial" w:hint="default"/>
                <w:sz w:val="24"/>
                <w:szCs w:val="24"/>
              </w:rPr>
              <w:t>-</w:t>
            </w:r>
          </w:p>
        </w:tc>
        <w:tc>
          <w:tcPr>
            <w:tcW w:w="1359" w:type="dxa"/>
            <w:tcBorders>
              <w:top w:val="single" w:sz="8" w:space="0" w:color="000000"/>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23" w:type="dxa"/>
            <w:tcBorders>
              <w:top w:val="single" w:sz="8" w:space="0" w:color="000000"/>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97" w:type="dxa"/>
            <w:tcBorders>
              <w:top w:val="single" w:sz="8" w:space="0" w:color="000000"/>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361" w:type="dxa"/>
            <w:tcBorders>
              <w:top w:val="single" w:sz="8" w:space="0" w:color="000000"/>
              <w:left w:val="nil" w:sz="6" w:space="0" w:color="auto"/>
              <w:bottom w:val="nil" w:sz="6" w:space="0" w:color="auto"/>
              <w:right w:val="nil" w:sz="6" w:space="0" w:color="auto"/>
            </w:tcBorders>
          </w:tcPr>
          <w:p>
            <w:pPr/>
          </w:p>
        </w:tc>
      </w:tr>
      <w:tr>
        <w:trPr>
          <w:trHeight w:val="744" w:hRule="exact"/>
        </w:trPr>
        <w:tc>
          <w:tcPr>
            <w:tcW w:w="777" w:type="dxa"/>
            <w:tcBorders>
              <w:top w:val="nil" w:sz="6" w:space="0" w:color="auto"/>
              <w:left w:val="nil" w:sz="6" w:space="0" w:color="auto"/>
              <w:bottom w:val="nil" w:sz="6" w:space="0" w:color="auto"/>
              <w:right w:val="nil" w:sz="6" w:space="0" w:color="auto"/>
            </w:tcBorders>
          </w:tcPr>
          <w:p>
            <w:pPr/>
          </w:p>
        </w:tc>
        <w:tc>
          <w:tcPr>
            <w:tcW w:w="2949" w:type="dxa"/>
            <w:tcBorders>
              <w:top w:val="nil" w:sz="6" w:space="0" w:color="auto"/>
              <w:left w:val="nil" w:sz="6" w:space="0" w:color="auto"/>
              <w:bottom w:val="nil" w:sz="6" w:space="0" w:color="auto"/>
              <w:right w:val="nil" w:sz="6" w:space="0" w:color="auto"/>
            </w:tcBorders>
          </w:tcPr>
          <w:p>
            <w:pPr>
              <w:pStyle w:val="TableParagraph"/>
              <w:spacing w:line="327" w:lineRule="exact"/>
              <w:ind w:right="89"/>
              <w:jc w:val="right"/>
              <w:rPr>
                <w:rFonts w:ascii="宋体" w:hAnsi="宋体" w:cs="宋体" w:eastAsia="宋体" w:hint="default"/>
                <w:sz w:val="24"/>
                <w:szCs w:val="24"/>
              </w:rPr>
            </w:pPr>
            <w:r>
              <w:rPr>
                <w:rFonts w:ascii="宋体" w:hAnsi="宋体" w:cs="宋体" w:eastAsia="宋体" w:hint="default"/>
                <w:sz w:val="24"/>
                <w:szCs w:val="24"/>
              </w:rPr>
              <w:t>日本</w:t>
            </w:r>
            <w:r>
              <w:rPr>
                <w:rFonts w:ascii="宋体" w:hAnsi="宋体" w:cs="宋体" w:eastAsia="宋体" w:hint="default"/>
                <w:spacing w:val="-60"/>
                <w:sz w:val="24"/>
                <w:szCs w:val="24"/>
              </w:rPr>
              <w:t> </w:t>
            </w:r>
            <w:r>
              <w:rPr>
                <w:rFonts w:ascii="Arial" w:hAnsi="Arial" w:cs="Arial" w:eastAsia="Arial" w:hint="default"/>
                <w:sz w:val="24"/>
                <w:szCs w:val="24"/>
              </w:rPr>
              <w:t>LAOX</w:t>
            </w:r>
            <w:r>
              <w:rPr>
                <w:rFonts w:ascii="Arial" w:hAnsi="Arial" w:cs="Arial" w:eastAsia="Arial" w:hint="default"/>
                <w:spacing w:val="-8"/>
                <w:sz w:val="24"/>
                <w:szCs w:val="24"/>
              </w:rPr>
              <w:t> </w:t>
            </w:r>
            <w:r>
              <w:rPr>
                <w:rFonts w:ascii="宋体" w:hAnsi="宋体" w:cs="宋体" w:eastAsia="宋体" w:hint="default"/>
                <w:sz w:val="24"/>
                <w:szCs w:val="24"/>
              </w:rPr>
              <w:t>株式会社</w:t>
            </w:r>
          </w:p>
        </w:tc>
        <w:tc>
          <w:tcPr>
            <w:tcW w:w="1359" w:type="dxa"/>
            <w:tcBorders>
              <w:top w:val="nil" w:sz="6" w:space="0" w:color="auto"/>
              <w:left w:val="nil" w:sz="6" w:space="0" w:color="auto"/>
              <w:bottom w:val="single" w:sz="2" w:space="0" w:color="000000"/>
              <w:right w:val="nil" w:sz="6" w:space="0" w:color="auto"/>
            </w:tcBorders>
          </w:tcPr>
          <w:p>
            <w:pPr>
              <w:pStyle w:val="TableParagraph"/>
              <w:spacing w:line="240" w:lineRule="auto" w:before="65"/>
              <w:ind w:right="52"/>
              <w:jc w:val="right"/>
              <w:rPr>
                <w:rFonts w:ascii="Arial" w:hAnsi="Arial" w:cs="Arial" w:eastAsia="Arial" w:hint="default"/>
                <w:sz w:val="24"/>
                <w:szCs w:val="24"/>
              </w:rPr>
            </w:pPr>
            <w:r>
              <w:rPr>
                <w:rFonts w:ascii="Arial"/>
                <w:w w:val="99"/>
                <w:sz w:val="24"/>
              </w:rPr>
              <w:t>-</w:t>
            </w:r>
            <w:r>
              <w:rPr>
                <w:rFonts w:ascii="Arial"/>
                <w:sz w:val="24"/>
              </w:rPr>
            </w:r>
          </w:p>
        </w:tc>
        <w:tc>
          <w:tcPr>
            <w:tcW w:w="137"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2" w:space="0" w:color="000000"/>
              <w:right w:val="nil" w:sz="6" w:space="0" w:color="auto"/>
            </w:tcBorders>
          </w:tcPr>
          <w:p>
            <w:pPr>
              <w:pStyle w:val="TableParagraph"/>
              <w:spacing w:line="240" w:lineRule="auto" w:before="65"/>
              <w:ind w:right="50"/>
              <w:jc w:val="right"/>
              <w:rPr>
                <w:rFonts w:ascii="Arial" w:hAnsi="Arial" w:cs="Arial" w:eastAsia="Arial" w:hint="default"/>
                <w:sz w:val="24"/>
                <w:szCs w:val="24"/>
              </w:rPr>
            </w:pPr>
            <w:r>
              <w:rPr>
                <w:rFonts w:ascii="Arial"/>
                <w:spacing w:val="-1"/>
                <w:sz w:val="24"/>
              </w:rPr>
              <w:t>(42,098)</w:t>
            </w:r>
          </w:p>
        </w:tc>
        <w:tc>
          <w:tcPr>
            <w:tcW w:w="137"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single" w:sz="2" w:space="0" w:color="000000"/>
              <w:right w:val="nil" w:sz="6" w:space="0" w:color="auto"/>
            </w:tcBorders>
          </w:tcPr>
          <w:p>
            <w:pPr>
              <w:pStyle w:val="TableParagraph"/>
              <w:spacing w:line="240" w:lineRule="auto" w:before="65"/>
              <w:ind w:right="52"/>
              <w:jc w:val="right"/>
              <w:rPr>
                <w:rFonts w:ascii="Arial" w:hAnsi="Arial" w:cs="Arial" w:eastAsia="Arial" w:hint="default"/>
                <w:sz w:val="24"/>
                <w:szCs w:val="24"/>
              </w:rPr>
            </w:pPr>
            <w:r>
              <w:rPr>
                <w:rFonts w:ascii="Arial"/>
                <w:w w:val="99"/>
                <w:sz w:val="24"/>
              </w:rPr>
              <w:t>-</w:t>
            </w:r>
            <w:r>
              <w:rPr>
                <w:rFonts w:ascii="Arial"/>
                <w:sz w:val="24"/>
              </w:rPr>
            </w:r>
          </w:p>
        </w:tc>
        <w:tc>
          <w:tcPr>
            <w:tcW w:w="13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2" w:space="0" w:color="000000"/>
              <w:right w:val="nil" w:sz="6" w:space="0" w:color="auto"/>
            </w:tcBorders>
          </w:tcPr>
          <w:p>
            <w:pPr>
              <w:pStyle w:val="TableParagraph"/>
              <w:spacing w:line="240" w:lineRule="auto" w:before="65"/>
              <w:ind w:right="4"/>
              <w:jc w:val="right"/>
              <w:rPr>
                <w:rFonts w:ascii="Arial" w:hAnsi="Arial" w:cs="Arial" w:eastAsia="Arial" w:hint="default"/>
                <w:sz w:val="24"/>
                <w:szCs w:val="24"/>
              </w:rPr>
            </w:pPr>
            <w:r>
              <w:rPr>
                <w:rFonts w:ascii="Arial"/>
                <w:spacing w:val="-1"/>
                <w:sz w:val="24"/>
              </w:rPr>
              <w:t>(42,098)</w:t>
            </w:r>
          </w:p>
        </w:tc>
      </w:tr>
      <w:tr>
        <w:trPr>
          <w:trHeight w:val="372" w:hRule="exact"/>
        </w:trPr>
        <w:tc>
          <w:tcPr>
            <w:tcW w:w="777" w:type="dxa"/>
            <w:tcBorders>
              <w:top w:val="nil" w:sz="6" w:space="0" w:color="auto"/>
              <w:left w:val="nil" w:sz="6" w:space="0" w:color="auto"/>
              <w:bottom w:val="nil" w:sz="6" w:space="0" w:color="auto"/>
              <w:right w:val="nil" w:sz="6" w:space="0" w:color="auto"/>
            </w:tcBorders>
          </w:tcPr>
          <w:p>
            <w:pPr/>
          </w:p>
        </w:tc>
        <w:tc>
          <w:tcPr>
            <w:tcW w:w="2949" w:type="dxa"/>
            <w:tcBorders>
              <w:top w:val="nil" w:sz="6" w:space="0" w:color="auto"/>
              <w:left w:val="nil" w:sz="6" w:space="0" w:color="auto"/>
              <w:bottom w:val="nil" w:sz="6" w:space="0" w:color="auto"/>
              <w:right w:val="nil" w:sz="6" w:space="0" w:color="auto"/>
            </w:tcBorders>
          </w:tcPr>
          <w:p>
            <w:pPr/>
          </w:p>
        </w:tc>
        <w:tc>
          <w:tcPr>
            <w:tcW w:w="1359" w:type="dxa"/>
            <w:tcBorders>
              <w:top w:val="single" w:sz="2" w:space="0" w:color="000000"/>
              <w:left w:val="nil" w:sz="6" w:space="0" w:color="auto"/>
              <w:bottom w:val="single" w:sz="12" w:space="0" w:color="000000"/>
              <w:right w:val="nil" w:sz="6" w:space="0" w:color="auto"/>
            </w:tcBorders>
          </w:tcPr>
          <w:p>
            <w:pPr>
              <w:pStyle w:val="TableParagraph"/>
              <w:spacing w:line="240" w:lineRule="auto" w:before="36"/>
              <w:ind w:right="53"/>
              <w:jc w:val="right"/>
              <w:rPr>
                <w:rFonts w:ascii="Arial" w:hAnsi="Arial" w:cs="Arial" w:eastAsia="Arial" w:hint="default"/>
                <w:sz w:val="24"/>
                <w:szCs w:val="24"/>
              </w:rPr>
            </w:pPr>
            <w:r>
              <w:rPr>
                <w:rFonts w:ascii="Arial"/>
                <w:spacing w:val="-1"/>
                <w:sz w:val="24"/>
              </w:rPr>
              <w:t>226,623</w:t>
            </w:r>
          </w:p>
        </w:tc>
        <w:tc>
          <w:tcPr>
            <w:tcW w:w="137" w:type="dxa"/>
            <w:tcBorders>
              <w:top w:val="nil" w:sz="6" w:space="0" w:color="auto"/>
              <w:left w:val="nil" w:sz="6" w:space="0" w:color="auto"/>
              <w:bottom w:val="nil" w:sz="6" w:space="0" w:color="auto"/>
              <w:right w:val="nil" w:sz="6" w:space="0" w:color="auto"/>
            </w:tcBorders>
          </w:tcPr>
          <w:p>
            <w:pPr/>
          </w:p>
        </w:tc>
        <w:tc>
          <w:tcPr>
            <w:tcW w:w="1123" w:type="dxa"/>
            <w:tcBorders>
              <w:top w:val="single" w:sz="2" w:space="0" w:color="000000"/>
              <w:left w:val="nil" w:sz="6" w:space="0" w:color="auto"/>
              <w:bottom w:val="single" w:sz="12" w:space="0" w:color="000000"/>
              <w:right w:val="nil" w:sz="6" w:space="0" w:color="auto"/>
            </w:tcBorders>
          </w:tcPr>
          <w:p>
            <w:pPr>
              <w:pStyle w:val="TableParagraph"/>
              <w:spacing w:line="240" w:lineRule="auto" w:before="36"/>
              <w:ind w:right="50"/>
              <w:jc w:val="right"/>
              <w:rPr>
                <w:rFonts w:ascii="Arial" w:hAnsi="Arial" w:cs="Arial" w:eastAsia="Arial" w:hint="default"/>
                <w:sz w:val="24"/>
                <w:szCs w:val="24"/>
              </w:rPr>
            </w:pPr>
            <w:r>
              <w:rPr>
                <w:rFonts w:ascii="Arial"/>
                <w:spacing w:val="-1"/>
                <w:sz w:val="24"/>
              </w:rPr>
              <w:t>(41,529)</w:t>
            </w:r>
          </w:p>
        </w:tc>
        <w:tc>
          <w:tcPr>
            <w:tcW w:w="137" w:type="dxa"/>
            <w:tcBorders>
              <w:top w:val="nil" w:sz="6" w:space="0" w:color="auto"/>
              <w:left w:val="nil" w:sz="6" w:space="0" w:color="auto"/>
              <w:bottom w:val="nil" w:sz="6" w:space="0" w:color="auto"/>
              <w:right w:val="nil" w:sz="6" w:space="0" w:color="auto"/>
            </w:tcBorders>
          </w:tcPr>
          <w:p>
            <w:pPr/>
          </w:p>
        </w:tc>
        <w:tc>
          <w:tcPr>
            <w:tcW w:w="1097" w:type="dxa"/>
            <w:tcBorders>
              <w:top w:val="single" w:sz="2" w:space="0" w:color="000000"/>
              <w:left w:val="nil" w:sz="6" w:space="0" w:color="auto"/>
              <w:bottom w:val="single" w:sz="12" w:space="0" w:color="000000"/>
              <w:right w:val="nil" w:sz="6" w:space="0" w:color="auto"/>
            </w:tcBorders>
          </w:tcPr>
          <w:p>
            <w:pPr>
              <w:pStyle w:val="TableParagraph"/>
              <w:spacing w:line="240" w:lineRule="auto" w:before="36"/>
              <w:ind w:right="52"/>
              <w:jc w:val="right"/>
              <w:rPr>
                <w:rFonts w:ascii="Arial" w:hAnsi="Arial" w:cs="Arial" w:eastAsia="Arial" w:hint="default"/>
                <w:sz w:val="24"/>
                <w:szCs w:val="24"/>
              </w:rPr>
            </w:pPr>
            <w:r>
              <w:rPr>
                <w:rFonts w:ascii="Arial"/>
                <w:w w:val="99"/>
                <w:sz w:val="24"/>
              </w:rPr>
              <w:t>-</w:t>
            </w:r>
            <w:r>
              <w:rPr>
                <w:rFonts w:ascii="Arial"/>
                <w:sz w:val="24"/>
              </w:rPr>
            </w:r>
          </w:p>
        </w:tc>
        <w:tc>
          <w:tcPr>
            <w:tcW w:w="135" w:type="dxa"/>
            <w:tcBorders>
              <w:top w:val="nil" w:sz="6" w:space="0" w:color="auto"/>
              <w:left w:val="nil" w:sz="6" w:space="0" w:color="auto"/>
              <w:bottom w:val="nil" w:sz="6" w:space="0" w:color="auto"/>
              <w:right w:val="nil" w:sz="6" w:space="0" w:color="auto"/>
            </w:tcBorders>
          </w:tcPr>
          <w:p>
            <w:pPr/>
          </w:p>
        </w:tc>
        <w:tc>
          <w:tcPr>
            <w:tcW w:w="1361" w:type="dxa"/>
            <w:tcBorders>
              <w:top w:val="single" w:sz="2" w:space="0" w:color="000000"/>
              <w:left w:val="nil" w:sz="6" w:space="0" w:color="auto"/>
              <w:bottom w:val="single" w:sz="12" w:space="0" w:color="000000"/>
              <w:right w:val="nil" w:sz="6" w:space="0" w:color="auto"/>
            </w:tcBorders>
          </w:tcPr>
          <w:p>
            <w:pPr>
              <w:pStyle w:val="TableParagraph"/>
              <w:spacing w:line="240" w:lineRule="auto" w:before="36"/>
              <w:ind w:right="55"/>
              <w:jc w:val="right"/>
              <w:rPr>
                <w:rFonts w:ascii="Arial" w:hAnsi="Arial" w:cs="Arial" w:eastAsia="Arial" w:hint="default"/>
                <w:sz w:val="24"/>
                <w:szCs w:val="24"/>
              </w:rPr>
            </w:pPr>
            <w:r>
              <w:rPr>
                <w:rFonts w:ascii="Arial"/>
                <w:spacing w:val="-1"/>
                <w:sz w:val="24"/>
              </w:rPr>
              <w:t>185,094</w:t>
            </w:r>
          </w:p>
        </w:tc>
      </w:tr>
      <w:tr>
        <w:trPr>
          <w:trHeight w:val="653" w:hRule="exact"/>
        </w:trPr>
        <w:tc>
          <w:tcPr>
            <w:tcW w:w="777" w:type="dxa"/>
            <w:tcBorders>
              <w:top w:val="nil" w:sz="6" w:space="0" w:color="auto"/>
              <w:left w:val="nil" w:sz="6" w:space="0" w:color="auto"/>
              <w:bottom w:val="nil" w:sz="6" w:space="0" w:color="auto"/>
              <w:right w:val="nil" w:sz="6" w:space="0" w:color="auto"/>
            </w:tcBorders>
          </w:tcPr>
          <w:p>
            <w:pPr/>
          </w:p>
        </w:tc>
        <w:tc>
          <w:tcPr>
            <w:tcW w:w="8297" w:type="dxa"/>
            <w:gridSpan w:val="8"/>
            <w:tcBorders>
              <w:top w:val="nil" w:sz="6" w:space="0" w:color="auto"/>
              <w:left w:val="nil" w:sz="6" w:space="0" w:color="auto"/>
              <w:bottom w:val="nil" w:sz="6" w:space="0" w:color="auto"/>
              <w:right w:val="nil" w:sz="6" w:space="0" w:color="auto"/>
            </w:tcBorders>
          </w:tcPr>
          <w:p>
            <w:pPr>
              <w:pStyle w:val="TableParagraph"/>
              <w:spacing w:line="310" w:lineRule="exact" w:before="49"/>
              <w:ind w:left="149" w:right="43"/>
              <w:jc w:val="left"/>
              <w:rPr>
                <w:rFonts w:ascii="宋体" w:hAnsi="宋体" w:cs="宋体" w:eastAsia="宋体" w:hint="default"/>
                <w:sz w:val="24"/>
                <w:szCs w:val="24"/>
              </w:rPr>
            </w:pPr>
            <w:r>
              <w:rPr>
                <w:rFonts w:ascii="宋体" w:hAnsi="宋体" w:cs="宋体" w:eastAsia="宋体" w:hint="default"/>
                <w:spacing w:val="5"/>
                <w:sz w:val="24"/>
                <w:szCs w:val="24"/>
              </w:rPr>
              <w:t>本年度增加的商誉系购买无锡胜利门苏宁电器有限公司</w:t>
            </w:r>
            <w:r>
              <w:rPr>
                <w:rFonts w:ascii="Arial" w:hAnsi="Arial" w:cs="Arial" w:eastAsia="Arial" w:hint="default"/>
                <w:spacing w:val="5"/>
                <w:sz w:val="24"/>
                <w:szCs w:val="24"/>
              </w:rPr>
              <w:t>100%</w:t>
            </w:r>
            <w:r>
              <w:rPr>
                <w:rFonts w:ascii="宋体" w:hAnsi="宋体" w:cs="宋体" w:eastAsia="宋体" w:hint="default"/>
                <w:spacing w:val="5"/>
                <w:sz w:val="24"/>
                <w:szCs w:val="24"/>
              </w:rPr>
              <w:t>股权所致</w:t>
            </w:r>
            <w:r>
              <w:rPr>
                <w:rFonts w:ascii="Arial" w:hAnsi="Arial" w:cs="Arial" w:eastAsia="Arial" w:hint="default"/>
                <w:spacing w:val="5"/>
                <w:sz w:val="24"/>
                <w:szCs w:val="24"/>
              </w:rPr>
              <w:t>(</w:t>
            </w:r>
            <w:r>
              <w:rPr>
                <w:rFonts w:ascii="宋体" w:hAnsi="宋体" w:cs="宋体" w:eastAsia="宋体" w:hint="default"/>
                <w:spacing w:val="5"/>
                <w:sz w:val="24"/>
                <w:szCs w:val="24"/>
              </w:rPr>
              <w:t>附注</w:t>
            </w:r>
            <w:r>
              <w:rPr>
                <w:rFonts w:ascii="宋体" w:hAnsi="宋体" w:cs="宋体" w:eastAsia="宋体" w:hint="default"/>
                <w:spacing w:val="-114"/>
                <w:sz w:val="24"/>
                <w:szCs w:val="24"/>
              </w:rPr>
              <w:t> </w:t>
            </w:r>
            <w:r>
              <w:rPr>
                <w:rFonts w:ascii="宋体" w:hAnsi="宋体" w:cs="宋体" w:eastAsia="宋体" w:hint="default"/>
                <w:sz w:val="24"/>
                <w:szCs w:val="24"/>
              </w:rPr>
              <w:t>四</w:t>
            </w:r>
            <w:r>
              <w:rPr>
                <w:rFonts w:ascii="Arial" w:hAnsi="Arial" w:cs="Arial" w:eastAsia="Arial" w:hint="default"/>
                <w:sz w:val="24"/>
                <w:szCs w:val="24"/>
              </w:rPr>
              <w:t>(4)(a)(i))</w:t>
            </w:r>
            <w:r>
              <w:rPr>
                <w:rFonts w:ascii="宋体" w:hAnsi="宋体" w:cs="宋体" w:eastAsia="宋体"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8" w:type="dxa"/>
        <w:tblLayout w:type="fixed"/>
        <w:tblCellMar>
          <w:top w:w="0" w:type="dxa"/>
          <w:left w:w="0" w:type="dxa"/>
          <w:bottom w:w="0" w:type="dxa"/>
          <w:right w:w="0" w:type="dxa"/>
        </w:tblCellMar>
        <w:tblLook w:val="01E0"/>
      </w:tblPr>
      <w:tblGrid>
        <w:gridCol w:w="709"/>
        <w:gridCol w:w="3631"/>
        <w:gridCol w:w="2302"/>
        <w:gridCol w:w="238"/>
        <w:gridCol w:w="2204"/>
      </w:tblGrid>
      <w:tr>
        <w:trPr>
          <w:trHeight w:val="515"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(a)</w:t>
            </w:r>
          </w:p>
        </w:tc>
        <w:tc>
          <w:tcPr>
            <w:tcW w:w="3631" w:type="dxa"/>
            <w:tcBorders>
              <w:top w:val="nil" w:sz="6" w:space="0" w:color="auto"/>
              <w:left w:val="nil" w:sz="6" w:space="0" w:color="auto"/>
              <w:bottom w:val="nil" w:sz="6" w:space="0" w:color="auto"/>
              <w:right w:val="nil" w:sz="6" w:space="0" w:color="auto"/>
            </w:tcBorders>
          </w:tcPr>
          <w:p>
            <w:pPr>
              <w:pStyle w:val="TableParagraph"/>
              <w:spacing w:line="262" w:lineRule="exact"/>
              <w:ind w:left="215" w:right="0"/>
              <w:jc w:val="left"/>
              <w:rPr>
                <w:rFonts w:ascii="宋体" w:hAnsi="宋体" w:cs="宋体" w:eastAsia="宋体" w:hint="default"/>
                <w:sz w:val="24"/>
                <w:szCs w:val="24"/>
              </w:rPr>
            </w:pPr>
            <w:r>
              <w:rPr>
                <w:rFonts w:ascii="宋体" w:hAnsi="宋体" w:cs="宋体" w:eastAsia="宋体" w:hint="default"/>
                <w:sz w:val="24"/>
                <w:szCs w:val="24"/>
              </w:rPr>
              <w:t>减值</w:t>
            </w:r>
          </w:p>
        </w:tc>
        <w:tc>
          <w:tcPr>
            <w:tcW w:w="23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
        </w:tc>
      </w:tr>
      <w:tr>
        <w:trPr>
          <w:trHeight w:val="723" w:hRule="exact"/>
        </w:trPr>
        <w:tc>
          <w:tcPr>
            <w:tcW w:w="709" w:type="dxa"/>
            <w:tcBorders>
              <w:top w:val="nil" w:sz="6" w:space="0" w:color="auto"/>
              <w:left w:val="nil" w:sz="6" w:space="0" w:color="auto"/>
              <w:bottom w:val="nil" w:sz="6" w:space="0" w:color="auto"/>
              <w:right w:val="nil" w:sz="6" w:space="0" w:color="auto"/>
            </w:tcBorders>
          </w:tcPr>
          <w:p>
            <w:pPr/>
          </w:p>
        </w:tc>
        <w:tc>
          <w:tcPr>
            <w:tcW w:w="837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9"/>
              <w:ind w:left="215" w:right="0"/>
              <w:jc w:val="left"/>
              <w:rPr>
                <w:rFonts w:ascii="宋体" w:hAnsi="宋体" w:cs="宋体" w:eastAsia="宋体" w:hint="default"/>
                <w:sz w:val="24"/>
                <w:szCs w:val="24"/>
              </w:rPr>
            </w:pPr>
            <w:r>
              <w:rPr>
                <w:rFonts w:ascii="宋体" w:hAnsi="宋体" w:cs="宋体" w:eastAsia="宋体" w:hint="default"/>
                <w:sz w:val="24"/>
                <w:szCs w:val="24"/>
              </w:rPr>
              <w:t>分摊至本集团资产组和资产组组合的商誉根据经营分部汇总如下：</w:t>
            </w:r>
          </w:p>
        </w:tc>
      </w:tr>
      <w:tr>
        <w:trPr>
          <w:trHeight w:val="695" w:hRule="exact"/>
        </w:trPr>
        <w:tc>
          <w:tcPr>
            <w:tcW w:w="709" w:type="dxa"/>
            <w:tcBorders>
              <w:top w:val="nil" w:sz="6" w:space="0" w:color="auto"/>
              <w:left w:val="nil" w:sz="6" w:space="0" w:color="auto"/>
              <w:bottom w:val="nil" w:sz="6" w:space="0" w:color="auto"/>
              <w:right w:val="nil" w:sz="6" w:space="0" w:color="auto"/>
            </w:tcBorders>
          </w:tcPr>
          <w:p>
            <w:pPr/>
          </w:p>
        </w:tc>
        <w:tc>
          <w:tcPr>
            <w:tcW w:w="59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5"/>
              <w:ind w:left="3739"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238"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57"/>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23" w:hRule="exact"/>
        </w:trPr>
        <w:tc>
          <w:tcPr>
            <w:tcW w:w="709" w:type="dxa"/>
            <w:tcBorders>
              <w:top w:val="nil" w:sz="6" w:space="0" w:color="auto"/>
              <w:left w:val="nil" w:sz="6" w:space="0" w:color="auto"/>
              <w:bottom w:val="nil" w:sz="6" w:space="0" w:color="auto"/>
              <w:right w:val="nil" w:sz="6" w:space="0" w:color="auto"/>
            </w:tcBorders>
          </w:tcPr>
          <w:p>
            <w:pPr/>
          </w:p>
        </w:tc>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15" w:right="0"/>
              <w:jc w:val="left"/>
              <w:rPr>
                <w:rFonts w:ascii="宋体" w:hAnsi="宋体" w:cs="宋体" w:eastAsia="宋体" w:hint="default"/>
                <w:sz w:val="24"/>
                <w:szCs w:val="24"/>
              </w:rPr>
            </w:pPr>
            <w:r>
              <w:rPr>
                <w:rFonts w:ascii="宋体" w:hAnsi="宋体" w:cs="宋体" w:eastAsia="宋体" w:hint="default"/>
                <w:sz w:val="24"/>
                <w:szCs w:val="24"/>
              </w:rPr>
              <w:t>日本</w:t>
            </w:r>
            <w:r>
              <w:rPr>
                <w:rFonts w:ascii="宋体" w:hAnsi="宋体" w:cs="宋体" w:eastAsia="宋体" w:hint="default"/>
                <w:spacing w:val="-60"/>
                <w:sz w:val="24"/>
                <w:szCs w:val="24"/>
              </w:rPr>
              <w:t> </w:t>
            </w:r>
            <w:r>
              <w:rPr>
                <w:rFonts w:ascii="Arial" w:hAnsi="Arial" w:cs="Arial" w:eastAsia="Arial" w:hint="default"/>
                <w:sz w:val="24"/>
                <w:szCs w:val="24"/>
              </w:rPr>
              <w:t>LAOX</w:t>
            </w:r>
            <w:r>
              <w:rPr>
                <w:rFonts w:ascii="Arial" w:hAnsi="Arial" w:cs="Arial" w:eastAsia="Arial" w:hint="default"/>
                <w:spacing w:val="-8"/>
                <w:sz w:val="24"/>
                <w:szCs w:val="24"/>
              </w:rPr>
              <w:t> </w:t>
            </w:r>
            <w:r>
              <w:rPr>
                <w:rFonts w:ascii="宋体" w:hAnsi="宋体" w:cs="宋体" w:eastAsia="宋体" w:hint="default"/>
                <w:sz w:val="24"/>
                <w:szCs w:val="24"/>
              </w:rPr>
              <w:t>株式会社</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95"/>
              <w:ind w:right="120"/>
              <w:jc w:val="right"/>
              <w:rPr>
                <w:rFonts w:ascii="Arial" w:hAnsi="Arial" w:cs="Arial" w:eastAsia="Arial" w:hint="default"/>
                <w:sz w:val="24"/>
                <w:szCs w:val="24"/>
              </w:rPr>
            </w:pPr>
            <w:r>
              <w:rPr>
                <w:rFonts w:ascii="Arial"/>
                <w:spacing w:val="-1"/>
                <w:sz w:val="24"/>
              </w:rPr>
              <w:t>226,007</w:t>
            </w:r>
          </w:p>
        </w:tc>
        <w:tc>
          <w:tcPr>
            <w:tcW w:w="238"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195"/>
              <w:ind w:right="86"/>
              <w:jc w:val="right"/>
              <w:rPr>
                <w:rFonts w:ascii="Arial" w:hAnsi="Arial" w:cs="Arial" w:eastAsia="Arial" w:hint="default"/>
                <w:sz w:val="24"/>
                <w:szCs w:val="24"/>
              </w:rPr>
            </w:pPr>
            <w:r>
              <w:rPr>
                <w:rFonts w:ascii="Arial"/>
                <w:spacing w:val="-1"/>
                <w:sz w:val="24"/>
              </w:rPr>
              <w:t>226,007</w:t>
            </w:r>
          </w:p>
        </w:tc>
      </w:tr>
      <w:tr>
        <w:trPr>
          <w:trHeight w:val="660" w:hRule="exact"/>
        </w:trPr>
        <w:tc>
          <w:tcPr>
            <w:tcW w:w="709" w:type="dxa"/>
            <w:tcBorders>
              <w:top w:val="nil" w:sz="6" w:space="0" w:color="auto"/>
              <w:left w:val="nil" w:sz="6" w:space="0" w:color="auto"/>
              <w:bottom w:val="nil" w:sz="6" w:space="0" w:color="auto"/>
              <w:right w:val="nil" w:sz="6" w:space="0" w:color="auto"/>
            </w:tcBorders>
          </w:tcPr>
          <w:p>
            <w:pPr/>
          </w:p>
        </w:tc>
        <w:tc>
          <w:tcPr>
            <w:tcW w:w="3631" w:type="dxa"/>
            <w:tcBorders>
              <w:top w:val="nil" w:sz="6" w:space="0" w:color="auto"/>
              <w:left w:val="nil" w:sz="6" w:space="0" w:color="auto"/>
              <w:bottom w:val="nil" w:sz="6" w:space="0" w:color="auto"/>
              <w:right w:val="nil" w:sz="6" w:space="0" w:color="auto"/>
            </w:tcBorders>
          </w:tcPr>
          <w:p>
            <w:pPr>
              <w:pStyle w:val="TableParagraph"/>
              <w:spacing w:line="302" w:lineRule="exact" w:before="10"/>
              <w:ind w:left="479" w:right="527" w:hanging="257"/>
              <w:jc w:val="left"/>
              <w:rPr>
                <w:rFonts w:ascii="宋体" w:hAnsi="宋体" w:cs="宋体" w:eastAsia="宋体" w:hint="default"/>
                <w:sz w:val="24"/>
                <w:szCs w:val="24"/>
              </w:rPr>
            </w:pPr>
            <w:r>
              <w:rPr>
                <w:rFonts w:ascii="Arial" w:hAnsi="Arial" w:cs="Arial" w:eastAsia="Arial" w:hint="default"/>
                <w:sz w:val="24"/>
                <w:szCs w:val="24"/>
              </w:rPr>
              <w:t>Citical Retain</w:t>
            </w:r>
            <w:r>
              <w:rPr>
                <w:rFonts w:ascii="Arial" w:hAnsi="Arial" w:cs="Arial" w:eastAsia="Arial" w:hint="default"/>
                <w:spacing w:val="-10"/>
                <w:sz w:val="24"/>
                <w:szCs w:val="24"/>
              </w:rPr>
              <w:t> </w:t>
            </w:r>
            <w:r>
              <w:rPr>
                <w:rFonts w:ascii="Arial" w:hAnsi="Arial" w:cs="Arial" w:eastAsia="Arial" w:hint="default"/>
                <w:sz w:val="24"/>
                <w:szCs w:val="24"/>
              </w:rPr>
              <w:t>Management</w:t>
            </w:r>
            <w:r>
              <w:rPr>
                <w:rFonts w:ascii="Arial" w:hAnsi="Arial" w:cs="Arial" w:eastAsia="Arial" w:hint="default"/>
                <w:w w:val="100"/>
                <w:sz w:val="24"/>
                <w:szCs w:val="24"/>
              </w:rPr>
              <w:t> </w:t>
            </w:r>
            <w:r>
              <w:rPr>
                <w:rFonts w:ascii="Arial" w:hAnsi="Arial" w:cs="Arial" w:eastAsia="Arial" w:hint="default"/>
                <w:sz w:val="24"/>
                <w:szCs w:val="24"/>
              </w:rPr>
              <w:t>Limited</w:t>
            </w:r>
            <w:r>
              <w:rPr>
                <w:rFonts w:ascii="Arial" w:hAnsi="Arial" w:cs="Arial" w:eastAsia="Arial" w:hint="default"/>
                <w:spacing w:val="-15"/>
                <w:sz w:val="24"/>
                <w:szCs w:val="24"/>
              </w:rPr>
              <w:t> </w:t>
            </w:r>
            <w:r>
              <w:rPr>
                <w:rFonts w:ascii="宋体" w:hAnsi="宋体" w:cs="宋体" w:eastAsia="宋体" w:hint="default"/>
                <w:sz w:val="24"/>
                <w:szCs w:val="24"/>
              </w:rPr>
              <w:t>之零售批发业务</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19"/>
              <w:jc w:val="right"/>
              <w:rPr>
                <w:rFonts w:ascii="Arial" w:hAnsi="Arial" w:cs="Arial" w:eastAsia="Arial" w:hint="default"/>
                <w:sz w:val="24"/>
                <w:szCs w:val="24"/>
              </w:rPr>
            </w:pPr>
            <w:r>
              <w:rPr>
                <w:rFonts w:ascii="Arial"/>
                <w:w w:val="95"/>
                <w:sz w:val="24"/>
              </w:rPr>
              <w:t>616</w:t>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84"/>
              <w:jc w:val="right"/>
              <w:rPr>
                <w:rFonts w:ascii="Arial" w:hAnsi="Arial" w:cs="Arial" w:eastAsia="Arial" w:hint="default"/>
                <w:sz w:val="24"/>
                <w:szCs w:val="24"/>
              </w:rPr>
            </w:pPr>
            <w:r>
              <w:rPr>
                <w:rFonts w:ascii="Arial"/>
                <w:w w:val="95"/>
                <w:sz w:val="24"/>
              </w:rPr>
              <w:t>616</w:t>
            </w:r>
            <w:r>
              <w:rPr>
                <w:rFonts w:ascii="Arial"/>
                <w:sz w:val="24"/>
              </w:rPr>
            </w:r>
          </w:p>
        </w:tc>
      </w:tr>
      <w:tr>
        <w:trPr>
          <w:trHeight w:val="382" w:hRule="exact"/>
        </w:trPr>
        <w:tc>
          <w:tcPr>
            <w:tcW w:w="709" w:type="dxa"/>
            <w:tcBorders>
              <w:top w:val="nil" w:sz="6" w:space="0" w:color="auto"/>
              <w:left w:val="nil" w:sz="6" w:space="0" w:color="auto"/>
              <w:bottom w:val="nil" w:sz="6" w:space="0" w:color="auto"/>
              <w:right w:val="nil" w:sz="6" w:space="0" w:color="auto"/>
            </w:tcBorders>
          </w:tcPr>
          <w:p>
            <w:pPr/>
          </w:p>
        </w:tc>
        <w:tc>
          <w:tcPr>
            <w:tcW w:w="3631" w:type="dxa"/>
            <w:tcBorders>
              <w:top w:val="nil" w:sz="6" w:space="0" w:color="auto"/>
              <w:left w:val="nil" w:sz="6" w:space="0" w:color="auto"/>
              <w:bottom w:val="nil" w:sz="6" w:space="0" w:color="auto"/>
              <w:right w:val="nil" w:sz="6" w:space="0" w:color="auto"/>
            </w:tcBorders>
          </w:tcPr>
          <w:p>
            <w:pPr>
              <w:pStyle w:val="TableParagraph"/>
              <w:spacing w:line="300" w:lineRule="exact"/>
              <w:ind w:left="222" w:right="0"/>
              <w:jc w:val="left"/>
              <w:rPr>
                <w:rFonts w:ascii="宋体" w:hAnsi="宋体" w:cs="宋体" w:eastAsia="宋体" w:hint="default"/>
                <w:sz w:val="24"/>
                <w:szCs w:val="24"/>
              </w:rPr>
            </w:pPr>
            <w:r>
              <w:rPr>
                <w:rFonts w:ascii="宋体" w:hAnsi="宋体" w:cs="宋体" w:eastAsia="宋体" w:hint="default"/>
                <w:sz w:val="24"/>
                <w:szCs w:val="24"/>
              </w:rPr>
              <w:t>无锡胜利门苏宁电器有限公司</w:t>
            </w:r>
          </w:p>
        </w:tc>
        <w:tc>
          <w:tcPr>
            <w:tcW w:w="2302"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19"/>
              <w:jc w:val="right"/>
              <w:rPr>
                <w:rFonts w:ascii="Arial" w:hAnsi="Arial" w:cs="Arial" w:eastAsia="Arial" w:hint="default"/>
                <w:sz w:val="24"/>
                <w:szCs w:val="24"/>
              </w:rPr>
            </w:pPr>
            <w:r>
              <w:rPr>
                <w:rFonts w:ascii="Arial"/>
                <w:w w:val="95"/>
                <w:sz w:val="24"/>
              </w:rPr>
              <w:t>569</w:t>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85"/>
              <w:jc w:val="right"/>
              <w:rPr>
                <w:rFonts w:ascii="Arial" w:hAnsi="Arial" w:cs="Arial" w:eastAsia="Arial" w:hint="default"/>
                <w:sz w:val="24"/>
                <w:szCs w:val="24"/>
              </w:rPr>
            </w:pPr>
            <w:r>
              <w:rPr>
                <w:rFonts w:ascii="Arial"/>
                <w:w w:val="99"/>
                <w:sz w:val="24"/>
              </w:rPr>
              <w:t>-</w:t>
            </w:r>
            <w:r>
              <w:rPr>
                <w:rFonts w:ascii="Arial"/>
                <w:sz w:val="24"/>
              </w:rPr>
            </w:r>
          </w:p>
        </w:tc>
      </w:tr>
      <w:tr>
        <w:trPr>
          <w:trHeight w:val="360" w:hRule="exact"/>
        </w:trPr>
        <w:tc>
          <w:tcPr>
            <w:tcW w:w="709" w:type="dxa"/>
            <w:tcBorders>
              <w:top w:val="nil" w:sz="6" w:space="0" w:color="auto"/>
              <w:left w:val="nil" w:sz="6" w:space="0" w:color="auto"/>
              <w:bottom w:val="nil" w:sz="6" w:space="0" w:color="auto"/>
              <w:right w:val="nil" w:sz="6" w:space="0" w:color="auto"/>
            </w:tcBorders>
          </w:tcPr>
          <w:p>
            <w:pPr/>
          </w:p>
        </w:tc>
        <w:tc>
          <w:tcPr>
            <w:tcW w:w="3631" w:type="dxa"/>
            <w:tcBorders>
              <w:top w:val="nil" w:sz="6" w:space="0" w:color="auto"/>
              <w:left w:val="nil" w:sz="6" w:space="0" w:color="auto"/>
              <w:bottom w:val="nil" w:sz="6" w:space="0" w:color="auto"/>
              <w:right w:val="nil" w:sz="6" w:space="0" w:color="auto"/>
            </w:tcBorders>
          </w:tcPr>
          <w:p>
            <w:pPr/>
          </w:p>
        </w:tc>
        <w:tc>
          <w:tcPr>
            <w:tcW w:w="2302" w:type="dxa"/>
            <w:tcBorders>
              <w:top w:val="single" w:sz="4" w:space="0" w:color="000000"/>
              <w:left w:val="nil" w:sz="6" w:space="0" w:color="auto"/>
              <w:bottom w:val="single" w:sz="12" w:space="0" w:color="000000"/>
              <w:right w:val="nil" w:sz="6" w:space="0" w:color="auto"/>
            </w:tcBorders>
          </w:tcPr>
          <w:p>
            <w:pPr>
              <w:pStyle w:val="TableParagraph"/>
              <w:spacing w:line="240" w:lineRule="auto" w:before="24"/>
              <w:ind w:right="120"/>
              <w:jc w:val="right"/>
              <w:rPr>
                <w:rFonts w:ascii="Arial" w:hAnsi="Arial" w:cs="Arial" w:eastAsia="Arial" w:hint="default"/>
                <w:sz w:val="24"/>
                <w:szCs w:val="24"/>
              </w:rPr>
            </w:pPr>
            <w:r>
              <w:rPr>
                <w:rFonts w:ascii="Arial"/>
                <w:spacing w:val="-1"/>
                <w:sz w:val="24"/>
              </w:rPr>
              <w:t>227,192</w:t>
            </w:r>
          </w:p>
        </w:tc>
        <w:tc>
          <w:tcPr>
            <w:tcW w:w="238" w:type="dxa"/>
            <w:tcBorders>
              <w:top w:val="nil" w:sz="6" w:space="0" w:color="auto"/>
              <w:left w:val="nil" w:sz="6" w:space="0" w:color="auto"/>
              <w:bottom w:val="nil" w:sz="6" w:space="0" w:color="auto"/>
              <w:right w:val="nil" w:sz="6" w:space="0" w:color="auto"/>
            </w:tcBorders>
          </w:tcPr>
          <w:p>
            <w:pPr/>
          </w:p>
        </w:tc>
        <w:tc>
          <w:tcPr>
            <w:tcW w:w="2204" w:type="dxa"/>
            <w:tcBorders>
              <w:top w:val="single" w:sz="4" w:space="0" w:color="000000"/>
              <w:left w:val="nil" w:sz="6" w:space="0" w:color="auto"/>
              <w:bottom w:val="single" w:sz="12" w:space="0" w:color="000000"/>
              <w:right w:val="nil" w:sz="6" w:space="0" w:color="auto"/>
            </w:tcBorders>
          </w:tcPr>
          <w:p>
            <w:pPr>
              <w:pStyle w:val="TableParagraph"/>
              <w:spacing w:line="240" w:lineRule="auto" w:before="24"/>
              <w:ind w:right="86"/>
              <w:jc w:val="right"/>
              <w:rPr>
                <w:rFonts w:ascii="Arial" w:hAnsi="Arial" w:cs="Arial" w:eastAsia="Arial" w:hint="default"/>
                <w:sz w:val="24"/>
                <w:szCs w:val="24"/>
              </w:rPr>
            </w:pPr>
            <w:r>
              <w:rPr>
                <w:rFonts w:ascii="Arial"/>
                <w:spacing w:val="-1"/>
                <w:sz w:val="24"/>
              </w:rPr>
              <w:t>226,623</w:t>
            </w:r>
          </w:p>
        </w:tc>
      </w:tr>
      <w:tr>
        <w:trPr>
          <w:trHeight w:val="1292" w:hRule="exact"/>
        </w:trPr>
        <w:tc>
          <w:tcPr>
            <w:tcW w:w="709" w:type="dxa"/>
            <w:tcBorders>
              <w:top w:val="nil" w:sz="6" w:space="0" w:color="auto"/>
              <w:left w:val="nil" w:sz="6" w:space="0" w:color="auto"/>
              <w:bottom w:val="nil" w:sz="6" w:space="0" w:color="auto"/>
              <w:right w:val="nil" w:sz="6" w:space="0" w:color="auto"/>
            </w:tcBorders>
          </w:tcPr>
          <w:p>
            <w:pPr/>
          </w:p>
        </w:tc>
        <w:tc>
          <w:tcPr>
            <w:tcW w:w="837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37" w:lineRule="auto"/>
              <w:ind w:left="215" w:right="40"/>
              <w:jc w:val="both"/>
              <w:rPr>
                <w:rFonts w:ascii="宋体" w:hAnsi="宋体" w:cs="宋体" w:eastAsia="宋体" w:hint="default"/>
                <w:sz w:val="24"/>
                <w:szCs w:val="24"/>
              </w:rPr>
            </w:pPr>
            <w:r>
              <w:rPr>
                <w:rFonts w:ascii="宋体" w:hAnsi="宋体" w:cs="宋体" w:eastAsia="宋体" w:hint="default"/>
                <w:spacing w:val="-2"/>
                <w:sz w:val="24"/>
                <w:szCs w:val="24"/>
              </w:rPr>
              <w:t>资产组和资产组组合的可收回金额是依据管理层制定的五年期预算，采用现金</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流量预测方法计算。超过该五年期的现金流量采用以下所述的估计增长率作出</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推算。</w:t>
            </w:r>
          </w:p>
        </w:tc>
      </w:tr>
    </w:tbl>
    <w:p>
      <w:pPr>
        <w:spacing w:after="0" w:line="237" w:lineRule="auto"/>
        <w:jc w:val="both"/>
        <w:rPr>
          <w:rFonts w:ascii="宋体" w:hAnsi="宋体" w:cs="宋体" w:eastAsia="宋体" w:hint="default"/>
          <w:sz w:val="24"/>
          <w:szCs w:val="24"/>
        </w:rPr>
        <w:sectPr>
          <w:footerReference w:type="default" r:id="rId88"/>
          <w:pgSz w:w="11910" w:h="16850"/>
          <w:pgMar w:footer="708" w:header="795" w:top="2020" w:bottom="900" w:left="1420" w:right="0"/>
          <w:pgNumType w:start="164"/>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1595536" type="#_x0000_t75" stroked="false">
            <v:imagedata r:id="rId10" o:title=""/>
          </v:shape>
        </w:pict>
      </w:r>
    </w:p>
    <w:p>
      <w:pPr>
        <w:spacing w:line="240" w:lineRule="auto" w:before="5"/>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776"/>
        <w:gridCol w:w="2170"/>
        <w:gridCol w:w="1349"/>
        <w:gridCol w:w="108"/>
        <w:gridCol w:w="1152"/>
        <w:gridCol w:w="108"/>
        <w:gridCol w:w="1234"/>
        <w:gridCol w:w="144"/>
        <w:gridCol w:w="1172"/>
        <w:gridCol w:w="106"/>
        <w:gridCol w:w="1289"/>
      </w:tblGrid>
      <w:tr>
        <w:trPr>
          <w:trHeight w:val="465"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519"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4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8"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r>
      <w:tr>
        <w:trPr>
          <w:trHeight w:val="679"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95"/>
              <w:ind w:left="200" w:right="0"/>
              <w:jc w:val="left"/>
              <w:rPr>
                <w:rFonts w:ascii="Arial" w:hAnsi="Arial" w:cs="Arial" w:eastAsia="Arial" w:hint="default"/>
                <w:sz w:val="24"/>
                <w:szCs w:val="24"/>
              </w:rPr>
            </w:pPr>
            <w:r>
              <w:rPr>
                <w:rFonts w:ascii="Arial"/>
                <w:sz w:val="24"/>
              </w:rPr>
              <w:t>(15)</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48" w:right="0"/>
              <w:jc w:val="left"/>
              <w:rPr>
                <w:rFonts w:ascii="Arial" w:hAnsi="Arial" w:cs="Arial" w:eastAsia="Arial" w:hint="default"/>
                <w:sz w:val="24"/>
                <w:szCs w:val="24"/>
              </w:rPr>
            </w:pPr>
            <w:r>
              <w:rPr>
                <w:rFonts w:ascii="黑体" w:hAnsi="黑体" w:cs="黑体" w:eastAsia="黑体" w:hint="default"/>
                <w:sz w:val="24"/>
                <w:szCs w:val="24"/>
              </w:rPr>
              <w:t>商誉</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4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r>
      <w:tr>
        <w:trPr>
          <w:trHeight w:val="680"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95"/>
              <w:ind w:left="200" w:right="0"/>
              <w:jc w:val="left"/>
              <w:rPr>
                <w:rFonts w:ascii="Arial" w:hAnsi="Arial" w:cs="Arial" w:eastAsia="Arial" w:hint="default"/>
                <w:sz w:val="24"/>
                <w:szCs w:val="24"/>
              </w:rPr>
            </w:pPr>
            <w:r>
              <w:rPr>
                <w:rFonts w:ascii="Arial"/>
                <w:sz w:val="24"/>
              </w:rPr>
              <w:t>(a)</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48" w:right="0"/>
              <w:jc w:val="left"/>
              <w:rPr>
                <w:rFonts w:ascii="Arial" w:hAnsi="Arial" w:cs="Arial" w:eastAsia="Arial" w:hint="default"/>
                <w:sz w:val="24"/>
                <w:szCs w:val="24"/>
              </w:rPr>
            </w:pPr>
            <w:r>
              <w:rPr>
                <w:rFonts w:ascii="宋体" w:hAnsi="宋体" w:cs="宋体" w:eastAsia="宋体" w:hint="default"/>
                <w:sz w:val="24"/>
                <w:szCs w:val="24"/>
              </w:rPr>
              <w:t>减值</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34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r>
      <w:tr>
        <w:trPr>
          <w:trHeight w:val="635" w:hRule="exact"/>
        </w:trPr>
        <w:tc>
          <w:tcPr>
            <w:tcW w:w="9607"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41"/>
              <w:ind w:left="924" w:right="0"/>
              <w:jc w:val="left"/>
              <w:rPr>
                <w:rFonts w:ascii="宋体" w:hAnsi="宋体" w:cs="宋体" w:eastAsia="宋体" w:hint="default"/>
                <w:sz w:val="24"/>
                <w:szCs w:val="24"/>
              </w:rPr>
            </w:pPr>
            <w:r>
              <w:rPr>
                <w:rFonts w:ascii="宋体" w:hAnsi="宋体" w:cs="宋体" w:eastAsia="宋体" w:hint="default"/>
                <w:sz w:val="24"/>
                <w:szCs w:val="24"/>
              </w:rPr>
              <w:t>采用未来现金流量折现方法的主要假设：</w:t>
            </w:r>
          </w:p>
        </w:tc>
      </w:tr>
      <w:tr>
        <w:trPr>
          <w:trHeight w:val="523" w:hRule="exact"/>
        </w:trPr>
        <w:tc>
          <w:tcPr>
            <w:tcW w:w="9607"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06"/>
              <w:ind w:left="694" w:right="0"/>
              <w:jc w:val="center"/>
              <w:rPr>
                <w:rFonts w:ascii="宋体" w:hAnsi="宋体" w:cs="宋体" w:eastAsia="宋体" w:hint="default"/>
                <w:sz w:val="24"/>
                <w:szCs w:val="24"/>
              </w:rPr>
            </w:pPr>
            <w:r>
              <w:rPr>
                <w:rFonts w:ascii="宋体" w:hAnsi="宋体" w:cs="宋体" w:eastAsia="宋体" w:hint="default"/>
                <w:sz w:val="24"/>
                <w:szCs w:val="24"/>
              </w:rPr>
              <w:t>日本</w:t>
            </w:r>
            <w:r>
              <w:rPr>
                <w:rFonts w:ascii="Arial" w:hAnsi="Arial" w:cs="Arial" w:eastAsia="Arial" w:hint="default"/>
                <w:sz w:val="24"/>
                <w:szCs w:val="24"/>
              </w:rPr>
              <w:t>LAOX</w:t>
            </w:r>
            <w:r>
              <w:rPr>
                <w:rFonts w:ascii="宋体" w:hAnsi="宋体" w:cs="宋体" w:eastAsia="宋体" w:hint="default"/>
                <w:sz w:val="24"/>
                <w:szCs w:val="24"/>
              </w:rPr>
              <w:t>株式会社</w:t>
            </w:r>
          </w:p>
        </w:tc>
      </w:tr>
      <w:tr>
        <w:trPr>
          <w:trHeight w:val="393" w:hRule="exact"/>
        </w:trPr>
        <w:tc>
          <w:tcPr>
            <w:tcW w:w="776" w:type="dxa"/>
            <w:tcBorders>
              <w:top w:val="nil" w:sz="6" w:space="0" w:color="auto"/>
              <w:left w:val="nil" w:sz="6" w:space="0" w:color="auto"/>
              <w:bottom w:val="nil" w:sz="6" w:space="0" w:color="auto"/>
              <w:right w:val="nil" w:sz="6" w:space="0" w:color="auto"/>
            </w:tcBorders>
          </w:tcPr>
          <w:p>
            <w:pPr/>
          </w:p>
        </w:tc>
        <w:tc>
          <w:tcPr>
            <w:tcW w:w="2170" w:type="dxa"/>
            <w:tcBorders>
              <w:top w:val="single" w:sz="4" w:space="0" w:color="000000"/>
              <w:left w:val="nil" w:sz="6" w:space="0" w:color="auto"/>
              <w:bottom w:val="nil" w:sz="6" w:space="0" w:color="auto"/>
              <w:right w:val="nil" w:sz="6" w:space="0" w:color="auto"/>
            </w:tcBorders>
          </w:tcPr>
          <w:p>
            <w:pPr/>
          </w:p>
        </w:tc>
        <w:tc>
          <w:tcPr>
            <w:tcW w:w="2609"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48"/>
              <w:ind w:left="928" w:right="0"/>
              <w:jc w:val="left"/>
              <w:rPr>
                <w:rFonts w:ascii="宋体" w:hAnsi="宋体" w:cs="宋体" w:eastAsia="宋体" w:hint="default"/>
                <w:sz w:val="24"/>
                <w:szCs w:val="24"/>
              </w:rPr>
            </w:pPr>
            <w:r>
              <w:rPr>
                <w:rFonts w:ascii="宋体" w:hAnsi="宋体" w:cs="宋体" w:eastAsia="宋体" w:hint="default"/>
                <w:sz w:val="24"/>
                <w:szCs w:val="24"/>
              </w:rPr>
              <w:t>日本地区</w:t>
            </w:r>
          </w:p>
        </w:tc>
        <w:tc>
          <w:tcPr>
            <w:tcW w:w="265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3"/>
              <w:ind w:left="1271" w:right="0"/>
              <w:jc w:val="left"/>
              <w:rPr>
                <w:rFonts w:ascii="宋体" w:hAnsi="宋体" w:cs="宋体" w:eastAsia="宋体" w:hint="default"/>
                <w:sz w:val="24"/>
                <w:szCs w:val="24"/>
              </w:rPr>
            </w:pPr>
            <w:r>
              <w:rPr>
                <w:rFonts w:ascii="宋体" w:hAnsi="宋体" w:cs="宋体" w:eastAsia="宋体" w:hint="default"/>
                <w:sz w:val="24"/>
                <w:szCs w:val="24"/>
              </w:rPr>
              <w:t>中国地区</w:t>
            </w:r>
          </w:p>
        </w:tc>
        <w:tc>
          <w:tcPr>
            <w:tcW w:w="106"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r>
      <w:tr>
        <w:trPr>
          <w:trHeight w:val="347" w:hRule="exact"/>
        </w:trPr>
        <w:tc>
          <w:tcPr>
            <w:tcW w:w="776"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65" w:lineRule="exact"/>
              <w:ind w:left="148" w:right="0"/>
              <w:jc w:val="left"/>
              <w:rPr>
                <w:rFonts w:ascii="宋体" w:hAnsi="宋体" w:cs="宋体" w:eastAsia="宋体" w:hint="default"/>
                <w:sz w:val="24"/>
                <w:szCs w:val="24"/>
              </w:rPr>
            </w:pPr>
            <w:r>
              <w:rPr>
                <w:rFonts w:ascii="宋体" w:hAnsi="宋体" w:cs="宋体" w:eastAsia="宋体" w:hint="default"/>
                <w:sz w:val="24"/>
                <w:szCs w:val="24"/>
              </w:rPr>
              <w:t>增长率</w:t>
            </w:r>
          </w:p>
        </w:tc>
        <w:tc>
          <w:tcPr>
            <w:tcW w:w="260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6"/>
              <w:ind w:left="1341" w:right="0"/>
              <w:jc w:val="left"/>
              <w:rPr>
                <w:rFonts w:ascii="Arial" w:hAnsi="Arial" w:cs="Arial" w:eastAsia="Arial" w:hint="default"/>
                <w:sz w:val="24"/>
                <w:szCs w:val="24"/>
              </w:rPr>
            </w:pPr>
            <w:r>
              <w:rPr>
                <w:rFonts w:ascii="Arial"/>
                <w:sz w:val="24"/>
              </w:rPr>
              <w:t>1.0%</w:t>
            </w:r>
          </w:p>
        </w:tc>
        <w:tc>
          <w:tcPr>
            <w:tcW w:w="108"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99" w:right="0"/>
              <w:jc w:val="left"/>
              <w:rPr>
                <w:rFonts w:ascii="Arial" w:hAnsi="Arial" w:cs="Arial" w:eastAsia="Arial" w:hint="default"/>
                <w:sz w:val="24"/>
                <w:szCs w:val="24"/>
              </w:rPr>
            </w:pPr>
            <w:r>
              <w:rPr>
                <w:rFonts w:ascii="Arial"/>
                <w:sz w:val="24"/>
              </w:rPr>
              <w:t>3.0%</w:t>
            </w:r>
          </w:p>
        </w:tc>
        <w:tc>
          <w:tcPr>
            <w:tcW w:w="106"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r>
      <w:tr>
        <w:trPr>
          <w:trHeight w:val="340" w:hRule="exact"/>
        </w:trPr>
        <w:tc>
          <w:tcPr>
            <w:tcW w:w="776"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59" w:lineRule="exact"/>
              <w:ind w:left="148" w:right="0"/>
              <w:jc w:val="left"/>
              <w:rPr>
                <w:rFonts w:ascii="宋体" w:hAnsi="宋体" w:cs="宋体" w:eastAsia="宋体" w:hint="default"/>
                <w:sz w:val="24"/>
                <w:szCs w:val="24"/>
              </w:rPr>
            </w:pPr>
            <w:r>
              <w:rPr>
                <w:rFonts w:ascii="宋体" w:hAnsi="宋体" w:cs="宋体" w:eastAsia="宋体" w:hint="default"/>
                <w:sz w:val="24"/>
                <w:szCs w:val="24"/>
              </w:rPr>
              <w:t>毛利率</w:t>
            </w:r>
          </w:p>
        </w:tc>
        <w:tc>
          <w:tcPr>
            <w:tcW w:w="260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8"/>
              <w:ind w:left="1207" w:right="0"/>
              <w:jc w:val="left"/>
              <w:rPr>
                <w:rFonts w:ascii="Arial" w:hAnsi="Arial" w:cs="Arial" w:eastAsia="Arial" w:hint="default"/>
                <w:sz w:val="24"/>
                <w:szCs w:val="24"/>
              </w:rPr>
            </w:pPr>
            <w:r>
              <w:rPr>
                <w:rFonts w:ascii="Arial"/>
                <w:sz w:val="24"/>
              </w:rPr>
              <w:t>25.3%</w:t>
            </w:r>
          </w:p>
        </w:tc>
        <w:tc>
          <w:tcPr>
            <w:tcW w:w="108"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4" w:right="0"/>
              <w:jc w:val="left"/>
              <w:rPr>
                <w:rFonts w:ascii="Arial" w:hAnsi="Arial" w:cs="Arial" w:eastAsia="Arial" w:hint="default"/>
                <w:sz w:val="24"/>
                <w:szCs w:val="24"/>
              </w:rPr>
            </w:pPr>
            <w:r>
              <w:rPr>
                <w:rFonts w:ascii="Arial"/>
                <w:sz w:val="24"/>
              </w:rPr>
              <w:t>17.5%</w:t>
            </w:r>
          </w:p>
        </w:tc>
        <w:tc>
          <w:tcPr>
            <w:tcW w:w="106"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r>
      <w:tr>
        <w:trPr>
          <w:trHeight w:val="360" w:hRule="exact"/>
        </w:trPr>
        <w:tc>
          <w:tcPr>
            <w:tcW w:w="776"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61" w:lineRule="exact"/>
              <w:ind w:left="148" w:right="0"/>
              <w:jc w:val="left"/>
              <w:rPr>
                <w:rFonts w:ascii="宋体" w:hAnsi="宋体" w:cs="宋体" w:eastAsia="宋体" w:hint="default"/>
                <w:sz w:val="24"/>
                <w:szCs w:val="24"/>
              </w:rPr>
            </w:pPr>
            <w:r>
              <w:rPr>
                <w:rFonts w:ascii="宋体" w:hAnsi="宋体" w:cs="宋体" w:eastAsia="宋体" w:hint="default"/>
                <w:sz w:val="24"/>
                <w:szCs w:val="24"/>
              </w:rPr>
              <w:t>折现率</w:t>
            </w:r>
          </w:p>
        </w:tc>
        <w:tc>
          <w:tcPr>
            <w:tcW w:w="260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9"/>
              <w:ind w:left="1341" w:right="0"/>
              <w:jc w:val="left"/>
              <w:rPr>
                <w:rFonts w:ascii="Arial" w:hAnsi="Arial" w:cs="Arial" w:eastAsia="Arial" w:hint="default"/>
                <w:sz w:val="24"/>
                <w:szCs w:val="24"/>
              </w:rPr>
            </w:pPr>
            <w:r>
              <w:rPr>
                <w:rFonts w:ascii="Arial"/>
                <w:sz w:val="24"/>
              </w:rPr>
              <w:t>6.2%</w:t>
            </w:r>
          </w:p>
        </w:tc>
        <w:tc>
          <w:tcPr>
            <w:tcW w:w="108"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4" w:right="0"/>
              <w:jc w:val="left"/>
              <w:rPr>
                <w:rFonts w:ascii="Arial" w:hAnsi="Arial" w:cs="Arial" w:eastAsia="Arial" w:hint="default"/>
                <w:sz w:val="24"/>
                <w:szCs w:val="24"/>
              </w:rPr>
            </w:pPr>
            <w:r>
              <w:rPr>
                <w:rFonts w:ascii="Arial"/>
                <w:sz w:val="24"/>
              </w:rPr>
              <w:t>14.9%</w:t>
            </w:r>
          </w:p>
        </w:tc>
        <w:tc>
          <w:tcPr>
            <w:tcW w:w="106"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r>
      <w:tr>
        <w:trPr>
          <w:trHeight w:val="1443" w:hRule="exact"/>
        </w:trPr>
        <w:tc>
          <w:tcPr>
            <w:tcW w:w="9607" w:type="dxa"/>
            <w:gridSpan w:val="11"/>
            <w:tcBorders>
              <w:top w:val="nil" w:sz="6" w:space="0" w:color="auto"/>
              <w:left w:val="nil" w:sz="6" w:space="0" w:color="auto"/>
              <w:bottom w:val="nil" w:sz="6" w:space="0" w:color="auto"/>
              <w:right w:val="nil" w:sz="6" w:space="0" w:color="auto"/>
            </w:tcBorders>
          </w:tcPr>
          <w:p>
            <w:pPr>
              <w:pStyle w:val="TableParagraph"/>
              <w:spacing w:line="279" w:lineRule="exact"/>
              <w:ind w:left="924" w:right="0"/>
              <w:jc w:val="both"/>
              <w:rPr>
                <w:rFonts w:ascii="宋体" w:hAnsi="宋体" w:cs="宋体" w:eastAsia="宋体" w:hint="default"/>
                <w:sz w:val="24"/>
                <w:szCs w:val="24"/>
              </w:rPr>
            </w:pPr>
            <w:r>
              <w:rPr>
                <w:rFonts w:ascii="宋体" w:hAnsi="宋体" w:cs="宋体" w:eastAsia="宋体" w:hint="default"/>
                <w:sz w:val="24"/>
                <w:szCs w:val="24"/>
              </w:rPr>
              <w:t>管理层所采用的加权平均增长率与行业报告所载的预测数据一致，不超过各产</w:t>
            </w:r>
          </w:p>
          <w:p>
            <w:pPr>
              <w:pStyle w:val="TableParagraph"/>
              <w:spacing w:line="237" w:lineRule="auto" w:before="1"/>
              <w:ind w:left="924" w:right="563"/>
              <w:jc w:val="both"/>
              <w:rPr>
                <w:rFonts w:ascii="宋体" w:hAnsi="宋体" w:cs="宋体" w:eastAsia="宋体" w:hint="default"/>
                <w:sz w:val="24"/>
                <w:szCs w:val="24"/>
              </w:rPr>
            </w:pPr>
            <w:r>
              <w:rPr>
                <w:rFonts w:ascii="宋体" w:hAnsi="宋体" w:cs="宋体" w:eastAsia="宋体" w:hint="default"/>
                <w:spacing w:val="-2"/>
                <w:sz w:val="24"/>
                <w:szCs w:val="24"/>
              </w:rPr>
              <w:t>品的长期平均增长率。管理层根据历史经验及对市场发展的预测确定预算毛利</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5"/>
                <w:sz w:val="24"/>
                <w:szCs w:val="24"/>
              </w:rPr>
              <w:t>率，并采用能够反映相关资产组和资产组组合的特定风险的税后利率为折现</w:t>
            </w:r>
            <w:r>
              <w:rPr>
                <w:rFonts w:ascii="宋体" w:hAnsi="宋体" w:cs="宋体" w:eastAsia="宋体" w:hint="default"/>
                <w:sz w:val="24"/>
                <w:szCs w:val="24"/>
              </w:rPr>
              <w:t> 率。上述假设用以分析该业务分部内各资产组和资产组组合的可收回金额。</w:t>
            </w:r>
          </w:p>
        </w:tc>
      </w:tr>
      <w:tr>
        <w:trPr>
          <w:trHeight w:val="676"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10"/>
              <w:ind w:left="200" w:right="0"/>
              <w:jc w:val="left"/>
              <w:rPr>
                <w:rFonts w:ascii="Arial" w:hAnsi="Arial" w:cs="Arial" w:eastAsia="Arial" w:hint="default"/>
                <w:sz w:val="24"/>
                <w:szCs w:val="24"/>
              </w:rPr>
            </w:pPr>
            <w:r>
              <w:rPr>
                <w:rFonts w:ascii="Arial"/>
                <w:sz w:val="24"/>
              </w:rPr>
              <w:t>(16)</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72" w:right="0"/>
              <w:jc w:val="left"/>
              <w:rPr>
                <w:rFonts w:ascii="黑体" w:hAnsi="黑体" w:cs="黑体" w:eastAsia="黑体" w:hint="default"/>
                <w:sz w:val="24"/>
                <w:szCs w:val="24"/>
              </w:rPr>
            </w:pPr>
            <w:r>
              <w:rPr>
                <w:rFonts w:ascii="黑体" w:hAnsi="黑体" w:cs="黑体" w:eastAsia="黑体" w:hint="default"/>
                <w:sz w:val="24"/>
                <w:szCs w:val="24"/>
              </w:rPr>
              <w:t>长期待摊费用</w:t>
            </w:r>
          </w:p>
        </w:tc>
        <w:tc>
          <w:tcPr>
            <w:tcW w:w="134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r>
      <w:tr>
        <w:trPr>
          <w:trHeight w:val="841" w:hRule="exact"/>
        </w:trPr>
        <w:tc>
          <w:tcPr>
            <w:tcW w:w="776" w:type="dxa"/>
            <w:tcBorders>
              <w:top w:val="nil" w:sz="6" w:space="0" w:color="auto"/>
              <w:left w:val="nil" w:sz="6" w:space="0" w:color="auto"/>
              <w:bottom w:val="nil" w:sz="6" w:space="0" w:color="auto"/>
              <w:right w:val="nil" w:sz="6" w:space="0" w:color="auto"/>
            </w:tcBorders>
          </w:tcPr>
          <w:p>
            <w:pPr/>
          </w:p>
        </w:tc>
        <w:tc>
          <w:tcPr>
            <w:tcW w:w="3519" w:type="dxa"/>
            <w:gridSpan w:val="2"/>
            <w:tcBorders>
              <w:top w:val="nil" w:sz="6" w:space="0" w:color="auto"/>
              <w:left w:val="nil" w:sz="6" w:space="0" w:color="auto"/>
              <w:bottom w:val="nil" w:sz="6" w:space="0" w:color="auto"/>
              <w:right w:val="nil" w:sz="6" w:space="0" w:color="auto"/>
            </w:tcBorders>
          </w:tcPr>
          <w:p>
            <w:pPr>
              <w:pStyle w:val="TableParagraph"/>
              <w:spacing w:line="296" w:lineRule="exact" w:before="120"/>
              <w:ind w:right="36"/>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296" w:lineRule="exact"/>
              <w:ind w:right="36"/>
              <w:jc w:val="righ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08"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3"/>
                <w:szCs w:val="33"/>
              </w:rPr>
            </w:pPr>
          </w:p>
          <w:p>
            <w:pPr>
              <w:pStyle w:val="TableParagraph"/>
              <w:spacing w:line="240" w:lineRule="auto"/>
              <w:ind w:right="39"/>
              <w:jc w:val="right"/>
              <w:rPr>
                <w:rFonts w:ascii="宋体" w:hAnsi="宋体" w:cs="宋体" w:eastAsia="宋体" w:hint="default"/>
                <w:sz w:val="24"/>
                <w:szCs w:val="24"/>
              </w:rPr>
            </w:pPr>
            <w:r>
              <w:rPr>
                <w:rFonts w:ascii="宋体" w:hAnsi="宋体" w:cs="宋体" w:eastAsia="宋体" w:hint="default"/>
                <w:sz w:val="24"/>
                <w:szCs w:val="24"/>
              </w:rPr>
              <w:t>本年增加</w:t>
            </w:r>
          </w:p>
        </w:tc>
        <w:tc>
          <w:tcPr>
            <w:tcW w:w="108"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3"/>
                <w:szCs w:val="33"/>
              </w:rPr>
            </w:pPr>
          </w:p>
          <w:p>
            <w:pPr>
              <w:pStyle w:val="TableParagraph"/>
              <w:spacing w:line="240" w:lineRule="auto"/>
              <w:ind w:right="38"/>
              <w:jc w:val="right"/>
              <w:rPr>
                <w:rFonts w:ascii="宋体" w:hAnsi="宋体" w:cs="宋体" w:eastAsia="宋体" w:hint="default"/>
                <w:sz w:val="24"/>
                <w:szCs w:val="24"/>
              </w:rPr>
            </w:pPr>
            <w:r>
              <w:rPr>
                <w:rFonts w:ascii="宋体" w:hAnsi="宋体" w:cs="宋体" w:eastAsia="宋体" w:hint="default"/>
                <w:sz w:val="24"/>
                <w:szCs w:val="24"/>
              </w:rPr>
              <w:t>本年摊销</w:t>
            </w:r>
          </w:p>
        </w:tc>
        <w:tc>
          <w:tcPr>
            <w:tcW w:w="144"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3"/>
                <w:szCs w:val="33"/>
              </w:rPr>
            </w:pPr>
          </w:p>
          <w:p>
            <w:pPr>
              <w:pStyle w:val="TableParagraph"/>
              <w:spacing w:line="240" w:lineRule="auto"/>
              <w:ind w:right="41"/>
              <w:jc w:val="right"/>
              <w:rPr>
                <w:rFonts w:ascii="宋体" w:hAnsi="宋体" w:cs="宋体" w:eastAsia="宋体" w:hint="default"/>
                <w:sz w:val="24"/>
                <w:szCs w:val="24"/>
              </w:rPr>
            </w:pPr>
            <w:r>
              <w:rPr>
                <w:rFonts w:ascii="宋体" w:hAnsi="宋体" w:cs="宋体" w:eastAsia="宋体" w:hint="default"/>
                <w:sz w:val="24"/>
                <w:szCs w:val="24"/>
              </w:rPr>
              <w:t>减值准备</w:t>
            </w:r>
          </w:p>
        </w:tc>
        <w:tc>
          <w:tcPr>
            <w:tcW w:w="106"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96" w:lineRule="exact" w:before="120"/>
              <w:ind w:left="412"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296" w:lineRule="exact"/>
              <w:ind w:left="52"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648" w:hRule="exact"/>
        </w:trPr>
        <w:tc>
          <w:tcPr>
            <w:tcW w:w="776"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62" w:lineRule="exact" w:before="130"/>
              <w:ind w:left="414" w:right="38" w:hanging="243"/>
              <w:jc w:val="left"/>
              <w:rPr>
                <w:rFonts w:ascii="宋体" w:hAnsi="宋体" w:cs="宋体" w:eastAsia="宋体" w:hint="default"/>
                <w:sz w:val="24"/>
                <w:szCs w:val="24"/>
              </w:rPr>
            </w:pPr>
            <w:r>
              <w:rPr>
                <w:rFonts w:ascii="宋体" w:hAnsi="宋体" w:cs="宋体" w:eastAsia="宋体" w:hint="default"/>
                <w:spacing w:val="4"/>
                <w:sz w:val="24"/>
                <w:szCs w:val="24"/>
              </w:rPr>
              <w:t>经营租入固定资产 </w:t>
            </w:r>
            <w:r>
              <w:rPr>
                <w:rFonts w:ascii="宋体" w:hAnsi="宋体" w:cs="宋体" w:eastAsia="宋体" w:hint="default"/>
                <w:sz w:val="24"/>
                <w:szCs w:val="24"/>
              </w:rPr>
              <w:t>改良</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38"/>
              <w:jc w:val="right"/>
              <w:rPr>
                <w:rFonts w:ascii="Arial" w:hAnsi="Arial" w:cs="Arial" w:eastAsia="Arial" w:hint="default"/>
                <w:sz w:val="24"/>
                <w:szCs w:val="24"/>
              </w:rPr>
            </w:pPr>
            <w:r>
              <w:rPr>
                <w:rFonts w:ascii="Arial"/>
                <w:spacing w:val="-1"/>
                <w:sz w:val="24"/>
              </w:rPr>
              <w:t>594,998</w:t>
            </w:r>
          </w:p>
        </w:tc>
        <w:tc>
          <w:tcPr>
            <w:tcW w:w="108"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39"/>
              <w:jc w:val="right"/>
              <w:rPr>
                <w:rFonts w:ascii="Arial" w:hAnsi="Arial" w:cs="Arial" w:eastAsia="Arial" w:hint="default"/>
                <w:sz w:val="24"/>
                <w:szCs w:val="24"/>
              </w:rPr>
            </w:pPr>
            <w:r>
              <w:rPr>
                <w:rFonts w:ascii="Arial"/>
                <w:spacing w:val="-1"/>
                <w:sz w:val="24"/>
              </w:rPr>
              <w:t>572,267</w:t>
            </w:r>
          </w:p>
        </w:tc>
        <w:tc>
          <w:tcPr>
            <w:tcW w:w="108"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36"/>
              <w:jc w:val="right"/>
              <w:rPr>
                <w:rFonts w:ascii="Arial" w:hAnsi="Arial" w:cs="Arial" w:eastAsia="Arial" w:hint="default"/>
                <w:sz w:val="24"/>
                <w:szCs w:val="24"/>
              </w:rPr>
            </w:pPr>
            <w:r>
              <w:rPr>
                <w:rFonts w:ascii="Arial"/>
                <w:spacing w:val="-1"/>
                <w:sz w:val="24"/>
              </w:rPr>
              <w:t>(573,317)</w:t>
            </w:r>
          </w:p>
        </w:tc>
        <w:tc>
          <w:tcPr>
            <w:tcW w:w="144"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39"/>
              <w:jc w:val="right"/>
              <w:rPr>
                <w:rFonts w:ascii="Arial" w:hAnsi="Arial" w:cs="Arial" w:eastAsia="Arial" w:hint="default"/>
                <w:sz w:val="24"/>
                <w:szCs w:val="24"/>
              </w:rPr>
            </w:pPr>
            <w:r>
              <w:rPr>
                <w:rFonts w:ascii="Arial"/>
                <w:spacing w:val="-1"/>
                <w:sz w:val="24"/>
              </w:rPr>
              <w:t>(15,390)</w:t>
            </w:r>
          </w:p>
        </w:tc>
        <w:tc>
          <w:tcPr>
            <w:tcW w:w="106"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40"/>
              <w:jc w:val="right"/>
              <w:rPr>
                <w:rFonts w:ascii="Arial" w:hAnsi="Arial" w:cs="Arial" w:eastAsia="Arial" w:hint="default"/>
                <w:sz w:val="24"/>
                <w:szCs w:val="24"/>
              </w:rPr>
            </w:pPr>
            <w:r>
              <w:rPr>
                <w:rFonts w:ascii="Arial"/>
                <w:spacing w:val="-1"/>
                <w:sz w:val="24"/>
              </w:rPr>
              <w:t>578,558</w:t>
            </w:r>
          </w:p>
        </w:tc>
      </w:tr>
      <w:tr>
        <w:trPr>
          <w:trHeight w:val="522" w:hRule="exact"/>
        </w:trPr>
        <w:tc>
          <w:tcPr>
            <w:tcW w:w="776"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6" w:lineRule="exact"/>
              <w:ind w:left="172" w:right="0"/>
              <w:jc w:val="left"/>
              <w:rPr>
                <w:rFonts w:ascii="宋体" w:hAnsi="宋体" w:cs="宋体" w:eastAsia="宋体" w:hint="default"/>
                <w:sz w:val="24"/>
                <w:szCs w:val="24"/>
              </w:rPr>
            </w:pPr>
            <w:r>
              <w:rPr>
                <w:rFonts w:ascii="宋体" w:hAnsi="宋体" w:cs="宋体" w:eastAsia="宋体" w:hint="default"/>
                <w:spacing w:val="4"/>
                <w:sz w:val="24"/>
                <w:szCs w:val="24"/>
              </w:rPr>
              <w:t>递延延保业务费用</w:t>
            </w:r>
            <w:r>
              <w:rPr>
                <w:rFonts w:ascii="宋体" w:hAnsi="宋体" w:cs="宋体" w:eastAsia="宋体" w:hint="default"/>
                <w:sz w:val="24"/>
                <w:szCs w:val="24"/>
              </w:rPr>
            </w:r>
          </w:p>
          <w:p>
            <w:pPr>
              <w:pStyle w:val="TableParagraph"/>
              <w:spacing w:line="240" w:lineRule="auto"/>
              <w:ind w:left="414" w:right="0"/>
              <w:jc w:val="left"/>
              <w:rPr>
                <w:rFonts w:ascii="Arial" w:hAnsi="Arial" w:cs="Arial" w:eastAsia="Arial" w:hint="default"/>
                <w:sz w:val="24"/>
                <w:szCs w:val="24"/>
              </w:rPr>
            </w:pPr>
            <w:r>
              <w:rPr>
                <w:rFonts w:ascii="Arial"/>
                <w:sz w:val="24"/>
              </w:rPr>
              <w:t>(a)</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38"/>
              <w:jc w:val="right"/>
              <w:rPr>
                <w:rFonts w:ascii="Arial" w:hAnsi="Arial" w:cs="Arial" w:eastAsia="Arial" w:hint="default"/>
                <w:sz w:val="24"/>
                <w:szCs w:val="24"/>
              </w:rPr>
            </w:pPr>
            <w:r>
              <w:rPr>
                <w:rFonts w:ascii="Arial"/>
                <w:spacing w:val="-1"/>
                <w:sz w:val="24"/>
              </w:rPr>
              <w:t>204,659</w:t>
            </w:r>
          </w:p>
        </w:tc>
        <w:tc>
          <w:tcPr>
            <w:tcW w:w="108"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38"/>
              <w:jc w:val="right"/>
              <w:rPr>
                <w:rFonts w:ascii="Arial" w:hAnsi="Arial" w:cs="Arial" w:eastAsia="Arial" w:hint="default"/>
                <w:sz w:val="24"/>
                <w:szCs w:val="24"/>
              </w:rPr>
            </w:pPr>
            <w:r>
              <w:rPr>
                <w:rFonts w:ascii="Arial"/>
                <w:spacing w:val="-1"/>
                <w:sz w:val="24"/>
              </w:rPr>
              <w:t>76,893</w:t>
            </w:r>
          </w:p>
        </w:tc>
        <w:tc>
          <w:tcPr>
            <w:tcW w:w="108"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36"/>
              <w:jc w:val="right"/>
              <w:rPr>
                <w:rFonts w:ascii="Arial" w:hAnsi="Arial" w:cs="Arial" w:eastAsia="Arial" w:hint="default"/>
                <w:sz w:val="24"/>
                <w:szCs w:val="24"/>
              </w:rPr>
            </w:pPr>
            <w:r>
              <w:rPr>
                <w:rFonts w:ascii="Arial"/>
                <w:spacing w:val="-1"/>
                <w:sz w:val="24"/>
              </w:rPr>
              <w:t>(50,964)</w:t>
            </w:r>
          </w:p>
        </w:tc>
        <w:tc>
          <w:tcPr>
            <w:tcW w:w="144"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40"/>
              <w:jc w:val="right"/>
              <w:rPr>
                <w:rFonts w:ascii="Arial" w:hAnsi="Arial" w:cs="Arial" w:eastAsia="Arial" w:hint="default"/>
                <w:sz w:val="24"/>
                <w:szCs w:val="24"/>
              </w:rPr>
            </w:pPr>
            <w:r>
              <w:rPr>
                <w:rFonts w:ascii="Arial"/>
                <w:w w:val="99"/>
                <w:sz w:val="24"/>
              </w:rPr>
              <w:t>-</w:t>
            </w:r>
            <w:r>
              <w:rPr>
                <w:rFonts w:ascii="Arial"/>
                <w:sz w:val="24"/>
              </w:rPr>
            </w:r>
          </w:p>
        </w:tc>
        <w:tc>
          <w:tcPr>
            <w:tcW w:w="106"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40"/>
              <w:jc w:val="right"/>
              <w:rPr>
                <w:rFonts w:ascii="Arial" w:hAnsi="Arial" w:cs="Arial" w:eastAsia="Arial" w:hint="default"/>
                <w:sz w:val="24"/>
                <w:szCs w:val="24"/>
              </w:rPr>
            </w:pPr>
            <w:r>
              <w:rPr>
                <w:rFonts w:ascii="Arial"/>
                <w:spacing w:val="-1"/>
                <w:sz w:val="24"/>
              </w:rPr>
              <w:t>230,588</w:t>
            </w:r>
          </w:p>
        </w:tc>
      </w:tr>
      <w:tr>
        <w:trPr>
          <w:trHeight w:val="560" w:hRule="exact"/>
        </w:trPr>
        <w:tc>
          <w:tcPr>
            <w:tcW w:w="776"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17" w:lineRule="exact"/>
              <w:ind w:left="172" w:right="0"/>
              <w:jc w:val="left"/>
              <w:rPr>
                <w:rFonts w:ascii="宋体" w:hAnsi="宋体" w:cs="宋体" w:eastAsia="宋体" w:hint="default"/>
                <w:sz w:val="24"/>
                <w:szCs w:val="24"/>
              </w:rPr>
            </w:pPr>
            <w:r>
              <w:rPr>
                <w:rFonts w:ascii="宋体" w:hAnsi="宋体" w:cs="宋体" w:eastAsia="宋体" w:hint="default"/>
                <w:spacing w:val="4"/>
                <w:sz w:val="24"/>
                <w:szCs w:val="24"/>
              </w:rPr>
              <w:t>预付长期房屋租赁</w:t>
            </w:r>
            <w:r>
              <w:rPr>
                <w:rFonts w:ascii="宋体" w:hAnsi="宋体" w:cs="宋体" w:eastAsia="宋体" w:hint="default"/>
                <w:sz w:val="24"/>
                <w:szCs w:val="24"/>
              </w:rPr>
            </w:r>
          </w:p>
          <w:p>
            <w:pPr>
              <w:pStyle w:val="TableParagraph"/>
              <w:spacing w:line="304" w:lineRule="exact"/>
              <w:ind w:left="398" w:right="0"/>
              <w:jc w:val="left"/>
              <w:rPr>
                <w:rFonts w:ascii="Arial" w:hAnsi="Arial" w:cs="Arial" w:eastAsia="Arial" w:hint="default"/>
                <w:sz w:val="24"/>
                <w:szCs w:val="24"/>
              </w:rPr>
            </w:pPr>
            <w:r>
              <w:rPr>
                <w:rFonts w:ascii="宋体" w:hAnsi="宋体" w:cs="宋体" w:eastAsia="宋体" w:hint="default"/>
                <w:sz w:val="24"/>
                <w:szCs w:val="24"/>
              </w:rPr>
              <w:t>费</w:t>
            </w:r>
            <w:r>
              <w:rPr>
                <w:rFonts w:ascii="Arial" w:hAnsi="Arial" w:cs="Arial" w:eastAsia="Arial" w:hint="default"/>
                <w:sz w:val="24"/>
                <w:szCs w:val="24"/>
              </w:rPr>
              <w:t>(b)</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8"/>
              <w:jc w:val="right"/>
              <w:rPr>
                <w:rFonts w:ascii="Arial" w:hAnsi="Arial" w:cs="Arial" w:eastAsia="Arial" w:hint="default"/>
                <w:sz w:val="24"/>
                <w:szCs w:val="24"/>
              </w:rPr>
            </w:pPr>
            <w:r>
              <w:rPr>
                <w:rFonts w:ascii="Arial"/>
                <w:spacing w:val="-1"/>
                <w:sz w:val="24"/>
              </w:rPr>
              <w:t>36,686</w:t>
            </w:r>
          </w:p>
        </w:tc>
        <w:tc>
          <w:tcPr>
            <w:tcW w:w="108"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8"/>
              <w:jc w:val="right"/>
              <w:rPr>
                <w:rFonts w:ascii="Arial" w:hAnsi="Arial" w:cs="Arial" w:eastAsia="Arial" w:hint="default"/>
                <w:sz w:val="24"/>
                <w:szCs w:val="24"/>
              </w:rPr>
            </w:pPr>
            <w:r>
              <w:rPr>
                <w:rFonts w:ascii="Arial"/>
                <w:w w:val="99"/>
                <w:sz w:val="24"/>
              </w:rPr>
              <w:t>-</w:t>
            </w:r>
            <w:r>
              <w:rPr>
                <w:rFonts w:ascii="Arial"/>
                <w:sz w:val="24"/>
              </w:rPr>
            </w:r>
          </w:p>
        </w:tc>
        <w:tc>
          <w:tcPr>
            <w:tcW w:w="108"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6"/>
              <w:jc w:val="right"/>
              <w:rPr>
                <w:rFonts w:ascii="Arial" w:hAnsi="Arial" w:cs="Arial" w:eastAsia="Arial" w:hint="default"/>
                <w:sz w:val="24"/>
                <w:szCs w:val="24"/>
              </w:rPr>
            </w:pPr>
            <w:r>
              <w:rPr>
                <w:rFonts w:ascii="Arial"/>
                <w:spacing w:val="-1"/>
                <w:sz w:val="24"/>
              </w:rPr>
              <w:t>(10,810)</w:t>
            </w:r>
          </w:p>
        </w:tc>
        <w:tc>
          <w:tcPr>
            <w:tcW w:w="144"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40"/>
              <w:jc w:val="right"/>
              <w:rPr>
                <w:rFonts w:ascii="Arial" w:hAnsi="Arial" w:cs="Arial" w:eastAsia="Arial" w:hint="default"/>
                <w:sz w:val="24"/>
                <w:szCs w:val="24"/>
              </w:rPr>
            </w:pPr>
            <w:r>
              <w:rPr>
                <w:rFonts w:ascii="Arial"/>
                <w:w w:val="99"/>
                <w:sz w:val="24"/>
              </w:rPr>
              <w:t>-</w:t>
            </w:r>
            <w:r>
              <w:rPr>
                <w:rFonts w:ascii="Arial"/>
                <w:sz w:val="24"/>
              </w:rPr>
            </w:r>
          </w:p>
        </w:tc>
        <w:tc>
          <w:tcPr>
            <w:tcW w:w="106"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40"/>
              <w:jc w:val="right"/>
              <w:rPr>
                <w:rFonts w:ascii="Arial" w:hAnsi="Arial" w:cs="Arial" w:eastAsia="Arial" w:hint="default"/>
                <w:sz w:val="24"/>
                <w:szCs w:val="24"/>
              </w:rPr>
            </w:pPr>
            <w:r>
              <w:rPr>
                <w:rFonts w:ascii="Arial"/>
                <w:spacing w:val="-1"/>
                <w:sz w:val="24"/>
              </w:rPr>
              <w:t>25,876</w:t>
            </w:r>
          </w:p>
        </w:tc>
      </w:tr>
      <w:tr>
        <w:trPr>
          <w:trHeight w:val="347" w:hRule="exact"/>
        </w:trPr>
        <w:tc>
          <w:tcPr>
            <w:tcW w:w="776"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85" w:lineRule="exact"/>
              <w:ind w:left="172" w:right="0"/>
              <w:jc w:val="left"/>
              <w:rPr>
                <w:rFonts w:ascii="宋体" w:hAnsi="宋体" w:cs="宋体" w:eastAsia="宋体" w:hint="default"/>
                <w:sz w:val="24"/>
                <w:szCs w:val="24"/>
              </w:rPr>
            </w:pPr>
            <w:r>
              <w:rPr>
                <w:rFonts w:ascii="宋体" w:hAnsi="宋体" w:cs="宋体" w:eastAsia="宋体" w:hint="default"/>
                <w:sz w:val="24"/>
                <w:szCs w:val="24"/>
              </w:rPr>
              <w:t>水电设施使用费</w:t>
            </w:r>
          </w:p>
        </w:tc>
        <w:tc>
          <w:tcPr>
            <w:tcW w:w="1349"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21"/>
              <w:ind w:right="3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5,349</w:t>
            </w:r>
            <w:r>
              <w:rPr>
                <w:rFonts w:ascii="Arial"/>
                <w:spacing w:val="-1"/>
                <w:sz w:val="24"/>
              </w:rPr>
            </w:r>
          </w:p>
        </w:tc>
        <w:tc>
          <w:tcPr>
            <w:tcW w:w="108"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tabs>
                <w:tab w:pos="1032" w:val="left" w:leader="none"/>
              </w:tabs>
              <w:spacing w:line="240" w:lineRule="auto" w:before="21"/>
              <w:ind w:right="3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c>
          <w:tcPr>
            <w:tcW w:w="108"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tabs>
                <w:tab w:pos="431" w:val="left" w:leader="none"/>
              </w:tabs>
              <w:spacing w:line="240" w:lineRule="auto" w:before="21"/>
              <w:ind w:right="3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(1,019)</w:t>
            </w:r>
            <w:r>
              <w:rPr>
                <w:rFonts w:ascii="Arial"/>
                <w:sz w:val="24"/>
              </w:rPr>
            </w:r>
          </w:p>
        </w:tc>
        <w:tc>
          <w:tcPr>
            <w:tcW w:w="144"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tabs>
                <w:tab w:pos="1049" w:val="left" w:leader="none"/>
              </w:tabs>
              <w:spacing w:line="240" w:lineRule="auto" w:before="21"/>
              <w:ind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c>
          <w:tcPr>
            <w:tcW w:w="106"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tabs>
                <w:tab w:pos="645" w:val="left" w:leader="none"/>
              </w:tabs>
              <w:spacing w:line="240" w:lineRule="auto" w:before="21"/>
              <w:ind w:right="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4,330</w:t>
            </w:r>
            <w:r>
              <w:rPr>
                <w:rFonts w:ascii="Arial"/>
                <w:spacing w:val="-1"/>
                <w:sz w:val="24"/>
              </w:rPr>
            </w:r>
          </w:p>
        </w:tc>
      </w:tr>
      <w:tr>
        <w:trPr>
          <w:trHeight w:val="320" w:hRule="exact"/>
        </w:trPr>
        <w:tc>
          <w:tcPr>
            <w:tcW w:w="776" w:type="dxa"/>
            <w:tcBorders>
              <w:top w:val="nil" w:sz="6" w:space="0" w:color="auto"/>
              <w:left w:val="nil" w:sz="6" w:space="0" w:color="auto"/>
              <w:bottom w:val="nil" w:sz="6" w:space="0" w:color="auto"/>
              <w:right w:val="nil" w:sz="6" w:space="0" w:color="auto"/>
            </w:tcBorders>
          </w:tcPr>
          <w:p>
            <w:pPr/>
          </w:p>
        </w:tc>
        <w:tc>
          <w:tcPr>
            <w:tcW w:w="35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right="38"/>
              <w:jc w:val="right"/>
              <w:rPr>
                <w:rFonts w:ascii="Arial" w:hAnsi="Arial" w:cs="Arial" w:eastAsia="Arial" w:hint="default"/>
                <w:sz w:val="24"/>
                <w:szCs w:val="24"/>
              </w:rPr>
            </w:pPr>
            <w:r>
              <w:rPr>
                <w:rFonts w:ascii="Arial"/>
                <w:spacing w:val="-1"/>
                <w:sz w:val="24"/>
              </w:rPr>
              <w:t>841,692</w:t>
            </w:r>
          </w:p>
        </w:tc>
        <w:tc>
          <w:tcPr>
            <w:tcW w:w="108"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single" w:sz="12" w:space="0" w:color="000000"/>
              <w:right w:val="nil" w:sz="6" w:space="0" w:color="auto"/>
            </w:tcBorders>
          </w:tcPr>
          <w:p>
            <w:pPr>
              <w:pStyle w:val="TableParagraph"/>
              <w:spacing w:line="240" w:lineRule="auto" w:before="25"/>
              <w:ind w:right="39"/>
              <w:jc w:val="right"/>
              <w:rPr>
                <w:rFonts w:ascii="Arial" w:hAnsi="Arial" w:cs="Arial" w:eastAsia="Arial" w:hint="default"/>
                <w:sz w:val="24"/>
                <w:szCs w:val="24"/>
              </w:rPr>
            </w:pPr>
            <w:r>
              <w:rPr>
                <w:rFonts w:ascii="Arial"/>
                <w:spacing w:val="-1"/>
                <w:sz w:val="24"/>
              </w:rPr>
              <w:t>649,160</w:t>
            </w:r>
          </w:p>
        </w:tc>
        <w:tc>
          <w:tcPr>
            <w:tcW w:w="108"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single" w:sz="12" w:space="0" w:color="000000"/>
              <w:right w:val="nil" w:sz="6" w:space="0" w:color="auto"/>
            </w:tcBorders>
          </w:tcPr>
          <w:p>
            <w:pPr>
              <w:pStyle w:val="TableParagraph"/>
              <w:spacing w:line="240" w:lineRule="auto" w:before="25"/>
              <w:ind w:right="38"/>
              <w:jc w:val="right"/>
              <w:rPr>
                <w:rFonts w:ascii="Arial" w:hAnsi="Arial" w:cs="Arial" w:eastAsia="Arial" w:hint="default"/>
                <w:sz w:val="24"/>
                <w:szCs w:val="24"/>
              </w:rPr>
            </w:pPr>
            <w:r>
              <w:rPr>
                <w:rFonts w:ascii="Arial"/>
                <w:spacing w:val="-3"/>
                <w:sz w:val="24"/>
              </w:rPr>
              <w:t>(636,110)</w:t>
            </w:r>
          </w:p>
        </w:tc>
        <w:tc>
          <w:tcPr>
            <w:tcW w:w="144"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single" w:sz="12" w:space="0" w:color="000000"/>
              <w:right w:val="nil" w:sz="6" w:space="0" w:color="auto"/>
            </w:tcBorders>
          </w:tcPr>
          <w:p>
            <w:pPr>
              <w:pStyle w:val="TableParagraph"/>
              <w:spacing w:line="240" w:lineRule="auto" w:before="25"/>
              <w:ind w:right="39"/>
              <w:jc w:val="right"/>
              <w:rPr>
                <w:rFonts w:ascii="Arial" w:hAnsi="Arial" w:cs="Arial" w:eastAsia="Arial" w:hint="default"/>
                <w:sz w:val="24"/>
                <w:szCs w:val="24"/>
              </w:rPr>
            </w:pPr>
            <w:r>
              <w:rPr>
                <w:rFonts w:ascii="Arial"/>
                <w:spacing w:val="-1"/>
                <w:sz w:val="24"/>
              </w:rPr>
              <w:t>(15,390)</w:t>
            </w:r>
          </w:p>
        </w:tc>
        <w:tc>
          <w:tcPr>
            <w:tcW w:w="106"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12" w:space="0" w:color="000000"/>
              <w:right w:val="nil" w:sz="6" w:space="0" w:color="auto"/>
            </w:tcBorders>
          </w:tcPr>
          <w:p>
            <w:pPr>
              <w:pStyle w:val="TableParagraph"/>
              <w:spacing w:line="240" w:lineRule="auto" w:before="25"/>
              <w:ind w:right="40"/>
              <w:jc w:val="right"/>
              <w:rPr>
                <w:rFonts w:ascii="Arial" w:hAnsi="Arial" w:cs="Arial" w:eastAsia="Arial" w:hint="default"/>
                <w:sz w:val="24"/>
                <w:szCs w:val="24"/>
              </w:rPr>
            </w:pPr>
            <w:r>
              <w:rPr>
                <w:rFonts w:ascii="Arial"/>
                <w:spacing w:val="-1"/>
                <w:sz w:val="24"/>
              </w:rPr>
              <w:t>839,352</w:t>
            </w:r>
          </w:p>
        </w:tc>
      </w:tr>
      <w:tr>
        <w:trPr>
          <w:trHeight w:val="1986"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2"/>
                <w:szCs w:val="32"/>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831"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1"/>
                <w:szCs w:val="31"/>
              </w:rPr>
            </w:pPr>
          </w:p>
          <w:p>
            <w:pPr>
              <w:pStyle w:val="TableParagraph"/>
              <w:spacing w:line="235" w:lineRule="auto"/>
              <w:ind w:left="172" w:right="579"/>
              <w:jc w:val="both"/>
              <w:rPr>
                <w:rFonts w:ascii="宋体" w:hAnsi="宋体" w:cs="宋体" w:eastAsia="宋体" w:hint="default"/>
                <w:sz w:val="24"/>
                <w:szCs w:val="24"/>
              </w:rPr>
            </w:pPr>
            <w:r>
              <w:rPr>
                <w:rFonts w:ascii="宋体" w:hAnsi="宋体" w:cs="宋体" w:eastAsia="宋体" w:hint="default"/>
                <w:spacing w:val="-3"/>
                <w:sz w:val="24"/>
                <w:szCs w:val="24"/>
              </w:rPr>
              <w:t>本集团向顾客提供电器延长保修业务，并就提供的延长保修业务与第三方保险</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公司签订保险服务协议书，支付相应保险费用以确保在日后提供延长保修期服</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务时可按合同规定向保险公司收取相关赔偿。于</w:t>
            </w:r>
            <w:r>
              <w:rPr>
                <w:rFonts w:ascii="Arial" w:hAnsi="Arial" w:cs="Arial" w:eastAsia="Arial" w:hint="default"/>
                <w:sz w:val="24"/>
                <w:szCs w:val="24"/>
              </w:rPr>
              <w:t>2012</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日，本集团收</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pacing w:val="4"/>
                <w:sz w:val="24"/>
                <w:szCs w:val="24"/>
              </w:rPr>
              <w:t>到的递延延保业务收入和支付的递延保险费用累计未摊销余额分别约人民币</w:t>
            </w:r>
            <w:r>
              <w:rPr>
                <w:rFonts w:ascii="宋体" w:hAnsi="宋体" w:cs="宋体" w:eastAsia="宋体" w:hint="default"/>
                <w:spacing w:val="4"/>
                <w:sz w:val="24"/>
                <w:szCs w:val="24"/>
              </w:rPr>
              <w:t> </w:t>
            </w:r>
            <w:r>
              <w:rPr>
                <w:rFonts w:ascii="Arial" w:hAnsi="Arial" w:cs="Arial" w:eastAsia="Arial" w:hint="default"/>
                <w:sz w:val="24"/>
                <w:szCs w:val="24"/>
              </w:rPr>
              <w:t>7.81</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(32))</w:t>
            </w:r>
            <w:r>
              <w:rPr>
                <w:rFonts w:ascii="宋体" w:hAnsi="宋体" w:cs="宋体" w:eastAsia="宋体" w:hint="default"/>
                <w:sz w:val="24"/>
                <w:szCs w:val="24"/>
              </w:rPr>
              <w:t>和约人民币</w:t>
            </w:r>
            <w:r>
              <w:rPr>
                <w:rFonts w:ascii="Arial" w:hAnsi="Arial" w:cs="Arial" w:eastAsia="Arial" w:hint="default"/>
                <w:sz w:val="24"/>
                <w:szCs w:val="24"/>
              </w:rPr>
              <w:t>2.31</w:t>
            </w:r>
            <w:r>
              <w:rPr>
                <w:rFonts w:ascii="宋体" w:hAnsi="宋体" w:cs="宋体" w:eastAsia="宋体" w:hint="default"/>
                <w:sz w:val="24"/>
                <w:szCs w:val="24"/>
              </w:rPr>
              <w:t>亿元。</w:t>
            </w:r>
          </w:p>
        </w:tc>
      </w:tr>
      <w:tr>
        <w:trPr>
          <w:trHeight w:val="1576"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00" w:right="0"/>
              <w:jc w:val="left"/>
              <w:rPr>
                <w:rFonts w:ascii="Arial" w:hAnsi="Arial" w:cs="Arial" w:eastAsia="Arial" w:hint="default"/>
                <w:sz w:val="24"/>
                <w:szCs w:val="24"/>
              </w:rPr>
            </w:pPr>
            <w:r>
              <w:rPr>
                <w:rFonts w:ascii="Arial"/>
                <w:sz w:val="24"/>
              </w:rPr>
              <w:t>(b)</w:t>
            </w:r>
          </w:p>
        </w:tc>
        <w:tc>
          <w:tcPr>
            <w:tcW w:w="8831" w:type="dxa"/>
            <w:gridSpan w:val="10"/>
            <w:tcBorders>
              <w:top w:val="nil" w:sz="6" w:space="0" w:color="auto"/>
              <w:left w:val="nil" w:sz="6" w:space="0" w:color="auto"/>
              <w:bottom w:val="nil" w:sz="6" w:space="0" w:color="auto"/>
              <w:right w:val="nil" w:sz="6" w:space="0" w:color="auto"/>
            </w:tcBorders>
          </w:tcPr>
          <w:p>
            <w:pPr>
              <w:pStyle w:val="TableParagraph"/>
              <w:spacing w:line="225" w:lineRule="auto" w:before="23"/>
              <w:ind w:left="172" w:right="461"/>
              <w:jc w:val="left"/>
              <w:rPr>
                <w:rFonts w:ascii="宋体" w:hAnsi="宋体" w:cs="宋体" w:eastAsia="宋体" w:hint="default"/>
                <w:sz w:val="24"/>
                <w:szCs w:val="24"/>
              </w:rPr>
            </w:pPr>
            <w:r>
              <w:rPr>
                <w:rFonts w:ascii="宋体" w:hAnsi="宋体" w:cs="宋体" w:eastAsia="宋体" w:hint="default"/>
                <w:spacing w:val="4"/>
                <w:sz w:val="24"/>
                <w:szCs w:val="24"/>
              </w:rPr>
              <w:t>本集团于</w:t>
            </w:r>
            <w:r>
              <w:rPr>
                <w:rFonts w:ascii="Arial" w:hAnsi="Arial" w:cs="Arial" w:eastAsia="Arial" w:hint="default"/>
                <w:spacing w:val="4"/>
                <w:sz w:val="24"/>
                <w:szCs w:val="24"/>
              </w:rPr>
              <w:t>2007</w:t>
            </w:r>
            <w:r>
              <w:rPr>
                <w:rFonts w:ascii="宋体" w:hAnsi="宋体" w:cs="宋体" w:eastAsia="宋体" w:hint="default"/>
                <w:spacing w:val="4"/>
                <w:sz w:val="24"/>
                <w:szCs w:val="24"/>
              </w:rPr>
              <w:t>年</w:t>
            </w:r>
            <w:r>
              <w:rPr>
                <w:rFonts w:ascii="Arial" w:hAnsi="Arial" w:cs="Arial" w:eastAsia="Arial" w:hint="default"/>
                <w:spacing w:val="4"/>
                <w:sz w:val="24"/>
                <w:szCs w:val="24"/>
              </w:rPr>
              <w:t>12</w:t>
            </w:r>
            <w:r>
              <w:rPr>
                <w:rFonts w:ascii="宋体" w:hAnsi="宋体" w:cs="宋体" w:eastAsia="宋体" w:hint="default"/>
                <w:spacing w:val="4"/>
                <w:sz w:val="24"/>
                <w:szCs w:val="24"/>
              </w:rPr>
              <w:t>月签订租赁合同，本集团预付约人民币</w:t>
            </w:r>
            <w:r>
              <w:rPr>
                <w:rFonts w:ascii="Arial" w:hAnsi="Arial" w:cs="Arial" w:eastAsia="Arial" w:hint="default"/>
                <w:spacing w:val="4"/>
                <w:sz w:val="24"/>
                <w:szCs w:val="24"/>
              </w:rPr>
              <w:t>5,000</w:t>
            </w:r>
            <w:r>
              <w:rPr>
                <w:rFonts w:ascii="宋体" w:hAnsi="宋体" w:cs="宋体" w:eastAsia="宋体" w:hint="default"/>
                <w:spacing w:val="4"/>
                <w:sz w:val="24"/>
                <w:szCs w:val="24"/>
              </w:rPr>
              <w:t>万元的租赁</w:t>
            </w:r>
            <w:r>
              <w:rPr>
                <w:rFonts w:ascii="宋体" w:hAnsi="宋体" w:cs="宋体" w:eastAsia="宋体" w:hint="default"/>
                <w:spacing w:val="-88"/>
                <w:sz w:val="24"/>
                <w:szCs w:val="24"/>
              </w:rPr>
              <w:t> </w:t>
            </w:r>
            <w:r>
              <w:rPr>
                <w:rFonts w:ascii="宋体" w:hAnsi="宋体" w:cs="宋体" w:eastAsia="宋体" w:hint="default"/>
                <w:sz w:val="24"/>
                <w:szCs w:val="24"/>
              </w:rPr>
              <w:t>费，取得一处商铺为期</w:t>
            </w:r>
            <w:r>
              <w:rPr>
                <w:rFonts w:ascii="Arial" w:hAnsi="Arial" w:cs="Arial" w:eastAsia="Arial" w:hint="default"/>
                <w:sz w:val="24"/>
                <w:szCs w:val="24"/>
              </w:rPr>
              <w:t>8</w:t>
            </w:r>
            <w:r>
              <w:rPr>
                <w:rFonts w:ascii="宋体" w:hAnsi="宋体" w:cs="宋体" w:eastAsia="宋体" w:hint="default"/>
                <w:sz w:val="24"/>
                <w:szCs w:val="24"/>
              </w:rPr>
              <w:t>年的租赁权。另于</w:t>
            </w:r>
            <w:r>
              <w:rPr>
                <w:rFonts w:ascii="Arial" w:hAnsi="Arial" w:cs="Arial" w:eastAsia="Arial" w:hint="default"/>
                <w:sz w:val="24"/>
                <w:szCs w:val="24"/>
              </w:rPr>
              <w:t>2010</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月签订租赁合同，预付人 民币</w:t>
            </w:r>
            <w:r>
              <w:rPr>
                <w:rFonts w:ascii="Arial" w:hAnsi="Arial" w:cs="Arial" w:eastAsia="Arial" w:hint="default"/>
                <w:sz w:val="24"/>
                <w:szCs w:val="24"/>
              </w:rPr>
              <w:t>1,500</w:t>
            </w:r>
            <w:r>
              <w:rPr>
                <w:rFonts w:ascii="宋体" w:hAnsi="宋体" w:cs="宋体" w:eastAsia="宋体" w:hint="default"/>
                <w:sz w:val="24"/>
                <w:szCs w:val="24"/>
              </w:rPr>
              <w:t>万元的租赁费，取得一处商铺为期</w:t>
            </w:r>
            <w:r>
              <w:rPr>
                <w:rFonts w:ascii="Arial" w:hAnsi="Arial" w:cs="Arial" w:eastAsia="Arial" w:hint="default"/>
                <w:sz w:val="24"/>
                <w:szCs w:val="24"/>
              </w:rPr>
              <w:t>5</w:t>
            </w:r>
            <w:r>
              <w:rPr>
                <w:rFonts w:ascii="宋体" w:hAnsi="宋体" w:cs="宋体" w:eastAsia="宋体" w:hint="default"/>
                <w:sz w:val="24"/>
                <w:szCs w:val="24"/>
              </w:rPr>
              <w:t>年的租赁权。于</w:t>
            </w:r>
            <w:r>
              <w:rPr>
                <w:rFonts w:ascii="Arial" w:hAnsi="Arial" w:cs="Arial" w:eastAsia="Arial" w:hint="default"/>
                <w:sz w:val="24"/>
                <w:szCs w:val="24"/>
              </w:rPr>
              <w:t>2011</w:t>
            </w:r>
            <w:r>
              <w:rPr>
                <w:rFonts w:ascii="宋体" w:hAnsi="宋体" w:cs="宋体" w:eastAsia="宋体" w:hint="default"/>
                <w:sz w:val="24"/>
                <w:szCs w:val="24"/>
              </w:rPr>
              <w:t>年</w:t>
            </w:r>
            <w:r>
              <w:rPr>
                <w:rFonts w:ascii="Arial" w:hAnsi="Arial" w:cs="Arial" w:eastAsia="Arial" w:hint="default"/>
                <w:sz w:val="24"/>
                <w:szCs w:val="24"/>
              </w:rPr>
              <w:t>6</w:t>
            </w:r>
            <w:r>
              <w:rPr>
                <w:rFonts w:ascii="宋体" w:hAnsi="宋体" w:cs="宋体" w:eastAsia="宋体" w:hint="default"/>
                <w:sz w:val="24"/>
                <w:szCs w:val="24"/>
              </w:rPr>
              <w:t>月签订 </w:t>
            </w:r>
            <w:r>
              <w:rPr>
                <w:rFonts w:ascii="宋体" w:hAnsi="宋体" w:cs="宋体" w:eastAsia="宋体" w:hint="default"/>
                <w:spacing w:val="-5"/>
                <w:sz w:val="24"/>
                <w:szCs w:val="24"/>
              </w:rPr>
              <w:t>租赁合同，预付约人民币</w:t>
            </w:r>
            <w:r>
              <w:rPr>
                <w:rFonts w:ascii="Arial" w:hAnsi="Arial" w:cs="Arial" w:eastAsia="Arial" w:hint="default"/>
                <w:spacing w:val="-5"/>
                <w:sz w:val="24"/>
                <w:szCs w:val="24"/>
              </w:rPr>
              <w:t>462</w:t>
            </w:r>
            <w:r>
              <w:rPr>
                <w:rFonts w:ascii="宋体" w:hAnsi="宋体" w:cs="宋体" w:eastAsia="宋体" w:hint="default"/>
                <w:spacing w:val="-5"/>
                <w:sz w:val="24"/>
                <w:szCs w:val="24"/>
              </w:rPr>
              <w:t>万元的租赁费，取得一处商铺为期</w:t>
            </w:r>
            <w:r>
              <w:rPr>
                <w:rFonts w:ascii="Arial" w:hAnsi="Arial" w:cs="Arial" w:eastAsia="Arial" w:hint="default"/>
                <w:spacing w:val="-5"/>
                <w:sz w:val="24"/>
                <w:szCs w:val="24"/>
              </w:rPr>
              <w:t>10</w:t>
            </w:r>
            <w:r>
              <w:rPr>
                <w:rFonts w:ascii="宋体" w:hAnsi="宋体" w:cs="宋体" w:eastAsia="宋体" w:hint="default"/>
                <w:spacing w:val="-5"/>
                <w:sz w:val="24"/>
                <w:szCs w:val="24"/>
              </w:rPr>
              <w:t>年的租赁权。</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于</w:t>
            </w:r>
            <w:r>
              <w:rPr>
                <w:rFonts w:ascii="Arial" w:hAnsi="Arial" w:cs="Arial" w:eastAsia="Arial" w:hint="default"/>
                <w:sz w:val="24"/>
                <w:szCs w:val="24"/>
              </w:rPr>
              <w:t>2012</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日，预付的</w:t>
            </w:r>
            <w:r>
              <w:rPr>
                <w:rFonts w:ascii="Arial" w:hAnsi="Arial" w:cs="Arial" w:eastAsia="Arial" w:hint="default"/>
                <w:sz w:val="24"/>
                <w:szCs w:val="24"/>
              </w:rPr>
              <w:t>1</w:t>
            </w:r>
            <w:r>
              <w:rPr>
                <w:rFonts w:ascii="宋体" w:hAnsi="宋体" w:cs="宋体" w:eastAsia="宋体" w:hint="default"/>
                <w:sz w:val="24"/>
                <w:szCs w:val="24"/>
              </w:rPr>
              <w:t>年以上租赁费合计约人民币</w:t>
            </w:r>
            <w:r>
              <w:rPr>
                <w:rFonts w:ascii="Arial" w:hAnsi="Arial" w:cs="Arial" w:eastAsia="Arial" w:hint="default"/>
                <w:sz w:val="24"/>
                <w:szCs w:val="24"/>
              </w:rPr>
              <w:t>2,588</w:t>
            </w:r>
            <w:r>
              <w:rPr>
                <w:rFonts w:ascii="宋体" w:hAnsi="宋体" w:cs="宋体" w:eastAsia="宋体" w:hint="default"/>
                <w:sz w:val="24"/>
                <w:szCs w:val="24"/>
              </w:rPr>
              <w:t>万元。</w:t>
            </w:r>
          </w:p>
        </w:tc>
      </w:tr>
    </w:tbl>
    <w:p>
      <w:pPr>
        <w:spacing w:after="0" w:line="225" w:lineRule="auto"/>
        <w:jc w:val="left"/>
        <w:rPr>
          <w:rFonts w:ascii="宋体" w:hAnsi="宋体" w:cs="宋体" w:eastAsia="宋体"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3664" type="#_x0000_t75" stroked="false">
            <v:imagedata r:id="rId10" o:title=""/>
          </v:shape>
        </w:pict>
      </w:r>
    </w:p>
    <w:p>
      <w:pPr>
        <w:spacing w:line="240" w:lineRule="auto" w:before="4"/>
        <w:rPr>
          <w:rFonts w:ascii="Times New Roman" w:hAnsi="Times New Roman" w:cs="Times New Roman" w:eastAsia="Times New Roman" w:hint="default"/>
          <w:sz w:val="13"/>
          <w:szCs w:val="13"/>
        </w:rPr>
      </w:pPr>
    </w:p>
    <w:tbl>
      <w:tblPr>
        <w:tblW w:w="0" w:type="auto"/>
        <w:jc w:val="left"/>
        <w:tblInd w:w="128" w:type="dxa"/>
        <w:tblLayout w:type="fixed"/>
        <w:tblCellMar>
          <w:top w:w="0" w:type="dxa"/>
          <w:left w:w="0" w:type="dxa"/>
          <w:bottom w:w="0" w:type="dxa"/>
          <w:right w:w="0" w:type="dxa"/>
        </w:tblCellMar>
        <w:tblLook w:val="01E0"/>
      </w:tblPr>
      <w:tblGrid>
        <w:gridCol w:w="771"/>
        <w:gridCol w:w="3143"/>
      </w:tblGrid>
      <w:tr>
        <w:trPr>
          <w:trHeight w:val="495"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143" w:type="dxa"/>
            <w:tcBorders>
              <w:top w:val="nil" w:sz="6" w:space="0" w:color="auto"/>
              <w:left w:val="nil" w:sz="6" w:space="0" w:color="auto"/>
              <w:bottom w:val="nil" w:sz="6" w:space="0" w:color="auto"/>
              <w:right w:val="nil" w:sz="6" w:space="0" w:color="auto"/>
            </w:tcBorders>
          </w:tcPr>
          <w:p>
            <w:pPr>
              <w:pStyle w:val="TableParagraph"/>
              <w:spacing w:line="257" w:lineRule="exact"/>
              <w:ind w:left="14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91"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(17)</w:t>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3" w:right="0"/>
              <w:jc w:val="left"/>
              <w:rPr>
                <w:rFonts w:ascii="黑体" w:hAnsi="黑体" w:cs="黑体" w:eastAsia="黑体" w:hint="default"/>
                <w:sz w:val="24"/>
                <w:szCs w:val="24"/>
              </w:rPr>
            </w:pPr>
            <w:r>
              <w:rPr>
                <w:rFonts w:ascii="黑体" w:hAnsi="黑体" w:cs="黑体" w:eastAsia="黑体" w:hint="default"/>
                <w:sz w:val="24"/>
                <w:szCs w:val="24"/>
              </w:rPr>
              <w:t>其他非流动资产</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845" w:type="dxa"/>
        <w:tblLayout w:type="fixed"/>
        <w:tblCellMar>
          <w:top w:w="0" w:type="dxa"/>
          <w:left w:w="0" w:type="dxa"/>
          <w:bottom w:w="0" w:type="dxa"/>
          <w:right w:w="0" w:type="dxa"/>
        </w:tblCellMar>
        <w:tblLook w:val="01E0"/>
      </w:tblPr>
      <w:tblGrid>
        <w:gridCol w:w="3623"/>
        <w:gridCol w:w="2302"/>
        <w:gridCol w:w="238"/>
        <w:gridCol w:w="2204"/>
      </w:tblGrid>
      <w:tr>
        <w:trPr>
          <w:trHeight w:val="465" w:hRule="exact"/>
        </w:trPr>
        <w:tc>
          <w:tcPr>
            <w:tcW w:w="5925"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3731"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238"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57" w:lineRule="exact"/>
              <w:ind w:right="57"/>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10" w:hRule="exact"/>
        </w:trPr>
        <w:tc>
          <w:tcPr>
            <w:tcW w:w="3623"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宋体" w:hAnsi="宋体" w:cs="宋体" w:eastAsia="宋体" w:hint="default"/>
                <w:sz w:val="24"/>
                <w:szCs w:val="24"/>
              </w:rPr>
            </w:pPr>
            <w:r>
              <w:rPr>
                <w:rFonts w:ascii="宋体" w:hAnsi="宋体" w:cs="宋体" w:eastAsia="宋体" w:hint="default"/>
                <w:sz w:val="24"/>
                <w:szCs w:val="24"/>
              </w:rPr>
              <w:t>预付土地及购房款</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95"/>
              <w:ind w:right="112"/>
              <w:jc w:val="right"/>
              <w:rPr>
                <w:rFonts w:ascii="Arial" w:hAnsi="Arial" w:cs="Arial" w:eastAsia="Arial" w:hint="default"/>
                <w:sz w:val="24"/>
                <w:szCs w:val="24"/>
              </w:rPr>
            </w:pPr>
            <w:r>
              <w:rPr>
                <w:rFonts w:ascii="Arial"/>
                <w:spacing w:val="-1"/>
                <w:sz w:val="24"/>
              </w:rPr>
              <w:t>1,398,586</w:t>
            </w:r>
          </w:p>
        </w:tc>
        <w:tc>
          <w:tcPr>
            <w:tcW w:w="238"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195"/>
              <w:ind w:right="102"/>
              <w:jc w:val="right"/>
              <w:rPr>
                <w:rFonts w:ascii="Arial" w:hAnsi="Arial" w:cs="Arial" w:eastAsia="Arial" w:hint="default"/>
                <w:sz w:val="24"/>
                <w:szCs w:val="24"/>
              </w:rPr>
            </w:pPr>
            <w:r>
              <w:rPr>
                <w:rFonts w:ascii="Arial"/>
                <w:spacing w:val="-1"/>
                <w:sz w:val="24"/>
              </w:rPr>
              <w:t>1,308,702</w:t>
            </w:r>
          </w:p>
        </w:tc>
      </w:tr>
      <w:tr>
        <w:trPr>
          <w:trHeight w:val="347" w:hRule="exact"/>
        </w:trPr>
        <w:tc>
          <w:tcPr>
            <w:tcW w:w="3623" w:type="dxa"/>
            <w:tcBorders>
              <w:top w:val="nil" w:sz="6" w:space="0" w:color="auto"/>
              <w:left w:val="nil" w:sz="6" w:space="0" w:color="auto"/>
              <w:bottom w:val="nil" w:sz="6" w:space="0" w:color="auto"/>
              <w:right w:val="nil" w:sz="6" w:space="0" w:color="auto"/>
            </w:tcBorders>
          </w:tcPr>
          <w:p>
            <w:pPr>
              <w:pStyle w:val="TableParagraph"/>
              <w:spacing w:line="302" w:lineRule="exact"/>
              <w:ind w:left="207" w:right="0"/>
              <w:jc w:val="left"/>
              <w:rPr>
                <w:rFonts w:ascii="Arial" w:hAnsi="Arial" w:cs="Arial" w:eastAsia="Arial" w:hint="default"/>
                <w:sz w:val="24"/>
                <w:szCs w:val="24"/>
              </w:rPr>
            </w:pPr>
            <w:r>
              <w:rPr>
                <w:rFonts w:ascii="宋体" w:hAnsi="宋体" w:cs="宋体" w:eastAsia="宋体" w:hint="default"/>
                <w:sz w:val="24"/>
                <w:szCs w:val="24"/>
              </w:rPr>
              <w:t>预付股权收购款</w:t>
            </w:r>
            <w:r>
              <w:rPr>
                <w:rFonts w:ascii="Arial" w:hAnsi="Arial" w:cs="Arial" w:eastAsia="Arial" w:hint="default"/>
                <w:sz w:val="24"/>
                <w:szCs w:val="24"/>
              </w:rPr>
              <w:t>(</w:t>
            </w:r>
            <w:r>
              <w:rPr>
                <w:rFonts w:ascii="宋体" w:hAnsi="宋体" w:cs="宋体" w:eastAsia="宋体" w:hint="default"/>
                <w:sz w:val="24"/>
                <w:szCs w:val="24"/>
              </w:rPr>
              <w:t>附注八</w:t>
            </w:r>
            <w:r>
              <w:rPr>
                <w:rFonts w:ascii="Arial" w:hAnsi="Arial" w:cs="Arial" w:eastAsia="Arial" w:hint="default"/>
                <w:sz w:val="24"/>
                <w:szCs w:val="24"/>
              </w:rPr>
              <w:t>(3))</w:t>
            </w:r>
          </w:p>
        </w:tc>
        <w:tc>
          <w:tcPr>
            <w:tcW w:w="230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2"/>
              <w:jc w:val="right"/>
              <w:rPr>
                <w:rFonts w:ascii="Arial" w:hAnsi="Arial" w:cs="Arial" w:eastAsia="Arial" w:hint="default"/>
                <w:sz w:val="24"/>
                <w:szCs w:val="24"/>
              </w:rPr>
            </w:pPr>
            <w:r>
              <w:rPr>
                <w:rFonts w:ascii="Arial"/>
                <w:spacing w:val="-1"/>
                <w:sz w:val="24"/>
              </w:rPr>
              <w:t>62,777</w:t>
            </w:r>
          </w:p>
        </w:tc>
        <w:tc>
          <w:tcPr>
            <w:tcW w:w="238"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2"/>
              <w:jc w:val="right"/>
              <w:rPr>
                <w:rFonts w:ascii="Arial" w:hAnsi="Arial" w:cs="Arial" w:eastAsia="Arial" w:hint="default"/>
                <w:sz w:val="24"/>
                <w:szCs w:val="24"/>
              </w:rPr>
            </w:pPr>
            <w:r>
              <w:rPr>
                <w:rFonts w:ascii="Arial"/>
                <w:w w:val="99"/>
                <w:sz w:val="24"/>
              </w:rPr>
              <w:t>-</w:t>
            </w:r>
            <w:r>
              <w:rPr>
                <w:rFonts w:ascii="Arial"/>
                <w:sz w:val="24"/>
              </w:rPr>
            </w:r>
          </w:p>
        </w:tc>
      </w:tr>
      <w:tr>
        <w:trPr>
          <w:trHeight w:val="360" w:hRule="exact"/>
        </w:trPr>
        <w:tc>
          <w:tcPr>
            <w:tcW w:w="3623" w:type="dxa"/>
            <w:tcBorders>
              <w:top w:val="nil" w:sz="6" w:space="0" w:color="auto"/>
              <w:left w:val="nil" w:sz="6" w:space="0" w:color="auto"/>
              <w:bottom w:val="nil" w:sz="6" w:space="0" w:color="auto"/>
              <w:right w:val="nil" w:sz="6" w:space="0" w:color="auto"/>
            </w:tcBorders>
          </w:tcPr>
          <w:p>
            <w:pPr/>
          </w:p>
        </w:tc>
        <w:tc>
          <w:tcPr>
            <w:tcW w:w="2302"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103"/>
              <w:jc w:val="right"/>
              <w:rPr>
                <w:rFonts w:ascii="Arial" w:hAnsi="Arial" w:cs="Arial" w:eastAsia="Arial" w:hint="default"/>
                <w:sz w:val="24"/>
                <w:szCs w:val="24"/>
              </w:rPr>
            </w:pPr>
            <w:r>
              <w:rPr>
                <w:rFonts w:ascii="Arial"/>
                <w:spacing w:val="-1"/>
                <w:sz w:val="24"/>
              </w:rPr>
              <w:t>1,461,363</w:t>
            </w:r>
          </w:p>
        </w:tc>
        <w:tc>
          <w:tcPr>
            <w:tcW w:w="238" w:type="dxa"/>
            <w:tcBorders>
              <w:top w:val="nil" w:sz="6" w:space="0" w:color="auto"/>
              <w:left w:val="nil" w:sz="6" w:space="0" w:color="auto"/>
              <w:bottom w:val="nil" w:sz="6" w:space="0" w:color="auto"/>
              <w:right w:val="nil" w:sz="6" w:space="0" w:color="auto"/>
            </w:tcBorders>
          </w:tcPr>
          <w:p>
            <w:pPr/>
          </w:p>
        </w:tc>
        <w:tc>
          <w:tcPr>
            <w:tcW w:w="2204"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86"/>
              <w:jc w:val="right"/>
              <w:rPr>
                <w:rFonts w:ascii="Arial" w:hAnsi="Arial" w:cs="Arial" w:eastAsia="Arial" w:hint="default"/>
                <w:sz w:val="24"/>
                <w:szCs w:val="24"/>
              </w:rPr>
            </w:pPr>
            <w:r>
              <w:rPr>
                <w:rFonts w:ascii="Arial"/>
                <w:spacing w:val="-1"/>
                <w:sz w:val="24"/>
              </w:rPr>
              <w:t>1,308,702</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777"/>
        <w:gridCol w:w="1914"/>
        <w:gridCol w:w="1507"/>
        <w:gridCol w:w="1728"/>
        <w:gridCol w:w="1514"/>
        <w:gridCol w:w="51"/>
        <w:gridCol w:w="135"/>
        <w:gridCol w:w="1462"/>
      </w:tblGrid>
      <w:tr>
        <w:trPr>
          <w:trHeight w:val="436"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(18)</w:t>
            </w:r>
          </w:p>
        </w:tc>
        <w:tc>
          <w:tcPr>
            <w:tcW w:w="5150" w:type="dxa"/>
            <w:gridSpan w:val="3"/>
            <w:tcBorders>
              <w:top w:val="nil" w:sz="6" w:space="0" w:color="auto"/>
              <w:left w:val="nil" w:sz="6" w:space="0" w:color="auto"/>
              <w:bottom w:val="nil" w:sz="6" w:space="0" w:color="auto"/>
              <w:right w:val="nil" w:sz="6" w:space="0" w:color="auto"/>
            </w:tcBorders>
          </w:tcPr>
          <w:p>
            <w:pPr>
              <w:pStyle w:val="TableParagraph"/>
              <w:spacing w:line="247" w:lineRule="exact"/>
              <w:ind w:left="149" w:right="0"/>
              <w:jc w:val="left"/>
              <w:rPr>
                <w:rFonts w:ascii="黑体" w:hAnsi="黑体" w:cs="黑体" w:eastAsia="黑体" w:hint="default"/>
                <w:sz w:val="24"/>
                <w:szCs w:val="24"/>
              </w:rPr>
            </w:pPr>
            <w:r>
              <w:rPr>
                <w:rFonts w:ascii="黑体" w:hAnsi="黑体" w:cs="黑体" w:eastAsia="黑体" w:hint="default"/>
                <w:sz w:val="24"/>
                <w:szCs w:val="24"/>
              </w:rPr>
              <w:t>递延所得税资产和递延所得税负债</w:t>
            </w:r>
          </w:p>
        </w:tc>
        <w:tc>
          <w:tcPr>
            <w:tcW w:w="1514" w:type="dxa"/>
            <w:tcBorders>
              <w:top w:val="nil" w:sz="6" w:space="0" w:color="auto"/>
              <w:left w:val="nil" w:sz="6" w:space="0" w:color="auto"/>
              <w:bottom w:val="nil" w:sz="6" w:space="0" w:color="auto"/>
              <w:right w:val="nil" w:sz="6" w:space="0" w:color="auto"/>
            </w:tcBorders>
          </w:tcPr>
          <w:p>
            <w:pPr/>
          </w:p>
        </w:tc>
        <w:tc>
          <w:tcPr>
            <w:tcW w:w="51"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r>
      <w:tr>
        <w:trPr>
          <w:trHeight w:val="623"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200" w:right="0"/>
              <w:jc w:val="left"/>
              <w:rPr>
                <w:rFonts w:ascii="Arial" w:hAnsi="Arial" w:cs="Arial" w:eastAsia="Arial" w:hint="default"/>
                <w:sz w:val="24"/>
                <w:szCs w:val="24"/>
              </w:rPr>
            </w:pPr>
            <w:r>
              <w:rPr>
                <w:rFonts w:ascii="Arial"/>
                <w:sz w:val="24"/>
              </w:rPr>
              <w:t>(a)</w:t>
            </w:r>
          </w:p>
        </w:tc>
        <w:tc>
          <w:tcPr>
            <w:tcW w:w="34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1"/>
              <w:ind w:left="149" w:right="0"/>
              <w:jc w:val="left"/>
              <w:rPr>
                <w:rFonts w:ascii="宋体" w:hAnsi="宋体" w:cs="宋体" w:eastAsia="宋体" w:hint="default"/>
                <w:sz w:val="24"/>
                <w:szCs w:val="24"/>
              </w:rPr>
            </w:pPr>
            <w:r>
              <w:rPr>
                <w:rFonts w:ascii="宋体" w:hAnsi="宋体" w:cs="宋体" w:eastAsia="宋体" w:hint="default"/>
                <w:sz w:val="24"/>
                <w:szCs w:val="24"/>
              </w:rPr>
              <w:t>未经抵销的递延所得税资产</w:t>
            </w:r>
          </w:p>
        </w:tc>
        <w:tc>
          <w:tcPr>
            <w:tcW w:w="172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51"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r>
      <w:tr>
        <w:trPr>
          <w:trHeight w:val="400" w:hRule="exact"/>
        </w:trPr>
        <w:tc>
          <w:tcPr>
            <w:tcW w:w="777"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
        </w:tc>
        <w:tc>
          <w:tcPr>
            <w:tcW w:w="323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32"/>
              <w:ind w:left="835"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3161"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32"/>
              <w:ind w:left="873"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71" w:hRule="exact"/>
        </w:trPr>
        <w:tc>
          <w:tcPr>
            <w:tcW w:w="777"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28" w:type="dxa"/>
            <w:tcBorders>
              <w:top w:val="single" w:sz="4" w:space="0" w:color="000000"/>
              <w:left w:val="nil" w:sz="6" w:space="0" w:color="auto"/>
              <w:bottom w:val="nil" w:sz="6" w:space="0" w:color="auto"/>
              <w:right w:val="nil" w:sz="6" w:space="0" w:color="auto"/>
            </w:tcBorders>
          </w:tcPr>
          <w:p>
            <w:pPr>
              <w:pStyle w:val="TableParagraph"/>
              <w:spacing w:line="204" w:lineRule="exact"/>
              <w:ind w:left="605" w:right="0" w:hanging="361"/>
              <w:jc w:val="left"/>
              <w:rPr>
                <w:rFonts w:ascii="宋体" w:hAnsi="宋体" w:cs="宋体" w:eastAsia="宋体" w:hint="default"/>
                <w:sz w:val="18"/>
                <w:szCs w:val="18"/>
              </w:rPr>
            </w:pPr>
            <w:r>
              <w:rPr>
                <w:rFonts w:ascii="宋体" w:hAnsi="宋体" w:cs="宋体" w:eastAsia="宋体" w:hint="default"/>
                <w:sz w:val="18"/>
                <w:szCs w:val="18"/>
              </w:rPr>
              <w:t>可抵扣暂时性差异</w:t>
            </w:r>
          </w:p>
          <w:p>
            <w:pPr>
              <w:pStyle w:val="TableParagraph"/>
              <w:spacing w:line="234" w:lineRule="exact"/>
              <w:ind w:left="605" w:right="0"/>
              <w:jc w:val="left"/>
              <w:rPr>
                <w:rFonts w:ascii="宋体" w:hAnsi="宋体" w:cs="宋体" w:eastAsia="宋体" w:hint="default"/>
                <w:sz w:val="18"/>
                <w:szCs w:val="18"/>
              </w:rPr>
            </w:pPr>
            <w:r>
              <w:rPr>
                <w:rFonts w:ascii="宋体" w:hAnsi="宋体" w:cs="宋体" w:eastAsia="宋体" w:hint="default"/>
                <w:sz w:val="18"/>
                <w:szCs w:val="18"/>
              </w:rPr>
              <w:t>及可抵扣亏损</w:t>
            </w:r>
          </w:p>
        </w:tc>
        <w:tc>
          <w:tcPr>
            <w:tcW w:w="1514" w:type="dxa"/>
            <w:tcBorders>
              <w:top w:val="single" w:sz="4" w:space="0" w:color="000000"/>
              <w:left w:val="nil" w:sz="6" w:space="0" w:color="auto"/>
              <w:bottom w:val="nil" w:sz="6" w:space="0" w:color="auto"/>
              <w:right w:val="nil" w:sz="6" w:space="0" w:color="auto"/>
            </w:tcBorders>
          </w:tcPr>
          <w:p>
            <w:pPr>
              <w:pStyle w:val="TableParagraph"/>
              <w:spacing w:line="205" w:lineRule="exact"/>
              <w:ind w:left="25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51" w:type="dxa"/>
            <w:tcBorders>
              <w:top w:val="single" w:sz="4" w:space="0" w:color="000000"/>
              <w:left w:val="nil" w:sz="6" w:space="0" w:color="auto"/>
              <w:bottom w:val="nil" w:sz="6" w:space="0" w:color="auto"/>
              <w:right w:val="nil" w:sz="6" w:space="0" w:color="auto"/>
            </w:tcBorders>
          </w:tcPr>
          <w:p>
            <w:pPr/>
          </w:p>
        </w:tc>
        <w:tc>
          <w:tcPr>
            <w:tcW w:w="135" w:type="dxa"/>
            <w:tcBorders>
              <w:top w:val="single" w:sz="4" w:space="0" w:color="000000"/>
              <w:left w:val="nil" w:sz="6" w:space="0" w:color="auto"/>
              <w:bottom w:val="nil" w:sz="6" w:space="0" w:color="auto"/>
              <w:right w:val="nil" w:sz="6" w:space="0" w:color="auto"/>
            </w:tcBorders>
          </w:tcPr>
          <w:p>
            <w:pPr/>
          </w:p>
        </w:tc>
        <w:tc>
          <w:tcPr>
            <w:tcW w:w="1462" w:type="dxa"/>
            <w:tcBorders>
              <w:top w:val="single" w:sz="4" w:space="0" w:color="000000"/>
              <w:left w:val="nil" w:sz="6" w:space="0" w:color="auto"/>
              <w:bottom w:val="nil" w:sz="6" w:space="0" w:color="auto"/>
              <w:right w:val="nil" w:sz="6" w:space="0" w:color="auto"/>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可抵扣暂时性差异</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及可抵扣亏损</w:t>
            </w:r>
          </w:p>
        </w:tc>
      </w:tr>
      <w:tr>
        <w:trPr>
          <w:trHeight w:val="246" w:hRule="exact"/>
        </w:trPr>
        <w:tc>
          <w:tcPr>
            <w:tcW w:w="777"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Style w:val="TableParagraph"/>
              <w:spacing w:line="208" w:lineRule="exact"/>
              <w:ind w:left="149"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02" w:right="0"/>
              <w:jc w:val="left"/>
              <w:rPr>
                <w:rFonts w:ascii="Arial" w:hAnsi="Arial" w:cs="Arial" w:eastAsia="Arial" w:hint="default"/>
                <w:sz w:val="18"/>
                <w:szCs w:val="18"/>
              </w:rPr>
            </w:pPr>
            <w:r>
              <w:rPr>
                <w:rFonts w:ascii="Arial"/>
                <w:sz w:val="18"/>
              </w:rPr>
              <w:t>73,993</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20" w:right="0"/>
              <w:jc w:val="left"/>
              <w:rPr>
                <w:rFonts w:ascii="Arial" w:hAnsi="Arial" w:cs="Arial" w:eastAsia="Arial" w:hint="default"/>
                <w:sz w:val="18"/>
                <w:szCs w:val="18"/>
              </w:rPr>
            </w:pPr>
            <w:r>
              <w:rPr>
                <w:rFonts w:ascii="Arial"/>
                <w:sz w:val="18"/>
              </w:rPr>
              <w:t>308,677</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59" w:right="0"/>
              <w:jc w:val="left"/>
              <w:rPr>
                <w:rFonts w:ascii="Arial" w:hAnsi="Arial" w:cs="Arial" w:eastAsia="Arial" w:hint="default"/>
                <w:sz w:val="18"/>
                <w:szCs w:val="18"/>
              </w:rPr>
            </w:pPr>
            <w:r>
              <w:rPr>
                <w:rFonts w:ascii="Arial"/>
                <w:sz w:val="18"/>
              </w:rPr>
              <w:t>56,122</w:t>
            </w:r>
          </w:p>
        </w:tc>
        <w:tc>
          <w:tcPr>
            <w:tcW w:w="51"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4"/>
              <w:jc w:val="right"/>
              <w:rPr>
                <w:rFonts w:ascii="Arial" w:hAnsi="Arial" w:cs="Arial" w:eastAsia="Arial" w:hint="default"/>
                <w:sz w:val="18"/>
                <w:szCs w:val="18"/>
              </w:rPr>
            </w:pPr>
            <w:r>
              <w:rPr>
                <w:rFonts w:ascii="Arial"/>
                <w:spacing w:val="-1"/>
                <w:sz w:val="18"/>
              </w:rPr>
              <w:t>233,105</w:t>
            </w:r>
          </w:p>
        </w:tc>
      </w:tr>
      <w:tr>
        <w:trPr>
          <w:trHeight w:val="233" w:hRule="exact"/>
        </w:trPr>
        <w:tc>
          <w:tcPr>
            <w:tcW w:w="777"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Style w:val="TableParagraph"/>
              <w:spacing w:line="195" w:lineRule="exact"/>
              <w:ind w:left="149" w:right="0"/>
              <w:jc w:val="left"/>
              <w:rPr>
                <w:rFonts w:ascii="宋体" w:hAnsi="宋体" w:cs="宋体" w:eastAsia="宋体" w:hint="default"/>
                <w:sz w:val="18"/>
                <w:szCs w:val="18"/>
              </w:rPr>
            </w:pPr>
            <w:r>
              <w:rPr>
                <w:rFonts w:ascii="宋体" w:hAnsi="宋体" w:cs="宋体" w:eastAsia="宋体" w:hint="default"/>
                <w:sz w:val="18"/>
                <w:szCs w:val="18"/>
              </w:rPr>
              <w:t>尚未支付的广告费</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02" w:right="0"/>
              <w:jc w:val="left"/>
              <w:rPr>
                <w:rFonts w:ascii="Arial" w:hAnsi="Arial" w:cs="Arial" w:eastAsia="Arial" w:hint="default"/>
                <w:sz w:val="18"/>
                <w:szCs w:val="18"/>
              </w:rPr>
            </w:pPr>
            <w:r>
              <w:rPr>
                <w:rFonts w:ascii="Arial"/>
                <w:sz w:val="18"/>
              </w:rPr>
              <w:t>89,895</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22" w:right="0"/>
              <w:jc w:val="left"/>
              <w:rPr>
                <w:rFonts w:ascii="Arial" w:hAnsi="Arial" w:cs="Arial" w:eastAsia="Arial" w:hint="default"/>
                <w:sz w:val="18"/>
                <w:szCs w:val="18"/>
              </w:rPr>
            </w:pPr>
            <w:r>
              <w:rPr>
                <w:rFonts w:ascii="Arial"/>
                <w:sz w:val="18"/>
              </w:rPr>
              <w:t>359,578</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59" w:right="0"/>
              <w:jc w:val="left"/>
              <w:rPr>
                <w:rFonts w:ascii="Arial" w:hAnsi="Arial" w:cs="Arial" w:eastAsia="Arial" w:hint="default"/>
                <w:sz w:val="18"/>
                <w:szCs w:val="18"/>
              </w:rPr>
            </w:pPr>
            <w:r>
              <w:rPr>
                <w:rFonts w:ascii="Arial"/>
                <w:sz w:val="18"/>
              </w:rPr>
              <w:t>102,779</w:t>
            </w:r>
          </w:p>
        </w:tc>
        <w:tc>
          <w:tcPr>
            <w:tcW w:w="51"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415,598</w:t>
            </w:r>
          </w:p>
        </w:tc>
      </w:tr>
      <w:tr>
        <w:trPr>
          <w:trHeight w:val="234" w:hRule="exact"/>
        </w:trPr>
        <w:tc>
          <w:tcPr>
            <w:tcW w:w="777"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Style w:val="TableParagraph"/>
              <w:spacing w:line="195" w:lineRule="exact"/>
              <w:ind w:left="149" w:right="0"/>
              <w:jc w:val="left"/>
              <w:rPr>
                <w:rFonts w:ascii="宋体" w:hAnsi="宋体" w:cs="宋体" w:eastAsia="宋体" w:hint="default"/>
                <w:sz w:val="18"/>
                <w:szCs w:val="18"/>
              </w:rPr>
            </w:pPr>
            <w:r>
              <w:rPr>
                <w:rFonts w:ascii="宋体" w:hAnsi="宋体" w:cs="宋体" w:eastAsia="宋体" w:hint="default"/>
                <w:sz w:val="18"/>
                <w:szCs w:val="18"/>
              </w:rPr>
              <w:t>预提租赁费</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02" w:right="0"/>
              <w:jc w:val="left"/>
              <w:rPr>
                <w:rFonts w:ascii="Arial" w:hAnsi="Arial" w:cs="Arial" w:eastAsia="Arial" w:hint="default"/>
                <w:sz w:val="18"/>
                <w:szCs w:val="18"/>
              </w:rPr>
            </w:pPr>
            <w:r>
              <w:rPr>
                <w:rFonts w:ascii="Arial"/>
                <w:sz w:val="18"/>
              </w:rPr>
              <w:t>70,051</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22" w:right="0"/>
              <w:jc w:val="left"/>
              <w:rPr>
                <w:rFonts w:ascii="Arial" w:hAnsi="Arial" w:cs="Arial" w:eastAsia="Arial" w:hint="default"/>
                <w:sz w:val="18"/>
                <w:szCs w:val="18"/>
              </w:rPr>
            </w:pPr>
            <w:r>
              <w:rPr>
                <w:rFonts w:ascii="Arial"/>
                <w:sz w:val="18"/>
              </w:rPr>
              <w:t>280,202</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59" w:right="0"/>
              <w:jc w:val="left"/>
              <w:rPr>
                <w:rFonts w:ascii="Arial" w:hAnsi="Arial" w:cs="Arial" w:eastAsia="Arial" w:hint="default"/>
                <w:sz w:val="18"/>
                <w:szCs w:val="18"/>
              </w:rPr>
            </w:pPr>
            <w:r>
              <w:rPr>
                <w:rFonts w:ascii="Arial"/>
                <w:sz w:val="18"/>
              </w:rPr>
              <w:t>44,387</w:t>
            </w:r>
          </w:p>
        </w:tc>
        <w:tc>
          <w:tcPr>
            <w:tcW w:w="51"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177,547</w:t>
            </w:r>
          </w:p>
        </w:tc>
      </w:tr>
      <w:tr>
        <w:trPr>
          <w:trHeight w:val="234" w:hRule="exact"/>
        </w:trPr>
        <w:tc>
          <w:tcPr>
            <w:tcW w:w="777"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Style w:val="TableParagraph"/>
              <w:spacing w:line="196" w:lineRule="exact"/>
              <w:ind w:left="149" w:right="0"/>
              <w:jc w:val="left"/>
              <w:rPr>
                <w:rFonts w:ascii="宋体" w:hAnsi="宋体" w:cs="宋体" w:eastAsia="宋体" w:hint="default"/>
                <w:sz w:val="18"/>
                <w:szCs w:val="18"/>
              </w:rPr>
            </w:pPr>
            <w:r>
              <w:rPr>
                <w:rFonts w:ascii="宋体" w:hAnsi="宋体" w:cs="宋体" w:eastAsia="宋体" w:hint="default"/>
                <w:sz w:val="18"/>
                <w:szCs w:val="18"/>
              </w:rPr>
              <w:t>递延广告位使用费</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3"/>
              <w:jc w:val="right"/>
              <w:rPr>
                <w:rFonts w:ascii="Arial" w:hAnsi="Arial" w:cs="Arial" w:eastAsia="Arial" w:hint="default"/>
                <w:sz w:val="18"/>
                <w:szCs w:val="18"/>
              </w:rPr>
            </w:pPr>
            <w:r>
              <w:rPr>
                <w:rFonts w:ascii="Arial"/>
                <w:w w:val="99"/>
                <w:sz w:val="18"/>
              </w:rPr>
              <w:t>-</w:t>
            </w:r>
            <w:r>
              <w:rPr>
                <w:rFonts w:ascii="Arial"/>
                <w:sz w:val="18"/>
              </w:rPr>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3"/>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959" w:right="0"/>
              <w:jc w:val="left"/>
              <w:rPr>
                <w:rFonts w:ascii="Arial" w:hAnsi="Arial" w:cs="Arial" w:eastAsia="Arial" w:hint="default"/>
                <w:sz w:val="18"/>
                <w:szCs w:val="18"/>
              </w:rPr>
            </w:pPr>
            <w:r>
              <w:rPr>
                <w:rFonts w:ascii="Arial"/>
                <w:sz w:val="18"/>
              </w:rPr>
              <w:t>27,990</w:t>
            </w:r>
          </w:p>
        </w:tc>
        <w:tc>
          <w:tcPr>
            <w:tcW w:w="51"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4"/>
              <w:jc w:val="right"/>
              <w:rPr>
                <w:rFonts w:ascii="Arial" w:hAnsi="Arial" w:cs="Arial" w:eastAsia="Arial" w:hint="default"/>
                <w:sz w:val="18"/>
                <w:szCs w:val="18"/>
              </w:rPr>
            </w:pPr>
            <w:r>
              <w:rPr>
                <w:rFonts w:ascii="Arial"/>
                <w:spacing w:val="-1"/>
                <w:sz w:val="18"/>
              </w:rPr>
              <w:t>120,029</w:t>
            </w:r>
          </w:p>
        </w:tc>
      </w:tr>
      <w:tr>
        <w:trPr>
          <w:trHeight w:val="233" w:hRule="exact"/>
        </w:trPr>
        <w:tc>
          <w:tcPr>
            <w:tcW w:w="777"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Style w:val="TableParagraph"/>
              <w:spacing w:line="195" w:lineRule="exact"/>
              <w:ind w:left="149" w:right="0"/>
              <w:jc w:val="left"/>
              <w:rPr>
                <w:rFonts w:ascii="宋体" w:hAnsi="宋体" w:cs="宋体" w:eastAsia="宋体" w:hint="default"/>
                <w:sz w:val="18"/>
                <w:szCs w:val="18"/>
              </w:rPr>
            </w:pPr>
            <w:r>
              <w:rPr>
                <w:rFonts w:ascii="宋体" w:hAnsi="宋体" w:cs="宋体" w:eastAsia="宋体" w:hint="default"/>
                <w:sz w:val="18"/>
                <w:szCs w:val="18"/>
              </w:rPr>
              <w:t>积分计划</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02" w:right="0"/>
              <w:jc w:val="left"/>
              <w:rPr>
                <w:rFonts w:ascii="Arial" w:hAnsi="Arial" w:cs="Arial" w:eastAsia="Arial" w:hint="default"/>
                <w:sz w:val="18"/>
                <w:szCs w:val="18"/>
              </w:rPr>
            </w:pPr>
            <w:r>
              <w:rPr>
                <w:rFonts w:ascii="Arial"/>
                <w:sz w:val="18"/>
              </w:rPr>
              <w:t>16,449</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23" w:right="0"/>
              <w:jc w:val="left"/>
              <w:rPr>
                <w:rFonts w:ascii="Arial" w:hAnsi="Arial" w:cs="Arial" w:eastAsia="Arial" w:hint="default"/>
                <w:sz w:val="18"/>
                <w:szCs w:val="18"/>
              </w:rPr>
            </w:pPr>
            <w:r>
              <w:rPr>
                <w:rFonts w:ascii="Arial"/>
                <w:sz w:val="18"/>
              </w:rPr>
              <w:t>65,797</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59" w:right="0"/>
              <w:jc w:val="left"/>
              <w:rPr>
                <w:rFonts w:ascii="Arial" w:hAnsi="Arial" w:cs="Arial" w:eastAsia="Arial" w:hint="default"/>
                <w:sz w:val="18"/>
                <w:szCs w:val="18"/>
              </w:rPr>
            </w:pPr>
            <w:r>
              <w:rPr>
                <w:rFonts w:ascii="Arial"/>
                <w:sz w:val="18"/>
              </w:rPr>
              <w:t>43,229</w:t>
            </w:r>
          </w:p>
        </w:tc>
        <w:tc>
          <w:tcPr>
            <w:tcW w:w="51"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172,916</w:t>
            </w:r>
          </w:p>
        </w:tc>
      </w:tr>
      <w:tr>
        <w:trPr>
          <w:trHeight w:val="254" w:hRule="exact"/>
        </w:trPr>
        <w:tc>
          <w:tcPr>
            <w:tcW w:w="777"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Style w:val="TableParagraph"/>
              <w:spacing w:line="195" w:lineRule="exact"/>
              <w:ind w:left="149"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01" w:right="0"/>
              <w:jc w:val="left"/>
              <w:rPr>
                <w:rFonts w:ascii="Arial" w:hAnsi="Arial" w:cs="Arial" w:eastAsia="Arial" w:hint="default"/>
                <w:sz w:val="18"/>
                <w:szCs w:val="18"/>
              </w:rPr>
            </w:pPr>
            <w:r>
              <w:rPr>
                <w:rFonts w:ascii="Arial"/>
                <w:sz w:val="18"/>
              </w:rPr>
              <w:t>290,244</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71" w:right="0"/>
              <w:jc w:val="left"/>
              <w:rPr>
                <w:rFonts w:ascii="Arial" w:hAnsi="Arial" w:cs="Arial" w:eastAsia="Arial" w:hint="default"/>
                <w:sz w:val="18"/>
                <w:szCs w:val="18"/>
              </w:rPr>
            </w:pPr>
            <w:r>
              <w:rPr>
                <w:rFonts w:ascii="Arial"/>
                <w:sz w:val="18"/>
              </w:rPr>
              <w:t>1,297,923</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59" w:right="0"/>
              <w:jc w:val="left"/>
              <w:rPr>
                <w:rFonts w:ascii="Arial" w:hAnsi="Arial" w:cs="Arial" w:eastAsia="Arial" w:hint="default"/>
                <w:sz w:val="18"/>
                <w:szCs w:val="18"/>
              </w:rPr>
            </w:pPr>
            <w:r>
              <w:rPr>
                <w:rFonts w:ascii="Arial"/>
                <w:sz w:val="18"/>
              </w:rPr>
              <w:t>90,931</w:t>
            </w:r>
          </w:p>
        </w:tc>
        <w:tc>
          <w:tcPr>
            <w:tcW w:w="51"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380,177</w:t>
            </w:r>
          </w:p>
        </w:tc>
      </w:tr>
      <w:tr>
        <w:trPr>
          <w:trHeight w:val="276" w:hRule="exact"/>
        </w:trPr>
        <w:tc>
          <w:tcPr>
            <w:tcW w:w="777"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Style w:val="TableParagraph"/>
              <w:spacing w:line="216" w:lineRule="exact"/>
              <w:ind w:left="149"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02" w:right="0"/>
              <w:jc w:val="left"/>
              <w:rPr>
                <w:rFonts w:ascii="Arial" w:hAnsi="Arial" w:cs="Arial" w:eastAsia="Arial" w:hint="default"/>
                <w:sz w:val="18"/>
                <w:szCs w:val="18"/>
              </w:rPr>
            </w:pPr>
            <w:r>
              <w:rPr>
                <w:rFonts w:ascii="Arial"/>
                <w:sz w:val="18"/>
              </w:rPr>
              <w:t>49,178</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22" w:right="0"/>
              <w:jc w:val="left"/>
              <w:rPr>
                <w:rFonts w:ascii="Arial" w:hAnsi="Arial" w:cs="Arial" w:eastAsia="Arial" w:hint="default"/>
                <w:sz w:val="18"/>
                <w:szCs w:val="18"/>
              </w:rPr>
            </w:pPr>
            <w:r>
              <w:rPr>
                <w:rFonts w:ascii="Arial"/>
                <w:sz w:val="18"/>
              </w:rPr>
              <w:t>199,814</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59" w:right="0"/>
              <w:jc w:val="left"/>
              <w:rPr>
                <w:rFonts w:ascii="Arial" w:hAnsi="Arial" w:cs="Arial" w:eastAsia="Arial" w:hint="default"/>
                <w:sz w:val="18"/>
                <w:szCs w:val="18"/>
              </w:rPr>
            </w:pPr>
            <w:r>
              <w:rPr>
                <w:rFonts w:ascii="Arial"/>
                <w:sz w:val="18"/>
              </w:rPr>
              <w:t>26,391</w:t>
            </w:r>
          </w:p>
        </w:tc>
        <w:tc>
          <w:tcPr>
            <w:tcW w:w="51"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
              <w:jc w:val="right"/>
              <w:rPr>
                <w:rFonts w:ascii="Arial" w:hAnsi="Arial" w:cs="Arial" w:eastAsia="Arial" w:hint="default"/>
                <w:sz w:val="18"/>
                <w:szCs w:val="18"/>
              </w:rPr>
            </w:pPr>
            <w:r>
              <w:rPr>
                <w:rFonts w:ascii="Arial"/>
                <w:spacing w:val="-2"/>
                <w:w w:val="95"/>
                <w:sz w:val="18"/>
              </w:rPr>
              <w:t>119,167</w:t>
            </w:r>
            <w:r>
              <w:rPr>
                <w:rFonts w:ascii="Arial"/>
                <w:spacing w:val="-2"/>
                <w:sz w:val="18"/>
              </w:rPr>
            </w:r>
          </w:p>
        </w:tc>
      </w:tr>
      <w:tr>
        <w:trPr>
          <w:trHeight w:val="276" w:hRule="exact"/>
        </w:trPr>
        <w:tc>
          <w:tcPr>
            <w:tcW w:w="777"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Style w:val="TableParagraph"/>
              <w:spacing w:line="216" w:lineRule="exact"/>
              <w:ind w:left="149" w:right="0"/>
              <w:jc w:val="left"/>
              <w:rPr>
                <w:rFonts w:ascii="宋体" w:hAnsi="宋体" w:cs="宋体" w:eastAsia="宋体" w:hint="default"/>
                <w:sz w:val="18"/>
                <w:szCs w:val="18"/>
              </w:rPr>
            </w:pPr>
            <w:r>
              <w:rPr>
                <w:rFonts w:ascii="宋体" w:hAnsi="宋体" w:cs="宋体" w:eastAsia="宋体" w:hint="default"/>
                <w:sz w:val="18"/>
                <w:szCs w:val="18"/>
              </w:rPr>
              <w:t>抵销内部未实现利润</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02" w:right="0"/>
              <w:jc w:val="left"/>
              <w:rPr>
                <w:rFonts w:ascii="Arial" w:hAnsi="Arial" w:cs="Arial" w:eastAsia="Arial" w:hint="default"/>
                <w:sz w:val="18"/>
                <w:szCs w:val="18"/>
              </w:rPr>
            </w:pPr>
            <w:r>
              <w:rPr>
                <w:rFonts w:ascii="Arial"/>
                <w:sz w:val="18"/>
              </w:rPr>
              <w:t>88,760</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20" w:right="0"/>
              <w:jc w:val="left"/>
              <w:rPr>
                <w:rFonts w:ascii="Arial" w:hAnsi="Arial" w:cs="Arial" w:eastAsia="Arial" w:hint="default"/>
                <w:sz w:val="18"/>
                <w:szCs w:val="18"/>
              </w:rPr>
            </w:pPr>
            <w:r>
              <w:rPr>
                <w:rFonts w:ascii="Arial"/>
                <w:sz w:val="18"/>
              </w:rPr>
              <w:t>355,042</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59" w:right="0"/>
              <w:jc w:val="left"/>
              <w:rPr>
                <w:rFonts w:ascii="Arial" w:hAnsi="Arial" w:cs="Arial" w:eastAsia="Arial" w:hint="default"/>
                <w:sz w:val="18"/>
                <w:szCs w:val="18"/>
              </w:rPr>
            </w:pPr>
            <w:r>
              <w:rPr>
                <w:rFonts w:ascii="Arial"/>
                <w:sz w:val="18"/>
              </w:rPr>
              <w:t>77,838</w:t>
            </w:r>
          </w:p>
        </w:tc>
        <w:tc>
          <w:tcPr>
            <w:tcW w:w="51"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2"/>
                <w:w w:val="95"/>
                <w:sz w:val="18"/>
              </w:rPr>
              <w:t>311,352</w:t>
            </w:r>
            <w:r>
              <w:rPr>
                <w:rFonts w:ascii="Arial"/>
                <w:spacing w:val="-2"/>
                <w:sz w:val="18"/>
              </w:rPr>
            </w:r>
          </w:p>
        </w:tc>
      </w:tr>
      <w:tr>
        <w:trPr>
          <w:trHeight w:val="276" w:hRule="exact"/>
        </w:trPr>
        <w:tc>
          <w:tcPr>
            <w:tcW w:w="777"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Style w:val="TableParagraph"/>
              <w:spacing w:line="216" w:lineRule="exact"/>
              <w:ind w:left="149" w:right="0"/>
              <w:jc w:val="left"/>
              <w:rPr>
                <w:rFonts w:ascii="宋体" w:hAnsi="宋体" w:cs="宋体" w:eastAsia="宋体" w:hint="default"/>
                <w:sz w:val="18"/>
                <w:szCs w:val="18"/>
              </w:rPr>
            </w:pPr>
            <w:r>
              <w:rPr>
                <w:rFonts w:ascii="宋体" w:hAnsi="宋体" w:cs="宋体" w:eastAsia="宋体" w:hint="default"/>
                <w:sz w:val="18"/>
                <w:szCs w:val="18"/>
              </w:rPr>
              <w:t>资产性政府补助</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02" w:right="0"/>
              <w:jc w:val="left"/>
              <w:rPr>
                <w:rFonts w:ascii="Arial" w:hAnsi="Arial" w:cs="Arial" w:eastAsia="Arial" w:hint="default"/>
                <w:sz w:val="18"/>
                <w:szCs w:val="18"/>
              </w:rPr>
            </w:pPr>
            <w:r>
              <w:rPr>
                <w:rFonts w:ascii="Arial"/>
                <w:sz w:val="18"/>
              </w:rPr>
              <w:t>76,390</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22" w:right="0"/>
              <w:jc w:val="left"/>
              <w:rPr>
                <w:rFonts w:ascii="Arial" w:hAnsi="Arial" w:cs="Arial" w:eastAsia="Arial" w:hint="default"/>
                <w:sz w:val="18"/>
                <w:szCs w:val="18"/>
              </w:rPr>
            </w:pPr>
            <w:r>
              <w:rPr>
                <w:rFonts w:ascii="Arial"/>
                <w:sz w:val="18"/>
              </w:rPr>
              <w:t>305,561</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59" w:right="0"/>
              <w:jc w:val="left"/>
              <w:rPr>
                <w:rFonts w:ascii="Arial" w:hAnsi="Arial" w:cs="Arial" w:eastAsia="Arial" w:hint="default"/>
                <w:sz w:val="18"/>
                <w:szCs w:val="18"/>
              </w:rPr>
            </w:pPr>
            <w:r>
              <w:rPr>
                <w:rFonts w:ascii="Arial"/>
                <w:sz w:val="18"/>
              </w:rPr>
              <w:t>41,951</w:t>
            </w:r>
          </w:p>
        </w:tc>
        <w:tc>
          <w:tcPr>
            <w:tcW w:w="51"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
              <w:jc w:val="right"/>
              <w:rPr>
                <w:rFonts w:ascii="Arial" w:hAnsi="Arial" w:cs="Arial" w:eastAsia="Arial" w:hint="default"/>
                <w:sz w:val="18"/>
                <w:szCs w:val="18"/>
              </w:rPr>
            </w:pPr>
            <w:r>
              <w:rPr>
                <w:rFonts w:ascii="Arial"/>
                <w:spacing w:val="-1"/>
                <w:sz w:val="18"/>
              </w:rPr>
              <w:t>167,803</w:t>
            </w:r>
          </w:p>
        </w:tc>
      </w:tr>
      <w:tr>
        <w:trPr>
          <w:trHeight w:val="249" w:hRule="exact"/>
        </w:trPr>
        <w:tc>
          <w:tcPr>
            <w:tcW w:w="777"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Style w:val="TableParagraph"/>
              <w:spacing w:line="216" w:lineRule="exact"/>
              <w:ind w:left="1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000" w:right="0"/>
              <w:jc w:val="left"/>
              <w:rPr>
                <w:rFonts w:ascii="Arial" w:hAnsi="Arial" w:cs="Arial" w:eastAsia="Arial" w:hint="default"/>
                <w:sz w:val="18"/>
                <w:szCs w:val="18"/>
              </w:rPr>
            </w:pPr>
            <w:r>
              <w:rPr>
                <w:rFonts w:ascii="Arial"/>
                <w:sz w:val="18"/>
              </w:rPr>
              <w:t>1,261</w:t>
            </w:r>
          </w:p>
        </w:tc>
        <w:tc>
          <w:tcPr>
            <w:tcW w:w="172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52"/>
              <w:jc w:val="right"/>
              <w:rPr>
                <w:rFonts w:ascii="Arial" w:hAnsi="Arial" w:cs="Arial" w:eastAsia="Arial" w:hint="default"/>
                <w:sz w:val="18"/>
                <w:szCs w:val="18"/>
              </w:rPr>
            </w:pPr>
            <w:r>
              <w:rPr>
                <w:rFonts w:ascii="Arial"/>
                <w:w w:val="95"/>
                <w:sz w:val="18"/>
              </w:rPr>
              <w:t>5,043</w:t>
            </w:r>
            <w:r>
              <w:rPr>
                <w:rFonts w:ascii="Arial"/>
                <w:sz w:val="18"/>
              </w:rPr>
            </w: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5"/>
                <w:sz w:val="18"/>
              </w:rPr>
              <w:t>532</w:t>
            </w:r>
            <w:r>
              <w:rPr>
                <w:rFonts w:ascii="Arial"/>
                <w:sz w:val="18"/>
              </w:rPr>
            </w:r>
          </w:p>
        </w:tc>
        <w:tc>
          <w:tcPr>
            <w:tcW w:w="51" w:type="dxa"/>
            <w:tcBorders>
              <w:top w:val="nil" w:sz="6" w:space="0" w:color="auto"/>
              <w:left w:val="nil" w:sz="6" w:space="0" w:color="auto"/>
              <w:bottom w:val="single" w:sz="4" w:space="0" w:color="000000"/>
              <w:right w:val="nil" w:sz="6" w:space="0" w:color="auto"/>
            </w:tcBorders>
          </w:tcPr>
          <w:p>
            <w:pPr/>
          </w:p>
        </w:tc>
        <w:tc>
          <w:tcPr>
            <w:tcW w:w="135" w:type="dxa"/>
            <w:tcBorders>
              <w:top w:val="nil" w:sz="6" w:space="0" w:color="auto"/>
              <w:left w:val="nil" w:sz="6" w:space="0" w:color="auto"/>
              <w:bottom w:val="single" w:sz="4" w:space="0" w:color="000000"/>
              <w:right w:val="nil" w:sz="6" w:space="0" w:color="auto"/>
            </w:tcBorders>
          </w:tcPr>
          <w:p>
            <w:pPr/>
          </w:p>
        </w:tc>
        <w:tc>
          <w:tcPr>
            <w:tcW w:w="146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w w:val="95"/>
                <w:sz w:val="18"/>
              </w:rPr>
              <w:t>2,128</w:t>
            </w:r>
            <w:r>
              <w:rPr>
                <w:rFonts w:ascii="Arial"/>
                <w:sz w:val="18"/>
              </w:rPr>
            </w:r>
          </w:p>
        </w:tc>
      </w:tr>
      <w:tr>
        <w:trPr>
          <w:trHeight w:val="295" w:hRule="exact"/>
        </w:trPr>
        <w:tc>
          <w:tcPr>
            <w:tcW w:w="777"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left="801" w:right="0"/>
              <w:jc w:val="left"/>
              <w:rPr>
                <w:rFonts w:ascii="Arial" w:hAnsi="Arial" w:cs="Arial" w:eastAsia="Arial" w:hint="default"/>
                <w:sz w:val="18"/>
                <w:szCs w:val="18"/>
              </w:rPr>
            </w:pPr>
            <w:r>
              <w:rPr>
                <w:rFonts w:ascii="Arial"/>
                <w:sz w:val="18"/>
              </w:rPr>
              <w:t>756,221</w:t>
            </w:r>
          </w:p>
        </w:tc>
        <w:tc>
          <w:tcPr>
            <w:tcW w:w="1728"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left="871" w:right="0"/>
              <w:jc w:val="left"/>
              <w:rPr>
                <w:rFonts w:ascii="Arial" w:hAnsi="Arial" w:cs="Arial" w:eastAsia="Arial" w:hint="default"/>
                <w:sz w:val="18"/>
                <w:szCs w:val="18"/>
              </w:rPr>
            </w:pPr>
            <w:r>
              <w:rPr>
                <w:rFonts w:ascii="Arial"/>
                <w:sz w:val="18"/>
              </w:rPr>
              <w:t>3,177,637</w:t>
            </w:r>
          </w:p>
        </w:tc>
        <w:tc>
          <w:tcPr>
            <w:tcW w:w="1514"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left="856" w:right="0"/>
              <w:jc w:val="left"/>
              <w:rPr>
                <w:rFonts w:ascii="Arial" w:hAnsi="Arial" w:cs="Arial" w:eastAsia="Arial" w:hint="default"/>
                <w:sz w:val="18"/>
                <w:szCs w:val="18"/>
              </w:rPr>
            </w:pPr>
            <w:r>
              <w:rPr>
                <w:rFonts w:ascii="Arial"/>
                <w:sz w:val="18"/>
              </w:rPr>
              <w:t>512,150</w:t>
            </w:r>
          </w:p>
        </w:tc>
        <w:tc>
          <w:tcPr>
            <w:tcW w:w="51" w:type="dxa"/>
            <w:tcBorders>
              <w:top w:val="single" w:sz="4" w:space="0" w:color="000000"/>
              <w:left w:val="nil" w:sz="6" w:space="0" w:color="auto"/>
              <w:bottom w:val="single" w:sz="12" w:space="0" w:color="000000"/>
              <w:right w:val="nil" w:sz="6" w:space="0" w:color="auto"/>
            </w:tcBorders>
          </w:tcPr>
          <w:p>
            <w:pPr/>
          </w:p>
        </w:tc>
        <w:tc>
          <w:tcPr>
            <w:tcW w:w="135" w:type="dxa"/>
            <w:tcBorders>
              <w:top w:val="single" w:sz="4" w:space="0" w:color="000000"/>
              <w:left w:val="nil" w:sz="6" w:space="0" w:color="auto"/>
              <w:bottom w:val="nil" w:sz="6" w:space="0" w:color="auto"/>
              <w:right w:val="nil" w:sz="6" w:space="0" w:color="auto"/>
            </w:tcBorders>
          </w:tcPr>
          <w:p>
            <w:pPr/>
          </w:p>
        </w:tc>
        <w:tc>
          <w:tcPr>
            <w:tcW w:w="1462"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right="54"/>
              <w:jc w:val="right"/>
              <w:rPr>
                <w:rFonts w:ascii="Arial" w:hAnsi="Arial" w:cs="Arial" w:eastAsia="Arial" w:hint="default"/>
                <w:sz w:val="18"/>
                <w:szCs w:val="18"/>
              </w:rPr>
            </w:pPr>
            <w:r>
              <w:rPr>
                <w:rFonts w:ascii="Arial"/>
                <w:spacing w:val="-1"/>
                <w:sz w:val="18"/>
              </w:rPr>
              <w:t>2,099,822</w:t>
            </w:r>
          </w:p>
        </w:tc>
      </w:tr>
      <w:tr>
        <w:trPr>
          <w:trHeight w:val="737"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34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9" w:right="0"/>
              <w:jc w:val="left"/>
              <w:rPr>
                <w:rFonts w:ascii="宋体" w:hAnsi="宋体" w:cs="宋体" w:eastAsia="宋体" w:hint="default"/>
                <w:sz w:val="24"/>
                <w:szCs w:val="24"/>
              </w:rPr>
            </w:pPr>
            <w:r>
              <w:rPr>
                <w:rFonts w:ascii="宋体" w:hAnsi="宋体" w:cs="宋体" w:eastAsia="宋体" w:hint="default"/>
                <w:sz w:val="24"/>
                <w:szCs w:val="24"/>
              </w:rPr>
              <w:t>未经抵销的递延所得税负债</w:t>
            </w:r>
          </w:p>
        </w:tc>
        <w:tc>
          <w:tcPr>
            <w:tcW w:w="1728" w:type="dxa"/>
            <w:tcBorders>
              <w:top w:val="single" w:sz="12" w:space="0" w:color="000000"/>
              <w:left w:val="nil" w:sz="6" w:space="0" w:color="auto"/>
              <w:bottom w:val="nil" w:sz="6" w:space="0" w:color="auto"/>
              <w:right w:val="nil" w:sz="6" w:space="0" w:color="auto"/>
            </w:tcBorders>
          </w:tcPr>
          <w:p>
            <w:pPr/>
          </w:p>
        </w:tc>
        <w:tc>
          <w:tcPr>
            <w:tcW w:w="1514" w:type="dxa"/>
            <w:tcBorders>
              <w:top w:val="single" w:sz="12" w:space="0" w:color="000000"/>
              <w:left w:val="nil" w:sz="6" w:space="0" w:color="auto"/>
              <w:bottom w:val="nil" w:sz="6" w:space="0" w:color="auto"/>
              <w:right w:val="nil" w:sz="6" w:space="0" w:color="auto"/>
            </w:tcBorders>
          </w:tcPr>
          <w:p>
            <w:pPr/>
          </w:p>
        </w:tc>
        <w:tc>
          <w:tcPr>
            <w:tcW w:w="51" w:type="dxa"/>
            <w:tcBorders>
              <w:top w:val="single" w:sz="12" w:space="0" w:color="000000"/>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462" w:type="dxa"/>
            <w:tcBorders>
              <w:top w:val="single" w:sz="12" w:space="0" w:color="000000"/>
              <w:left w:val="nil" w:sz="6" w:space="0" w:color="auto"/>
              <w:bottom w:val="nil" w:sz="6" w:space="0" w:color="auto"/>
              <w:right w:val="nil" w:sz="6" w:space="0" w:color="auto"/>
            </w:tcBorders>
          </w:tcPr>
          <w:p>
            <w:pPr/>
          </w:p>
        </w:tc>
      </w:tr>
      <w:tr>
        <w:trPr>
          <w:trHeight w:val="382" w:hRule="exact"/>
        </w:trPr>
        <w:tc>
          <w:tcPr>
            <w:tcW w:w="777"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single" w:sz="4" w:space="0" w:color="000000"/>
              <w:right w:val="nil" w:sz="6" w:space="0" w:color="auto"/>
            </w:tcBorders>
          </w:tcPr>
          <w:p>
            <w:pPr/>
          </w:p>
        </w:tc>
        <w:tc>
          <w:tcPr>
            <w:tcW w:w="32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588"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3161"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14"/>
              <w:ind w:left="753"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237" w:hRule="exact"/>
        </w:trPr>
        <w:tc>
          <w:tcPr>
            <w:tcW w:w="777" w:type="dxa"/>
            <w:tcBorders>
              <w:top w:val="nil" w:sz="6" w:space="0" w:color="auto"/>
              <w:left w:val="nil" w:sz="6" w:space="0" w:color="auto"/>
              <w:bottom w:val="nil" w:sz="6" w:space="0" w:color="auto"/>
              <w:right w:val="nil" w:sz="6" w:space="0" w:color="auto"/>
            </w:tcBorders>
          </w:tcPr>
          <w:p>
            <w:pPr/>
          </w:p>
        </w:tc>
        <w:tc>
          <w:tcPr>
            <w:tcW w:w="3422"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17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28" w:type="dxa"/>
            <w:tcBorders>
              <w:top w:val="single" w:sz="4" w:space="0" w:color="000000"/>
              <w:left w:val="nil" w:sz="6" w:space="0" w:color="auto"/>
              <w:bottom w:val="nil" w:sz="6" w:space="0" w:color="auto"/>
              <w:right w:val="nil" w:sz="6" w:space="0" w:color="auto"/>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14" w:type="dxa"/>
            <w:tcBorders>
              <w:top w:val="single" w:sz="4" w:space="0" w:color="000000"/>
              <w:left w:val="nil" w:sz="6" w:space="0" w:color="auto"/>
              <w:bottom w:val="nil" w:sz="6" w:space="0" w:color="auto"/>
              <w:right w:val="nil" w:sz="6" w:space="0" w:color="auto"/>
            </w:tcBorders>
          </w:tcPr>
          <w:p>
            <w:pPr>
              <w:pStyle w:val="TableParagraph"/>
              <w:spacing w:line="205" w:lineRule="exact"/>
              <w:ind w:left="4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51" w:type="dxa"/>
            <w:tcBorders>
              <w:top w:val="single" w:sz="4" w:space="0" w:color="000000"/>
              <w:left w:val="nil" w:sz="6" w:space="0" w:color="auto"/>
              <w:bottom w:val="nil" w:sz="6" w:space="0" w:color="auto"/>
              <w:right w:val="nil" w:sz="6" w:space="0" w:color="auto"/>
            </w:tcBorders>
          </w:tcPr>
          <w:p>
            <w:pPr/>
          </w:p>
        </w:tc>
        <w:tc>
          <w:tcPr>
            <w:tcW w:w="135" w:type="dxa"/>
            <w:tcBorders>
              <w:top w:val="single" w:sz="4" w:space="0" w:color="000000"/>
              <w:left w:val="nil" w:sz="6" w:space="0" w:color="auto"/>
              <w:bottom w:val="nil" w:sz="6" w:space="0" w:color="auto"/>
              <w:right w:val="nil" w:sz="6" w:space="0" w:color="auto"/>
            </w:tcBorders>
          </w:tcPr>
          <w:p>
            <w:pPr/>
          </w:p>
        </w:tc>
        <w:tc>
          <w:tcPr>
            <w:tcW w:w="1462" w:type="dxa"/>
            <w:tcBorders>
              <w:top w:val="single" w:sz="4" w:space="0" w:color="000000"/>
              <w:left w:val="nil" w:sz="6" w:space="0" w:color="auto"/>
              <w:bottom w:val="nil" w:sz="6" w:space="0" w:color="auto"/>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hAnsi="宋体" w:cs="宋体" w:eastAsia="宋体" w:hint="default"/>
                <w:sz w:val="18"/>
                <w:szCs w:val="18"/>
              </w:rPr>
              <w:t>应纳税暂时性差异</w:t>
            </w:r>
          </w:p>
        </w:tc>
      </w:tr>
      <w:tr>
        <w:trPr>
          <w:trHeight w:val="484" w:hRule="exact"/>
        </w:trPr>
        <w:tc>
          <w:tcPr>
            <w:tcW w:w="777"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Style w:val="TableParagraph"/>
              <w:spacing w:line="206" w:lineRule="exact"/>
              <w:ind w:left="149" w:right="0"/>
              <w:jc w:val="left"/>
              <w:rPr>
                <w:rFonts w:ascii="宋体" w:hAnsi="宋体" w:cs="宋体" w:eastAsia="宋体" w:hint="default"/>
                <w:sz w:val="18"/>
                <w:szCs w:val="18"/>
              </w:rPr>
            </w:pPr>
            <w:r>
              <w:rPr>
                <w:rFonts w:ascii="宋体" w:hAnsi="宋体" w:cs="宋体" w:eastAsia="宋体" w:hint="default"/>
                <w:sz w:val="18"/>
                <w:szCs w:val="18"/>
              </w:rPr>
              <w:t>非同一控制下企业</w:t>
            </w: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63" w:right="0"/>
              <w:jc w:val="left"/>
              <w:rPr>
                <w:rFonts w:ascii="Arial" w:hAnsi="Arial" w:cs="Arial" w:eastAsia="Arial" w:hint="default"/>
                <w:sz w:val="18"/>
                <w:szCs w:val="18"/>
              </w:rPr>
            </w:pPr>
            <w:r>
              <w:rPr>
                <w:rFonts w:ascii="Arial"/>
                <w:sz w:val="18"/>
              </w:rPr>
              <w:t>128,226</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785" w:right="0"/>
              <w:jc w:val="left"/>
              <w:rPr>
                <w:rFonts w:ascii="Arial" w:hAnsi="Arial" w:cs="Arial" w:eastAsia="Arial" w:hint="default"/>
                <w:sz w:val="18"/>
                <w:szCs w:val="18"/>
              </w:rPr>
            </w:pPr>
            <w:r>
              <w:rPr>
                <w:rFonts w:ascii="Arial"/>
                <w:sz w:val="18"/>
              </w:rPr>
              <w:t>378,415</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623" w:right="0"/>
              <w:jc w:val="left"/>
              <w:rPr>
                <w:rFonts w:ascii="Arial" w:hAnsi="Arial" w:cs="Arial" w:eastAsia="Arial" w:hint="default"/>
                <w:sz w:val="18"/>
                <w:szCs w:val="18"/>
              </w:rPr>
            </w:pPr>
            <w:r>
              <w:rPr>
                <w:rFonts w:ascii="Arial"/>
                <w:sz w:val="18"/>
              </w:rPr>
              <w:t>146,452</w:t>
            </w:r>
          </w:p>
        </w:tc>
        <w:tc>
          <w:tcPr>
            <w:tcW w:w="51"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56"/>
              <w:jc w:val="right"/>
              <w:rPr>
                <w:rFonts w:ascii="Arial" w:hAnsi="Arial" w:cs="Arial" w:eastAsia="Arial" w:hint="default"/>
                <w:sz w:val="18"/>
                <w:szCs w:val="18"/>
              </w:rPr>
            </w:pPr>
            <w:r>
              <w:rPr>
                <w:rFonts w:ascii="Arial"/>
                <w:spacing w:val="-1"/>
                <w:sz w:val="18"/>
              </w:rPr>
              <w:t>352,550</w:t>
            </w:r>
          </w:p>
        </w:tc>
      </w:tr>
      <w:tr>
        <w:trPr>
          <w:trHeight w:val="710" w:hRule="exact"/>
        </w:trPr>
        <w:tc>
          <w:tcPr>
            <w:tcW w:w="777"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Style w:val="TableParagraph"/>
              <w:spacing w:line="198" w:lineRule="exact"/>
              <w:ind w:left="363" w:right="0" w:hanging="214"/>
              <w:jc w:val="left"/>
              <w:rPr>
                <w:rFonts w:ascii="宋体" w:hAnsi="宋体" w:cs="宋体" w:eastAsia="宋体" w:hint="default"/>
                <w:sz w:val="18"/>
                <w:szCs w:val="18"/>
              </w:rPr>
            </w:pPr>
            <w:r>
              <w:rPr>
                <w:rFonts w:ascii="宋体" w:hAnsi="宋体" w:cs="宋体" w:eastAsia="宋体" w:hint="default"/>
                <w:sz w:val="18"/>
                <w:szCs w:val="18"/>
              </w:rPr>
              <w:t>业务合并交易中产</w:t>
            </w:r>
          </w:p>
          <w:p>
            <w:pPr>
              <w:pStyle w:val="TableParagraph"/>
              <w:spacing w:line="240" w:lineRule="auto"/>
              <w:ind w:left="363" w:right="323"/>
              <w:jc w:val="left"/>
              <w:rPr>
                <w:rFonts w:ascii="宋体" w:hAnsi="宋体" w:cs="宋体" w:eastAsia="宋体" w:hint="default"/>
                <w:sz w:val="18"/>
                <w:szCs w:val="18"/>
              </w:rPr>
            </w:pPr>
            <w:r>
              <w:rPr>
                <w:rFonts w:ascii="宋体" w:hAnsi="宋体" w:cs="宋体" w:eastAsia="宋体" w:hint="default"/>
                <w:sz w:val="18"/>
                <w:szCs w:val="18"/>
              </w:rPr>
              <w:t>生</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pacing w:val="-60"/>
                <w:sz w:val="18"/>
                <w:szCs w:val="18"/>
              </w:rPr>
              <w:t> </w:t>
            </w:r>
            <w:r>
              <w:rPr>
                <w:rFonts w:ascii="宋体" w:hAnsi="宋体" w:cs="宋体" w:eastAsia="宋体" w:hint="default"/>
                <w:sz w:val="18"/>
                <w:szCs w:val="18"/>
              </w:rPr>
              <w:t>产</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宋体" w:hAnsi="宋体" w:cs="宋体" w:eastAsia="宋体" w:hint="default"/>
                <w:sz w:val="18"/>
                <w:szCs w:val="18"/>
              </w:rPr>
              <w:t>暂</w:t>
            </w:r>
            <w:r>
              <w:rPr>
                <w:rFonts w:ascii="宋体" w:hAnsi="宋体" w:cs="宋体" w:eastAsia="宋体" w:hint="default"/>
                <w:sz w:val="18"/>
                <w:szCs w:val="18"/>
              </w:rPr>
              <w:t> 时性差异</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566" w:right="0"/>
              <w:jc w:val="left"/>
              <w:rPr>
                <w:rFonts w:ascii="Arial" w:hAnsi="Arial" w:cs="Arial" w:eastAsia="Arial" w:hint="default"/>
                <w:sz w:val="18"/>
                <w:szCs w:val="18"/>
              </w:rPr>
            </w:pPr>
            <w:r>
              <w:rPr>
                <w:rFonts w:ascii="Arial"/>
                <w:sz w:val="18"/>
              </w:rPr>
              <w:t>26,940</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787" w:right="0"/>
              <w:jc w:val="left"/>
              <w:rPr>
                <w:rFonts w:ascii="Arial" w:hAnsi="Arial" w:cs="Arial" w:eastAsia="Arial" w:hint="default"/>
                <w:sz w:val="18"/>
                <w:szCs w:val="18"/>
              </w:rPr>
            </w:pPr>
            <w:r>
              <w:rPr>
                <w:rFonts w:ascii="Arial"/>
                <w:sz w:val="18"/>
              </w:rPr>
              <w:t>107,760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724" w:right="0"/>
              <w:jc w:val="left"/>
              <w:rPr>
                <w:rFonts w:ascii="Arial" w:hAnsi="Arial" w:cs="Arial" w:eastAsia="Arial" w:hint="default"/>
                <w:sz w:val="18"/>
                <w:szCs w:val="18"/>
              </w:rPr>
            </w:pPr>
            <w:r>
              <w:rPr>
                <w:rFonts w:ascii="Arial"/>
                <w:sz w:val="18"/>
              </w:rPr>
              <w:t>30,638</w:t>
            </w:r>
          </w:p>
        </w:tc>
        <w:tc>
          <w:tcPr>
            <w:tcW w:w="51"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4"/>
              <w:jc w:val="right"/>
              <w:rPr>
                <w:rFonts w:ascii="Arial" w:hAnsi="Arial" w:cs="Arial" w:eastAsia="Arial" w:hint="default"/>
                <w:sz w:val="18"/>
                <w:szCs w:val="18"/>
              </w:rPr>
            </w:pPr>
            <w:r>
              <w:rPr>
                <w:rFonts w:ascii="Arial"/>
                <w:spacing w:val="-1"/>
                <w:sz w:val="18"/>
              </w:rPr>
              <w:t>122,554</w:t>
            </w:r>
          </w:p>
        </w:tc>
      </w:tr>
      <w:tr>
        <w:trPr>
          <w:trHeight w:val="241" w:hRule="exact"/>
        </w:trPr>
        <w:tc>
          <w:tcPr>
            <w:tcW w:w="777"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Style w:val="TableParagraph"/>
              <w:tabs>
                <w:tab w:pos="1650" w:val="left" w:leader="none"/>
                <w:tab w:pos="2579" w:val="left" w:leader="none"/>
              </w:tabs>
              <w:spacing w:line="204" w:lineRule="exact"/>
              <w:ind w:left="125" w:right="-665"/>
              <w:jc w:val="left"/>
              <w:rPr>
                <w:rFonts w:ascii="Arial" w:hAnsi="Arial" w:cs="Arial" w:eastAsia="Arial" w:hint="default"/>
                <w:sz w:val="18"/>
                <w:szCs w:val="18"/>
              </w:rPr>
            </w:pPr>
            <w:r>
              <w:rPr>
                <w:rFonts w:ascii="宋体" w:hAnsi="宋体" w:cs="宋体" w:eastAsia="宋体" w:hint="default"/>
                <w:position w:val="1"/>
                <w:sz w:val="18"/>
                <w:szCs w:val="18"/>
              </w:rPr>
              <w:t>其他</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p>
        </w:tc>
        <w:tc>
          <w:tcPr>
            <w:tcW w:w="1507" w:type="dxa"/>
            <w:tcBorders>
              <w:top w:val="nil" w:sz="6" w:space="0" w:color="auto"/>
              <w:left w:val="nil" w:sz="6" w:space="0" w:color="auto"/>
              <w:bottom w:val="nil" w:sz="6" w:space="0" w:color="auto"/>
              <w:right w:val="nil" w:sz="6" w:space="0" w:color="auto"/>
            </w:tcBorders>
          </w:tcPr>
          <w:p>
            <w:pPr>
              <w:pStyle w:val="TableParagraph"/>
              <w:tabs>
                <w:tab w:pos="2407" w:val="left" w:leader="none"/>
              </w:tabs>
              <w:spacing w:line="240" w:lineRule="auto" w:before="20"/>
              <w:ind w:left="664" w:right="-901"/>
              <w:jc w:val="left"/>
              <w:rPr>
                <w:rFonts w:ascii="Arial" w:hAnsi="Arial" w:cs="Arial" w:eastAsia="Arial" w:hint="default"/>
                <w:sz w:val="18"/>
                <w:szCs w:val="18"/>
              </w:rPr>
            </w:pPr>
            <w:r>
              <w:rPr>
                <w:rFonts w:ascii="Arial"/>
                <w:w w:val="99"/>
                <w:sz w:val="18"/>
              </w:rPr>
            </w:r>
            <w:r>
              <w:rPr>
                <w:rFonts w:ascii="Arial"/>
                <w:sz w:val="18"/>
                <w:u w:val="single" w:color="000000"/>
              </w:rPr>
              <w:t>8,009</w:t>
            </w:r>
            <w:r>
              <w:rPr>
                <w:rFonts w:ascii="Arial"/>
                <w:spacing w:val="4"/>
                <w:sz w:val="18"/>
                <w:u w:val="single" w:color="000000"/>
              </w:rPr>
              <w:t> </w:t>
            </w:r>
            <w:r>
              <w:rPr>
                <w:rFonts w:ascii="Arial"/>
                <w:spacing w:val="4"/>
                <w:sz w:val="18"/>
              </w:rPr>
            </w:r>
            <w:r>
              <w:rPr>
                <w:rFonts w:ascii="Arial"/>
                <w:sz w:val="18"/>
              </w:rPr>
              <w:t>  </w:t>
            </w:r>
            <w:r>
              <w:rPr>
                <w:rFonts w:ascii="Arial"/>
                <w:spacing w:val="-9"/>
                <w:sz w:val="18"/>
              </w:rPr>
              <w:t> </w:t>
            </w:r>
            <w:r>
              <w:rPr>
                <w:rFonts w:ascii="Arial"/>
                <w:spacing w:val="-9"/>
                <w:w w:val="100"/>
                <w:sz w:val="18"/>
              </w:rPr>
            </w:r>
            <w:r>
              <w:rPr>
                <w:rFonts w:ascii="Arial"/>
                <w:w w:val="100"/>
                <w:sz w:val="18"/>
                <w:u w:val="single" w:color="000000"/>
              </w:rPr>
              <w:t> </w:t>
            </w:r>
            <w:r>
              <w:rPr>
                <w:rFonts w:ascii="Arial"/>
                <w:sz w:val="18"/>
                <w:u w:val="single" w:color="000000"/>
              </w:rPr>
              <w:tab/>
            </w:r>
            <w:r>
              <w:rPr>
                <w:rFonts w:ascii="Arial"/>
                <w:sz w:val="18"/>
              </w:rPr>
            </w:r>
          </w:p>
        </w:tc>
        <w:tc>
          <w:tcPr>
            <w:tcW w:w="1728" w:type="dxa"/>
            <w:tcBorders>
              <w:top w:val="nil" w:sz="6" w:space="0" w:color="auto"/>
              <w:left w:val="nil" w:sz="6" w:space="0" w:color="auto"/>
              <w:bottom w:val="nil" w:sz="6" w:space="0" w:color="auto"/>
              <w:right w:val="nil" w:sz="6" w:space="0" w:color="auto"/>
            </w:tcBorders>
          </w:tcPr>
          <w:p>
            <w:pPr>
              <w:pStyle w:val="TableParagraph"/>
              <w:tabs>
                <w:tab w:pos="2551" w:val="left" w:leader="none"/>
              </w:tabs>
              <w:spacing w:line="240" w:lineRule="auto" w:before="20"/>
              <w:ind w:left="900" w:right="-824"/>
              <w:jc w:val="left"/>
              <w:rPr>
                <w:rFonts w:ascii="Arial" w:hAnsi="Arial" w:cs="Arial" w:eastAsia="Arial" w:hint="default"/>
                <w:sz w:val="18"/>
                <w:szCs w:val="18"/>
              </w:rPr>
            </w:pPr>
            <w:r>
              <w:rPr>
                <w:rFonts w:ascii="Arial"/>
                <w:w w:val="99"/>
                <w:sz w:val="18"/>
              </w:rPr>
            </w:r>
            <w:r>
              <w:rPr>
                <w:rFonts w:ascii="Arial"/>
                <w:spacing w:val="-3"/>
                <w:sz w:val="18"/>
                <w:u w:val="single" w:color="000000"/>
              </w:rPr>
              <w:t>30,112</w:t>
            </w:r>
            <w:r>
              <w:rPr>
                <w:rFonts w:ascii="Arial"/>
                <w:spacing w:val="6"/>
                <w:sz w:val="18"/>
                <w:u w:val="single" w:color="000000"/>
              </w:rPr>
              <w:t> </w:t>
            </w:r>
            <w:r>
              <w:rPr>
                <w:rFonts w:ascii="Arial"/>
                <w:spacing w:val="6"/>
                <w:sz w:val="18"/>
              </w:rPr>
            </w:r>
            <w:r>
              <w:rPr>
                <w:rFonts w:ascii="Arial"/>
                <w:sz w:val="18"/>
              </w:rPr>
              <w:t>  </w:t>
            </w:r>
            <w:r>
              <w:rPr>
                <w:rFonts w:ascii="Arial"/>
                <w:spacing w:val="-16"/>
                <w:sz w:val="18"/>
              </w:rPr>
              <w:t> </w:t>
            </w:r>
            <w:r>
              <w:rPr>
                <w:rFonts w:ascii="Arial"/>
                <w:spacing w:val="-16"/>
                <w:w w:val="100"/>
                <w:sz w:val="18"/>
              </w:rPr>
            </w:r>
            <w:r>
              <w:rPr>
                <w:rFonts w:ascii="Arial"/>
                <w:w w:val="100"/>
                <w:sz w:val="18"/>
                <w:u w:val="single" w:color="000000"/>
              </w:rPr>
              <w:t> </w:t>
            </w:r>
            <w:r>
              <w:rPr>
                <w:rFonts w:ascii="Arial"/>
                <w:sz w:val="18"/>
                <w:u w:val="single" w:color="000000"/>
              </w:rPr>
              <w:tab/>
            </w:r>
            <w:r>
              <w:rPr>
                <w:rFonts w:ascii="Arial"/>
                <w:sz w:val="18"/>
              </w:rPr>
            </w:r>
          </w:p>
        </w:tc>
        <w:tc>
          <w:tcPr>
            <w:tcW w:w="1514" w:type="dxa"/>
            <w:tcBorders>
              <w:top w:val="nil" w:sz="6" w:space="0" w:color="auto"/>
              <w:left w:val="nil" w:sz="6" w:space="0" w:color="auto"/>
              <w:bottom w:val="nil" w:sz="6" w:space="0" w:color="auto"/>
              <w:right w:val="nil" w:sz="6" w:space="0" w:color="auto"/>
            </w:tcBorders>
          </w:tcPr>
          <w:p>
            <w:pPr>
              <w:pStyle w:val="TableParagraph"/>
              <w:tabs>
                <w:tab w:pos="2551" w:val="left" w:leader="none"/>
              </w:tabs>
              <w:spacing w:line="240" w:lineRule="auto" w:before="20"/>
              <w:ind w:left="823" w:right="-1038"/>
              <w:jc w:val="left"/>
              <w:rPr>
                <w:rFonts w:ascii="Arial" w:hAnsi="Arial" w:cs="Arial" w:eastAsia="Arial" w:hint="default"/>
                <w:sz w:val="18"/>
                <w:szCs w:val="18"/>
              </w:rPr>
            </w:pPr>
            <w:r>
              <w:rPr>
                <w:rFonts w:ascii="Arial"/>
                <w:w w:val="99"/>
                <w:sz w:val="18"/>
              </w:rPr>
            </w:r>
            <w:r>
              <w:rPr>
                <w:rFonts w:ascii="Arial"/>
                <w:sz w:val="18"/>
                <w:u w:val="single" w:color="000000"/>
              </w:rPr>
              <w:t>6,149</w:t>
            </w:r>
            <w:r>
              <w:rPr>
                <w:rFonts w:ascii="Arial"/>
                <w:spacing w:val="4"/>
                <w:sz w:val="18"/>
                <w:u w:val="single" w:color="000000"/>
              </w:rPr>
              <w:t> </w:t>
            </w:r>
            <w:r>
              <w:rPr>
                <w:rFonts w:ascii="Arial"/>
                <w:spacing w:val="4"/>
                <w:sz w:val="18"/>
              </w:rPr>
            </w:r>
            <w:r>
              <w:rPr>
                <w:rFonts w:ascii="Arial"/>
                <w:sz w:val="18"/>
              </w:rPr>
              <w:t>  </w:t>
            </w:r>
            <w:r>
              <w:rPr>
                <w:rFonts w:ascii="Arial"/>
                <w:spacing w:val="-16"/>
                <w:sz w:val="18"/>
              </w:rPr>
              <w:t> </w:t>
            </w:r>
            <w:r>
              <w:rPr>
                <w:rFonts w:ascii="Arial"/>
                <w:spacing w:val="-16"/>
                <w:w w:val="100"/>
                <w:sz w:val="18"/>
              </w:rPr>
            </w:r>
            <w:r>
              <w:rPr>
                <w:rFonts w:ascii="Arial"/>
                <w:w w:val="100"/>
                <w:sz w:val="18"/>
                <w:u w:val="single" w:color="000000"/>
              </w:rPr>
              <w:t> </w:t>
            </w:r>
            <w:r>
              <w:rPr>
                <w:rFonts w:ascii="Arial"/>
                <w:sz w:val="18"/>
                <w:u w:val="single" w:color="000000"/>
              </w:rPr>
              <w:tab/>
            </w:r>
            <w:r>
              <w:rPr>
                <w:rFonts w:ascii="Arial"/>
                <w:sz w:val="18"/>
              </w:rPr>
            </w:r>
          </w:p>
        </w:tc>
        <w:tc>
          <w:tcPr>
            <w:tcW w:w="51"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tabs>
                <w:tab w:pos="609" w:val="left" w:leader="none"/>
              </w:tabs>
              <w:spacing w:line="240" w:lineRule="auto" w:before="20"/>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18,491</w:t>
              <w:tab/>
            </w:r>
            <w:r>
              <w:rPr>
                <w:rFonts w:ascii="Arial"/>
                <w:spacing w:val="-1"/>
                <w:sz w:val="18"/>
              </w:rPr>
            </w:r>
          </w:p>
        </w:tc>
      </w:tr>
      <w:tr>
        <w:trPr>
          <w:trHeight w:val="219" w:hRule="exact"/>
        </w:trPr>
        <w:tc>
          <w:tcPr>
            <w:tcW w:w="777"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single" w:sz="12" w:space="0" w:color="000000"/>
              <w:right w:val="nil" w:sz="6" w:space="0" w:color="auto"/>
            </w:tcBorders>
          </w:tcPr>
          <w:p>
            <w:pPr/>
          </w:p>
        </w:tc>
        <w:tc>
          <w:tcPr>
            <w:tcW w:w="1507" w:type="dxa"/>
            <w:tcBorders>
              <w:top w:val="nil" w:sz="6" w:space="0" w:color="auto"/>
              <w:left w:val="nil" w:sz="6" w:space="0" w:color="auto"/>
              <w:bottom w:val="single" w:sz="12" w:space="0" w:color="000000"/>
              <w:right w:val="nil" w:sz="6" w:space="0" w:color="auto"/>
            </w:tcBorders>
          </w:tcPr>
          <w:p>
            <w:pPr>
              <w:pStyle w:val="TableParagraph"/>
              <w:spacing w:line="202" w:lineRule="exact"/>
              <w:ind w:left="465" w:right="0"/>
              <w:jc w:val="left"/>
              <w:rPr>
                <w:rFonts w:ascii="Arial" w:hAnsi="Arial" w:cs="Arial" w:eastAsia="Arial" w:hint="default"/>
                <w:sz w:val="18"/>
                <w:szCs w:val="18"/>
              </w:rPr>
            </w:pPr>
            <w:r>
              <w:rPr>
                <w:rFonts w:ascii="Arial"/>
                <w:sz w:val="18"/>
              </w:rPr>
              <w:t>163,175</w:t>
            </w:r>
          </w:p>
        </w:tc>
        <w:tc>
          <w:tcPr>
            <w:tcW w:w="1728" w:type="dxa"/>
            <w:tcBorders>
              <w:top w:val="nil" w:sz="6" w:space="0" w:color="auto"/>
              <w:left w:val="nil" w:sz="6" w:space="0" w:color="auto"/>
              <w:bottom w:val="single" w:sz="12" w:space="0" w:color="000000"/>
              <w:right w:val="nil" w:sz="6" w:space="0" w:color="auto"/>
            </w:tcBorders>
          </w:tcPr>
          <w:p>
            <w:pPr>
              <w:pStyle w:val="TableParagraph"/>
              <w:spacing w:line="202" w:lineRule="exact"/>
              <w:ind w:left="787" w:right="0"/>
              <w:jc w:val="left"/>
              <w:rPr>
                <w:rFonts w:ascii="Arial" w:hAnsi="Arial" w:cs="Arial" w:eastAsia="Arial" w:hint="default"/>
                <w:sz w:val="18"/>
                <w:szCs w:val="18"/>
              </w:rPr>
            </w:pPr>
            <w:r>
              <w:rPr>
                <w:rFonts w:ascii="Arial"/>
                <w:sz w:val="18"/>
              </w:rPr>
              <w:t>516,287</w:t>
            </w:r>
          </w:p>
        </w:tc>
        <w:tc>
          <w:tcPr>
            <w:tcW w:w="1514" w:type="dxa"/>
            <w:tcBorders>
              <w:top w:val="nil" w:sz="6" w:space="0" w:color="auto"/>
              <w:left w:val="nil" w:sz="6" w:space="0" w:color="auto"/>
              <w:bottom w:val="nil" w:sz="6" w:space="0" w:color="auto"/>
              <w:right w:val="nil" w:sz="6" w:space="0" w:color="auto"/>
            </w:tcBorders>
          </w:tcPr>
          <w:p>
            <w:pPr>
              <w:pStyle w:val="TableParagraph"/>
              <w:spacing w:line="202" w:lineRule="exact"/>
              <w:ind w:left="623" w:right="0"/>
              <w:jc w:val="left"/>
              <w:rPr>
                <w:rFonts w:ascii="Arial" w:hAnsi="Arial" w:cs="Arial" w:eastAsia="Arial" w:hint="default"/>
                <w:sz w:val="18"/>
                <w:szCs w:val="18"/>
              </w:rPr>
            </w:pPr>
            <w:r>
              <w:rPr>
                <w:rFonts w:ascii="Arial"/>
                <w:sz w:val="18"/>
              </w:rPr>
              <w:t>183,239</w:t>
            </w:r>
          </w:p>
        </w:tc>
        <w:tc>
          <w:tcPr>
            <w:tcW w:w="51" w:type="dxa"/>
            <w:tcBorders>
              <w:top w:val="nil" w:sz="6" w:space="0" w:color="auto"/>
              <w:left w:val="nil" w:sz="6" w:space="0" w:color="auto"/>
              <w:bottom w:val="single" w:sz="12" w:space="0" w:color="000000"/>
              <w:right w:val="nil" w:sz="6" w:space="0" w:color="auto"/>
            </w:tcBorders>
          </w:tcPr>
          <w:p>
            <w:pPr/>
          </w:p>
        </w:tc>
        <w:tc>
          <w:tcPr>
            <w:tcW w:w="135" w:type="dxa"/>
            <w:tcBorders>
              <w:top w:val="nil" w:sz="6" w:space="0" w:color="auto"/>
              <w:left w:val="nil" w:sz="6" w:space="0" w:color="auto"/>
              <w:bottom w:val="single" w:sz="12" w:space="0" w:color="000000"/>
              <w:right w:val="nil" w:sz="6" w:space="0" w:color="auto"/>
            </w:tcBorders>
          </w:tcPr>
          <w:p>
            <w:pPr/>
          </w:p>
        </w:tc>
        <w:tc>
          <w:tcPr>
            <w:tcW w:w="1462" w:type="dxa"/>
            <w:tcBorders>
              <w:top w:val="nil" w:sz="6" w:space="0" w:color="auto"/>
              <w:left w:val="nil" w:sz="6" w:space="0" w:color="auto"/>
              <w:bottom w:val="single" w:sz="12" w:space="0" w:color="000000"/>
              <w:right w:val="nil" w:sz="6" w:space="0" w:color="auto"/>
            </w:tcBorders>
          </w:tcPr>
          <w:p>
            <w:pPr>
              <w:pStyle w:val="TableParagraph"/>
              <w:spacing w:line="202" w:lineRule="exact"/>
              <w:ind w:right="54"/>
              <w:jc w:val="right"/>
              <w:rPr>
                <w:rFonts w:ascii="Arial" w:hAnsi="Arial" w:cs="Arial" w:eastAsia="Arial" w:hint="default"/>
                <w:sz w:val="18"/>
                <w:szCs w:val="18"/>
              </w:rPr>
            </w:pPr>
            <w:r>
              <w:rPr>
                <w:rFonts w:ascii="Arial"/>
                <w:spacing w:val="-1"/>
                <w:sz w:val="18"/>
              </w:rPr>
              <w:t>493,595</w:t>
            </w:r>
          </w:p>
        </w:tc>
      </w:tr>
    </w:tbl>
    <w:p>
      <w:pPr>
        <w:spacing w:after="0" w:line="202" w:lineRule="exact"/>
        <w:jc w:val="right"/>
        <w:rPr>
          <w:rFonts w:ascii="Arial" w:hAnsi="Arial" w:cs="Arial" w:eastAsia="Arial" w:hint="default"/>
          <w:sz w:val="18"/>
          <w:szCs w:val="18"/>
        </w:rPr>
        <w:sectPr>
          <w:pgSz w:w="11910" w:h="16850"/>
          <w:pgMar w:header="795" w:footer="708" w:top="2020" w:bottom="900" w:left="140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68"/>
        <w:gridCol w:w="2973"/>
        <w:gridCol w:w="2472"/>
        <w:gridCol w:w="238"/>
        <w:gridCol w:w="2624"/>
      </w:tblGrid>
      <w:tr>
        <w:trPr>
          <w:trHeight w:val="497"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2973" w:type="dxa"/>
            <w:tcBorders>
              <w:top w:val="nil" w:sz="6" w:space="0" w:color="auto"/>
              <w:left w:val="nil" w:sz="6" w:space="0" w:color="auto"/>
              <w:bottom w:val="nil" w:sz="6" w:space="0" w:color="auto"/>
              <w:right w:val="nil" w:sz="6" w:space="0" w:color="auto"/>
            </w:tcBorders>
          </w:tcPr>
          <w:p>
            <w:pPr>
              <w:pStyle w:val="TableParagraph"/>
              <w:spacing w:line="257" w:lineRule="exact"/>
              <w:ind w:left="140"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7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624" w:type="dxa"/>
            <w:tcBorders>
              <w:top w:val="nil" w:sz="6" w:space="0" w:color="auto"/>
              <w:left w:val="nil" w:sz="6" w:space="0" w:color="auto"/>
              <w:bottom w:val="nil" w:sz="6" w:space="0" w:color="auto"/>
              <w:right w:val="nil" w:sz="6" w:space="0" w:color="auto"/>
            </w:tcBorders>
          </w:tcPr>
          <w:p>
            <w:pPr/>
          </w:p>
        </w:tc>
      </w:tr>
      <w:tr>
        <w:trPr>
          <w:trHeight w:val="748"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(18)</w:t>
            </w:r>
          </w:p>
        </w:tc>
        <w:tc>
          <w:tcPr>
            <w:tcW w:w="54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8"/>
              <w:ind w:left="140" w:right="0"/>
              <w:jc w:val="left"/>
              <w:rPr>
                <w:rFonts w:ascii="Arial" w:hAnsi="Arial" w:cs="Arial" w:eastAsia="Arial" w:hint="default"/>
                <w:sz w:val="24"/>
                <w:szCs w:val="24"/>
              </w:rPr>
            </w:pPr>
            <w:r>
              <w:rPr>
                <w:rFonts w:ascii="黑体" w:hAnsi="黑体" w:cs="黑体" w:eastAsia="黑体" w:hint="default"/>
                <w:sz w:val="24"/>
                <w:szCs w:val="24"/>
              </w:rPr>
              <w:t>递延所得税资产和递延所得税负债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8" w:type="dxa"/>
            <w:tcBorders>
              <w:top w:val="nil" w:sz="6" w:space="0" w:color="auto"/>
              <w:left w:val="nil" w:sz="6" w:space="0" w:color="auto"/>
              <w:bottom w:val="nil" w:sz="6" w:space="0" w:color="auto"/>
              <w:right w:val="nil" w:sz="6" w:space="0" w:color="auto"/>
            </w:tcBorders>
          </w:tcPr>
          <w:p>
            <w:pPr/>
          </w:p>
        </w:tc>
        <w:tc>
          <w:tcPr>
            <w:tcW w:w="2624" w:type="dxa"/>
            <w:tcBorders>
              <w:top w:val="nil" w:sz="6" w:space="0" w:color="auto"/>
              <w:left w:val="nil" w:sz="6" w:space="0" w:color="auto"/>
              <w:bottom w:val="nil" w:sz="6" w:space="0" w:color="auto"/>
              <w:right w:val="nil" w:sz="6" w:space="0" w:color="auto"/>
            </w:tcBorders>
          </w:tcPr>
          <w:p>
            <w:pPr/>
          </w:p>
        </w:tc>
      </w:tr>
      <w:tr>
        <w:trPr>
          <w:trHeight w:val="744"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(c)</w:t>
            </w:r>
          </w:p>
        </w:tc>
        <w:tc>
          <w:tcPr>
            <w:tcW w:w="830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7"/>
              <w:ind w:left="140" w:right="0"/>
              <w:jc w:val="left"/>
              <w:rPr>
                <w:rFonts w:ascii="宋体" w:hAnsi="宋体" w:cs="宋体" w:eastAsia="宋体" w:hint="default"/>
                <w:sz w:val="24"/>
                <w:szCs w:val="24"/>
              </w:rPr>
            </w:pPr>
            <w:r>
              <w:rPr>
                <w:rFonts w:ascii="宋体" w:hAnsi="宋体" w:cs="宋体" w:eastAsia="宋体" w:hint="default"/>
                <w:sz w:val="24"/>
                <w:szCs w:val="24"/>
              </w:rPr>
              <w:t>本集团未确认递延所得税资产的可抵扣暂时性差异及可抵扣亏损分析如下：</w:t>
            </w:r>
          </w:p>
        </w:tc>
      </w:tr>
      <w:tr>
        <w:trPr>
          <w:trHeight w:val="754" w:hRule="exact"/>
        </w:trPr>
        <w:tc>
          <w:tcPr>
            <w:tcW w:w="768" w:type="dxa"/>
            <w:tcBorders>
              <w:top w:val="nil" w:sz="6" w:space="0" w:color="auto"/>
              <w:left w:val="nil" w:sz="6" w:space="0" w:color="auto"/>
              <w:bottom w:val="nil" w:sz="6" w:space="0" w:color="auto"/>
              <w:right w:val="nil" w:sz="6" w:space="0" w:color="auto"/>
            </w:tcBorders>
          </w:tcPr>
          <w:p>
            <w:pPr/>
          </w:p>
        </w:tc>
        <w:tc>
          <w:tcPr>
            <w:tcW w:w="54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3299"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38" w:type="dxa"/>
            <w:tcBorders>
              <w:top w:val="nil" w:sz="6" w:space="0" w:color="auto"/>
              <w:left w:val="nil" w:sz="6" w:space="0" w:color="auto"/>
              <w:bottom w:val="nil" w:sz="6" w:space="0" w:color="auto"/>
              <w:right w:val="nil" w:sz="6" w:space="0" w:color="auto"/>
            </w:tcBorders>
          </w:tcPr>
          <w:p>
            <w:pP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0"/>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78" w:hRule="exact"/>
        </w:trPr>
        <w:tc>
          <w:tcPr>
            <w:tcW w:w="768"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40" w:right="0"/>
              <w:jc w:val="left"/>
              <w:rPr>
                <w:rFonts w:ascii="Arial" w:hAnsi="Arial" w:cs="Arial" w:eastAsia="Arial" w:hint="default"/>
                <w:sz w:val="24"/>
                <w:szCs w:val="24"/>
              </w:rPr>
            </w:pPr>
            <w:r>
              <w:rPr>
                <w:rFonts w:ascii="宋体" w:hAnsi="宋体" w:cs="宋体" w:eastAsia="宋体" w:hint="default"/>
                <w:sz w:val="24"/>
                <w:szCs w:val="24"/>
              </w:rPr>
              <w:t>可抵扣暂时性差异</w:t>
            </w:r>
            <w:r>
              <w:rPr>
                <w:rFonts w:ascii="Arial" w:hAnsi="Arial" w:cs="Arial" w:eastAsia="Arial" w:hint="default"/>
                <w:sz w:val="24"/>
                <w:szCs w:val="24"/>
              </w:rPr>
              <w:t>(a)</w:t>
            </w: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24"/>
                <w:szCs w:val="24"/>
              </w:rPr>
            </w:pPr>
            <w:r>
              <w:rPr>
                <w:rFonts w:ascii="Arial"/>
                <w:spacing w:val="-1"/>
                <w:sz w:val="24"/>
              </w:rPr>
              <w:t>29,274</w:t>
            </w:r>
          </w:p>
        </w:tc>
        <w:tc>
          <w:tcPr>
            <w:tcW w:w="238" w:type="dxa"/>
            <w:tcBorders>
              <w:top w:val="nil" w:sz="6" w:space="0" w:color="auto"/>
              <w:left w:val="nil" w:sz="6" w:space="0" w:color="auto"/>
              <w:bottom w:val="nil" w:sz="6" w:space="0" w:color="auto"/>
              <w:right w:val="nil" w:sz="6" w:space="0" w:color="auto"/>
            </w:tcBorders>
          </w:tcPr>
          <w:p>
            <w:pP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52"/>
              <w:jc w:val="right"/>
              <w:rPr>
                <w:rFonts w:ascii="Arial" w:hAnsi="Arial" w:cs="Arial" w:eastAsia="Arial" w:hint="default"/>
                <w:sz w:val="24"/>
                <w:szCs w:val="24"/>
              </w:rPr>
            </w:pPr>
            <w:r>
              <w:rPr>
                <w:rFonts w:ascii="Arial"/>
                <w:w w:val="99"/>
                <w:sz w:val="24"/>
              </w:rPr>
              <w:t>-</w:t>
            </w:r>
            <w:r>
              <w:rPr>
                <w:rFonts w:ascii="Arial"/>
                <w:sz w:val="24"/>
              </w:rPr>
            </w:r>
          </w:p>
        </w:tc>
      </w:tr>
      <w:tr>
        <w:trPr>
          <w:trHeight w:val="384" w:hRule="exact"/>
        </w:trPr>
        <w:tc>
          <w:tcPr>
            <w:tcW w:w="768"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nil" w:sz="6" w:space="0" w:color="auto"/>
              <w:right w:val="nil" w:sz="6" w:space="0" w:color="auto"/>
            </w:tcBorders>
          </w:tcPr>
          <w:p>
            <w:pPr>
              <w:pStyle w:val="TableParagraph"/>
              <w:spacing w:line="320" w:lineRule="exact"/>
              <w:ind w:left="140" w:right="0"/>
              <w:jc w:val="left"/>
              <w:rPr>
                <w:rFonts w:ascii="Arial" w:hAnsi="Arial" w:cs="Arial" w:eastAsia="Arial" w:hint="default"/>
                <w:sz w:val="24"/>
                <w:szCs w:val="24"/>
              </w:rPr>
            </w:pPr>
            <w:r>
              <w:rPr>
                <w:rFonts w:ascii="宋体" w:hAnsi="宋体" w:cs="宋体" w:eastAsia="宋体" w:hint="default"/>
                <w:sz w:val="24"/>
                <w:szCs w:val="24"/>
              </w:rPr>
              <w:t>可抵扣亏损</w:t>
            </w:r>
            <w:r>
              <w:rPr>
                <w:rFonts w:ascii="Arial" w:hAnsi="Arial" w:cs="Arial" w:eastAsia="Arial" w:hint="default"/>
                <w:sz w:val="24"/>
                <w:szCs w:val="24"/>
              </w:rPr>
              <w:t>(b)</w:t>
            </w:r>
          </w:p>
        </w:tc>
        <w:tc>
          <w:tcPr>
            <w:tcW w:w="247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54"/>
              <w:jc w:val="right"/>
              <w:rPr>
                <w:rFonts w:ascii="Arial" w:hAnsi="Arial" w:cs="Arial" w:eastAsia="Arial" w:hint="default"/>
                <w:sz w:val="24"/>
                <w:szCs w:val="24"/>
              </w:rPr>
            </w:pPr>
            <w:r>
              <w:rPr>
                <w:rFonts w:ascii="Arial"/>
                <w:spacing w:val="-1"/>
                <w:sz w:val="24"/>
              </w:rPr>
              <w:t>57,369</w:t>
            </w:r>
          </w:p>
        </w:tc>
        <w:tc>
          <w:tcPr>
            <w:tcW w:w="238" w:type="dxa"/>
            <w:tcBorders>
              <w:top w:val="nil" w:sz="6" w:space="0" w:color="auto"/>
              <w:left w:val="nil" w:sz="6" w:space="0" w:color="auto"/>
              <w:bottom w:val="nil" w:sz="6" w:space="0" w:color="auto"/>
              <w:right w:val="nil" w:sz="6" w:space="0" w:color="auto"/>
            </w:tcBorders>
          </w:tcPr>
          <w:p>
            <w:pPr/>
          </w:p>
        </w:tc>
        <w:tc>
          <w:tcPr>
            <w:tcW w:w="262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52"/>
              <w:jc w:val="right"/>
              <w:rPr>
                <w:rFonts w:ascii="Arial" w:hAnsi="Arial" w:cs="Arial" w:eastAsia="Arial" w:hint="default"/>
                <w:sz w:val="24"/>
                <w:szCs w:val="24"/>
              </w:rPr>
            </w:pPr>
            <w:r>
              <w:rPr>
                <w:rFonts w:ascii="Arial"/>
                <w:w w:val="99"/>
                <w:sz w:val="24"/>
              </w:rPr>
              <w:t>-</w:t>
            </w:r>
            <w:r>
              <w:rPr>
                <w:rFonts w:ascii="Arial"/>
                <w:sz w:val="24"/>
              </w:rPr>
            </w:r>
          </w:p>
        </w:tc>
      </w:tr>
      <w:tr>
        <w:trPr>
          <w:trHeight w:val="374" w:hRule="exact"/>
        </w:trPr>
        <w:tc>
          <w:tcPr>
            <w:tcW w:w="768"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54"/>
              <w:jc w:val="right"/>
              <w:rPr>
                <w:rFonts w:ascii="Arial" w:hAnsi="Arial" w:cs="Arial" w:eastAsia="Arial" w:hint="default"/>
                <w:sz w:val="24"/>
                <w:szCs w:val="24"/>
              </w:rPr>
            </w:pPr>
            <w:r>
              <w:rPr>
                <w:rFonts w:ascii="Arial"/>
                <w:spacing w:val="-1"/>
                <w:sz w:val="24"/>
              </w:rPr>
              <w:t>86,643</w:t>
            </w:r>
          </w:p>
        </w:tc>
        <w:tc>
          <w:tcPr>
            <w:tcW w:w="238" w:type="dxa"/>
            <w:tcBorders>
              <w:top w:val="nil" w:sz="6" w:space="0" w:color="auto"/>
              <w:left w:val="nil" w:sz="6" w:space="0" w:color="auto"/>
              <w:bottom w:val="nil" w:sz="6" w:space="0" w:color="auto"/>
              <w:right w:val="nil" w:sz="6" w:space="0" w:color="auto"/>
            </w:tcBorders>
          </w:tcPr>
          <w:p>
            <w:pPr/>
          </w:p>
        </w:tc>
        <w:tc>
          <w:tcPr>
            <w:tcW w:w="2624"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52"/>
              <w:jc w:val="right"/>
              <w:rPr>
                <w:rFonts w:ascii="Arial" w:hAnsi="Arial" w:cs="Arial" w:eastAsia="Arial" w:hint="default"/>
                <w:sz w:val="24"/>
                <w:szCs w:val="24"/>
              </w:rPr>
            </w:pPr>
            <w:r>
              <w:rPr>
                <w:rFonts w:ascii="Arial"/>
                <w:w w:val="99"/>
                <w:sz w:val="24"/>
              </w:rPr>
              <w:t>-</w:t>
            </w:r>
            <w:r>
              <w:rPr>
                <w:rFonts w:ascii="Arial"/>
                <w:sz w:val="24"/>
              </w:rPr>
            </w:r>
          </w:p>
        </w:tc>
      </w:tr>
      <w:tr>
        <w:trPr>
          <w:trHeight w:val="1251" w:hRule="exact"/>
        </w:trPr>
        <w:tc>
          <w:tcPr>
            <w:tcW w:w="768" w:type="dxa"/>
            <w:tcBorders>
              <w:top w:val="nil" w:sz="6" w:space="0" w:color="auto"/>
              <w:left w:val="nil" w:sz="6" w:space="0" w:color="auto"/>
              <w:bottom w:val="nil" w:sz="6" w:space="0" w:color="auto"/>
              <w:right w:val="nil" w:sz="6" w:space="0" w:color="auto"/>
            </w:tcBorders>
          </w:tcPr>
          <w:p>
            <w:pPr/>
          </w:p>
        </w:tc>
        <w:tc>
          <w:tcPr>
            <w:tcW w:w="830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5"/>
                <w:szCs w:val="35"/>
              </w:rPr>
            </w:pPr>
          </w:p>
          <w:p>
            <w:pPr>
              <w:pStyle w:val="TableParagraph"/>
              <w:spacing w:line="310" w:lineRule="exact"/>
              <w:ind w:left="140" w:right="58"/>
              <w:jc w:val="left"/>
              <w:rPr>
                <w:rFonts w:ascii="宋体" w:hAnsi="宋体" w:cs="宋体" w:eastAsia="宋体" w:hint="default"/>
                <w:sz w:val="24"/>
                <w:szCs w:val="24"/>
              </w:rPr>
            </w:pPr>
            <w:r>
              <w:rPr>
                <w:rFonts w:ascii="宋体" w:hAnsi="宋体" w:cs="宋体" w:eastAsia="宋体" w:hint="default"/>
                <w:spacing w:val="-2"/>
                <w:sz w:val="24"/>
                <w:szCs w:val="24"/>
              </w:rPr>
              <w:t>递延所得税资产的确认以很可能取得用来抵扣可抵扣暂时性差异、可抵扣亏损</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和税款抵减的应纳税所得额为限。</w:t>
            </w:r>
          </w:p>
        </w:tc>
      </w:tr>
      <w:tr>
        <w:trPr>
          <w:trHeight w:val="1065" w:hRule="exact"/>
        </w:trPr>
        <w:tc>
          <w:tcPr>
            <w:tcW w:w="768" w:type="dxa"/>
            <w:tcBorders>
              <w:top w:val="nil" w:sz="6" w:space="0" w:color="auto"/>
              <w:left w:val="nil" w:sz="6" w:space="0" w:color="auto"/>
              <w:bottom w:val="nil" w:sz="6" w:space="0" w:color="auto"/>
              <w:right w:val="nil" w:sz="6" w:space="0" w:color="auto"/>
            </w:tcBorders>
          </w:tcPr>
          <w:p>
            <w:pPr/>
          </w:p>
        </w:tc>
        <w:tc>
          <w:tcPr>
            <w:tcW w:w="8306" w:type="dxa"/>
            <w:gridSpan w:val="4"/>
            <w:tcBorders>
              <w:top w:val="nil" w:sz="6" w:space="0" w:color="auto"/>
              <w:left w:val="nil" w:sz="6" w:space="0" w:color="auto"/>
              <w:bottom w:val="nil" w:sz="6" w:space="0" w:color="auto"/>
              <w:right w:val="nil" w:sz="6" w:space="0" w:color="auto"/>
            </w:tcBorders>
          </w:tcPr>
          <w:p>
            <w:pPr>
              <w:pStyle w:val="TableParagraph"/>
              <w:spacing w:line="310" w:lineRule="exact" w:before="212"/>
              <w:ind w:left="140" w:right="54"/>
              <w:jc w:val="left"/>
              <w:rPr>
                <w:rFonts w:ascii="宋体" w:hAnsi="宋体" w:cs="宋体" w:eastAsia="宋体" w:hint="default"/>
                <w:sz w:val="24"/>
                <w:szCs w:val="24"/>
              </w:rPr>
            </w:pPr>
            <w:r>
              <w:rPr>
                <w:rFonts w:ascii="Arial" w:hAnsi="Arial" w:cs="Arial" w:eastAsia="Arial" w:hint="default"/>
                <w:sz w:val="24"/>
                <w:szCs w:val="24"/>
              </w:rPr>
              <w:t>(a)</w:t>
            </w:r>
            <w:r>
              <w:rPr>
                <w:rFonts w:ascii="Arial" w:hAnsi="Arial" w:cs="Arial" w:eastAsia="Arial" w:hint="default"/>
                <w:spacing w:val="53"/>
                <w:sz w:val="24"/>
                <w:szCs w:val="24"/>
              </w:rPr>
              <w:t> </w:t>
            </w: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pacing w:val="-6"/>
                <w:sz w:val="24"/>
                <w:szCs w:val="24"/>
              </w:rPr>
              <w:t>日，本集团并未就可抵扣暂时性差异</w:t>
            </w:r>
            <w:r>
              <w:rPr>
                <w:rFonts w:ascii="宋体" w:hAnsi="宋体" w:cs="宋体" w:eastAsia="宋体" w:hint="default"/>
                <w:spacing w:val="-60"/>
                <w:sz w:val="24"/>
                <w:szCs w:val="24"/>
              </w:rPr>
              <w:t> </w:t>
            </w:r>
            <w:r>
              <w:rPr>
                <w:rFonts w:ascii="Arial" w:hAnsi="Arial" w:cs="Arial" w:eastAsia="Arial" w:hint="default"/>
                <w:sz w:val="24"/>
                <w:szCs w:val="24"/>
              </w:rPr>
              <w:t>2,927</w:t>
            </w:r>
            <w:r>
              <w:rPr>
                <w:rFonts w:ascii="Arial" w:hAnsi="Arial" w:cs="Arial" w:eastAsia="Arial" w:hint="default"/>
                <w:spacing w:val="-8"/>
                <w:sz w:val="24"/>
                <w:szCs w:val="24"/>
              </w:rPr>
              <w:t> </w:t>
            </w:r>
            <w:r>
              <w:rPr>
                <w:rFonts w:ascii="宋体" w:hAnsi="宋体" w:cs="宋体" w:eastAsia="宋体" w:hint="default"/>
                <w:spacing w:val="-3"/>
                <w:sz w:val="24"/>
                <w:szCs w:val="24"/>
              </w:rPr>
              <w:t>万元</w:t>
            </w:r>
            <w:r>
              <w:rPr>
                <w:rFonts w:ascii="Arial" w:hAnsi="Arial" w:cs="Arial" w:eastAsia="Arial" w:hint="default"/>
                <w:spacing w:val="-3"/>
                <w:sz w:val="24"/>
                <w:szCs w:val="24"/>
              </w:rPr>
              <w:t>(2011</w:t>
            </w:r>
            <w:r>
              <w:rPr>
                <w:rFonts w:ascii="Arial" w:hAnsi="Arial" w:cs="Arial" w:eastAsia="Arial" w:hint="default"/>
                <w:w w:val="99"/>
                <w:sz w:val="24"/>
                <w:szCs w:val="24"/>
              </w:rPr>
              <w:t> </w:t>
            </w:r>
            <w:r>
              <w:rPr>
                <w:rFonts w:ascii="宋体" w:hAnsi="宋体" w:cs="宋体" w:eastAsia="宋体" w:hint="default"/>
                <w:sz w:val="24"/>
                <w:szCs w:val="24"/>
              </w:rPr>
              <w:t>年：无</w:t>
            </w:r>
            <w:r>
              <w:rPr>
                <w:rFonts w:ascii="Arial" w:hAnsi="Arial" w:cs="Arial" w:eastAsia="Arial" w:hint="default"/>
                <w:sz w:val="24"/>
                <w:szCs w:val="24"/>
              </w:rPr>
              <w:t>)</w:t>
            </w:r>
            <w:r>
              <w:rPr>
                <w:rFonts w:ascii="宋体" w:hAnsi="宋体" w:cs="宋体" w:eastAsia="宋体" w:hint="default"/>
                <w:sz w:val="24"/>
                <w:szCs w:val="24"/>
              </w:rPr>
              <w:t>确认递延所得税资产</w:t>
            </w:r>
            <w:r>
              <w:rPr>
                <w:rFonts w:ascii="宋体" w:hAnsi="宋体" w:cs="宋体" w:eastAsia="宋体" w:hint="default"/>
                <w:spacing w:val="-62"/>
                <w:sz w:val="24"/>
                <w:szCs w:val="24"/>
              </w:rPr>
              <w:t> </w:t>
            </w:r>
            <w:r>
              <w:rPr>
                <w:rFonts w:ascii="Arial" w:hAnsi="Arial" w:cs="Arial" w:eastAsia="Arial" w:hint="default"/>
                <w:sz w:val="24"/>
                <w:szCs w:val="24"/>
              </w:rPr>
              <w:t>1,043</w:t>
            </w:r>
            <w:r>
              <w:rPr>
                <w:rFonts w:ascii="Arial" w:hAnsi="Arial" w:cs="Arial" w:eastAsia="Arial" w:hint="default"/>
                <w:spacing w:val="-8"/>
                <w:sz w:val="24"/>
                <w:szCs w:val="24"/>
              </w:rPr>
              <w:t> </w:t>
            </w:r>
            <w:r>
              <w:rPr>
                <w:rFonts w:ascii="宋体" w:hAnsi="宋体" w:cs="宋体" w:eastAsia="宋体" w:hint="default"/>
                <w:spacing w:val="-3"/>
                <w:sz w:val="24"/>
                <w:szCs w:val="24"/>
              </w:rPr>
              <w:t>万元</w:t>
            </w:r>
            <w:r>
              <w:rPr>
                <w:rFonts w:ascii="Arial" w:hAnsi="Arial" w:cs="Arial" w:eastAsia="Arial" w:hint="default"/>
                <w:spacing w:val="-3"/>
                <w:sz w:val="24"/>
                <w:szCs w:val="24"/>
              </w:rPr>
              <w:t>(2011</w:t>
            </w:r>
            <w:r>
              <w:rPr>
                <w:rFonts w:ascii="Arial" w:hAnsi="Arial" w:cs="Arial" w:eastAsia="Arial" w:hint="default"/>
                <w:spacing w:val="-8"/>
                <w:sz w:val="24"/>
                <w:szCs w:val="24"/>
              </w:rPr>
              <w:t> </w:t>
            </w:r>
            <w:r>
              <w:rPr>
                <w:rFonts w:ascii="宋体" w:hAnsi="宋体" w:cs="宋体" w:eastAsia="宋体" w:hint="default"/>
                <w:sz w:val="24"/>
                <w:szCs w:val="24"/>
              </w:rPr>
              <w:t>年：无</w:t>
            </w:r>
            <w:r>
              <w:rPr>
                <w:rFonts w:ascii="Arial" w:hAnsi="Arial" w:cs="Arial" w:eastAsia="Arial" w:hint="default"/>
                <w:sz w:val="24"/>
                <w:szCs w:val="24"/>
              </w:rPr>
              <w:t>)</w:t>
            </w:r>
            <w:r>
              <w:rPr>
                <w:rFonts w:ascii="宋体" w:hAnsi="宋体" w:cs="宋体" w:eastAsia="宋体" w:hint="default"/>
                <w:sz w:val="24"/>
                <w:szCs w:val="24"/>
              </w:rPr>
              <w:t>。</w:t>
            </w:r>
          </w:p>
        </w:tc>
      </w:tr>
      <w:tr>
        <w:trPr>
          <w:trHeight w:val="810" w:hRule="exact"/>
        </w:trPr>
        <w:tc>
          <w:tcPr>
            <w:tcW w:w="768" w:type="dxa"/>
            <w:tcBorders>
              <w:top w:val="nil" w:sz="6" w:space="0" w:color="auto"/>
              <w:left w:val="nil" w:sz="6" w:space="0" w:color="auto"/>
              <w:bottom w:val="nil" w:sz="6" w:space="0" w:color="auto"/>
              <w:right w:val="nil" w:sz="6" w:space="0" w:color="auto"/>
            </w:tcBorders>
          </w:tcPr>
          <w:p>
            <w:pPr/>
          </w:p>
        </w:tc>
        <w:tc>
          <w:tcPr>
            <w:tcW w:w="8306" w:type="dxa"/>
            <w:gridSpan w:val="4"/>
            <w:tcBorders>
              <w:top w:val="nil" w:sz="6" w:space="0" w:color="auto"/>
              <w:left w:val="nil" w:sz="6" w:space="0" w:color="auto"/>
              <w:bottom w:val="nil" w:sz="6" w:space="0" w:color="auto"/>
              <w:right w:val="nil" w:sz="6" w:space="0" w:color="auto"/>
            </w:tcBorders>
          </w:tcPr>
          <w:p>
            <w:pPr>
              <w:pStyle w:val="TableParagraph"/>
              <w:spacing w:line="310" w:lineRule="exact" w:before="206"/>
              <w:ind w:left="140" w:right="54"/>
              <w:jc w:val="left"/>
              <w:rPr>
                <w:rFonts w:ascii="宋体" w:hAnsi="宋体" w:cs="宋体" w:eastAsia="宋体" w:hint="default"/>
                <w:sz w:val="24"/>
                <w:szCs w:val="24"/>
              </w:rPr>
            </w:pPr>
            <w:r>
              <w:rPr>
                <w:rFonts w:ascii="Arial" w:hAnsi="Arial" w:cs="Arial" w:eastAsia="Arial" w:hint="default"/>
                <w:sz w:val="24"/>
                <w:szCs w:val="24"/>
              </w:rPr>
              <w:t>(b)</w:t>
            </w: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pacing w:val="-5"/>
                <w:sz w:val="24"/>
                <w:szCs w:val="24"/>
              </w:rPr>
              <w:t>日，本集团并未就可抵扣亏损</w:t>
            </w:r>
            <w:r>
              <w:rPr>
                <w:rFonts w:ascii="宋体" w:hAnsi="宋体" w:cs="宋体" w:eastAsia="宋体" w:hint="default"/>
                <w:spacing w:val="-60"/>
                <w:sz w:val="24"/>
                <w:szCs w:val="24"/>
              </w:rPr>
              <w:t> </w:t>
            </w:r>
            <w:r>
              <w:rPr>
                <w:rFonts w:ascii="Arial" w:hAnsi="Arial" w:cs="Arial" w:eastAsia="Arial" w:hint="default"/>
                <w:sz w:val="24"/>
                <w:szCs w:val="24"/>
              </w:rPr>
              <w:t>5,737</w:t>
            </w:r>
            <w:r>
              <w:rPr>
                <w:rFonts w:ascii="Arial" w:hAnsi="Arial" w:cs="Arial" w:eastAsia="Arial" w:hint="default"/>
                <w:spacing w:val="-6"/>
                <w:sz w:val="24"/>
                <w:szCs w:val="24"/>
              </w:rPr>
              <w:t> </w:t>
            </w:r>
            <w:r>
              <w:rPr>
                <w:rFonts w:ascii="宋体" w:hAnsi="宋体" w:cs="宋体" w:eastAsia="宋体" w:hint="default"/>
                <w:spacing w:val="-3"/>
                <w:sz w:val="24"/>
                <w:szCs w:val="24"/>
              </w:rPr>
              <w:t>万元</w:t>
            </w:r>
            <w:r>
              <w:rPr>
                <w:rFonts w:ascii="Arial" w:hAnsi="Arial" w:cs="Arial" w:eastAsia="Arial" w:hint="default"/>
                <w:spacing w:val="-3"/>
                <w:sz w:val="24"/>
                <w:szCs w:val="24"/>
              </w:rPr>
              <w:t>(2011</w:t>
            </w:r>
            <w:r>
              <w:rPr>
                <w:rFonts w:ascii="Arial" w:hAnsi="Arial" w:cs="Arial" w:eastAsia="Arial" w:hint="default"/>
                <w:spacing w:val="-6"/>
                <w:sz w:val="24"/>
                <w:szCs w:val="24"/>
              </w:rPr>
              <w:t> </w:t>
            </w:r>
            <w:r>
              <w:rPr>
                <w:rFonts w:ascii="宋体" w:hAnsi="宋体" w:cs="宋体" w:eastAsia="宋体" w:hint="default"/>
                <w:spacing w:val="-14"/>
                <w:sz w:val="24"/>
                <w:szCs w:val="24"/>
              </w:rPr>
              <w:t>年：无</w:t>
            </w:r>
            <w:r>
              <w:rPr>
                <w:rFonts w:ascii="Arial" w:hAnsi="Arial" w:cs="Arial" w:eastAsia="Arial" w:hint="default"/>
                <w:spacing w:val="-14"/>
                <w:sz w:val="24"/>
                <w:szCs w:val="24"/>
              </w:rPr>
              <w:t>)</w:t>
            </w:r>
            <w:r>
              <w:rPr>
                <w:rFonts w:ascii="Arial" w:hAnsi="Arial" w:cs="Arial" w:eastAsia="Arial" w:hint="default"/>
                <w:sz w:val="24"/>
                <w:szCs w:val="24"/>
              </w:rPr>
              <w:t> </w:t>
            </w:r>
            <w:r>
              <w:rPr>
                <w:rFonts w:ascii="宋体" w:hAnsi="宋体" w:cs="宋体" w:eastAsia="宋体" w:hint="default"/>
                <w:sz w:val="24"/>
                <w:szCs w:val="24"/>
              </w:rPr>
              <w:t>确认递延所得税资产</w:t>
            </w:r>
            <w:r>
              <w:rPr>
                <w:rFonts w:ascii="宋体" w:hAnsi="宋体" w:cs="宋体" w:eastAsia="宋体" w:hint="default"/>
                <w:spacing w:val="-60"/>
                <w:sz w:val="24"/>
                <w:szCs w:val="24"/>
              </w:rPr>
              <w:t> </w:t>
            </w:r>
            <w:r>
              <w:rPr>
                <w:rFonts w:ascii="Arial" w:hAnsi="Arial" w:cs="Arial" w:eastAsia="Arial" w:hint="default"/>
                <w:sz w:val="24"/>
                <w:szCs w:val="24"/>
              </w:rPr>
              <w:t>1,984</w:t>
            </w:r>
            <w:r>
              <w:rPr>
                <w:rFonts w:ascii="Arial" w:hAnsi="Arial" w:cs="Arial" w:eastAsia="Arial" w:hint="default"/>
                <w:spacing w:val="-5"/>
                <w:sz w:val="24"/>
                <w:szCs w:val="24"/>
              </w:rPr>
              <w:t> </w:t>
            </w:r>
            <w:r>
              <w:rPr>
                <w:rFonts w:ascii="宋体" w:hAnsi="宋体" w:cs="宋体" w:eastAsia="宋体" w:hint="default"/>
                <w:spacing w:val="-4"/>
                <w:sz w:val="24"/>
                <w:szCs w:val="24"/>
              </w:rPr>
              <w:t>万元</w:t>
            </w:r>
            <w:r>
              <w:rPr>
                <w:rFonts w:ascii="Arial" w:hAnsi="Arial" w:cs="Arial" w:eastAsia="Arial" w:hint="default"/>
                <w:spacing w:val="-4"/>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年：无</w:t>
            </w:r>
            <w:r>
              <w:rPr>
                <w:rFonts w:ascii="Arial" w:hAnsi="Arial" w:cs="Arial" w:eastAsia="Arial" w:hint="default"/>
                <w:sz w:val="24"/>
                <w:szCs w:val="24"/>
              </w:rPr>
              <w:t>)</w:t>
            </w:r>
            <w:r>
              <w:rPr>
                <w:rFonts w:ascii="宋体" w:hAnsi="宋体" w:cs="宋体" w:eastAsia="宋体"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855"/>
        <w:gridCol w:w="3008"/>
        <w:gridCol w:w="1100"/>
        <w:gridCol w:w="127"/>
        <w:gridCol w:w="1205"/>
        <w:gridCol w:w="127"/>
        <w:gridCol w:w="1176"/>
        <w:gridCol w:w="130"/>
        <w:gridCol w:w="950"/>
        <w:gridCol w:w="146"/>
        <w:gridCol w:w="1143"/>
      </w:tblGrid>
      <w:tr>
        <w:trPr>
          <w:trHeight w:val="496" w:hRule="exact"/>
        </w:trPr>
        <w:tc>
          <w:tcPr>
            <w:tcW w:w="85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(19)</w:t>
            </w:r>
          </w:p>
        </w:tc>
        <w:tc>
          <w:tcPr>
            <w:tcW w:w="3008" w:type="dxa"/>
            <w:tcBorders>
              <w:top w:val="nil" w:sz="6" w:space="0" w:color="auto"/>
              <w:left w:val="nil" w:sz="6" w:space="0" w:color="auto"/>
              <w:bottom w:val="nil" w:sz="6" w:space="0" w:color="auto"/>
              <w:right w:val="nil" w:sz="6" w:space="0" w:color="auto"/>
            </w:tcBorders>
          </w:tcPr>
          <w:p>
            <w:pPr>
              <w:pStyle w:val="TableParagraph"/>
              <w:spacing w:line="247" w:lineRule="exact"/>
              <w:ind w:left="57" w:right="0"/>
              <w:jc w:val="left"/>
              <w:rPr>
                <w:rFonts w:ascii="黑体" w:hAnsi="黑体" w:cs="黑体" w:eastAsia="黑体" w:hint="default"/>
                <w:sz w:val="24"/>
                <w:szCs w:val="24"/>
              </w:rPr>
            </w:pPr>
            <w:r>
              <w:rPr>
                <w:rFonts w:ascii="黑体" w:hAnsi="黑体" w:cs="黑体" w:eastAsia="黑体" w:hint="default"/>
                <w:sz w:val="24"/>
                <w:szCs w:val="24"/>
              </w:rPr>
              <w:t>资产减值准备</w:t>
            </w:r>
          </w:p>
        </w:tc>
        <w:tc>
          <w:tcPr>
            <w:tcW w:w="1100"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r>
      <w:tr>
        <w:trPr>
          <w:trHeight w:val="948" w:hRule="exact"/>
        </w:trPr>
        <w:tc>
          <w:tcPr>
            <w:tcW w:w="855" w:type="dxa"/>
            <w:tcBorders>
              <w:top w:val="nil" w:sz="6" w:space="0" w:color="auto"/>
              <w:left w:val="nil" w:sz="6" w:space="0" w:color="auto"/>
              <w:bottom w:val="nil" w:sz="6" w:space="0" w:color="auto"/>
              <w:right w:val="nil" w:sz="6" w:space="0" w:color="auto"/>
            </w:tcBorders>
          </w:tcPr>
          <w:p>
            <w:pPr/>
          </w:p>
        </w:tc>
        <w:tc>
          <w:tcPr>
            <w:tcW w:w="3008"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29"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0" w:lineRule="auto" w:before="23"/>
              <w:ind w:left="146"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2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60"/>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27"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本年转销</w:t>
            </w:r>
          </w:p>
        </w:tc>
        <w:tc>
          <w:tcPr>
            <w:tcW w:w="130"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76" w:lineRule="auto"/>
              <w:ind w:left="175" w:right="53" w:firstLine="360"/>
              <w:jc w:val="left"/>
              <w:rPr>
                <w:rFonts w:ascii="宋体" w:hAnsi="宋体" w:cs="宋体" w:eastAsia="宋体" w:hint="default"/>
                <w:sz w:val="18"/>
                <w:szCs w:val="18"/>
              </w:rPr>
            </w:pPr>
            <w:r>
              <w:rPr>
                <w:rFonts w:ascii="宋体" w:hAnsi="宋体" w:cs="宋体" w:eastAsia="宋体" w:hint="default"/>
                <w:sz w:val="18"/>
                <w:szCs w:val="18"/>
              </w:rPr>
              <w:t>外币 报表折算</w:t>
            </w:r>
          </w:p>
        </w:tc>
        <w:tc>
          <w:tcPr>
            <w:tcW w:w="146"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58"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23"/>
              <w:ind w:left="18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95" w:hRule="exact"/>
        </w:trPr>
        <w:tc>
          <w:tcPr>
            <w:tcW w:w="855" w:type="dxa"/>
            <w:tcBorders>
              <w:top w:val="nil" w:sz="6" w:space="0" w:color="auto"/>
              <w:left w:val="nil" w:sz="6" w:space="0" w:color="auto"/>
              <w:bottom w:val="nil" w:sz="6" w:space="0" w:color="auto"/>
              <w:right w:val="nil" w:sz="6" w:space="0" w:color="auto"/>
            </w:tcBorders>
          </w:tcPr>
          <w:p>
            <w:pPr/>
          </w:p>
        </w:tc>
        <w:tc>
          <w:tcPr>
            <w:tcW w:w="300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0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4"/>
              <w:jc w:val="right"/>
              <w:rPr>
                <w:rFonts w:ascii="Arial" w:hAnsi="Arial" w:cs="Arial" w:eastAsia="Arial" w:hint="default"/>
                <w:sz w:val="18"/>
                <w:szCs w:val="18"/>
              </w:rPr>
            </w:pPr>
            <w:r>
              <w:rPr>
                <w:rFonts w:ascii="Arial"/>
                <w:spacing w:val="-1"/>
                <w:sz w:val="18"/>
              </w:rPr>
              <w:t>65,596</w:t>
            </w:r>
          </w:p>
        </w:tc>
        <w:tc>
          <w:tcPr>
            <w:tcW w:w="127" w:type="dxa"/>
            <w:tcBorders>
              <w:top w:val="nil" w:sz="6" w:space="0" w:color="auto"/>
              <w:left w:val="nil" w:sz="6" w:space="0" w:color="auto"/>
              <w:bottom w:val="single" w:sz="4" w:space="0" w:color="000000"/>
              <w:right w:val="nil" w:sz="6" w:space="0" w:color="auto"/>
            </w:tcBorders>
          </w:tcPr>
          <w:p>
            <w:pPr/>
          </w:p>
        </w:tc>
        <w:tc>
          <w:tcPr>
            <w:tcW w:w="120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3"/>
              <w:jc w:val="right"/>
              <w:rPr>
                <w:rFonts w:ascii="Arial" w:hAnsi="Arial" w:cs="Arial" w:eastAsia="Arial" w:hint="default"/>
                <w:sz w:val="18"/>
                <w:szCs w:val="18"/>
              </w:rPr>
            </w:pPr>
            <w:r>
              <w:rPr>
                <w:rFonts w:ascii="Arial"/>
                <w:w w:val="95"/>
                <w:sz w:val="18"/>
              </w:rPr>
              <w:t>9,040</w:t>
            </w:r>
            <w:r>
              <w:rPr>
                <w:rFonts w:ascii="Arial"/>
                <w:sz w:val="18"/>
              </w:rPr>
            </w:r>
          </w:p>
        </w:tc>
        <w:tc>
          <w:tcPr>
            <w:tcW w:w="127" w:type="dxa"/>
            <w:tcBorders>
              <w:top w:val="nil" w:sz="6" w:space="0" w:color="auto"/>
              <w:left w:val="nil" w:sz="6" w:space="0" w:color="auto"/>
              <w:bottom w:val="single" w:sz="4" w:space="0" w:color="000000"/>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2"/>
              <w:jc w:val="right"/>
              <w:rPr>
                <w:rFonts w:ascii="Arial" w:hAnsi="Arial" w:cs="Arial" w:eastAsia="Arial" w:hint="default"/>
                <w:sz w:val="18"/>
                <w:szCs w:val="18"/>
              </w:rPr>
            </w:pPr>
            <w:r>
              <w:rPr>
                <w:rFonts w:ascii="Arial"/>
                <w:w w:val="95"/>
                <w:sz w:val="18"/>
              </w:rPr>
              <w:t>(2,212)</w:t>
            </w:r>
            <w:r>
              <w:rPr>
                <w:rFonts w:ascii="Arial"/>
                <w:sz w:val="18"/>
              </w:rPr>
            </w:r>
          </w:p>
        </w:tc>
        <w:tc>
          <w:tcPr>
            <w:tcW w:w="130" w:type="dxa"/>
            <w:tcBorders>
              <w:top w:val="nil" w:sz="6" w:space="0" w:color="auto"/>
              <w:left w:val="nil" w:sz="6" w:space="0" w:color="auto"/>
              <w:bottom w:val="single" w:sz="4" w:space="0" w:color="000000"/>
              <w:right w:val="nil" w:sz="6" w:space="0" w:color="auto"/>
            </w:tcBorders>
          </w:tcPr>
          <w:p>
            <w:pPr/>
          </w:p>
        </w:tc>
        <w:tc>
          <w:tcPr>
            <w:tcW w:w="95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3"/>
              <w:jc w:val="right"/>
              <w:rPr>
                <w:rFonts w:ascii="Arial" w:hAnsi="Arial" w:cs="Arial" w:eastAsia="Arial" w:hint="default"/>
                <w:sz w:val="18"/>
                <w:szCs w:val="18"/>
              </w:rPr>
            </w:pPr>
            <w:r>
              <w:rPr>
                <w:rFonts w:ascii="Arial"/>
                <w:w w:val="99"/>
                <w:sz w:val="18"/>
              </w:rPr>
              <w:t>-</w:t>
            </w:r>
            <w:r>
              <w:rPr>
                <w:rFonts w:ascii="Arial"/>
                <w:sz w:val="18"/>
              </w:rPr>
            </w:r>
          </w:p>
        </w:tc>
        <w:tc>
          <w:tcPr>
            <w:tcW w:w="146" w:type="dxa"/>
            <w:tcBorders>
              <w:top w:val="nil" w:sz="6" w:space="0" w:color="auto"/>
              <w:left w:val="nil" w:sz="6" w:space="0" w:color="auto"/>
              <w:bottom w:val="single" w:sz="4" w:space="0" w:color="000000"/>
              <w:right w:val="nil" w:sz="6" w:space="0" w:color="auto"/>
            </w:tcBorders>
          </w:tcPr>
          <w:p>
            <w:pPr/>
          </w:p>
        </w:tc>
        <w:tc>
          <w:tcPr>
            <w:tcW w:w="114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4"/>
              <w:jc w:val="right"/>
              <w:rPr>
                <w:rFonts w:ascii="Arial" w:hAnsi="Arial" w:cs="Arial" w:eastAsia="Arial" w:hint="default"/>
                <w:sz w:val="18"/>
                <w:szCs w:val="18"/>
              </w:rPr>
            </w:pPr>
            <w:r>
              <w:rPr>
                <w:rFonts w:ascii="Arial"/>
                <w:spacing w:val="-1"/>
                <w:sz w:val="18"/>
              </w:rPr>
              <w:t>72,424</w:t>
            </w:r>
          </w:p>
        </w:tc>
      </w:tr>
      <w:tr>
        <w:trPr>
          <w:trHeight w:val="327" w:hRule="exact"/>
        </w:trPr>
        <w:tc>
          <w:tcPr>
            <w:tcW w:w="855" w:type="dxa"/>
            <w:tcBorders>
              <w:top w:val="nil" w:sz="6" w:space="0" w:color="auto"/>
              <w:left w:val="nil" w:sz="6" w:space="0" w:color="auto"/>
              <w:bottom w:val="nil" w:sz="6" w:space="0" w:color="auto"/>
              <w:right w:val="single" w:sz="4" w:space="0" w:color="000000"/>
            </w:tcBorders>
          </w:tcPr>
          <w:p>
            <w:pPr/>
          </w:p>
        </w:tc>
        <w:tc>
          <w:tcPr>
            <w:tcW w:w="3008"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其中：应收账款坏账准备</w:t>
            </w:r>
          </w:p>
        </w:tc>
        <w:tc>
          <w:tcPr>
            <w:tcW w:w="110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54"/>
              <w:jc w:val="right"/>
              <w:rPr>
                <w:rFonts w:ascii="Arial" w:hAnsi="Arial" w:cs="Arial" w:eastAsia="Arial" w:hint="default"/>
                <w:sz w:val="18"/>
                <w:szCs w:val="18"/>
              </w:rPr>
            </w:pPr>
            <w:r>
              <w:rPr>
                <w:rFonts w:ascii="Arial"/>
                <w:spacing w:val="-1"/>
                <w:sz w:val="18"/>
              </w:rPr>
              <w:t>31,556</w:t>
            </w:r>
          </w:p>
        </w:tc>
        <w:tc>
          <w:tcPr>
            <w:tcW w:w="127" w:type="dxa"/>
            <w:tcBorders>
              <w:top w:val="single" w:sz="4" w:space="0" w:color="000000"/>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53"/>
              <w:jc w:val="right"/>
              <w:rPr>
                <w:rFonts w:ascii="Arial" w:hAnsi="Arial" w:cs="Arial" w:eastAsia="Arial" w:hint="default"/>
                <w:sz w:val="18"/>
                <w:szCs w:val="18"/>
              </w:rPr>
            </w:pPr>
            <w:r>
              <w:rPr>
                <w:rFonts w:ascii="Arial"/>
                <w:sz w:val="18"/>
              </w:rPr>
              <w:t>4,136</w:t>
            </w:r>
          </w:p>
        </w:tc>
        <w:tc>
          <w:tcPr>
            <w:tcW w:w="127" w:type="dxa"/>
            <w:tcBorders>
              <w:top w:val="single" w:sz="4" w:space="0" w:color="000000"/>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50"/>
              <w:jc w:val="right"/>
              <w:rPr>
                <w:rFonts w:ascii="Arial" w:hAnsi="Arial" w:cs="Arial" w:eastAsia="Arial" w:hint="default"/>
                <w:sz w:val="18"/>
                <w:szCs w:val="18"/>
              </w:rPr>
            </w:pPr>
            <w:r>
              <w:rPr>
                <w:rFonts w:ascii="Arial"/>
                <w:sz w:val="18"/>
              </w:rPr>
              <w:t>(127)</w:t>
            </w:r>
          </w:p>
        </w:tc>
        <w:tc>
          <w:tcPr>
            <w:tcW w:w="130" w:type="dxa"/>
            <w:tcBorders>
              <w:top w:val="single" w:sz="4" w:space="0" w:color="000000"/>
              <w:left w:val="nil" w:sz="6" w:space="0" w:color="auto"/>
              <w:bottom w:val="nil" w:sz="6" w:space="0" w:color="auto"/>
              <w:right w:val="nil" w:sz="6" w:space="0" w:color="auto"/>
            </w:tcBorders>
          </w:tcPr>
          <w:p>
            <w:pPr/>
          </w:p>
        </w:tc>
        <w:tc>
          <w:tcPr>
            <w:tcW w:w="95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53"/>
              <w:jc w:val="right"/>
              <w:rPr>
                <w:rFonts w:ascii="Arial" w:hAnsi="Arial" w:cs="Arial" w:eastAsia="Arial" w:hint="default"/>
                <w:sz w:val="18"/>
                <w:szCs w:val="18"/>
              </w:rPr>
            </w:pPr>
            <w:r>
              <w:rPr>
                <w:rFonts w:ascii="Arial"/>
                <w:w w:val="99"/>
                <w:sz w:val="18"/>
              </w:rPr>
              <w:t>-</w:t>
            </w:r>
            <w:r>
              <w:rPr>
                <w:rFonts w:ascii="Arial"/>
                <w:sz w:val="18"/>
              </w:rPr>
            </w:r>
          </w:p>
        </w:tc>
        <w:tc>
          <w:tcPr>
            <w:tcW w:w="146" w:type="dxa"/>
            <w:tcBorders>
              <w:top w:val="single" w:sz="4" w:space="0" w:color="000000"/>
              <w:left w:val="nil" w:sz="6" w:space="0" w:color="auto"/>
              <w:bottom w:val="nil" w:sz="6" w:space="0" w:color="auto"/>
              <w:right w:val="nil" w:sz="6" w:space="0" w:color="auto"/>
            </w:tcBorders>
          </w:tcPr>
          <w:p>
            <w:pPr/>
          </w:p>
        </w:tc>
        <w:tc>
          <w:tcPr>
            <w:tcW w:w="1143" w:type="dxa"/>
            <w:tcBorders>
              <w:top w:val="single" w:sz="4" w:space="0" w:color="000000"/>
              <w:left w:val="nil" w:sz="6" w:space="0" w:color="auto"/>
              <w:bottom w:val="nil" w:sz="6" w:space="0" w:color="auto"/>
              <w:right w:val="single" w:sz="4" w:space="0" w:color="000000"/>
            </w:tcBorders>
          </w:tcPr>
          <w:p>
            <w:pPr>
              <w:pStyle w:val="TableParagraph"/>
              <w:spacing w:line="240" w:lineRule="auto" w:before="64"/>
              <w:ind w:right="49"/>
              <w:jc w:val="right"/>
              <w:rPr>
                <w:rFonts w:ascii="Arial" w:hAnsi="Arial" w:cs="Arial" w:eastAsia="Arial" w:hint="default"/>
                <w:sz w:val="18"/>
                <w:szCs w:val="18"/>
              </w:rPr>
            </w:pPr>
            <w:r>
              <w:rPr>
                <w:rFonts w:ascii="Arial"/>
                <w:spacing w:val="-1"/>
                <w:sz w:val="18"/>
              </w:rPr>
              <w:t>35,565</w:t>
            </w:r>
          </w:p>
        </w:tc>
      </w:tr>
      <w:tr>
        <w:trPr>
          <w:trHeight w:val="309" w:hRule="exact"/>
        </w:trPr>
        <w:tc>
          <w:tcPr>
            <w:tcW w:w="855" w:type="dxa"/>
            <w:tcBorders>
              <w:top w:val="nil" w:sz="6" w:space="0" w:color="auto"/>
              <w:left w:val="nil" w:sz="6" w:space="0" w:color="auto"/>
              <w:bottom w:val="nil" w:sz="6" w:space="0" w:color="auto"/>
              <w:right w:val="single" w:sz="4" w:space="0" w:color="000000"/>
            </w:tcBorders>
          </w:tcPr>
          <w:p>
            <w:pPr/>
          </w:p>
        </w:tc>
        <w:tc>
          <w:tcPr>
            <w:tcW w:w="3008" w:type="dxa"/>
            <w:tcBorders>
              <w:top w:val="nil" w:sz="6" w:space="0" w:color="auto"/>
              <w:left w:val="single" w:sz="4" w:space="0" w:color="000000"/>
              <w:bottom w:val="single" w:sz="4" w:space="0" w:color="000000"/>
              <w:right w:val="nil" w:sz="6" w:space="0" w:color="auto"/>
            </w:tcBorders>
          </w:tcPr>
          <w:p>
            <w:pPr>
              <w:pStyle w:val="TableParagraph"/>
              <w:spacing w:line="240" w:lineRule="auto"/>
              <w:ind w:left="621"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100"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54"/>
              <w:jc w:val="right"/>
              <w:rPr>
                <w:rFonts w:ascii="Arial" w:hAnsi="Arial" w:cs="Arial" w:eastAsia="Arial" w:hint="default"/>
                <w:sz w:val="18"/>
                <w:szCs w:val="18"/>
              </w:rPr>
            </w:pPr>
            <w:r>
              <w:rPr>
                <w:rFonts w:ascii="Arial"/>
                <w:spacing w:val="-1"/>
                <w:sz w:val="18"/>
              </w:rPr>
              <w:t>34,040</w:t>
            </w:r>
          </w:p>
        </w:tc>
        <w:tc>
          <w:tcPr>
            <w:tcW w:w="127" w:type="dxa"/>
            <w:tcBorders>
              <w:top w:val="nil" w:sz="6" w:space="0" w:color="auto"/>
              <w:left w:val="nil" w:sz="6" w:space="0" w:color="auto"/>
              <w:bottom w:val="single" w:sz="4" w:space="0" w:color="000000"/>
              <w:right w:val="nil" w:sz="6" w:space="0" w:color="auto"/>
            </w:tcBorders>
          </w:tcPr>
          <w:p>
            <w:pPr/>
          </w:p>
        </w:tc>
        <w:tc>
          <w:tcPr>
            <w:tcW w:w="1205"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54"/>
              <w:jc w:val="right"/>
              <w:rPr>
                <w:rFonts w:ascii="Arial" w:hAnsi="Arial" w:cs="Arial" w:eastAsia="Arial" w:hint="default"/>
                <w:sz w:val="18"/>
                <w:szCs w:val="18"/>
              </w:rPr>
            </w:pPr>
            <w:r>
              <w:rPr>
                <w:rFonts w:ascii="Arial"/>
                <w:w w:val="95"/>
                <w:sz w:val="18"/>
              </w:rPr>
              <w:t>4,904</w:t>
            </w:r>
            <w:r>
              <w:rPr>
                <w:rFonts w:ascii="Arial"/>
                <w:sz w:val="18"/>
              </w:rPr>
            </w:r>
          </w:p>
        </w:tc>
        <w:tc>
          <w:tcPr>
            <w:tcW w:w="127" w:type="dxa"/>
            <w:tcBorders>
              <w:top w:val="nil" w:sz="6" w:space="0" w:color="auto"/>
              <w:left w:val="nil" w:sz="6" w:space="0" w:color="auto"/>
              <w:bottom w:val="single" w:sz="4" w:space="0" w:color="000000"/>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52"/>
              <w:jc w:val="right"/>
              <w:rPr>
                <w:rFonts w:ascii="Arial" w:hAnsi="Arial" w:cs="Arial" w:eastAsia="Arial" w:hint="default"/>
                <w:sz w:val="18"/>
                <w:szCs w:val="18"/>
              </w:rPr>
            </w:pPr>
            <w:r>
              <w:rPr>
                <w:rFonts w:ascii="Arial"/>
                <w:w w:val="95"/>
                <w:sz w:val="18"/>
              </w:rPr>
              <w:t>(2,085)</w:t>
            </w:r>
            <w:r>
              <w:rPr>
                <w:rFonts w:ascii="Arial"/>
                <w:sz w:val="18"/>
              </w:rPr>
            </w:r>
          </w:p>
        </w:tc>
        <w:tc>
          <w:tcPr>
            <w:tcW w:w="130" w:type="dxa"/>
            <w:tcBorders>
              <w:top w:val="nil" w:sz="6" w:space="0" w:color="auto"/>
              <w:left w:val="nil" w:sz="6" w:space="0" w:color="auto"/>
              <w:bottom w:val="single" w:sz="4" w:space="0" w:color="000000"/>
              <w:right w:val="nil" w:sz="6" w:space="0" w:color="auto"/>
            </w:tcBorders>
          </w:tcPr>
          <w:p>
            <w:pPr/>
          </w:p>
        </w:tc>
        <w:tc>
          <w:tcPr>
            <w:tcW w:w="950"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53"/>
              <w:jc w:val="right"/>
              <w:rPr>
                <w:rFonts w:ascii="Arial" w:hAnsi="Arial" w:cs="Arial" w:eastAsia="Arial" w:hint="default"/>
                <w:sz w:val="18"/>
                <w:szCs w:val="18"/>
              </w:rPr>
            </w:pPr>
            <w:r>
              <w:rPr>
                <w:rFonts w:ascii="Arial"/>
                <w:w w:val="99"/>
                <w:sz w:val="18"/>
              </w:rPr>
              <w:t>-</w:t>
            </w:r>
            <w:r>
              <w:rPr>
                <w:rFonts w:ascii="Arial"/>
                <w:sz w:val="18"/>
              </w:rPr>
            </w:r>
          </w:p>
        </w:tc>
        <w:tc>
          <w:tcPr>
            <w:tcW w:w="146" w:type="dxa"/>
            <w:tcBorders>
              <w:top w:val="nil" w:sz="6" w:space="0" w:color="auto"/>
              <w:left w:val="nil" w:sz="6" w:space="0" w:color="auto"/>
              <w:bottom w:val="single" w:sz="4" w:space="0" w:color="000000"/>
              <w:right w:val="nil" w:sz="6" w:space="0" w:color="auto"/>
            </w:tcBorders>
          </w:tcPr>
          <w:p>
            <w:pPr/>
          </w:p>
        </w:tc>
        <w:tc>
          <w:tcPr>
            <w:tcW w:w="1143" w:type="dxa"/>
            <w:tcBorders>
              <w:top w:val="nil" w:sz="6" w:space="0" w:color="auto"/>
              <w:left w:val="nil" w:sz="6" w:space="0" w:color="auto"/>
              <w:bottom w:val="single" w:sz="4" w:space="0" w:color="000000"/>
              <w:right w:val="single" w:sz="4" w:space="0" w:color="000000"/>
            </w:tcBorders>
          </w:tcPr>
          <w:p>
            <w:pPr>
              <w:pStyle w:val="TableParagraph"/>
              <w:spacing w:line="240" w:lineRule="auto" w:before="56"/>
              <w:ind w:right="51"/>
              <w:jc w:val="right"/>
              <w:rPr>
                <w:rFonts w:ascii="Arial" w:hAnsi="Arial" w:cs="Arial" w:eastAsia="Arial" w:hint="default"/>
                <w:sz w:val="18"/>
                <w:szCs w:val="18"/>
              </w:rPr>
            </w:pPr>
            <w:r>
              <w:rPr>
                <w:rFonts w:ascii="Arial"/>
                <w:spacing w:val="-1"/>
                <w:sz w:val="18"/>
              </w:rPr>
              <w:t>36,859</w:t>
            </w:r>
          </w:p>
        </w:tc>
      </w:tr>
      <w:tr>
        <w:trPr>
          <w:trHeight w:val="327" w:hRule="exact"/>
        </w:trPr>
        <w:tc>
          <w:tcPr>
            <w:tcW w:w="855" w:type="dxa"/>
            <w:tcBorders>
              <w:top w:val="nil" w:sz="6" w:space="0" w:color="auto"/>
              <w:left w:val="nil" w:sz="6" w:space="0" w:color="auto"/>
              <w:bottom w:val="nil" w:sz="6" w:space="0" w:color="auto"/>
              <w:right w:val="nil" w:sz="6" w:space="0" w:color="auto"/>
            </w:tcBorders>
          </w:tcPr>
          <w:p>
            <w:pPr/>
          </w:p>
        </w:tc>
        <w:tc>
          <w:tcPr>
            <w:tcW w:w="300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57"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10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54"/>
              <w:jc w:val="right"/>
              <w:rPr>
                <w:rFonts w:ascii="Arial" w:hAnsi="Arial" w:cs="Arial" w:eastAsia="Arial" w:hint="default"/>
                <w:sz w:val="18"/>
                <w:szCs w:val="18"/>
              </w:rPr>
            </w:pPr>
            <w:r>
              <w:rPr>
                <w:rFonts w:ascii="Arial"/>
                <w:spacing w:val="-1"/>
                <w:sz w:val="18"/>
              </w:rPr>
              <w:t>41,534</w:t>
            </w:r>
          </w:p>
        </w:tc>
        <w:tc>
          <w:tcPr>
            <w:tcW w:w="127" w:type="dxa"/>
            <w:tcBorders>
              <w:top w:val="single" w:sz="4" w:space="0" w:color="000000"/>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54"/>
              <w:jc w:val="right"/>
              <w:rPr>
                <w:rFonts w:ascii="Arial" w:hAnsi="Arial" w:cs="Arial" w:eastAsia="Arial" w:hint="default"/>
                <w:sz w:val="18"/>
                <w:szCs w:val="18"/>
              </w:rPr>
            </w:pPr>
            <w:r>
              <w:rPr>
                <w:rFonts w:ascii="Arial"/>
                <w:spacing w:val="-1"/>
                <w:sz w:val="18"/>
              </w:rPr>
              <w:t>91,787</w:t>
            </w:r>
          </w:p>
        </w:tc>
        <w:tc>
          <w:tcPr>
            <w:tcW w:w="127" w:type="dxa"/>
            <w:tcBorders>
              <w:top w:val="single" w:sz="4" w:space="0" w:color="000000"/>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52"/>
              <w:jc w:val="right"/>
              <w:rPr>
                <w:rFonts w:ascii="Arial" w:hAnsi="Arial" w:cs="Arial" w:eastAsia="Arial" w:hint="default"/>
                <w:sz w:val="18"/>
                <w:szCs w:val="18"/>
              </w:rPr>
            </w:pPr>
            <w:r>
              <w:rPr>
                <w:rFonts w:ascii="Arial"/>
                <w:spacing w:val="-1"/>
                <w:sz w:val="18"/>
              </w:rPr>
              <w:t>(23,331)</w:t>
            </w:r>
          </w:p>
        </w:tc>
        <w:tc>
          <w:tcPr>
            <w:tcW w:w="130" w:type="dxa"/>
            <w:tcBorders>
              <w:top w:val="single" w:sz="4" w:space="0" w:color="000000"/>
              <w:left w:val="nil" w:sz="6" w:space="0" w:color="auto"/>
              <w:bottom w:val="nil" w:sz="6" w:space="0" w:color="auto"/>
              <w:right w:val="nil" w:sz="6" w:space="0" w:color="auto"/>
            </w:tcBorders>
          </w:tcPr>
          <w:p>
            <w:pPr/>
          </w:p>
        </w:tc>
        <w:tc>
          <w:tcPr>
            <w:tcW w:w="95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53"/>
              <w:jc w:val="right"/>
              <w:rPr>
                <w:rFonts w:ascii="Arial" w:hAnsi="Arial" w:cs="Arial" w:eastAsia="Arial" w:hint="default"/>
                <w:sz w:val="18"/>
                <w:szCs w:val="18"/>
              </w:rPr>
            </w:pPr>
            <w:r>
              <w:rPr>
                <w:rFonts w:ascii="Arial"/>
                <w:w w:val="99"/>
                <w:sz w:val="18"/>
              </w:rPr>
              <w:t>-</w:t>
            </w:r>
            <w:r>
              <w:rPr>
                <w:rFonts w:ascii="Arial"/>
                <w:sz w:val="18"/>
              </w:rPr>
            </w:r>
          </w:p>
        </w:tc>
        <w:tc>
          <w:tcPr>
            <w:tcW w:w="146" w:type="dxa"/>
            <w:tcBorders>
              <w:top w:val="single" w:sz="4" w:space="0" w:color="000000"/>
              <w:left w:val="nil" w:sz="6" w:space="0" w:color="auto"/>
              <w:bottom w:val="nil" w:sz="6" w:space="0" w:color="auto"/>
              <w:right w:val="nil" w:sz="6" w:space="0" w:color="auto"/>
            </w:tcBorders>
          </w:tcPr>
          <w:p>
            <w:pPr/>
          </w:p>
        </w:tc>
        <w:tc>
          <w:tcPr>
            <w:tcW w:w="1143"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54"/>
              <w:jc w:val="right"/>
              <w:rPr>
                <w:rFonts w:ascii="Arial" w:hAnsi="Arial" w:cs="Arial" w:eastAsia="Arial" w:hint="default"/>
                <w:sz w:val="18"/>
                <w:szCs w:val="18"/>
              </w:rPr>
            </w:pPr>
            <w:r>
              <w:rPr>
                <w:rFonts w:ascii="Arial"/>
                <w:spacing w:val="-1"/>
                <w:sz w:val="18"/>
              </w:rPr>
              <w:t>109,990</w:t>
            </w:r>
          </w:p>
        </w:tc>
      </w:tr>
      <w:tr>
        <w:trPr>
          <w:trHeight w:val="356" w:hRule="exact"/>
        </w:trPr>
        <w:tc>
          <w:tcPr>
            <w:tcW w:w="855" w:type="dxa"/>
            <w:tcBorders>
              <w:top w:val="nil" w:sz="6" w:space="0" w:color="auto"/>
              <w:left w:val="nil" w:sz="6" w:space="0" w:color="auto"/>
              <w:bottom w:val="nil" w:sz="6" w:space="0" w:color="auto"/>
              <w:right w:val="nil" w:sz="6" w:space="0" w:color="auto"/>
            </w:tcBorders>
          </w:tcPr>
          <w:p>
            <w:pPr/>
          </w:p>
        </w:tc>
        <w:tc>
          <w:tcPr>
            <w:tcW w:w="3008" w:type="dxa"/>
            <w:tcBorders>
              <w:top w:val="nil" w:sz="6" w:space="0" w:color="auto"/>
              <w:left w:val="nil" w:sz="6" w:space="0" w:color="auto"/>
              <w:bottom w:val="nil" w:sz="6" w:space="0" w:color="auto"/>
              <w:right w:val="nil" w:sz="6" w:space="0" w:color="auto"/>
            </w:tcBorders>
          </w:tcPr>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
              <w:jc w:val="right"/>
              <w:rPr>
                <w:rFonts w:ascii="Arial" w:hAnsi="Arial" w:cs="Arial" w:eastAsia="Arial" w:hint="default"/>
                <w:sz w:val="18"/>
                <w:szCs w:val="18"/>
              </w:rPr>
            </w:pPr>
            <w:r>
              <w:rPr>
                <w:rFonts w:ascii="Arial"/>
                <w:spacing w:val="-1"/>
                <w:sz w:val="18"/>
              </w:rPr>
              <w:t>12,037</w:t>
            </w:r>
          </w:p>
        </w:tc>
        <w:tc>
          <w:tcPr>
            <w:tcW w:w="12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
              <w:jc w:val="right"/>
              <w:rPr>
                <w:rFonts w:ascii="Arial" w:hAnsi="Arial" w:cs="Arial" w:eastAsia="Arial" w:hint="default"/>
                <w:sz w:val="18"/>
                <w:szCs w:val="18"/>
              </w:rPr>
            </w:pPr>
            <w:r>
              <w:rPr>
                <w:rFonts w:ascii="Arial"/>
                <w:spacing w:val="-1"/>
                <w:sz w:val="18"/>
              </w:rPr>
              <w:t>21,233</w:t>
            </w:r>
          </w:p>
        </w:tc>
        <w:tc>
          <w:tcPr>
            <w:tcW w:w="127"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3"/>
              <w:jc w:val="right"/>
              <w:rPr>
                <w:rFonts w:ascii="Arial" w:hAnsi="Arial" w:cs="Arial" w:eastAsia="Arial" w:hint="default"/>
                <w:sz w:val="18"/>
                <w:szCs w:val="18"/>
              </w:rPr>
            </w:pPr>
            <w:r>
              <w:rPr>
                <w:rFonts w:ascii="Arial"/>
                <w:w w:val="99"/>
                <w:sz w:val="18"/>
              </w:rPr>
              <w:t>-</w:t>
            </w:r>
            <w:r>
              <w:rPr>
                <w:rFonts w:ascii="Arial"/>
                <w:sz w:val="18"/>
              </w:rPr>
            </w:r>
          </w:p>
        </w:tc>
        <w:tc>
          <w:tcPr>
            <w:tcW w:w="130"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0"/>
              <w:jc w:val="right"/>
              <w:rPr>
                <w:rFonts w:ascii="Arial" w:hAnsi="Arial" w:cs="Arial" w:eastAsia="Arial" w:hint="default"/>
                <w:sz w:val="18"/>
                <w:szCs w:val="18"/>
              </w:rPr>
            </w:pPr>
            <w:r>
              <w:rPr>
                <w:rFonts w:ascii="Arial"/>
                <w:sz w:val="18"/>
              </w:rPr>
              <w:t>(2,786)</w:t>
            </w:r>
          </w:p>
        </w:tc>
        <w:tc>
          <w:tcPr>
            <w:tcW w:w="146"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3"/>
              <w:jc w:val="right"/>
              <w:rPr>
                <w:rFonts w:ascii="Arial" w:hAnsi="Arial" w:cs="Arial" w:eastAsia="Arial" w:hint="default"/>
                <w:sz w:val="18"/>
                <w:szCs w:val="18"/>
              </w:rPr>
            </w:pPr>
            <w:r>
              <w:rPr>
                <w:rFonts w:ascii="Arial"/>
                <w:spacing w:val="-1"/>
                <w:sz w:val="18"/>
              </w:rPr>
              <w:t>30,484</w:t>
            </w:r>
          </w:p>
        </w:tc>
      </w:tr>
      <w:tr>
        <w:trPr>
          <w:trHeight w:val="356" w:hRule="exact"/>
        </w:trPr>
        <w:tc>
          <w:tcPr>
            <w:tcW w:w="855" w:type="dxa"/>
            <w:tcBorders>
              <w:top w:val="nil" w:sz="6" w:space="0" w:color="auto"/>
              <w:left w:val="nil" w:sz="6" w:space="0" w:color="auto"/>
              <w:bottom w:val="nil" w:sz="6" w:space="0" w:color="auto"/>
              <w:right w:val="nil" w:sz="6" w:space="0" w:color="auto"/>
            </w:tcBorders>
          </w:tcPr>
          <w:p>
            <w:pPr/>
          </w:p>
        </w:tc>
        <w:tc>
          <w:tcPr>
            <w:tcW w:w="3008" w:type="dxa"/>
            <w:tcBorders>
              <w:top w:val="nil" w:sz="6" w:space="0" w:color="auto"/>
              <w:left w:val="nil" w:sz="6" w:space="0" w:color="auto"/>
              <w:bottom w:val="nil" w:sz="6" w:space="0" w:color="auto"/>
              <w:right w:val="nil" w:sz="6" w:space="0" w:color="auto"/>
            </w:tcBorders>
          </w:tcPr>
          <w:p>
            <w:pPr>
              <w:pStyle w:val="TableParagraph"/>
              <w:spacing w:line="234" w:lineRule="exact"/>
              <w:ind w:left="57" w:right="0"/>
              <w:jc w:val="left"/>
              <w:rPr>
                <w:rFonts w:ascii="宋体" w:hAnsi="宋体" w:cs="宋体" w:eastAsia="宋体" w:hint="default"/>
                <w:sz w:val="18"/>
                <w:szCs w:val="18"/>
              </w:rPr>
            </w:pPr>
            <w:r>
              <w:rPr>
                <w:rFonts w:ascii="宋体" w:hAnsi="宋体" w:cs="宋体" w:eastAsia="宋体" w:hint="default"/>
                <w:sz w:val="18"/>
                <w:szCs w:val="18"/>
              </w:rPr>
              <w:t>长期待摊费用减值准备</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5"/>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4"/>
              <w:jc w:val="right"/>
              <w:rPr>
                <w:rFonts w:ascii="Arial" w:hAnsi="Arial" w:cs="Arial" w:eastAsia="Arial" w:hint="default"/>
                <w:sz w:val="18"/>
                <w:szCs w:val="18"/>
              </w:rPr>
            </w:pPr>
            <w:r>
              <w:rPr>
                <w:rFonts w:ascii="Arial"/>
                <w:spacing w:val="-1"/>
                <w:sz w:val="18"/>
              </w:rPr>
              <w:t>15,390</w:t>
            </w:r>
          </w:p>
        </w:tc>
        <w:tc>
          <w:tcPr>
            <w:tcW w:w="127"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3"/>
              <w:jc w:val="right"/>
              <w:rPr>
                <w:rFonts w:ascii="Arial" w:hAnsi="Arial" w:cs="Arial" w:eastAsia="Arial" w:hint="default"/>
                <w:sz w:val="18"/>
                <w:szCs w:val="18"/>
              </w:rPr>
            </w:pPr>
            <w:r>
              <w:rPr>
                <w:rFonts w:ascii="Arial"/>
                <w:w w:val="99"/>
                <w:sz w:val="18"/>
              </w:rPr>
              <w:t>-</w:t>
            </w:r>
            <w:r>
              <w:rPr>
                <w:rFonts w:ascii="Arial"/>
                <w:sz w:val="18"/>
              </w:rPr>
            </w:r>
          </w:p>
        </w:tc>
        <w:tc>
          <w:tcPr>
            <w:tcW w:w="130"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3"/>
              <w:jc w:val="right"/>
              <w:rPr>
                <w:rFonts w:ascii="Arial" w:hAnsi="Arial" w:cs="Arial" w:eastAsia="Arial" w:hint="default"/>
                <w:sz w:val="18"/>
                <w:szCs w:val="18"/>
              </w:rPr>
            </w:pPr>
            <w:r>
              <w:rPr>
                <w:rFonts w:ascii="Arial"/>
                <w:w w:val="99"/>
                <w:sz w:val="18"/>
              </w:rPr>
              <w:t>-</w:t>
            </w:r>
            <w:r>
              <w:rPr>
                <w:rFonts w:ascii="Arial"/>
                <w:sz w:val="18"/>
              </w:rPr>
            </w:r>
          </w:p>
        </w:tc>
        <w:tc>
          <w:tcPr>
            <w:tcW w:w="146"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4"/>
              <w:jc w:val="right"/>
              <w:rPr>
                <w:rFonts w:ascii="Arial" w:hAnsi="Arial" w:cs="Arial" w:eastAsia="Arial" w:hint="default"/>
                <w:sz w:val="18"/>
                <w:szCs w:val="18"/>
              </w:rPr>
            </w:pPr>
            <w:r>
              <w:rPr>
                <w:rFonts w:ascii="Arial"/>
                <w:spacing w:val="-1"/>
                <w:sz w:val="18"/>
              </w:rPr>
              <w:t>15,390</w:t>
            </w:r>
          </w:p>
        </w:tc>
      </w:tr>
      <w:tr>
        <w:trPr>
          <w:trHeight w:val="349" w:hRule="exact"/>
        </w:trPr>
        <w:tc>
          <w:tcPr>
            <w:tcW w:w="855" w:type="dxa"/>
            <w:tcBorders>
              <w:top w:val="nil" w:sz="6" w:space="0" w:color="auto"/>
              <w:left w:val="nil" w:sz="6" w:space="0" w:color="auto"/>
              <w:bottom w:val="nil" w:sz="6" w:space="0" w:color="auto"/>
              <w:right w:val="nil" w:sz="6" w:space="0" w:color="auto"/>
            </w:tcBorders>
          </w:tcPr>
          <w:p>
            <w:pPr/>
          </w:p>
        </w:tc>
        <w:tc>
          <w:tcPr>
            <w:tcW w:w="3008" w:type="dxa"/>
            <w:tcBorders>
              <w:top w:val="nil" w:sz="6" w:space="0" w:color="auto"/>
              <w:left w:val="nil" w:sz="6" w:space="0" w:color="auto"/>
              <w:bottom w:val="nil" w:sz="6" w:space="0" w:color="auto"/>
              <w:right w:val="nil" w:sz="6" w:space="0" w:color="auto"/>
            </w:tcBorders>
          </w:tcPr>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100" w:type="dxa"/>
            <w:tcBorders>
              <w:top w:val="nil" w:sz="6" w:space="0" w:color="auto"/>
              <w:left w:val="nil" w:sz="6" w:space="0" w:color="auto"/>
              <w:bottom w:val="single" w:sz="2" w:space="0" w:color="000000"/>
              <w:right w:val="nil" w:sz="6" w:space="0" w:color="auto"/>
            </w:tcBorders>
          </w:tcPr>
          <w:p>
            <w:pPr>
              <w:pStyle w:val="TableParagraph"/>
              <w:spacing w:line="240" w:lineRule="auto" w:before="96"/>
              <w:ind w:right="55"/>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2" w:space="0" w:color="000000"/>
              <w:right w:val="nil" w:sz="6" w:space="0" w:color="auto"/>
            </w:tcBorders>
          </w:tcPr>
          <w:p>
            <w:pPr>
              <w:pStyle w:val="TableParagraph"/>
              <w:spacing w:line="240" w:lineRule="auto" w:before="96"/>
              <w:ind w:right="54"/>
              <w:jc w:val="right"/>
              <w:rPr>
                <w:rFonts w:ascii="Arial" w:hAnsi="Arial" w:cs="Arial" w:eastAsia="Arial" w:hint="default"/>
                <w:sz w:val="18"/>
                <w:szCs w:val="18"/>
              </w:rPr>
            </w:pPr>
            <w:r>
              <w:rPr>
                <w:rFonts w:ascii="Arial"/>
                <w:spacing w:val="-1"/>
                <w:sz w:val="18"/>
              </w:rPr>
              <w:t>42,098</w:t>
            </w:r>
          </w:p>
        </w:tc>
        <w:tc>
          <w:tcPr>
            <w:tcW w:w="127"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53"/>
              <w:jc w:val="right"/>
              <w:rPr>
                <w:rFonts w:ascii="Arial" w:hAnsi="Arial" w:cs="Arial" w:eastAsia="Arial" w:hint="default"/>
                <w:sz w:val="18"/>
                <w:szCs w:val="18"/>
              </w:rPr>
            </w:pPr>
            <w:r>
              <w:rPr>
                <w:rFonts w:ascii="Arial"/>
                <w:w w:val="99"/>
                <w:sz w:val="18"/>
              </w:rPr>
              <w:t>-</w:t>
            </w:r>
            <w:r>
              <w:rPr>
                <w:rFonts w:ascii="Arial"/>
                <w:sz w:val="18"/>
              </w:rPr>
            </w:r>
          </w:p>
        </w:tc>
        <w:tc>
          <w:tcPr>
            <w:tcW w:w="130"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53"/>
              <w:jc w:val="right"/>
              <w:rPr>
                <w:rFonts w:ascii="Arial" w:hAnsi="Arial" w:cs="Arial" w:eastAsia="Arial" w:hint="default"/>
                <w:sz w:val="18"/>
                <w:szCs w:val="18"/>
              </w:rPr>
            </w:pPr>
            <w:r>
              <w:rPr>
                <w:rFonts w:ascii="Arial"/>
                <w:w w:val="99"/>
                <w:sz w:val="18"/>
              </w:rPr>
              <w:t>-</w:t>
            </w:r>
            <w:r>
              <w:rPr>
                <w:rFonts w:ascii="Arial"/>
                <w:sz w:val="18"/>
              </w:rPr>
            </w:r>
          </w:p>
        </w:tc>
        <w:tc>
          <w:tcPr>
            <w:tcW w:w="146"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single" w:sz="2" w:space="0" w:color="000000"/>
              <w:right w:val="nil" w:sz="6" w:space="0" w:color="auto"/>
            </w:tcBorders>
          </w:tcPr>
          <w:p>
            <w:pPr>
              <w:pStyle w:val="TableParagraph"/>
              <w:spacing w:line="240" w:lineRule="auto" w:before="96"/>
              <w:ind w:right="54"/>
              <w:jc w:val="right"/>
              <w:rPr>
                <w:rFonts w:ascii="Arial" w:hAnsi="Arial" w:cs="Arial" w:eastAsia="Arial" w:hint="default"/>
                <w:sz w:val="18"/>
                <w:szCs w:val="18"/>
              </w:rPr>
            </w:pPr>
            <w:r>
              <w:rPr>
                <w:rFonts w:ascii="Arial"/>
                <w:spacing w:val="-1"/>
                <w:sz w:val="18"/>
              </w:rPr>
              <w:t>42,098</w:t>
            </w:r>
          </w:p>
        </w:tc>
      </w:tr>
      <w:tr>
        <w:trPr>
          <w:trHeight w:val="379" w:hRule="exact"/>
        </w:trPr>
        <w:tc>
          <w:tcPr>
            <w:tcW w:w="855" w:type="dxa"/>
            <w:tcBorders>
              <w:top w:val="nil" w:sz="6" w:space="0" w:color="auto"/>
              <w:left w:val="nil" w:sz="6" w:space="0" w:color="auto"/>
              <w:bottom w:val="nil" w:sz="6" w:space="0" w:color="auto"/>
              <w:right w:val="nil" w:sz="6" w:space="0" w:color="auto"/>
            </w:tcBorders>
          </w:tcPr>
          <w:p>
            <w:pPr/>
          </w:p>
        </w:tc>
        <w:tc>
          <w:tcPr>
            <w:tcW w:w="3008" w:type="dxa"/>
            <w:tcBorders>
              <w:top w:val="nil" w:sz="6" w:space="0" w:color="auto"/>
              <w:left w:val="nil" w:sz="6" w:space="0" w:color="auto"/>
              <w:bottom w:val="nil" w:sz="6" w:space="0" w:color="auto"/>
              <w:right w:val="nil" w:sz="6" w:space="0" w:color="auto"/>
            </w:tcBorders>
          </w:tcPr>
          <w:p>
            <w:pPr/>
          </w:p>
        </w:tc>
        <w:tc>
          <w:tcPr>
            <w:tcW w:w="1100" w:type="dxa"/>
            <w:tcBorders>
              <w:top w:val="single" w:sz="2" w:space="0" w:color="000000"/>
              <w:left w:val="nil" w:sz="6" w:space="0" w:color="auto"/>
              <w:bottom w:val="single" w:sz="12" w:space="0" w:color="000000"/>
              <w:right w:val="nil" w:sz="6" w:space="0" w:color="auto"/>
            </w:tcBorders>
          </w:tcPr>
          <w:p>
            <w:pPr>
              <w:pStyle w:val="TableParagraph"/>
              <w:spacing w:line="240" w:lineRule="auto" w:before="112"/>
              <w:ind w:right="55"/>
              <w:jc w:val="right"/>
              <w:rPr>
                <w:rFonts w:ascii="Arial" w:hAnsi="Arial" w:cs="Arial" w:eastAsia="Arial" w:hint="default"/>
                <w:sz w:val="18"/>
                <w:szCs w:val="18"/>
              </w:rPr>
            </w:pPr>
            <w:r>
              <w:rPr>
                <w:rFonts w:ascii="Arial"/>
                <w:spacing w:val="-2"/>
                <w:w w:val="95"/>
                <w:sz w:val="18"/>
              </w:rPr>
              <w:t>119,167</w:t>
            </w:r>
            <w:r>
              <w:rPr>
                <w:rFonts w:ascii="Arial"/>
                <w:spacing w:val="-2"/>
                <w:sz w:val="18"/>
              </w:rPr>
            </w:r>
          </w:p>
        </w:tc>
        <w:tc>
          <w:tcPr>
            <w:tcW w:w="127" w:type="dxa"/>
            <w:tcBorders>
              <w:top w:val="nil" w:sz="6" w:space="0" w:color="auto"/>
              <w:left w:val="nil" w:sz="6" w:space="0" w:color="auto"/>
              <w:bottom w:val="nil" w:sz="6" w:space="0" w:color="auto"/>
              <w:right w:val="nil" w:sz="6" w:space="0" w:color="auto"/>
            </w:tcBorders>
          </w:tcPr>
          <w:p>
            <w:pPr/>
          </w:p>
        </w:tc>
        <w:tc>
          <w:tcPr>
            <w:tcW w:w="1205" w:type="dxa"/>
            <w:tcBorders>
              <w:top w:val="single" w:sz="2" w:space="0" w:color="000000"/>
              <w:left w:val="nil" w:sz="6" w:space="0" w:color="auto"/>
              <w:bottom w:val="single" w:sz="12" w:space="0" w:color="000000"/>
              <w:right w:val="nil" w:sz="6" w:space="0" w:color="auto"/>
            </w:tcBorders>
          </w:tcPr>
          <w:p>
            <w:pPr>
              <w:pStyle w:val="TableParagraph"/>
              <w:spacing w:line="240" w:lineRule="auto" w:before="112"/>
              <w:ind w:right="54"/>
              <w:jc w:val="right"/>
              <w:rPr>
                <w:rFonts w:ascii="Arial" w:hAnsi="Arial" w:cs="Arial" w:eastAsia="Arial" w:hint="default"/>
                <w:sz w:val="18"/>
                <w:szCs w:val="18"/>
              </w:rPr>
            </w:pPr>
            <w:r>
              <w:rPr>
                <w:rFonts w:ascii="Arial"/>
                <w:spacing w:val="-1"/>
                <w:sz w:val="18"/>
              </w:rPr>
              <w:t>179,548</w:t>
            </w:r>
          </w:p>
        </w:tc>
        <w:tc>
          <w:tcPr>
            <w:tcW w:w="127"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52"/>
              <w:jc w:val="right"/>
              <w:rPr>
                <w:rFonts w:ascii="Arial" w:hAnsi="Arial" w:cs="Arial" w:eastAsia="Arial" w:hint="default"/>
                <w:sz w:val="18"/>
                <w:szCs w:val="18"/>
              </w:rPr>
            </w:pPr>
            <w:r>
              <w:rPr>
                <w:rFonts w:ascii="Arial"/>
                <w:spacing w:val="-1"/>
                <w:sz w:val="18"/>
              </w:rPr>
              <w:t>(25,543)</w:t>
            </w:r>
          </w:p>
        </w:tc>
        <w:tc>
          <w:tcPr>
            <w:tcW w:w="130" w:type="dxa"/>
            <w:tcBorders>
              <w:top w:val="nil" w:sz="6" w:space="0" w:color="auto"/>
              <w:left w:val="nil" w:sz="6" w:space="0" w:color="auto"/>
              <w:bottom w:val="nil" w:sz="6" w:space="0" w:color="auto"/>
              <w:right w:val="nil" w:sz="6" w:space="0" w:color="auto"/>
            </w:tcBorders>
          </w:tcPr>
          <w:p>
            <w:pPr/>
          </w:p>
        </w:tc>
        <w:tc>
          <w:tcPr>
            <w:tcW w:w="95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50"/>
              <w:jc w:val="right"/>
              <w:rPr>
                <w:rFonts w:ascii="Arial" w:hAnsi="Arial" w:cs="Arial" w:eastAsia="Arial" w:hint="default"/>
                <w:sz w:val="18"/>
                <w:szCs w:val="18"/>
              </w:rPr>
            </w:pPr>
            <w:r>
              <w:rPr>
                <w:rFonts w:ascii="Arial"/>
                <w:sz w:val="18"/>
              </w:rPr>
              <w:t>(2,786)</w:t>
            </w:r>
          </w:p>
        </w:tc>
        <w:tc>
          <w:tcPr>
            <w:tcW w:w="146" w:type="dxa"/>
            <w:tcBorders>
              <w:top w:val="nil" w:sz="6" w:space="0" w:color="auto"/>
              <w:left w:val="nil" w:sz="6" w:space="0" w:color="auto"/>
              <w:bottom w:val="nil" w:sz="6" w:space="0" w:color="auto"/>
              <w:right w:val="nil" w:sz="6" w:space="0" w:color="auto"/>
            </w:tcBorders>
          </w:tcPr>
          <w:p>
            <w:pPr/>
          </w:p>
        </w:tc>
        <w:tc>
          <w:tcPr>
            <w:tcW w:w="1143" w:type="dxa"/>
            <w:tcBorders>
              <w:top w:val="single" w:sz="2" w:space="0" w:color="000000"/>
              <w:left w:val="nil" w:sz="6" w:space="0" w:color="auto"/>
              <w:bottom w:val="single" w:sz="12" w:space="0" w:color="000000"/>
              <w:right w:val="nil" w:sz="6" w:space="0" w:color="auto"/>
            </w:tcBorders>
          </w:tcPr>
          <w:p>
            <w:pPr>
              <w:pStyle w:val="TableParagraph"/>
              <w:spacing w:line="240" w:lineRule="auto" w:before="112"/>
              <w:ind w:right="53"/>
              <w:jc w:val="right"/>
              <w:rPr>
                <w:rFonts w:ascii="Arial" w:hAnsi="Arial" w:cs="Arial" w:eastAsia="Arial" w:hint="default"/>
                <w:sz w:val="18"/>
                <w:szCs w:val="18"/>
              </w:rPr>
            </w:pPr>
            <w:r>
              <w:rPr>
                <w:rFonts w:ascii="Arial"/>
                <w:spacing w:val="-1"/>
                <w:sz w:val="18"/>
              </w:rPr>
              <w:t>270,386</w:t>
            </w:r>
          </w:p>
        </w:tc>
      </w:tr>
    </w:tbl>
    <w:p>
      <w:pPr>
        <w:spacing w:after="0" w:line="240" w:lineRule="auto"/>
        <w:jc w:val="right"/>
        <w:rPr>
          <w:rFonts w:ascii="Arial" w:hAnsi="Arial" w:cs="Arial" w:eastAsia="Arial" w:hint="default"/>
          <w:sz w:val="18"/>
          <w:szCs w:val="18"/>
        </w:rPr>
        <w:sectPr>
          <w:footerReference w:type="default" r:id="rId89"/>
          <w:pgSz w:w="11910" w:h="16850"/>
          <w:pgMar w:footer="1333" w:header="795" w:top="2020" w:bottom="1520" w:left="1420" w:right="0"/>
          <w:pgNumType w:start="167"/>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80"/>
        <w:gridCol w:w="1645"/>
        <w:gridCol w:w="1608"/>
        <w:gridCol w:w="2355"/>
        <w:gridCol w:w="329"/>
        <w:gridCol w:w="2357"/>
      </w:tblGrid>
      <w:tr>
        <w:trPr>
          <w:trHeight w:val="497" w:hRule="exact"/>
        </w:trPr>
        <w:tc>
          <w:tcPr>
            <w:tcW w:w="7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253"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42"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55" w:type="dxa"/>
            <w:tcBorders>
              <w:top w:val="nil" w:sz="6" w:space="0" w:color="auto"/>
              <w:left w:val="nil" w:sz="6" w:space="0" w:color="auto"/>
              <w:bottom w:val="nil" w:sz="6" w:space="0" w:color="auto"/>
              <w:right w:val="nil" w:sz="6" w:space="0" w:color="auto"/>
            </w:tcBorders>
          </w:tcPr>
          <w:p>
            <w:pPr/>
          </w:p>
        </w:tc>
        <w:tc>
          <w:tcPr>
            <w:tcW w:w="329"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
        </w:tc>
      </w:tr>
      <w:tr>
        <w:trPr>
          <w:trHeight w:val="742" w:hRule="exact"/>
        </w:trPr>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9" w:right="0"/>
              <w:jc w:val="left"/>
              <w:rPr>
                <w:rFonts w:ascii="Arial" w:hAnsi="Arial" w:cs="Arial" w:eastAsia="Arial" w:hint="default"/>
                <w:sz w:val="24"/>
                <w:szCs w:val="24"/>
              </w:rPr>
            </w:pPr>
            <w:r>
              <w:rPr>
                <w:rFonts w:ascii="Arial"/>
                <w:sz w:val="24"/>
              </w:rPr>
              <w:t>(20)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42" w:right="0"/>
              <w:jc w:val="left"/>
              <w:rPr>
                <w:rFonts w:ascii="黑体" w:hAnsi="黑体" w:cs="黑体" w:eastAsia="黑体" w:hint="default"/>
                <w:sz w:val="24"/>
                <w:szCs w:val="24"/>
              </w:rPr>
            </w:pPr>
            <w:r>
              <w:rPr>
                <w:rFonts w:ascii="黑体" w:hAnsi="黑体" w:cs="黑体" w:eastAsia="黑体" w:hint="default"/>
                <w:sz w:val="24"/>
                <w:szCs w:val="24"/>
              </w:rPr>
              <w:t>短期借款</w:t>
            </w:r>
          </w:p>
        </w:tc>
        <w:tc>
          <w:tcPr>
            <w:tcW w:w="1608"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
        </w:tc>
        <w:tc>
          <w:tcPr>
            <w:tcW w:w="329"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
        </w:tc>
      </w:tr>
      <w:tr>
        <w:trPr>
          <w:trHeight w:val="750" w:hRule="exact"/>
        </w:trPr>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9" w:right="0"/>
              <w:jc w:val="left"/>
              <w:rPr>
                <w:rFonts w:ascii="Arial" w:hAnsi="Arial" w:cs="Arial" w:eastAsia="Arial" w:hint="default"/>
                <w:sz w:val="24"/>
                <w:szCs w:val="24"/>
              </w:rPr>
            </w:pPr>
            <w:r>
              <w:rPr>
                <w:rFonts w:ascii="Arial"/>
                <w:sz w:val="24"/>
              </w:rPr>
              <w:t>(a)</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42" w:right="0"/>
              <w:jc w:val="left"/>
              <w:rPr>
                <w:rFonts w:ascii="宋体" w:hAnsi="宋体" w:cs="宋体" w:eastAsia="宋体" w:hint="default"/>
                <w:sz w:val="24"/>
                <w:szCs w:val="24"/>
              </w:rPr>
            </w:pPr>
            <w:r>
              <w:rPr>
                <w:rFonts w:ascii="宋体" w:hAnsi="宋体" w:cs="宋体" w:eastAsia="宋体" w:hint="default"/>
                <w:sz w:val="24"/>
                <w:szCs w:val="24"/>
              </w:rPr>
              <w:t>短期借款分类</w:t>
            </w:r>
          </w:p>
        </w:tc>
        <w:tc>
          <w:tcPr>
            <w:tcW w:w="1608"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
        </w:tc>
        <w:tc>
          <w:tcPr>
            <w:tcW w:w="329"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
        </w:tc>
      </w:tr>
      <w:tr>
        <w:trPr>
          <w:trHeight w:val="754" w:hRule="exact"/>
        </w:trPr>
        <w:tc>
          <w:tcPr>
            <w:tcW w:w="78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542" w:right="0"/>
              <w:jc w:val="left"/>
              <w:rPr>
                <w:rFonts w:ascii="宋体" w:hAnsi="宋体" w:cs="宋体" w:eastAsia="宋体" w:hint="default"/>
                <w:sz w:val="24"/>
                <w:szCs w:val="24"/>
              </w:rPr>
            </w:pPr>
            <w:r>
              <w:rPr>
                <w:rFonts w:ascii="宋体" w:hAnsi="宋体" w:cs="宋体" w:eastAsia="宋体" w:hint="default"/>
                <w:sz w:val="24"/>
                <w:szCs w:val="24"/>
              </w:rPr>
              <w:t>币种</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0"/>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329"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84"/>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78" w:hRule="exact"/>
        </w:trPr>
        <w:tc>
          <w:tcPr>
            <w:tcW w:w="78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42"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542" w:right="0"/>
              <w:jc w:val="left"/>
              <w:rPr>
                <w:rFonts w:ascii="宋体" w:hAnsi="宋体" w:cs="宋体" w:eastAsia="宋体" w:hint="default"/>
                <w:sz w:val="24"/>
                <w:szCs w:val="24"/>
              </w:rPr>
            </w:pPr>
            <w:r>
              <w:rPr>
                <w:rFonts w:ascii="宋体" w:hAnsi="宋体" w:cs="宋体" w:eastAsia="宋体" w:hint="default"/>
                <w:sz w:val="24"/>
                <w:szCs w:val="24"/>
              </w:rPr>
              <w:t>港元</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52"/>
              <w:jc w:val="right"/>
              <w:rPr>
                <w:rFonts w:ascii="Arial" w:hAnsi="Arial" w:cs="Arial" w:eastAsia="Arial" w:hint="default"/>
                <w:sz w:val="24"/>
                <w:szCs w:val="24"/>
              </w:rPr>
            </w:pPr>
            <w:r>
              <w:rPr>
                <w:rFonts w:ascii="Arial"/>
                <w:spacing w:val="-1"/>
                <w:sz w:val="24"/>
              </w:rPr>
              <w:t>1,008,952</w:t>
            </w:r>
          </w:p>
        </w:tc>
        <w:tc>
          <w:tcPr>
            <w:tcW w:w="329"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95"/>
              <w:jc w:val="right"/>
              <w:rPr>
                <w:rFonts w:ascii="Arial" w:hAnsi="Arial" w:cs="Arial" w:eastAsia="Arial" w:hint="default"/>
                <w:sz w:val="24"/>
                <w:szCs w:val="24"/>
              </w:rPr>
            </w:pPr>
            <w:r>
              <w:rPr>
                <w:rFonts w:ascii="Arial"/>
                <w:spacing w:val="-1"/>
                <w:sz w:val="24"/>
              </w:rPr>
              <w:t>893,001</w:t>
            </w:r>
          </w:p>
        </w:tc>
      </w:tr>
      <w:tr>
        <w:trPr>
          <w:trHeight w:val="391" w:hRule="exact"/>
        </w:trPr>
        <w:tc>
          <w:tcPr>
            <w:tcW w:w="78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303" w:lineRule="exact"/>
              <w:ind w:left="142"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1608" w:type="dxa"/>
            <w:tcBorders>
              <w:top w:val="nil" w:sz="6" w:space="0" w:color="auto"/>
              <w:left w:val="nil" w:sz="6" w:space="0" w:color="auto"/>
              <w:bottom w:val="nil" w:sz="6" w:space="0" w:color="auto"/>
              <w:right w:val="nil" w:sz="6" w:space="0" w:color="auto"/>
            </w:tcBorders>
          </w:tcPr>
          <w:p>
            <w:pPr>
              <w:pStyle w:val="TableParagraph"/>
              <w:spacing w:line="303" w:lineRule="exact"/>
              <w:ind w:left="542" w:right="0"/>
              <w:jc w:val="left"/>
              <w:rPr>
                <w:rFonts w:ascii="宋体" w:hAnsi="宋体" w:cs="宋体" w:eastAsia="宋体" w:hint="default"/>
                <w:sz w:val="24"/>
                <w:szCs w:val="24"/>
              </w:rPr>
            </w:pPr>
            <w:r>
              <w:rPr>
                <w:rFonts w:ascii="宋体" w:hAnsi="宋体" w:cs="宋体" w:eastAsia="宋体" w:hint="default"/>
                <w:sz w:val="24"/>
                <w:szCs w:val="24"/>
              </w:rPr>
              <w:t>美元</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2"/>
              <w:jc w:val="right"/>
              <w:rPr>
                <w:rFonts w:ascii="Arial" w:hAnsi="Arial" w:cs="Arial" w:eastAsia="Arial" w:hint="default"/>
                <w:sz w:val="24"/>
                <w:szCs w:val="24"/>
              </w:rPr>
            </w:pPr>
            <w:r>
              <w:rPr>
                <w:rFonts w:ascii="Arial"/>
                <w:spacing w:val="-1"/>
                <w:sz w:val="24"/>
              </w:rPr>
              <w:t>46,371</w:t>
            </w:r>
          </w:p>
        </w:tc>
        <w:tc>
          <w:tcPr>
            <w:tcW w:w="329"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5"/>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78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303" w:lineRule="exact"/>
              <w:ind w:left="142"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1608" w:type="dxa"/>
            <w:tcBorders>
              <w:top w:val="nil" w:sz="6" w:space="0" w:color="auto"/>
              <w:left w:val="nil" w:sz="6" w:space="0" w:color="auto"/>
              <w:bottom w:val="nil" w:sz="6" w:space="0" w:color="auto"/>
              <w:right w:val="nil" w:sz="6" w:space="0" w:color="auto"/>
            </w:tcBorders>
          </w:tcPr>
          <w:p>
            <w:pPr>
              <w:pStyle w:val="TableParagraph"/>
              <w:spacing w:line="303" w:lineRule="exact"/>
              <w:ind w:left="542" w:right="0"/>
              <w:jc w:val="left"/>
              <w:rPr>
                <w:rFonts w:ascii="宋体" w:hAnsi="宋体" w:cs="宋体" w:eastAsia="宋体" w:hint="default"/>
                <w:sz w:val="24"/>
                <w:szCs w:val="24"/>
              </w:rPr>
            </w:pPr>
            <w:r>
              <w:rPr>
                <w:rFonts w:ascii="宋体" w:hAnsi="宋体" w:cs="宋体" w:eastAsia="宋体" w:hint="default"/>
                <w:sz w:val="24"/>
                <w:szCs w:val="24"/>
              </w:rPr>
              <w:t>日元</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2"/>
              <w:jc w:val="right"/>
              <w:rPr>
                <w:rFonts w:ascii="Arial" w:hAnsi="Arial" w:cs="Arial" w:eastAsia="Arial" w:hint="default"/>
                <w:sz w:val="24"/>
                <w:szCs w:val="24"/>
              </w:rPr>
            </w:pPr>
            <w:r>
              <w:rPr>
                <w:rFonts w:ascii="Arial"/>
                <w:spacing w:val="-1"/>
                <w:sz w:val="24"/>
              </w:rPr>
              <w:t>7,305</w:t>
            </w:r>
          </w:p>
        </w:tc>
        <w:tc>
          <w:tcPr>
            <w:tcW w:w="329"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5"/>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78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303" w:lineRule="exact"/>
              <w:ind w:left="142"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1608" w:type="dxa"/>
            <w:tcBorders>
              <w:top w:val="nil" w:sz="6" w:space="0" w:color="auto"/>
              <w:left w:val="nil" w:sz="6" w:space="0" w:color="auto"/>
              <w:bottom w:val="nil" w:sz="6" w:space="0" w:color="auto"/>
              <w:right w:val="nil" w:sz="6" w:space="0" w:color="auto"/>
            </w:tcBorders>
          </w:tcPr>
          <w:p>
            <w:pPr>
              <w:pStyle w:val="TableParagraph"/>
              <w:spacing w:line="303" w:lineRule="exact"/>
              <w:ind w:left="542"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2"/>
              <w:jc w:val="right"/>
              <w:rPr>
                <w:rFonts w:ascii="Arial" w:hAnsi="Arial" w:cs="Arial" w:eastAsia="Arial" w:hint="default"/>
                <w:sz w:val="24"/>
                <w:szCs w:val="24"/>
              </w:rPr>
            </w:pPr>
            <w:r>
              <w:rPr>
                <w:rFonts w:ascii="Arial"/>
                <w:spacing w:val="-1"/>
                <w:sz w:val="24"/>
              </w:rPr>
              <w:t>625,000</w:t>
            </w:r>
          </w:p>
        </w:tc>
        <w:tc>
          <w:tcPr>
            <w:tcW w:w="329"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5"/>
              <w:jc w:val="right"/>
              <w:rPr>
                <w:rFonts w:ascii="Arial" w:hAnsi="Arial" w:cs="Arial" w:eastAsia="Arial" w:hint="default"/>
                <w:sz w:val="24"/>
                <w:szCs w:val="24"/>
              </w:rPr>
            </w:pPr>
            <w:r>
              <w:rPr>
                <w:rFonts w:ascii="Arial"/>
                <w:spacing w:val="-1"/>
                <w:sz w:val="24"/>
              </w:rPr>
              <w:t>772,685</w:t>
            </w:r>
          </w:p>
        </w:tc>
      </w:tr>
      <w:tr>
        <w:trPr>
          <w:trHeight w:val="384" w:hRule="exact"/>
        </w:trPr>
        <w:tc>
          <w:tcPr>
            <w:tcW w:w="78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303" w:lineRule="exact"/>
              <w:ind w:left="142"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1608" w:type="dxa"/>
            <w:tcBorders>
              <w:top w:val="nil" w:sz="6" w:space="0" w:color="auto"/>
              <w:left w:val="nil" w:sz="6" w:space="0" w:color="auto"/>
              <w:bottom w:val="nil" w:sz="6" w:space="0" w:color="auto"/>
              <w:right w:val="nil" w:sz="6" w:space="0" w:color="auto"/>
            </w:tcBorders>
          </w:tcPr>
          <w:p>
            <w:pPr>
              <w:pStyle w:val="TableParagraph"/>
              <w:spacing w:line="303" w:lineRule="exact"/>
              <w:ind w:left="542" w:right="0"/>
              <w:jc w:val="left"/>
              <w:rPr>
                <w:rFonts w:ascii="宋体" w:hAnsi="宋体" w:cs="宋体" w:eastAsia="宋体" w:hint="default"/>
                <w:sz w:val="24"/>
                <w:szCs w:val="24"/>
              </w:rPr>
            </w:pPr>
            <w:r>
              <w:rPr>
                <w:rFonts w:ascii="宋体" w:hAnsi="宋体" w:cs="宋体" w:eastAsia="宋体" w:hint="default"/>
                <w:sz w:val="24"/>
                <w:szCs w:val="24"/>
              </w:rPr>
              <w:t>港元</w:t>
            </w:r>
          </w:p>
        </w:tc>
        <w:tc>
          <w:tcPr>
            <w:tcW w:w="235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52"/>
              <w:jc w:val="right"/>
              <w:rPr>
                <w:rFonts w:ascii="Arial" w:hAnsi="Arial" w:cs="Arial" w:eastAsia="Arial" w:hint="default"/>
                <w:sz w:val="24"/>
                <w:szCs w:val="24"/>
              </w:rPr>
            </w:pPr>
            <w:r>
              <w:rPr>
                <w:rFonts w:ascii="Arial"/>
                <w:spacing w:val="-1"/>
                <w:sz w:val="24"/>
              </w:rPr>
              <w:t>64,864</w:t>
            </w:r>
          </w:p>
        </w:tc>
        <w:tc>
          <w:tcPr>
            <w:tcW w:w="329"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55"/>
              <w:jc w:val="right"/>
              <w:rPr>
                <w:rFonts w:ascii="Arial" w:hAnsi="Arial" w:cs="Arial" w:eastAsia="Arial" w:hint="default"/>
                <w:sz w:val="24"/>
                <w:szCs w:val="24"/>
              </w:rPr>
            </w:pPr>
            <w:r>
              <w:rPr>
                <w:rFonts w:ascii="Arial"/>
                <w:w w:val="99"/>
                <w:sz w:val="24"/>
              </w:rPr>
              <w:t>-</w:t>
            </w:r>
            <w:r>
              <w:rPr>
                <w:rFonts w:ascii="Arial"/>
                <w:sz w:val="24"/>
              </w:rPr>
            </w:r>
          </w:p>
        </w:tc>
      </w:tr>
      <w:tr>
        <w:trPr>
          <w:trHeight w:val="374" w:hRule="exact"/>
        </w:trPr>
        <w:tc>
          <w:tcPr>
            <w:tcW w:w="78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
        </w:tc>
        <w:tc>
          <w:tcPr>
            <w:tcW w:w="2355"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52"/>
              <w:jc w:val="right"/>
              <w:rPr>
                <w:rFonts w:ascii="Arial" w:hAnsi="Arial" w:cs="Arial" w:eastAsia="Arial" w:hint="default"/>
                <w:sz w:val="24"/>
                <w:szCs w:val="24"/>
              </w:rPr>
            </w:pPr>
            <w:r>
              <w:rPr>
                <w:rFonts w:ascii="Arial"/>
                <w:spacing w:val="-1"/>
                <w:sz w:val="24"/>
              </w:rPr>
              <w:t>1,752,492</w:t>
            </w:r>
          </w:p>
        </w:tc>
        <w:tc>
          <w:tcPr>
            <w:tcW w:w="329" w:type="dxa"/>
            <w:tcBorders>
              <w:top w:val="nil" w:sz="6" w:space="0" w:color="auto"/>
              <w:left w:val="nil" w:sz="6" w:space="0" w:color="auto"/>
              <w:bottom w:val="nil" w:sz="6" w:space="0" w:color="auto"/>
              <w:right w:val="nil" w:sz="6" w:space="0" w:color="auto"/>
            </w:tcBorders>
          </w:tcPr>
          <w:p>
            <w:pPr/>
          </w:p>
        </w:tc>
        <w:tc>
          <w:tcPr>
            <w:tcW w:w="2357"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95"/>
              <w:jc w:val="right"/>
              <w:rPr>
                <w:rFonts w:ascii="Arial" w:hAnsi="Arial" w:cs="Arial" w:eastAsia="Arial" w:hint="default"/>
                <w:sz w:val="24"/>
                <w:szCs w:val="24"/>
              </w:rPr>
            </w:pPr>
            <w:r>
              <w:rPr>
                <w:rFonts w:ascii="Arial"/>
                <w:spacing w:val="-1"/>
                <w:sz w:val="24"/>
              </w:rPr>
              <w:t>1,665,686</w:t>
            </w:r>
          </w:p>
        </w:tc>
      </w:tr>
      <w:tr>
        <w:trPr>
          <w:trHeight w:val="3900" w:hRule="exact"/>
        </w:trPr>
        <w:tc>
          <w:tcPr>
            <w:tcW w:w="780" w:type="dxa"/>
            <w:tcBorders>
              <w:top w:val="nil" w:sz="6" w:space="0" w:color="auto"/>
              <w:left w:val="nil" w:sz="6" w:space="0" w:color="auto"/>
              <w:bottom w:val="nil" w:sz="6" w:space="0" w:color="auto"/>
              <w:right w:val="nil" w:sz="6" w:space="0" w:color="auto"/>
            </w:tcBorders>
          </w:tcPr>
          <w:p>
            <w:pPr/>
          </w:p>
        </w:tc>
        <w:tc>
          <w:tcPr>
            <w:tcW w:w="829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321" w:lineRule="exact"/>
              <w:ind w:left="192"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z w:val="24"/>
                <w:szCs w:val="24"/>
              </w:rPr>
              <w:t>2012</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pacing w:val="-4"/>
                <w:sz w:val="24"/>
                <w:szCs w:val="24"/>
              </w:rPr>
              <w:t>日，质押借款</w:t>
            </w:r>
            <w:r>
              <w:rPr>
                <w:rFonts w:ascii="宋体" w:hAnsi="宋体" w:cs="宋体" w:eastAsia="宋体" w:hint="default"/>
                <w:spacing w:val="-59"/>
                <w:sz w:val="24"/>
                <w:szCs w:val="24"/>
              </w:rPr>
              <w:t> </w:t>
            </w:r>
            <w:r>
              <w:rPr>
                <w:rFonts w:ascii="Arial" w:hAnsi="Arial" w:cs="Arial" w:eastAsia="Arial" w:hint="default"/>
                <w:sz w:val="24"/>
                <w:szCs w:val="24"/>
              </w:rPr>
              <w:t>12.4</w:t>
            </w:r>
            <w:r>
              <w:rPr>
                <w:rFonts w:ascii="Arial" w:hAnsi="Arial" w:cs="Arial" w:eastAsia="Arial" w:hint="default"/>
                <w:spacing w:val="-4"/>
                <w:sz w:val="24"/>
                <w:szCs w:val="24"/>
              </w:rPr>
              <w:t> </w:t>
            </w:r>
            <w:r>
              <w:rPr>
                <w:rFonts w:ascii="宋体" w:hAnsi="宋体" w:cs="宋体" w:eastAsia="宋体" w:hint="default"/>
                <w:spacing w:val="-3"/>
                <w:sz w:val="24"/>
                <w:szCs w:val="24"/>
              </w:rPr>
              <w:t>亿港元，折合人民币</w:t>
            </w:r>
            <w:r>
              <w:rPr>
                <w:rFonts w:ascii="宋体" w:hAnsi="宋体" w:cs="宋体" w:eastAsia="宋体" w:hint="default"/>
                <w:spacing w:val="-59"/>
                <w:sz w:val="24"/>
                <w:szCs w:val="24"/>
              </w:rPr>
              <w:t> </w:t>
            </w:r>
            <w:r>
              <w:rPr>
                <w:rFonts w:ascii="Arial" w:hAnsi="Arial" w:cs="Arial" w:eastAsia="Arial" w:hint="default"/>
                <w:sz w:val="24"/>
                <w:szCs w:val="24"/>
              </w:rPr>
              <w:t>10.1</w:t>
            </w:r>
            <w:r>
              <w:rPr>
                <w:rFonts w:ascii="Arial" w:hAnsi="Arial" w:cs="Arial" w:eastAsia="Arial" w:hint="default"/>
                <w:spacing w:val="-8"/>
                <w:sz w:val="24"/>
                <w:szCs w:val="24"/>
              </w:rPr>
              <w:t> </w:t>
            </w:r>
            <w:r>
              <w:rPr>
                <w:rFonts w:ascii="宋体" w:hAnsi="宋体" w:cs="宋体" w:eastAsia="宋体" w:hint="default"/>
                <w:spacing w:val="-3"/>
                <w:sz w:val="24"/>
                <w:szCs w:val="24"/>
              </w:rPr>
              <w:t>亿元</w:t>
            </w:r>
            <w:r>
              <w:rPr>
                <w:rFonts w:ascii="Arial" w:hAnsi="Arial" w:cs="Arial" w:eastAsia="Arial" w:hint="default"/>
                <w:spacing w:val="-3"/>
                <w:sz w:val="24"/>
                <w:szCs w:val="24"/>
              </w:rPr>
              <w:t>(2011</w:t>
            </w:r>
          </w:p>
          <w:p>
            <w:pPr>
              <w:pStyle w:val="TableParagraph"/>
              <w:spacing w:line="311" w:lineRule="exact"/>
              <w:ind w:left="19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54"/>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55"/>
                <w:sz w:val="24"/>
                <w:szCs w:val="24"/>
              </w:rPr>
              <w:t> </w:t>
            </w:r>
            <w:r>
              <w:rPr>
                <w:rFonts w:ascii="宋体" w:hAnsi="宋体" w:cs="宋体" w:eastAsia="宋体" w:hint="default"/>
                <w:spacing w:val="-9"/>
                <w:sz w:val="24"/>
                <w:szCs w:val="24"/>
              </w:rPr>
              <w:t>日：</w:t>
            </w:r>
            <w:r>
              <w:rPr>
                <w:rFonts w:ascii="Arial" w:hAnsi="Arial" w:cs="Arial" w:eastAsia="Arial" w:hint="default"/>
                <w:spacing w:val="-9"/>
                <w:sz w:val="24"/>
                <w:szCs w:val="24"/>
              </w:rPr>
              <w:t>11.02</w:t>
            </w:r>
            <w:r>
              <w:rPr>
                <w:rFonts w:ascii="Arial" w:hAnsi="Arial" w:cs="Arial" w:eastAsia="Arial" w:hint="default"/>
                <w:spacing w:val="-6"/>
                <w:sz w:val="24"/>
                <w:szCs w:val="24"/>
              </w:rPr>
              <w:t> </w:t>
            </w:r>
            <w:r>
              <w:rPr>
                <w:rFonts w:ascii="宋体" w:hAnsi="宋体" w:cs="宋体" w:eastAsia="宋体" w:hint="default"/>
                <w:spacing w:val="-4"/>
                <w:sz w:val="24"/>
                <w:szCs w:val="24"/>
              </w:rPr>
              <w:t>亿港元，折合人民币</w:t>
            </w:r>
            <w:r>
              <w:rPr>
                <w:rFonts w:ascii="宋体" w:hAnsi="宋体" w:cs="宋体" w:eastAsia="宋体" w:hint="default"/>
                <w:spacing w:val="-60"/>
                <w:sz w:val="24"/>
                <w:szCs w:val="24"/>
              </w:rPr>
              <w:t> </w:t>
            </w:r>
            <w:r>
              <w:rPr>
                <w:rFonts w:ascii="Arial" w:hAnsi="Arial" w:cs="Arial" w:eastAsia="Arial" w:hint="default"/>
                <w:sz w:val="24"/>
                <w:szCs w:val="24"/>
              </w:rPr>
              <w:t>8.9</w:t>
            </w:r>
            <w:r>
              <w:rPr>
                <w:rFonts w:ascii="Arial" w:hAnsi="Arial" w:cs="Arial" w:eastAsia="Arial" w:hint="default"/>
                <w:spacing w:val="-5"/>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以及</w:t>
            </w:r>
            <w:r>
              <w:rPr>
                <w:rFonts w:ascii="宋体" w:hAnsi="宋体" w:cs="宋体" w:eastAsia="宋体" w:hint="default"/>
                <w:spacing w:val="-60"/>
                <w:sz w:val="24"/>
                <w:szCs w:val="24"/>
              </w:rPr>
              <w:t> </w:t>
            </w:r>
            <w:r>
              <w:rPr>
                <w:rFonts w:ascii="Arial" w:hAnsi="Arial" w:cs="Arial" w:eastAsia="Arial" w:hint="default"/>
                <w:sz w:val="24"/>
                <w:szCs w:val="24"/>
              </w:rPr>
              <w:t>737.7</w:t>
            </w:r>
            <w:r>
              <w:rPr>
                <w:rFonts w:ascii="Arial" w:hAnsi="Arial" w:cs="Arial" w:eastAsia="Arial" w:hint="default"/>
                <w:spacing w:val="-5"/>
                <w:sz w:val="24"/>
                <w:szCs w:val="24"/>
              </w:rPr>
              <w:t> </w:t>
            </w:r>
            <w:r>
              <w:rPr>
                <w:rFonts w:ascii="宋体" w:hAnsi="宋体" w:cs="宋体" w:eastAsia="宋体" w:hint="default"/>
                <w:spacing w:val="-8"/>
                <w:sz w:val="24"/>
                <w:szCs w:val="24"/>
              </w:rPr>
              <w:t>万美元，折</w:t>
            </w:r>
          </w:p>
          <w:p>
            <w:pPr>
              <w:pStyle w:val="TableParagraph"/>
              <w:spacing w:line="312" w:lineRule="exact" w:before="21"/>
              <w:ind w:left="192" w:right="135"/>
              <w:jc w:val="left"/>
              <w:rPr>
                <w:rFonts w:ascii="宋体" w:hAnsi="宋体" w:cs="宋体" w:eastAsia="宋体" w:hint="default"/>
                <w:sz w:val="24"/>
                <w:szCs w:val="24"/>
              </w:rPr>
            </w:pPr>
            <w:r>
              <w:rPr>
                <w:rFonts w:ascii="宋体" w:hAnsi="宋体" w:cs="宋体" w:eastAsia="宋体" w:hint="default"/>
                <w:sz w:val="24"/>
                <w:szCs w:val="24"/>
              </w:rPr>
              <w:t>合人民币</w:t>
            </w:r>
            <w:r>
              <w:rPr>
                <w:rFonts w:ascii="宋体" w:hAnsi="宋体" w:cs="宋体" w:eastAsia="宋体" w:hint="default"/>
                <w:spacing w:val="-64"/>
                <w:sz w:val="24"/>
                <w:szCs w:val="24"/>
              </w:rPr>
              <w:t> </w:t>
            </w:r>
            <w:r>
              <w:rPr>
                <w:rFonts w:ascii="Arial" w:hAnsi="Arial" w:cs="Arial" w:eastAsia="Arial" w:hint="default"/>
                <w:sz w:val="24"/>
                <w:szCs w:val="24"/>
              </w:rPr>
              <w:t>4,637</w:t>
            </w:r>
            <w:r>
              <w:rPr>
                <w:rFonts w:ascii="Arial" w:hAnsi="Arial" w:cs="Arial" w:eastAsia="Arial" w:hint="default"/>
                <w:spacing w:val="-9"/>
                <w:sz w:val="24"/>
                <w:szCs w:val="24"/>
              </w:rPr>
              <w:t> </w:t>
            </w:r>
            <w:r>
              <w:rPr>
                <w:rFonts w:ascii="宋体" w:hAnsi="宋体" w:cs="宋体" w:eastAsia="宋体" w:hint="default"/>
                <w:spacing w:val="-4"/>
                <w:sz w:val="24"/>
                <w:szCs w:val="24"/>
              </w:rPr>
              <w:t>万元</w:t>
            </w:r>
            <w:r>
              <w:rPr>
                <w:rFonts w:ascii="Arial" w:hAnsi="Arial" w:cs="Arial" w:eastAsia="Arial" w:hint="default"/>
                <w:spacing w:val="-4"/>
                <w:sz w:val="24"/>
                <w:szCs w:val="24"/>
              </w:rPr>
              <w:t>(2011</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12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，以本集团存于银行的备用信 用证保证金人民币 </w:t>
            </w:r>
            <w:r>
              <w:rPr>
                <w:rFonts w:ascii="Arial" w:hAnsi="Arial" w:cs="Arial" w:eastAsia="Arial" w:hint="default"/>
                <w:sz w:val="24"/>
                <w:szCs w:val="24"/>
              </w:rPr>
              <w:t>13 </w:t>
            </w:r>
            <w:r>
              <w:rPr>
                <w:rFonts w:ascii="宋体" w:hAnsi="宋体" w:cs="宋体" w:eastAsia="宋体" w:hint="default"/>
                <w:sz w:val="24"/>
                <w:szCs w:val="24"/>
              </w:rPr>
              <w:t>亿元</w:t>
            </w:r>
            <w:r>
              <w:rPr>
                <w:rFonts w:ascii="宋体" w:hAnsi="宋体" w:cs="宋体" w:eastAsia="宋体" w:hint="default"/>
                <w:spacing w:val="-70"/>
                <w:sz w:val="24"/>
                <w:szCs w:val="24"/>
              </w:rPr>
              <w:t> </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(1))</w:t>
            </w:r>
            <w:r>
              <w:rPr>
                <w:rFonts w:ascii="宋体" w:hAnsi="宋体" w:cs="宋体" w:eastAsia="宋体" w:hint="default"/>
                <w:sz w:val="24"/>
                <w:szCs w:val="24"/>
              </w:rPr>
              <w:t>作为质押物。</w:t>
            </w: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320" w:lineRule="exact"/>
              <w:ind w:left="192"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5"/>
                <w:sz w:val="24"/>
                <w:szCs w:val="24"/>
              </w:rPr>
              <w:t> </w:t>
            </w:r>
            <w:r>
              <w:rPr>
                <w:rFonts w:ascii="Arial" w:hAnsi="Arial" w:cs="Arial" w:eastAsia="Arial" w:hint="default"/>
                <w:sz w:val="24"/>
                <w:szCs w:val="24"/>
              </w:rPr>
              <w:t>2012</w:t>
            </w:r>
            <w:r>
              <w:rPr>
                <w:rFonts w:ascii="Arial" w:hAnsi="Arial" w:cs="Arial" w:eastAsia="Arial"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12</w:t>
            </w:r>
            <w:r>
              <w:rPr>
                <w:rFonts w:ascii="Arial" w:hAnsi="Arial" w:cs="Arial" w:eastAsia="Arial"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日，质押借款</w:t>
            </w:r>
            <w:r>
              <w:rPr>
                <w:rFonts w:ascii="宋体" w:hAnsi="宋体" w:cs="宋体" w:eastAsia="宋体" w:hint="default"/>
                <w:spacing w:val="-55"/>
                <w:sz w:val="24"/>
                <w:szCs w:val="24"/>
              </w:rPr>
              <w:t> </w:t>
            </w:r>
            <w:r>
              <w:rPr>
                <w:rFonts w:ascii="Arial" w:hAnsi="Arial" w:cs="Arial" w:eastAsia="Arial" w:hint="default"/>
                <w:sz w:val="24"/>
                <w:szCs w:val="24"/>
              </w:rPr>
              <w:t>1</w:t>
            </w:r>
            <w:r>
              <w:rPr>
                <w:rFonts w:ascii="Arial" w:hAnsi="Arial" w:cs="Arial" w:eastAsia="Arial" w:hint="default"/>
                <w:spacing w:val="-1"/>
                <w:sz w:val="24"/>
                <w:szCs w:val="24"/>
              </w:rPr>
              <w:t> </w:t>
            </w:r>
            <w:r>
              <w:rPr>
                <w:rFonts w:ascii="宋体" w:hAnsi="宋体" w:cs="宋体" w:eastAsia="宋体" w:hint="default"/>
                <w:sz w:val="24"/>
                <w:szCs w:val="24"/>
              </w:rPr>
              <w:t>亿日元，折合人民币</w:t>
            </w:r>
            <w:r>
              <w:rPr>
                <w:rFonts w:ascii="宋体" w:hAnsi="宋体" w:cs="宋体" w:eastAsia="宋体" w:hint="default"/>
                <w:spacing w:val="-55"/>
                <w:sz w:val="24"/>
                <w:szCs w:val="24"/>
              </w:rPr>
              <w:t> </w:t>
            </w:r>
            <w:r>
              <w:rPr>
                <w:rFonts w:ascii="Arial" w:hAnsi="Arial" w:cs="Arial" w:eastAsia="Arial" w:hint="default"/>
                <w:sz w:val="24"/>
                <w:szCs w:val="24"/>
              </w:rPr>
              <w:t>731 </w:t>
            </w:r>
            <w:r>
              <w:rPr>
                <w:rFonts w:ascii="宋体" w:hAnsi="宋体" w:cs="宋体" w:eastAsia="宋体" w:hint="default"/>
                <w:spacing w:val="-3"/>
                <w:sz w:val="24"/>
                <w:szCs w:val="24"/>
              </w:rPr>
              <w:t>万元</w:t>
            </w:r>
            <w:r>
              <w:rPr>
                <w:rFonts w:ascii="Arial" w:hAnsi="Arial" w:cs="Arial" w:eastAsia="Arial" w:hint="default"/>
                <w:spacing w:val="-3"/>
                <w:sz w:val="24"/>
                <w:szCs w:val="24"/>
              </w:rPr>
              <w:t>(2011</w:t>
            </w:r>
            <w:r>
              <w:rPr>
                <w:rFonts w:ascii="Arial" w:hAnsi="Arial" w:cs="Arial" w:eastAsia="Arial" w:hint="default"/>
                <w:spacing w:val="-1"/>
                <w:sz w:val="24"/>
                <w:szCs w:val="24"/>
              </w:rPr>
              <w:t> </w:t>
            </w:r>
            <w:r>
              <w:rPr>
                <w:rFonts w:ascii="宋体" w:hAnsi="宋体" w:cs="宋体" w:eastAsia="宋体" w:hint="default"/>
                <w:sz w:val="24"/>
                <w:szCs w:val="24"/>
              </w:rPr>
              <w:t>年</w:t>
            </w:r>
          </w:p>
          <w:p>
            <w:pPr>
              <w:pStyle w:val="TableParagraph"/>
              <w:spacing w:line="312" w:lineRule="exact" w:before="20"/>
              <w:ind w:left="192" w:right="132"/>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54"/>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54"/>
                <w:sz w:val="24"/>
                <w:szCs w:val="24"/>
              </w:rPr>
              <w:t> </w:t>
            </w:r>
            <w:r>
              <w:rPr>
                <w:rFonts w:ascii="宋体" w:hAnsi="宋体" w:cs="宋体" w:eastAsia="宋体" w:hint="default"/>
                <w:spacing w:val="-5"/>
                <w:sz w:val="24"/>
                <w:szCs w:val="24"/>
              </w:rPr>
              <w:t>日：无</w:t>
            </w:r>
            <w:r>
              <w:rPr>
                <w:rFonts w:ascii="Arial" w:hAnsi="Arial" w:cs="Arial" w:eastAsia="Arial" w:hint="default"/>
                <w:spacing w:val="-5"/>
                <w:sz w:val="24"/>
                <w:szCs w:val="24"/>
              </w:rPr>
              <w:t>)</w:t>
            </w:r>
            <w:r>
              <w:rPr>
                <w:rFonts w:ascii="宋体" w:hAnsi="宋体" w:cs="宋体" w:eastAsia="宋体" w:hint="default"/>
                <w:spacing w:val="-5"/>
                <w:sz w:val="24"/>
                <w:szCs w:val="24"/>
              </w:rPr>
              <w:t>，以本集团定期存款</w:t>
            </w:r>
            <w:r>
              <w:rPr>
                <w:rFonts w:ascii="宋体" w:hAnsi="宋体" w:cs="宋体" w:eastAsia="宋体" w:hint="default"/>
                <w:spacing w:val="-60"/>
                <w:sz w:val="24"/>
                <w:szCs w:val="24"/>
              </w:rPr>
              <w:t> </w:t>
            </w:r>
            <w:r>
              <w:rPr>
                <w:rFonts w:ascii="Arial" w:hAnsi="Arial" w:cs="Arial" w:eastAsia="Arial" w:hint="default"/>
                <w:sz w:val="24"/>
                <w:szCs w:val="24"/>
              </w:rPr>
              <w:t>1.27</w:t>
            </w:r>
            <w:r>
              <w:rPr>
                <w:rFonts w:ascii="Arial" w:hAnsi="Arial" w:cs="Arial" w:eastAsia="Arial" w:hint="default"/>
                <w:spacing w:val="-8"/>
                <w:sz w:val="24"/>
                <w:szCs w:val="24"/>
              </w:rPr>
              <w:t> </w:t>
            </w:r>
            <w:r>
              <w:rPr>
                <w:rFonts w:ascii="宋体" w:hAnsi="宋体" w:cs="宋体" w:eastAsia="宋体" w:hint="default"/>
                <w:sz w:val="24"/>
                <w:szCs w:val="24"/>
              </w:rPr>
              <w:t>亿日元</w:t>
            </w:r>
            <w:r>
              <w:rPr>
                <w:rFonts w:ascii="Arial" w:hAnsi="Arial" w:cs="Arial" w:eastAsia="Arial" w:hint="default"/>
                <w:sz w:val="24"/>
                <w:szCs w:val="24"/>
              </w:rPr>
              <w:t>(</w:t>
            </w:r>
            <w:r>
              <w:rPr>
                <w:rFonts w:ascii="宋体" w:hAnsi="宋体" w:cs="宋体" w:eastAsia="宋体" w:hint="default"/>
                <w:sz w:val="24"/>
                <w:szCs w:val="24"/>
              </w:rPr>
              <w:t>折合人民币</w:t>
            </w:r>
            <w:r>
              <w:rPr>
                <w:rFonts w:ascii="宋体" w:hAnsi="宋体" w:cs="宋体" w:eastAsia="宋体" w:hint="default"/>
                <w:spacing w:val="-60"/>
                <w:sz w:val="24"/>
                <w:szCs w:val="24"/>
              </w:rPr>
              <w:t> </w:t>
            </w:r>
            <w:r>
              <w:rPr>
                <w:rFonts w:ascii="Arial" w:hAnsi="Arial" w:cs="Arial" w:eastAsia="Arial" w:hint="default"/>
                <w:sz w:val="24"/>
                <w:szCs w:val="24"/>
              </w:rPr>
              <w:t>931</w:t>
            </w:r>
            <w:r>
              <w:rPr>
                <w:rFonts w:ascii="Arial" w:hAnsi="Arial" w:cs="Arial" w:eastAsia="Arial" w:hint="default"/>
                <w:spacing w:val="-6"/>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附 注五</w:t>
            </w:r>
            <w:r>
              <w:rPr>
                <w:rFonts w:ascii="Arial" w:hAnsi="Arial" w:cs="Arial" w:eastAsia="Arial" w:hint="default"/>
                <w:sz w:val="24"/>
                <w:szCs w:val="24"/>
              </w:rPr>
              <w:t>(1))</w:t>
            </w:r>
            <w:r>
              <w:rPr>
                <w:rFonts w:ascii="宋体" w:hAnsi="宋体" w:cs="宋体" w:eastAsia="宋体" w:hint="default"/>
                <w:sz w:val="24"/>
                <w:szCs w:val="24"/>
              </w:rPr>
              <w:t>作为质押物。</w:t>
            </w: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322" w:lineRule="exact"/>
              <w:ind w:left="192"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47"/>
                <w:sz w:val="24"/>
                <w:szCs w:val="24"/>
              </w:rPr>
              <w:t> </w:t>
            </w: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z w:val="24"/>
                <w:szCs w:val="24"/>
              </w:rPr>
              <w:t>日，短期借款的加权平均年利率为</w:t>
            </w:r>
            <w:r>
              <w:rPr>
                <w:rFonts w:ascii="宋体" w:hAnsi="宋体" w:cs="宋体" w:eastAsia="宋体" w:hint="default"/>
                <w:spacing w:val="-47"/>
                <w:sz w:val="24"/>
                <w:szCs w:val="24"/>
              </w:rPr>
              <w:t> </w:t>
            </w:r>
            <w:r>
              <w:rPr>
                <w:rFonts w:ascii="Arial" w:hAnsi="Arial" w:cs="Arial" w:eastAsia="Arial" w:hint="default"/>
                <w:sz w:val="24"/>
                <w:szCs w:val="24"/>
              </w:rPr>
              <w:t>3.45%</w:t>
            </w:r>
            <w:r>
              <w:rPr>
                <w:rFonts w:ascii="Arial" w:hAnsi="Arial" w:cs="Arial" w:eastAsia="Arial" w:hint="default"/>
                <w:spacing w:val="52"/>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12</w:t>
            </w:r>
          </w:p>
          <w:p>
            <w:pPr>
              <w:pStyle w:val="TableParagraph"/>
              <w:spacing w:line="322" w:lineRule="exact"/>
              <w:ind w:left="192"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r>
              <w:rPr>
                <w:rFonts w:ascii="Arial" w:hAnsi="Arial" w:cs="Arial" w:eastAsia="Arial" w:hint="default"/>
                <w:sz w:val="24"/>
                <w:szCs w:val="24"/>
              </w:rPr>
              <w:t>1.84%)</w:t>
            </w:r>
            <w:r>
              <w:rPr>
                <w:rFonts w:ascii="宋体" w:hAnsi="宋体" w:cs="宋体" w:eastAsia="宋体" w:hint="default"/>
                <w:sz w:val="24"/>
                <w:szCs w:val="24"/>
              </w:rPr>
              <w:t>。</w:t>
            </w:r>
          </w:p>
        </w:tc>
      </w:tr>
    </w:tbl>
    <w:p>
      <w:pPr>
        <w:spacing w:after="0" w:line="322" w:lineRule="exact"/>
        <w:jc w:val="left"/>
        <w:rPr>
          <w:rFonts w:ascii="宋体" w:hAnsi="宋体" w:cs="宋体" w:eastAsia="宋体" w:hint="default"/>
          <w:sz w:val="24"/>
          <w:szCs w:val="24"/>
        </w:rPr>
        <w:sectPr>
          <w:pgSz w:w="11910" w:h="16850"/>
          <w:pgMar w:header="795" w:footer="1333"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819"/>
        <w:gridCol w:w="2129"/>
        <w:gridCol w:w="794"/>
        <w:gridCol w:w="1748"/>
        <w:gridCol w:w="235"/>
        <w:gridCol w:w="552"/>
        <w:gridCol w:w="235"/>
        <w:gridCol w:w="2484"/>
      </w:tblGrid>
      <w:tr>
        <w:trPr>
          <w:trHeight w:val="495"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4671"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162"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5" w:type="dxa"/>
            <w:tcBorders>
              <w:top w:val="nil" w:sz="6" w:space="0" w:color="auto"/>
              <w:left w:val="nil" w:sz="6" w:space="0" w:color="auto"/>
              <w:bottom w:val="nil" w:sz="6" w:space="0" w:color="auto"/>
              <w:right w:val="nil" w:sz="6" w:space="0" w:color="auto"/>
            </w:tcBorders>
          </w:tcPr>
          <w:p>
            <w:pPr/>
          </w:p>
        </w:tc>
        <w:tc>
          <w:tcPr>
            <w:tcW w:w="55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484" w:type="dxa"/>
            <w:tcBorders>
              <w:top w:val="nil" w:sz="6" w:space="0" w:color="auto"/>
              <w:left w:val="nil" w:sz="6" w:space="0" w:color="auto"/>
              <w:bottom w:val="nil" w:sz="6" w:space="0" w:color="auto"/>
              <w:right w:val="nil" w:sz="6" w:space="0" w:color="auto"/>
            </w:tcBorders>
          </w:tcPr>
          <w:p>
            <w:pPr/>
          </w:p>
        </w:tc>
      </w:tr>
      <w:tr>
        <w:trPr>
          <w:trHeight w:val="744"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28" w:right="0"/>
              <w:jc w:val="left"/>
              <w:rPr>
                <w:rFonts w:ascii="Arial" w:hAnsi="Arial" w:cs="Arial" w:eastAsia="Arial" w:hint="default"/>
                <w:sz w:val="24"/>
                <w:szCs w:val="24"/>
              </w:rPr>
            </w:pPr>
            <w:r>
              <w:rPr>
                <w:rFonts w:ascii="Arial"/>
                <w:sz w:val="24"/>
              </w:rPr>
              <w:t>(21)</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62" w:right="0"/>
              <w:jc w:val="left"/>
              <w:rPr>
                <w:rFonts w:ascii="黑体" w:hAnsi="黑体" w:cs="黑体" w:eastAsia="黑体" w:hint="default"/>
                <w:sz w:val="24"/>
                <w:szCs w:val="24"/>
              </w:rPr>
            </w:pPr>
            <w:r>
              <w:rPr>
                <w:rFonts w:ascii="黑体" w:hAnsi="黑体" w:cs="黑体" w:eastAsia="黑体" w:hint="default"/>
                <w:sz w:val="24"/>
                <w:szCs w:val="24"/>
              </w:rPr>
              <w:t>应付票据</w:t>
            </w:r>
          </w:p>
        </w:tc>
        <w:tc>
          <w:tcPr>
            <w:tcW w:w="794"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5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484" w:type="dxa"/>
            <w:tcBorders>
              <w:top w:val="nil" w:sz="6" w:space="0" w:color="auto"/>
              <w:left w:val="nil" w:sz="6" w:space="0" w:color="auto"/>
              <w:bottom w:val="nil" w:sz="6" w:space="0" w:color="auto"/>
              <w:right w:val="nil" w:sz="6" w:space="0" w:color="auto"/>
            </w:tcBorders>
          </w:tcPr>
          <w:p>
            <w:pPr/>
          </w:p>
        </w:tc>
      </w:tr>
      <w:tr>
        <w:trPr>
          <w:trHeight w:val="754" w:hRule="exact"/>
        </w:trPr>
        <w:tc>
          <w:tcPr>
            <w:tcW w:w="819"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345" w:right="0"/>
              <w:jc w:val="left"/>
              <w:rPr>
                <w:rFonts w:ascii="Arial" w:hAnsi="Arial" w:cs="Arial" w:eastAsia="Arial" w:hint="default"/>
                <w:sz w:val="24"/>
                <w:szCs w:val="24"/>
              </w:rPr>
            </w:pPr>
            <w:r>
              <w:rPr>
                <w:rFonts w:ascii="Arial"/>
                <w:sz w:val="24"/>
              </w:rPr>
              <w:t>201</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49" w:right="103"/>
              <w:jc w:val="right"/>
              <w:rPr>
                <w:rFonts w:ascii="宋体" w:hAnsi="宋体" w:cs="宋体" w:eastAsia="宋体" w:hint="default"/>
                <w:sz w:val="24"/>
                <w:szCs w:val="24"/>
              </w:rPr>
            </w:pPr>
            <w:r>
              <w:rPr>
                <w:rFonts w:ascii="Arial" w:hAnsi="Arial" w:cs="Arial" w:eastAsia="Arial" w:hint="default"/>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350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9"/>
              <w:ind w:left="607"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78" w:hRule="exact"/>
        </w:trPr>
        <w:tc>
          <w:tcPr>
            <w:tcW w:w="29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4"/>
              <w:ind w:left="706"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794"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15"/>
              <w:jc w:val="right"/>
              <w:rPr>
                <w:rFonts w:ascii="Arial" w:hAnsi="Arial" w:cs="Arial" w:eastAsia="Arial" w:hint="default"/>
                <w:sz w:val="24"/>
                <w:szCs w:val="24"/>
              </w:rPr>
            </w:pPr>
            <w:r>
              <w:rPr>
                <w:rFonts w:ascii="Arial"/>
                <w:spacing w:val="-1"/>
                <w:sz w:val="24"/>
              </w:rPr>
              <w:t>135,729</w:t>
            </w:r>
          </w:p>
        </w:tc>
        <w:tc>
          <w:tcPr>
            <w:tcW w:w="235" w:type="dxa"/>
            <w:tcBorders>
              <w:top w:val="nil" w:sz="6" w:space="0" w:color="auto"/>
              <w:left w:val="nil" w:sz="6" w:space="0" w:color="auto"/>
              <w:bottom w:val="nil" w:sz="6" w:space="0" w:color="auto"/>
              <w:right w:val="nil" w:sz="6" w:space="0" w:color="auto"/>
            </w:tcBorders>
          </w:tcPr>
          <w:p>
            <w:pPr/>
          </w:p>
        </w:tc>
        <w:tc>
          <w:tcPr>
            <w:tcW w:w="55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620" w:right="0"/>
              <w:jc w:val="center"/>
              <w:rPr>
                <w:rFonts w:ascii="Arial" w:hAnsi="Arial" w:cs="Arial" w:eastAsia="Arial" w:hint="default"/>
                <w:sz w:val="24"/>
                <w:szCs w:val="24"/>
              </w:rPr>
            </w:pPr>
            <w:r>
              <w:rPr>
                <w:rFonts w:ascii="Arial"/>
                <w:w w:val="99"/>
                <w:sz w:val="24"/>
              </w:rPr>
              <w:t>-</w:t>
            </w:r>
            <w:r>
              <w:rPr>
                <w:rFonts w:ascii="Arial"/>
                <w:sz w:val="24"/>
              </w:rPr>
            </w:r>
          </w:p>
        </w:tc>
      </w:tr>
      <w:tr>
        <w:trPr>
          <w:trHeight w:val="384"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303" w:lineRule="exact"/>
              <w:ind w:right="-192"/>
              <w:jc w:val="right"/>
              <w:rPr>
                <w:rFonts w:ascii="宋体" w:hAnsi="宋体" w:cs="宋体" w:eastAsia="宋体" w:hint="default"/>
                <w:sz w:val="24"/>
                <w:szCs w:val="24"/>
              </w:rPr>
            </w:pPr>
            <w:r>
              <w:rPr>
                <w:rFonts w:ascii="宋体" w:hAnsi="宋体" w:cs="宋体" w:eastAsia="宋体" w:hint="default"/>
                <w:sz w:val="24"/>
                <w:szCs w:val="24"/>
              </w:rPr>
              <w:t>银</w:t>
            </w:r>
          </w:p>
        </w:tc>
        <w:tc>
          <w:tcPr>
            <w:tcW w:w="2129" w:type="dxa"/>
            <w:tcBorders>
              <w:top w:val="nil" w:sz="6" w:space="0" w:color="auto"/>
              <w:left w:val="nil" w:sz="6" w:space="0" w:color="auto"/>
              <w:bottom w:val="nil" w:sz="6" w:space="0" w:color="auto"/>
              <w:right w:val="nil" w:sz="6" w:space="0" w:color="auto"/>
            </w:tcBorders>
          </w:tcPr>
          <w:p>
            <w:pPr>
              <w:pStyle w:val="TableParagraph"/>
              <w:spacing w:line="303" w:lineRule="exact"/>
              <w:ind w:left="191" w:right="0"/>
              <w:jc w:val="left"/>
              <w:rPr>
                <w:rFonts w:ascii="宋体" w:hAnsi="宋体" w:cs="宋体" w:eastAsia="宋体" w:hint="default"/>
                <w:sz w:val="24"/>
                <w:szCs w:val="24"/>
              </w:rPr>
            </w:pPr>
            <w:r>
              <w:rPr>
                <w:rFonts w:ascii="宋体" w:hAnsi="宋体" w:cs="宋体" w:eastAsia="宋体" w:hint="default"/>
                <w:sz w:val="24"/>
                <w:szCs w:val="24"/>
              </w:rPr>
              <w:t>行承兑汇票</w:t>
            </w:r>
          </w:p>
        </w:tc>
        <w:tc>
          <w:tcPr>
            <w:tcW w:w="794" w:type="dxa"/>
            <w:tcBorders>
              <w:top w:val="nil" w:sz="6" w:space="0" w:color="auto"/>
              <w:left w:val="nil" w:sz="6" w:space="0" w:color="auto"/>
              <w:bottom w:val="single" w:sz="4" w:space="0" w:color="000000"/>
              <w:right w:val="nil" w:sz="6" w:space="0" w:color="auto"/>
            </w:tcBorders>
          </w:tcPr>
          <w:p>
            <w:pPr/>
          </w:p>
        </w:tc>
        <w:tc>
          <w:tcPr>
            <w:tcW w:w="174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35"/>
              <w:jc w:val="right"/>
              <w:rPr>
                <w:rFonts w:ascii="Arial" w:hAnsi="Arial" w:cs="Arial" w:eastAsia="Arial" w:hint="default"/>
                <w:sz w:val="24"/>
                <w:szCs w:val="24"/>
              </w:rPr>
            </w:pPr>
            <w:r>
              <w:rPr>
                <w:rFonts w:ascii="Arial"/>
                <w:spacing w:val="-1"/>
                <w:sz w:val="24"/>
              </w:rPr>
              <w:t>24,094,123</w:t>
            </w:r>
          </w:p>
        </w:tc>
        <w:tc>
          <w:tcPr>
            <w:tcW w:w="235" w:type="dxa"/>
            <w:tcBorders>
              <w:top w:val="nil" w:sz="6" w:space="0" w:color="auto"/>
              <w:left w:val="nil" w:sz="6" w:space="0" w:color="auto"/>
              <w:bottom w:val="nil" w:sz="6" w:space="0" w:color="auto"/>
              <w:right w:val="nil" w:sz="6" w:space="0" w:color="auto"/>
            </w:tcBorders>
          </w:tcPr>
          <w:p>
            <w:pPr/>
          </w:p>
        </w:tc>
        <w:tc>
          <w:tcPr>
            <w:tcW w:w="552"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248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453" w:right="0"/>
              <w:jc w:val="left"/>
              <w:rPr>
                <w:rFonts w:ascii="Arial" w:hAnsi="Arial" w:cs="Arial" w:eastAsia="Arial" w:hint="default"/>
                <w:sz w:val="24"/>
                <w:szCs w:val="24"/>
              </w:rPr>
            </w:pPr>
            <w:r>
              <w:rPr>
                <w:rFonts w:ascii="Arial"/>
                <w:sz w:val="24"/>
              </w:rPr>
              <w:t>20,617,593</w:t>
            </w:r>
          </w:p>
        </w:tc>
      </w:tr>
      <w:tr>
        <w:trPr>
          <w:trHeight w:val="374" w:hRule="exact"/>
        </w:trPr>
        <w:tc>
          <w:tcPr>
            <w:tcW w:w="819"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
        </w:tc>
        <w:tc>
          <w:tcPr>
            <w:tcW w:w="794" w:type="dxa"/>
            <w:tcBorders>
              <w:top w:val="single" w:sz="4" w:space="0" w:color="000000"/>
              <w:left w:val="nil" w:sz="6" w:space="0" w:color="auto"/>
              <w:bottom w:val="single" w:sz="12" w:space="0" w:color="000000"/>
              <w:right w:val="nil" w:sz="6" w:space="0" w:color="auto"/>
            </w:tcBorders>
          </w:tcPr>
          <w:p>
            <w:pPr/>
          </w:p>
        </w:tc>
        <w:tc>
          <w:tcPr>
            <w:tcW w:w="1748"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35"/>
              <w:jc w:val="right"/>
              <w:rPr>
                <w:rFonts w:ascii="Arial" w:hAnsi="Arial" w:cs="Arial" w:eastAsia="Arial" w:hint="default"/>
                <w:sz w:val="24"/>
                <w:szCs w:val="24"/>
              </w:rPr>
            </w:pPr>
            <w:r>
              <w:rPr>
                <w:rFonts w:ascii="Arial"/>
                <w:spacing w:val="-1"/>
                <w:sz w:val="24"/>
              </w:rPr>
              <w:t>24,229,852</w:t>
            </w:r>
          </w:p>
        </w:tc>
        <w:tc>
          <w:tcPr>
            <w:tcW w:w="235" w:type="dxa"/>
            <w:tcBorders>
              <w:top w:val="nil" w:sz="6" w:space="0" w:color="auto"/>
              <w:left w:val="nil" w:sz="6" w:space="0" w:color="auto"/>
              <w:bottom w:val="nil" w:sz="6" w:space="0" w:color="auto"/>
              <w:right w:val="nil" w:sz="6" w:space="0" w:color="auto"/>
            </w:tcBorders>
          </w:tcPr>
          <w:p>
            <w:pPr/>
          </w:p>
        </w:tc>
        <w:tc>
          <w:tcPr>
            <w:tcW w:w="552" w:type="dxa"/>
            <w:tcBorders>
              <w:top w:val="single" w:sz="4" w:space="0" w:color="000000"/>
              <w:left w:val="nil" w:sz="6" w:space="0" w:color="auto"/>
              <w:bottom w:val="single" w:sz="12" w:space="0" w:color="000000"/>
              <w:right w:val="nil" w:sz="6" w:space="0" w:color="auto"/>
            </w:tcBorders>
          </w:tcPr>
          <w:p>
            <w:pPr/>
          </w:p>
        </w:tc>
        <w:tc>
          <w:tcPr>
            <w:tcW w:w="235" w:type="dxa"/>
            <w:tcBorders>
              <w:top w:val="single" w:sz="4" w:space="0" w:color="000000"/>
              <w:left w:val="nil" w:sz="6" w:space="0" w:color="auto"/>
              <w:bottom w:val="single" w:sz="12" w:space="0" w:color="000000"/>
              <w:right w:val="nil" w:sz="6" w:space="0" w:color="auto"/>
            </w:tcBorders>
          </w:tcPr>
          <w:p>
            <w:pPr/>
          </w:p>
        </w:tc>
        <w:tc>
          <w:tcPr>
            <w:tcW w:w="2484"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left="453" w:right="0"/>
              <w:jc w:val="left"/>
              <w:rPr>
                <w:rFonts w:ascii="Arial" w:hAnsi="Arial" w:cs="Arial" w:eastAsia="Arial" w:hint="default"/>
                <w:sz w:val="24"/>
                <w:szCs w:val="24"/>
              </w:rPr>
            </w:pPr>
            <w:r>
              <w:rPr>
                <w:rFonts w:ascii="Arial"/>
                <w:sz w:val="24"/>
              </w:rPr>
              <w:t>20,617,593</w:t>
            </w:r>
          </w:p>
        </w:tc>
      </w:tr>
      <w:tr>
        <w:trPr>
          <w:trHeight w:val="2537" w:hRule="exact"/>
        </w:trPr>
        <w:tc>
          <w:tcPr>
            <w:tcW w:w="8997"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320" w:lineRule="exact"/>
              <w:ind w:left="982" w:right="0"/>
              <w:jc w:val="left"/>
              <w:rPr>
                <w:rFonts w:ascii="宋体" w:hAnsi="宋体" w:cs="宋体" w:eastAsia="宋体" w:hint="default"/>
                <w:sz w:val="24"/>
                <w:szCs w:val="24"/>
              </w:rPr>
            </w:pPr>
            <w:r>
              <w:rPr>
                <w:rFonts w:ascii="宋体" w:hAnsi="宋体" w:cs="宋体" w:eastAsia="宋体" w:hint="default"/>
                <w:sz w:val="24"/>
                <w:szCs w:val="24"/>
              </w:rPr>
              <w:t>于 </w:t>
            </w:r>
            <w:r>
              <w:rPr>
                <w:rFonts w:ascii="Arial" w:hAnsi="Arial" w:cs="Arial" w:eastAsia="Arial" w:hint="default"/>
                <w:sz w:val="24"/>
                <w:szCs w:val="24"/>
              </w:rPr>
              <w:t>2012 </w:t>
            </w:r>
            <w:r>
              <w:rPr>
                <w:rFonts w:ascii="宋体" w:hAnsi="宋体" w:cs="宋体" w:eastAsia="宋体" w:hint="default"/>
                <w:sz w:val="24"/>
                <w:szCs w:val="24"/>
              </w:rPr>
              <w:t>年 </w:t>
            </w:r>
            <w:r>
              <w:rPr>
                <w:rFonts w:ascii="Arial" w:hAnsi="Arial" w:cs="Arial" w:eastAsia="Arial" w:hint="default"/>
                <w:sz w:val="24"/>
                <w:szCs w:val="24"/>
              </w:rPr>
              <w:t>12 </w:t>
            </w:r>
            <w:r>
              <w:rPr>
                <w:rFonts w:ascii="宋体" w:hAnsi="宋体" w:cs="宋体" w:eastAsia="宋体" w:hint="default"/>
                <w:sz w:val="24"/>
                <w:szCs w:val="24"/>
              </w:rPr>
              <w:t>月 </w:t>
            </w:r>
            <w:r>
              <w:rPr>
                <w:rFonts w:ascii="Arial" w:hAnsi="Arial" w:cs="Arial" w:eastAsia="Arial" w:hint="default"/>
                <w:sz w:val="24"/>
                <w:szCs w:val="24"/>
              </w:rPr>
              <w:t>31</w:t>
            </w:r>
            <w:r>
              <w:rPr>
                <w:rFonts w:ascii="Arial" w:hAnsi="Arial" w:cs="Arial" w:eastAsia="Arial" w:hint="default"/>
                <w:spacing w:val="61"/>
                <w:sz w:val="24"/>
                <w:szCs w:val="24"/>
              </w:rPr>
              <w:t> </w:t>
            </w:r>
            <w:r>
              <w:rPr>
                <w:rFonts w:ascii="宋体" w:hAnsi="宋体" w:cs="宋体" w:eastAsia="宋体" w:hint="default"/>
                <w:sz w:val="24"/>
                <w:szCs w:val="24"/>
              </w:rPr>
              <w:t>日，预计将于一年内到期的应付票据金额为约人民币</w:t>
            </w:r>
          </w:p>
          <w:p>
            <w:pPr>
              <w:pStyle w:val="TableParagraph"/>
              <w:spacing w:line="320" w:lineRule="exact"/>
              <w:ind w:left="982" w:right="0"/>
              <w:jc w:val="left"/>
              <w:rPr>
                <w:rFonts w:ascii="宋体" w:hAnsi="宋体" w:cs="宋体" w:eastAsia="宋体" w:hint="default"/>
                <w:sz w:val="24"/>
                <w:szCs w:val="24"/>
              </w:rPr>
            </w:pPr>
            <w:r>
              <w:rPr>
                <w:rFonts w:ascii="Arial" w:hAnsi="Arial" w:cs="Arial" w:eastAsia="Arial" w:hint="default"/>
                <w:sz w:val="24"/>
                <w:szCs w:val="24"/>
              </w:rPr>
              <w:t>242.30</w:t>
            </w:r>
            <w:r>
              <w:rPr>
                <w:rFonts w:ascii="Arial" w:hAnsi="Arial" w:cs="Arial" w:eastAsia="Arial" w:hint="default"/>
                <w:spacing w:val="-6"/>
                <w:sz w:val="24"/>
                <w:szCs w:val="24"/>
              </w:rPr>
              <w:t> </w:t>
            </w:r>
            <w:r>
              <w:rPr>
                <w:rFonts w:ascii="宋体" w:hAnsi="宋体" w:cs="宋体" w:eastAsia="宋体" w:hint="default"/>
                <w:sz w:val="24"/>
                <w:szCs w:val="24"/>
              </w:rPr>
              <w:t>亿元</w:t>
            </w:r>
            <w:r>
              <w:rPr>
                <w:rFonts w:ascii="宋体" w:hAnsi="宋体" w:cs="宋体" w:eastAsia="宋体" w:hint="default"/>
                <w:spacing w:val="-1"/>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206.18</w:t>
            </w:r>
            <w:r>
              <w:rPr>
                <w:rFonts w:ascii="Arial" w:hAnsi="Arial" w:cs="Arial" w:eastAsia="Arial" w:hint="default"/>
                <w:spacing w:val="-6"/>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322" w:lineRule="exact"/>
              <w:ind w:left="982" w:right="0"/>
              <w:jc w:val="left"/>
              <w:rPr>
                <w:rFonts w:ascii="宋体" w:hAnsi="宋体" w:cs="宋体" w:eastAsia="宋体" w:hint="default"/>
                <w:sz w:val="24"/>
                <w:szCs w:val="24"/>
              </w:rPr>
            </w:pPr>
            <w:r>
              <w:rPr>
                <w:rFonts w:ascii="宋体" w:hAnsi="宋体" w:cs="宋体" w:eastAsia="宋体" w:hint="default"/>
                <w:sz w:val="24"/>
                <w:szCs w:val="24"/>
              </w:rPr>
              <w:t>于 </w:t>
            </w:r>
            <w:r>
              <w:rPr>
                <w:rFonts w:ascii="Arial" w:hAnsi="Arial" w:cs="Arial" w:eastAsia="Arial" w:hint="default"/>
                <w:sz w:val="24"/>
                <w:szCs w:val="24"/>
              </w:rPr>
              <w:t>2012 </w:t>
            </w:r>
            <w:r>
              <w:rPr>
                <w:rFonts w:ascii="宋体" w:hAnsi="宋体" w:cs="宋体" w:eastAsia="宋体" w:hint="default"/>
                <w:sz w:val="24"/>
                <w:szCs w:val="24"/>
              </w:rPr>
              <w:t>年 </w:t>
            </w:r>
            <w:r>
              <w:rPr>
                <w:rFonts w:ascii="Arial" w:hAnsi="Arial" w:cs="Arial" w:eastAsia="Arial" w:hint="default"/>
                <w:sz w:val="24"/>
                <w:szCs w:val="24"/>
              </w:rPr>
              <w:t>12  </w:t>
            </w:r>
            <w:r>
              <w:rPr>
                <w:rFonts w:ascii="宋体" w:hAnsi="宋体" w:cs="宋体" w:eastAsia="宋体" w:hint="default"/>
                <w:sz w:val="24"/>
                <w:szCs w:val="24"/>
              </w:rPr>
              <w:t>月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z w:val="24"/>
                <w:szCs w:val="24"/>
              </w:rPr>
              <w:t>日，本集团开立的银行承兑汇票以存于银行的汇票保</w:t>
            </w:r>
          </w:p>
          <w:p>
            <w:pPr>
              <w:pStyle w:val="TableParagraph"/>
              <w:spacing w:line="312" w:lineRule="exact" w:before="21"/>
              <w:ind w:left="982" w:right="75"/>
              <w:jc w:val="left"/>
              <w:rPr>
                <w:rFonts w:ascii="宋体" w:hAnsi="宋体" w:cs="宋体" w:eastAsia="宋体" w:hint="default"/>
                <w:sz w:val="24"/>
                <w:szCs w:val="24"/>
              </w:rPr>
            </w:pPr>
            <w:r>
              <w:rPr>
                <w:rFonts w:ascii="宋体" w:hAnsi="宋体" w:cs="宋体" w:eastAsia="宋体" w:hint="default"/>
                <w:sz w:val="24"/>
                <w:szCs w:val="24"/>
              </w:rPr>
              <w:t>证金约人民币</w:t>
            </w:r>
            <w:r>
              <w:rPr>
                <w:rFonts w:ascii="宋体" w:hAnsi="宋体" w:cs="宋体" w:eastAsia="宋体" w:hint="default"/>
                <w:spacing w:val="-73"/>
                <w:sz w:val="24"/>
                <w:szCs w:val="24"/>
              </w:rPr>
              <w:t> </w:t>
            </w:r>
            <w:r>
              <w:rPr>
                <w:rFonts w:ascii="Arial" w:hAnsi="Arial" w:cs="Arial" w:eastAsia="Arial" w:hint="default"/>
                <w:w w:val="99"/>
                <w:sz w:val="24"/>
                <w:szCs w:val="24"/>
              </w:rPr>
              <w:t>83.1</w:t>
            </w:r>
            <w:r>
              <w:rPr>
                <w:rFonts w:ascii="Arial" w:hAnsi="Arial" w:cs="Arial" w:eastAsia="Arial" w:hint="default"/>
                <w:spacing w:val="-19"/>
                <w:w w:val="99"/>
                <w:sz w:val="24"/>
                <w:szCs w:val="24"/>
              </w:rPr>
              <w:t> </w:t>
            </w:r>
            <w:r>
              <w:rPr>
                <w:rFonts w:ascii="宋体" w:hAnsi="宋体" w:cs="宋体" w:eastAsia="宋体" w:hint="default"/>
                <w:spacing w:val="-3"/>
                <w:w w:val="99"/>
                <w:sz w:val="24"/>
                <w:szCs w:val="24"/>
              </w:rPr>
              <w:t>亿元</w:t>
            </w:r>
            <w:r>
              <w:rPr>
                <w:rFonts w:ascii="Arial" w:hAnsi="Arial" w:cs="Arial" w:eastAsia="Arial" w:hint="default"/>
                <w:spacing w:val="-3"/>
                <w:w w:val="99"/>
                <w:sz w:val="24"/>
                <w:szCs w:val="24"/>
              </w:rPr>
              <w:t>(2011</w:t>
            </w:r>
            <w:r>
              <w:rPr>
                <w:rFonts w:ascii="Arial" w:hAnsi="Arial" w:cs="Arial" w:eastAsia="Arial" w:hint="default"/>
                <w:spacing w:val="-20"/>
                <w:w w:val="99"/>
                <w:sz w:val="24"/>
                <w:szCs w:val="24"/>
              </w:rPr>
              <w:t> </w:t>
            </w:r>
            <w:r>
              <w:rPr>
                <w:rFonts w:ascii="宋体" w:hAnsi="宋体" w:cs="宋体" w:eastAsia="宋体" w:hint="default"/>
                <w:sz w:val="24"/>
                <w:szCs w:val="24"/>
              </w:rPr>
              <w:t>年</w:t>
            </w:r>
            <w:r>
              <w:rPr>
                <w:rFonts w:ascii="宋体" w:hAnsi="宋体" w:cs="宋体" w:eastAsia="宋体" w:hint="default"/>
                <w:spacing w:val="-74"/>
                <w:sz w:val="24"/>
                <w:szCs w:val="24"/>
              </w:rPr>
              <w:t> </w:t>
            </w:r>
            <w:r>
              <w:rPr>
                <w:rFonts w:ascii="Arial" w:hAnsi="Arial" w:cs="Arial" w:eastAsia="Arial" w:hint="default"/>
                <w:w w:val="99"/>
                <w:sz w:val="24"/>
                <w:szCs w:val="24"/>
              </w:rPr>
              <w:t>12</w:t>
            </w:r>
            <w:r>
              <w:rPr>
                <w:rFonts w:ascii="Arial" w:hAnsi="Arial" w:cs="Arial" w:eastAsia="Arial" w:hint="default"/>
                <w:spacing w:val="-20"/>
                <w:w w:val="99"/>
                <w:sz w:val="24"/>
                <w:szCs w:val="24"/>
              </w:rPr>
              <w:t> </w:t>
            </w:r>
            <w:r>
              <w:rPr>
                <w:rFonts w:ascii="宋体" w:hAnsi="宋体" w:cs="宋体" w:eastAsia="宋体" w:hint="default"/>
                <w:sz w:val="24"/>
                <w:szCs w:val="24"/>
              </w:rPr>
              <w:t>月</w:t>
            </w:r>
            <w:r>
              <w:rPr>
                <w:rFonts w:ascii="宋体" w:hAnsi="宋体" w:cs="宋体" w:eastAsia="宋体" w:hint="default"/>
                <w:spacing w:val="-73"/>
                <w:sz w:val="24"/>
                <w:szCs w:val="24"/>
              </w:rPr>
              <w:t> </w:t>
            </w:r>
            <w:r>
              <w:rPr>
                <w:rFonts w:ascii="Arial" w:hAnsi="Arial" w:cs="Arial" w:eastAsia="Arial" w:hint="default"/>
                <w:w w:val="99"/>
                <w:sz w:val="24"/>
                <w:szCs w:val="24"/>
              </w:rPr>
              <w:t>31</w:t>
            </w:r>
            <w:r>
              <w:rPr>
                <w:rFonts w:ascii="Arial" w:hAnsi="Arial" w:cs="Arial" w:eastAsia="Arial" w:hint="default"/>
                <w:spacing w:val="-20"/>
                <w:w w:val="99"/>
                <w:sz w:val="24"/>
                <w:szCs w:val="24"/>
              </w:rPr>
              <w:t> </w:t>
            </w:r>
            <w:r>
              <w:rPr>
                <w:rFonts w:ascii="宋体" w:hAnsi="宋体" w:cs="宋体" w:eastAsia="宋体" w:hint="default"/>
                <w:spacing w:val="-21"/>
                <w:sz w:val="24"/>
                <w:szCs w:val="24"/>
              </w:rPr>
              <w:t>日：约人民币</w:t>
            </w:r>
            <w:r>
              <w:rPr>
                <w:rFonts w:ascii="宋体" w:hAnsi="宋体" w:cs="宋体" w:eastAsia="宋体" w:hint="default"/>
                <w:spacing w:val="-74"/>
                <w:sz w:val="24"/>
                <w:szCs w:val="24"/>
              </w:rPr>
              <w:t> </w:t>
            </w:r>
            <w:r>
              <w:rPr>
                <w:rFonts w:ascii="Arial" w:hAnsi="Arial" w:cs="Arial" w:eastAsia="Arial" w:hint="default"/>
                <w:w w:val="99"/>
                <w:sz w:val="24"/>
                <w:szCs w:val="24"/>
              </w:rPr>
              <w:t>86.4</w:t>
            </w:r>
            <w:r>
              <w:rPr>
                <w:rFonts w:ascii="Arial" w:hAnsi="Arial" w:cs="Arial" w:eastAsia="Arial" w:hint="default"/>
                <w:spacing w:val="-19"/>
                <w:w w:val="99"/>
                <w:sz w:val="24"/>
                <w:szCs w:val="24"/>
              </w:rPr>
              <w:t> </w:t>
            </w:r>
            <w:r>
              <w:rPr>
                <w:rFonts w:ascii="宋体" w:hAnsi="宋体" w:cs="宋体" w:eastAsia="宋体" w:hint="default"/>
                <w:spacing w:val="-1"/>
                <w:w w:val="99"/>
                <w:sz w:val="24"/>
                <w:szCs w:val="24"/>
              </w:rPr>
              <w:t>亿元</w:t>
            </w:r>
            <w:r>
              <w:rPr>
                <w:rFonts w:ascii="Arial" w:hAnsi="Arial" w:cs="Arial" w:eastAsia="Arial" w:hint="default"/>
                <w:spacing w:val="-1"/>
                <w:w w:val="99"/>
                <w:sz w:val="24"/>
                <w:szCs w:val="24"/>
              </w:rPr>
              <w:t>)(</w:t>
            </w:r>
            <w:r>
              <w:rPr>
                <w:rFonts w:ascii="宋体" w:hAnsi="宋体" w:cs="宋体" w:eastAsia="宋体" w:hint="default"/>
                <w:spacing w:val="-1"/>
                <w:w w:val="99"/>
                <w:sz w:val="24"/>
                <w:szCs w:val="24"/>
              </w:rPr>
              <w:t>附注五</w:t>
            </w:r>
            <w:r>
              <w:rPr>
                <w:rFonts w:ascii="Arial" w:hAnsi="Arial" w:cs="Arial" w:eastAsia="Arial" w:hint="default"/>
                <w:spacing w:val="-1"/>
                <w:w w:val="99"/>
                <w:sz w:val="24"/>
                <w:szCs w:val="24"/>
              </w:rPr>
              <w:t>(1))</w:t>
            </w:r>
            <w:r>
              <w:rPr>
                <w:rFonts w:ascii="Arial" w:hAnsi="Arial" w:cs="Arial" w:eastAsia="Arial" w:hint="default"/>
                <w:w w:val="99"/>
                <w:sz w:val="24"/>
                <w:szCs w:val="24"/>
              </w:rPr>
              <w:t> </w:t>
            </w:r>
            <w:r>
              <w:rPr>
                <w:rFonts w:ascii="宋体" w:hAnsi="宋体" w:cs="宋体" w:eastAsia="宋体" w:hint="default"/>
                <w:sz w:val="24"/>
                <w:szCs w:val="24"/>
              </w:rPr>
              <w:t>作为质押保证。</w:t>
            </w:r>
          </w:p>
        </w:tc>
      </w:tr>
      <w:tr>
        <w:trPr>
          <w:trHeight w:val="752"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8" w:right="0"/>
              <w:jc w:val="left"/>
              <w:rPr>
                <w:rFonts w:ascii="Arial" w:hAnsi="Arial" w:cs="Arial" w:eastAsia="Arial" w:hint="default"/>
                <w:sz w:val="24"/>
                <w:szCs w:val="24"/>
              </w:rPr>
            </w:pPr>
            <w:r>
              <w:rPr>
                <w:rFonts w:ascii="Arial"/>
                <w:sz w:val="24"/>
              </w:rPr>
              <w:t>(22)</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62" w:right="0"/>
              <w:jc w:val="left"/>
              <w:rPr>
                <w:rFonts w:ascii="黑体" w:hAnsi="黑体" w:cs="黑体" w:eastAsia="黑体" w:hint="default"/>
                <w:sz w:val="24"/>
                <w:szCs w:val="24"/>
              </w:rPr>
            </w:pPr>
            <w:r>
              <w:rPr>
                <w:rFonts w:ascii="黑体" w:hAnsi="黑体" w:cs="黑体" w:eastAsia="黑体" w:hint="default"/>
                <w:sz w:val="24"/>
                <w:szCs w:val="24"/>
              </w:rPr>
              <w:t>应付账款</w:t>
            </w:r>
          </w:p>
        </w:tc>
        <w:tc>
          <w:tcPr>
            <w:tcW w:w="794"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5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484" w:type="dxa"/>
            <w:tcBorders>
              <w:top w:val="nil" w:sz="6" w:space="0" w:color="auto"/>
              <w:left w:val="nil" w:sz="6" w:space="0" w:color="auto"/>
              <w:bottom w:val="nil" w:sz="6" w:space="0" w:color="auto"/>
              <w:right w:val="nil" w:sz="6" w:space="0" w:color="auto"/>
            </w:tcBorders>
          </w:tcPr>
          <w:p>
            <w:pPr/>
          </w:p>
        </w:tc>
      </w:tr>
      <w:tr>
        <w:trPr>
          <w:trHeight w:val="753" w:hRule="exact"/>
        </w:trPr>
        <w:tc>
          <w:tcPr>
            <w:tcW w:w="819"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
        </w:tc>
        <w:tc>
          <w:tcPr>
            <w:tcW w:w="332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80"/>
              <w:ind w:left="1224"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35" w:type="dxa"/>
            <w:tcBorders>
              <w:top w:val="nil" w:sz="6" w:space="0" w:color="auto"/>
              <w:left w:val="nil" w:sz="6" w:space="0" w:color="auto"/>
              <w:bottom w:val="nil" w:sz="6" w:space="0" w:color="auto"/>
              <w:right w:val="nil" w:sz="6" w:space="0" w:color="auto"/>
            </w:tcBorders>
          </w:tcPr>
          <w:p>
            <w:pP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12"/>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78" w:hRule="exact"/>
        </w:trPr>
        <w:tc>
          <w:tcPr>
            <w:tcW w:w="819"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67" w:right="0"/>
              <w:jc w:val="left"/>
              <w:rPr>
                <w:rFonts w:ascii="宋体" w:hAnsi="宋体" w:cs="宋体" w:eastAsia="宋体" w:hint="default"/>
                <w:sz w:val="24"/>
                <w:szCs w:val="24"/>
              </w:rPr>
            </w:pPr>
            <w:r>
              <w:rPr>
                <w:rFonts w:ascii="宋体" w:hAnsi="宋体" w:cs="宋体" w:eastAsia="宋体" w:hint="default"/>
                <w:sz w:val="24"/>
                <w:szCs w:val="24"/>
              </w:rPr>
              <w:t>应付货款</w:t>
            </w:r>
          </w:p>
        </w:tc>
        <w:tc>
          <w:tcPr>
            <w:tcW w:w="332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023" w:right="0"/>
              <w:jc w:val="left"/>
              <w:rPr>
                <w:rFonts w:ascii="Arial" w:hAnsi="Arial" w:cs="Arial" w:eastAsia="Arial" w:hint="default"/>
                <w:sz w:val="24"/>
                <w:szCs w:val="24"/>
              </w:rPr>
            </w:pPr>
            <w:r>
              <w:rPr>
                <w:rFonts w:ascii="Arial"/>
                <w:sz w:val="24"/>
              </w:rPr>
              <w:t>10,457,733</w:t>
            </w:r>
          </w:p>
        </w:tc>
        <w:tc>
          <w:tcPr>
            <w:tcW w:w="235" w:type="dxa"/>
            <w:tcBorders>
              <w:top w:val="nil" w:sz="6" w:space="0" w:color="auto"/>
              <w:left w:val="nil" w:sz="6" w:space="0" w:color="auto"/>
              <w:bottom w:val="nil" w:sz="6" w:space="0" w:color="auto"/>
              <w:right w:val="nil" w:sz="6" w:space="0" w:color="auto"/>
            </w:tcBorders>
          </w:tcPr>
          <w:p>
            <w:pPr/>
          </w:p>
        </w:tc>
        <w:tc>
          <w:tcPr>
            <w:tcW w:w="2484"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90"/>
              <w:jc w:val="right"/>
              <w:rPr>
                <w:rFonts w:ascii="Arial" w:hAnsi="Arial" w:cs="Arial" w:eastAsia="Arial" w:hint="default"/>
                <w:sz w:val="24"/>
                <w:szCs w:val="24"/>
              </w:rPr>
            </w:pPr>
            <w:r>
              <w:rPr>
                <w:rFonts w:ascii="Arial"/>
                <w:spacing w:val="-1"/>
                <w:sz w:val="24"/>
              </w:rPr>
              <w:t>8,525,857</w:t>
            </w:r>
          </w:p>
        </w:tc>
      </w:tr>
      <w:tr>
        <w:trPr>
          <w:trHeight w:val="1008"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left="228" w:right="0"/>
              <w:jc w:val="left"/>
              <w:rPr>
                <w:rFonts w:ascii="Arial" w:hAnsi="Arial" w:cs="Arial" w:eastAsia="Arial" w:hint="default"/>
                <w:sz w:val="24"/>
                <w:szCs w:val="24"/>
              </w:rPr>
            </w:pPr>
            <w:r>
              <w:rPr>
                <w:rFonts w:ascii="Arial"/>
                <w:sz w:val="24"/>
              </w:rPr>
              <w:t>(a)</w:t>
            </w:r>
          </w:p>
        </w:tc>
        <w:tc>
          <w:tcPr>
            <w:tcW w:w="817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5"/>
                <w:szCs w:val="35"/>
              </w:rPr>
            </w:pPr>
          </w:p>
          <w:p>
            <w:pPr>
              <w:pStyle w:val="TableParagraph"/>
              <w:spacing w:line="310" w:lineRule="exact"/>
              <w:ind w:left="162" w:right="79"/>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7"/>
                <w:sz w:val="24"/>
                <w:szCs w:val="24"/>
              </w:rPr>
              <w:t> </w:t>
            </w:r>
            <w:r>
              <w:rPr>
                <w:rFonts w:ascii="Arial" w:hAnsi="Arial" w:cs="Arial" w:eastAsia="Arial" w:hint="default"/>
                <w:sz w:val="24"/>
                <w:szCs w:val="24"/>
              </w:rPr>
              <w:t>2012</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日及</w:t>
            </w:r>
            <w:r>
              <w:rPr>
                <w:rFonts w:ascii="宋体" w:hAnsi="宋体" w:cs="宋体" w:eastAsia="宋体" w:hint="default"/>
                <w:spacing w:val="-57"/>
                <w:sz w:val="24"/>
                <w:szCs w:val="24"/>
              </w:rPr>
              <w:t> </w:t>
            </w:r>
            <w:r>
              <w:rPr>
                <w:rFonts w:ascii="Arial" w:hAnsi="Arial" w:cs="Arial" w:eastAsia="Arial" w:hint="default"/>
                <w:spacing w:val="-5"/>
                <w:sz w:val="24"/>
                <w:szCs w:val="24"/>
              </w:rPr>
              <w:t>2011</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日，应付账款中无应付持有本公 司</w:t>
            </w:r>
            <w:r>
              <w:rPr>
                <w:rFonts w:ascii="宋体" w:hAnsi="宋体" w:cs="宋体" w:eastAsia="宋体" w:hint="default"/>
                <w:spacing w:val="-61"/>
                <w:sz w:val="24"/>
                <w:szCs w:val="24"/>
              </w:rPr>
              <w:t> </w:t>
            </w:r>
            <w:r>
              <w:rPr>
                <w:rFonts w:ascii="Arial" w:hAnsi="Arial" w:cs="Arial" w:eastAsia="Arial" w:hint="default"/>
                <w:sz w:val="24"/>
                <w:szCs w:val="24"/>
              </w:rPr>
              <w:t>5%(</w:t>
            </w:r>
            <w:r>
              <w:rPr>
                <w:rFonts w:ascii="宋体" w:hAnsi="宋体" w:cs="宋体" w:eastAsia="宋体" w:hint="default"/>
                <w:sz w:val="24"/>
                <w:szCs w:val="24"/>
              </w:rPr>
              <w:t>含</w:t>
            </w:r>
            <w:r>
              <w:rPr>
                <w:rFonts w:ascii="宋体" w:hAnsi="宋体" w:cs="宋体" w:eastAsia="宋体" w:hint="default"/>
                <w:spacing w:val="-61"/>
                <w:sz w:val="24"/>
                <w:szCs w:val="24"/>
              </w:rPr>
              <w:t> </w:t>
            </w:r>
            <w:r>
              <w:rPr>
                <w:rFonts w:ascii="Arial" w:hAnsi="Arial" w:cs="Arial" w:eastAsia="Arial" w:hint="default"/>
                <w:sz w:val="24"/>
                <w:szCs w:val="24"/>
              </w:rPr>
              <w:t>5%)</w:t>
            </w:r>
            <w:r>
              <w:rPr>
                <w:rFonts w:ascii="宋体" w:hAnsi="宋体" w:cs="宋体" w:eastAsia="宋体" w:hint="default"/>
                <w:sz w:val="24"/>
                <w:szCs w:val="24"/>
              </w:rPr>
              <w:t>以上表决权股份的股东的款项。</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133" w:type="dxa"/>
        <w:tblLayout w:type="fixed"/>
        <w:tblCellMar>
          <w:top w:w="0" w:type="dxa"/>
          <w:left w:w="0" w:type="dxa"/>
          <w:bottom w:w="0" w:type="dxa"/>
          <w:right w:w="0" w:type="dxa"/>
        </w:tblCellMar>
        <w:tblLook w:val="01E0"/>
      </w:tblPr>
      <w:tblGrid>
        <w:gridCol w:w="704"/>
        <w:gridCol w:w="8388"/>
      </w:tblGrid>
      <w:tr>
        <w:trPr>
          <w:trHeight w:val="559"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8388" w:type="dxa"/>
            <w:tcBorders>
              <w:top w:val="nil" w:sz="6" w:space="0" w:color="auto"/>
              <w:left w:val="nil" w:sz="6" w:space="0" w:color="auto"/>
              <w:bottom w:val="nil" w:sz="6" w:space="0" w:color="auto"/>
              <w:right w:val="nil" w:sz="6" w:space="0" w:color="auto"/>
            </w:tcBorders>
          </w:tcPr>
          <w:p>
            <w:pPr>
              <w:pStyle w:val="TableParagraph"/>
              <w:spacing w:line="255" w:lineRule="exact"/>
              <w:ind w:left="21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4"/>
                <w:sz w:val="24"/>
                <w:szCs w:val="24"/>
              </w:rPr>
              <w:t> </w:t>
            </w:r>
            <w:r>
              <w:rPr>
                <w:rFonts w:ascii="Arial" w:hAnsi="Arial" w:cs="Arial" w:eastAsia="Arial" w:hint="default"/>
                <w:sz w:val="24"/>
                <w:szCs w:val="24"/>
              </w:rPr>
              <w:t>2012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31 </w:t>
            </w:r>
            <w:r>
              <w:rPr>
                <w:rFonts w:ascii="宋体" w:hAnsi="宋体" w:cs="宋体" w:eastAsia="宋体" w:hint="default"/>
                <w:sz w:val="24"/>
                <w:szCs w:val="24"/>
              </w:rPr>
              <w:t>日及</w:t>
            </w:r>
            <w:r>
              <w:rPr>
                <w:rFonts w:ascii="宋体" w:hAnsi="宋体" w:cs="宋体" w:eastAsia="宋体" w:hint="default"/>
                <w:spacing w:val="-54"/>
                <w:sz w:val="24"/>
                <w:szCs w:val="24"/>
              </w:rPr>
              <w:t> </w:t>
            </w:r>
            <w:r>
              <w:rPr>
                <w:rFonts w:ascii="Arial" w:hAnsi="Arial" w:cs="Arial" w:eastAsia="Arial" w:hint="default"/>
                <w:spacing w:val="-4"/>
                <w:sz w:val="24"/>
                <w:szCs w:val="24"/>
              </w:rPr>
              <w:t>2011</w:t>
            </w:r>
            <w:r>
              <w:rPr>
                <w:rFonts w:ascii="Arial" w:hAnsi="Arial" w:cs="Arial" w:eastAsia="Arial" w:hint="default"/>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12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31 </w:t>
            </w:r>
            <w:r>
              <w:rPr>
                <w:rFonts w:ascii="宋体" w:hAnsi="宋体" w:cs="宋体" w:eastAsia="宋体" w:hint="default"/>
                <w:sz w:val="24"/>
                <w:szCs w:val="24"/>
              </w:rPr>
              <w:t>日，应付账款中无应付关联方的</w:t>
            </w:r>
          </w:p>
          <w:p>
            <w:pPr>
              <w:pStyle w:val="TableParagraph"/>
              <w:spacing w:line="304" w:lineRule="exact"/>
              <w:ind w:left="210" w:right="0"/>
              <w:jc w:val="left"/>
              <w:rPr>
                <w:rFonts w:ascii="宋体" w:hAnsi="宋体" w:cs="宋体" w:eastAsia="宋体" w:hint="default"/>
                <w:sz w:val="24"/>
                <w:szCs w:val="24"/>
              </w:rPr>
            </w:pPr>
            <w:r>
              <w:rPr>
                <w:rFonts w:ascii="宋体" w:hAnsi="宋体" w:cs="宋体" w:eastAsia="宋体" w:hint="default"/>
                <w:sz w:val="24"/>
                <w:szCs w:val="24"/>
              </w:rPr>
              <w:t>款项。</w:t>
            </w:r>
          </w:p>
        </w:tc>
      </w:tr>
    </w:tbl>
    <w:p>
      <w:pPr>
        <w:spacing w:after="0" w:line="304" w:lineRule="exact"/>
        <w:jc w:val="left"/>
        <w:rPr>
          <w:rFonts w:ascii="宋体" w:hAnsi="宋体" w:cs="宋体" w:eastAsia="宋体" w:hint="default"/>
          <w:sz w:val="24"/>
          <w:szCs w:val="24"/>
        </w:rPr>
        <w:sectPr>
          <w:pgSz w:w="11910" w:h="16850"/>
          <w:pgMar w:header="795" w:footer="1333" w:top="2020" w:bottom="1540" w:left="146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73" w:type="dxa"/>
        <w:tblLayout w:type="fixed"/>
        <w:tblCellMar>
          <w:top w:w="0" w:type="dxa"/>
          <w:left w:w="0" w:type="dxa"/>
          <w:bottom w:w="0" w:type="dxa"/>
          <w:right w:w="0" w:type="dxa"/>
        </w:tblCellMar>
        <w:tblLook w:val="01E0"/>
      </w:tblPr>
      <w:tblGrid>
        <w:gridCol w:w="771"/>
        <w:gridCol w:w="8712"/>
      </w:tblGrid>
      <w:tr>
        <w:trPr>
          <w:trHeight w:val="497"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8712" w:type="dxa"/>
            <w:tcBorders>
              <w:top w:val="nil" w:sz="6" w:space="0" w:color="auto"/>
              <w:left w:val="nil" w:sz="6" w:space="0" w:color="auto"/>
              <w:bottom w:val="nil" w:sz="6" w:space="0" w:color="auto"/>
              <w:right w:val="nil" w:sz="6" w:space="0" w:color="auto"/>
            </w:tcBorders>
          </w:tcPr>
          <w:p>
            <w:pPr>
              <w:pStyle w:val="TableParagraph"/>
              <w:spacing w:line="257" w:lineRule="exact"/>
              <w:ind w:left="14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(22)</w:t>
            </w:r>
          </w:p>
        </w:tc>
        <w:tc>
          <w:tcPr>
            <w:tcW w:w="8712"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43" w:right="0"/>
              <w:jc w:val="left"/>
              <w:rPr>
                <w:rFonts w:ascii="Arial" w:hAnsi="Arial" w:cs="Arial" w:eastAsia="Arial" w:hint="default"/>
                <w:sz w:val="24"/>
                <w:szCs w:val="24"/>
              </w:rPr>
            </w:pPr>
            <w:r>
              <w:rPr>
                <w:rFonts w:ascii="黑体" w:hAnsi="黑体" w:cs="黑体" w:eastAsia="黑体" w:hint="default"/>
                <w:sz w:val="24"/>
                <w:szCs w:val="24"/>
              </w:rPr>
              <w:t>应付账款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1113"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(c)</w:t>
            </w:r>
          </w:p>
        </w:tc>
        <w:tc>
          <w:tcPr>
            <w:tcW w:w="8712" w:type="dxa"/>
            <w:tcBorders>
              <w:top w:val="nil" w:sz="6" w:space="0" w:color="auto"/>
              <w:left w:val="nil" w:sz="6" w:space="0" w:color="auto"/>
              <w:bottom w:val="nil" w:sz="6" w:space="0" w:color="auto"/>
              <w:right w:val="nil" w:sz="6" w:space="0" w:color="auto"/>
            </w:tcBorders>
          </w:tcPr>
          <w:p>
            <w:pPr>
              <w:pStyle w:val="TableParagraph"/>
              <w:spacing w:line="320" w:lineRule="exact" w:before="177"/>
              <w:ind w:left="143"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41"/>
                <w:sz w:val="24"/>
                <w:szCs w:val="24"/>
              </w:rPr>
              <w:t> </w:t>
            </w:r>
            <w:r>
              <w:rPr>
                <w:rFonts w:ascii="Arial" w:hAnsi="Arial" w:cs="Arial" w:eastAsia="Arial" w:hint="default"/>
                <w:sz w:val="24"/>
                <w:szCs w:val="24"/>
              </w:rPr>
              <w:t>2012</w:t>
            </w:r>
            <w:r>
              <w:rPr>
                <w:rFonts w:ascii="Arial" w:hAnsi="Arial" w:cs="Arial" w:eastAsia="Arial" w:hint="default"/>
                <w:spacing w:val="13"/>
                <w:sz w:val="24"/>
                <w:szCs w:val="24"/>
              </w:rPr>
              <w:t> </w:t>
            </w:r>
            <w:r>
              <w:rPr>
                <w:rFonts w:ascii="宋体" w:hAnsi="宋体" w:cs="宋体" w:eastAsia="宋体" w:hint="default"/>
                <w:sz w:val="24"/>
                <w:szCs w:val="24"/>
              </w:rPr>
              <w:t>年</w:t>
            </w:r>
            <w:r>
              <w:rPr>
                <w:rFonts w:ascii="宋体" w:hAnsi="宋体" w:cs="宋体" w:eastAsia="宋体" w:hint="default"/>
                <w:spacing w:val="-41"/>
                <w:sz w:val="24"/>
                <w:szCs w:val="24"/>
              </w:rPr>
              <w:t> </w:t>
            </w:r>
            <w:r>
              <w:rPr>
                <w:rFonts w:ascii="Arial" w:hAnsi="Arial" w:cs="Arial" w:eastAsia="Arial" w:hint="default"/>
                <w:sz w:val="24"/>
                <w:szCs w:val="24"/>
              </w:rPr>
              <w:t>12</w:t>
            </w:r>
            <w:r>
              <w:rPr>
                <w:rFonts w:ascii="Arial" w:hAnsi="Arial" w:cs="Arial" w:eastAsia="Arial" w:hint="default"/>
                <w:spacing w:val="14"/>
                <w:sz w:val="24"/>
                <w:szCs w:val="24"/>
              </w:rPr>
              <w:t> </w:t>
            </w:r>
            <w:r>
              <w:rPr>
                <w:rFonts w:ascii="宋体" w:hAnsi="宋体" w:cs="宋体" w:eastAsia="宋体" w:hint="default"/>
                <w:sz w:val="24"/>
                <w:szCs w:val="24"/>
              </w:rPr>
              <w:t>月</w:t>
            </w:r>
            <w:r>
              <w:rPr>
                <w:rFonts w:ascii="宋体" w:hAnsi="宋体" w:cs="宋体" w:eastAsia="宋体" w:hint="default"/>
                <w:spacing w:val="-44"/>
                <w:sz w:val="24"/>
                <w:szCs w:val="24"/>
              </w:rPr>
              <w:t> </w:t>
            </w:r>
            <w:r>
              <w:rPr>
                <w:rFonts w:ascii="Arial" w:hAnsi="Arial" w:cs="Arial" w:eastAsia="Arial" w:hint="default"/>
                <w:sz w:val="24"/>
                <w:szCs w:val="24"/>
              </w:rPr>
              <w:t>31</w:t>
            </w:r>
            <w:r>
              <w:rPr>
                <w:rFonts w:ascii="Arial" w:hAnsi="Arial" w:cs="Arial" w:eastAsia="Arial" w:hint="default"/>
                <w:spacing w:val="11"/>
                <w:sz w:val="24"/>
                <w:szCs w:val="24"/>
              </w:rPr>
              <w:t> </w:t>
            </w:r>
            <w:r>
              <w:rPr>
                <w:rFonts w:ascii="宋体" w:hAnsi="宋体" w:cs="宋体" w:eastAsia="宋体" w:hint="default"/>
                <w:sz w:val="24"/>
                <w:szCs w:val="24"/>
              </w:rPr>
              <w:t>日，账龄超过一年的应付账款约人民币</w:t>
            </w:r>
            <w:r>
              <w:rPr>
                <w:rFonts w:ascii="宋体" w:hAnsi="宋体" w:cs="宋体" w:eastAsia="宋体" w:hint="default"/>
                <w:spacing w:val="-40"/>
                <w:sz w:val="24"/>
                <w:szCs w:val="24"/>
              </w:rPr>
              <w:t> </w:t>
            </w:r>
            <w:r>
              <w:rPr>
                <w:rFonts w:ascii="Arial" w:hAnsi="Arial" w:cs="Arial" w:eastAsia="Arial" w:hint="default"/>
                <w:sz w:val="24"/>
                <w:szCs w:val="24"/>
              </w:rPr>
              <w:t>1.40</w:t>
            </w:r>
            <w:r>
              <w:rPr>
                <w:rFonts w:ascii="Arial" w:hAnsi="Arial" w:cs="Arial" w:eastAsia="Arial" w:hint="default"/>
                <w:spacing w:val="11"/>
                <w:sz w:val="24"/>
                <w:szCs w:val="24"/>
              </w:rPr>
              <w:t> </w:t>
            </w:r>
            <w:r>
              <w:rPr>
                <w:rFonts w:ascii="宋体" w:hAnsi="宋体" w:cs="宋体" w:eastAsia="宋体" w:hint="default"/>
                <w:spacing w:val="-3"/>
                <w:sz w:val="24"/>
                <w:szCs w:val="24"/>
              </w:rPr>
              <w:t>亿元</w:t>
            </w:r>
            <w:r>
              <w:rPr>
                <w:rFonts w:ascii="Arial" w:hAnsi="Arial" w:cs="Arial" w:eastAsia="Arial" w:hint="default"/>
                <w:spacing w:val="-3"/>
                <w:sz w:val="24"/>
                <w:szCs w:val="24"/>
              </w:rPr>
              <w:t>(2011</w:t>
            </w:r>
            <w:r>
              <w:rPr>
                <w:rFonts w:ascii="Arial" w:hAnsi="Arial" w:cs="Arial" w:eastAsia="Arial" w:hint="default"/>
                <w:spacing w:val="13"/>
                <w:sz w:val="24"/>
                <w:szCs w:val="24"/>
              </w:rPr>
              <w:t> </w:t>
            </w:r>
            <w:r>
              <w:rPr>
                <w:rFonts w:ascii="宋体" w:hAnsi="宋体" w:cs="宋体" w:eastAsia="宋体" w:hint="default"/>
                <w:sz w:val="24"/>
                <w:szCs w:val="24"/>
              </w:rPr>
              <w:t>年</w:t>
            </w:r>
          </w:p>
          <w:p>
            <w:pPr>
              <w:pStyle w:val="TableParagraph"/>
              <w:spacing w:line="312" w:lineRule="exact" w:before="20"/>
              <w:ind w:left="143" w:right="202"/>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pacing w:val="-6"/>
                <w:sz w:val="24"/>
                <w:szCs w:val="24"/>
              </w:rPr>
              <w:t>日：约人民币</w:t>
            </w:r>
            <w:r>
              <w:rPr>
                <w:rFonts w:ascii="宋体" w:hAnsi="宋体" w:cs="宋体" w:eastAsia="宋体" w:hint="default"/>
                <w:spacing w:val="-59"/>
                <w:sz w:val="24"/>
                <w:szCs w:val="24"/>
              </w:rPr>
              <w:t> </w:t>
            </w:r>
            <w:r>
              <w:rPr>
                <w:rFonts w:ascii="Arial" w:hAnsi="Arial" w:cs="Arial" w:eastAsia="Arial" w:hint="default"/>
                <w:sz w:val="24"/>
                <w:szCs w:val="24"/>
              </w:rPr>
              <w:t>1.07</w:t>
            </w:r>
            <w:r>
              <w:rPr>
                <w:rFonts w:ascii="Arial" w:hAnsi="Arial" w:cs="Arial" w:eastAsia="Arial" w:hint="default"/>
                <w:spacing w:val="-5"/>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Arial" w:hAnsi="Arial" w:cs="Arial" w:eastAsia="Arial" w:hint="default"/>
                <w:spacing w:val="54"/>
                <w:sz w:val="24"/>
                <w:szCs w:val="24"/>
              </w:rPr>
              <w:t> </w:t>
            </w:r>
            <w:r>
              <w:rPr>
                <w:rFonts w:ascii="宋体" w:hAnsi="宋体" w:cs="宋体" w:eastAsia="宋体" w:hint="default"/>
                <w:spacing w:val="-4"/>
                <w:sz w:val="24"/>
                <w:szCs w:val="24"/>
              </w:rPr>
              <w:t>，主要为以前年度尚未支付的供应商货款，供</w:t>
            </w:r>
            <w:r>
              <w:rPr>
                <w:rFonts w:ascii="宋体" w:hAnsi="宋体" w:cs="宋体" w:eastAsia="宋体" w:hint="default"/>
                <w:sz w:val="24"/>
                <w:szCs w:val="24"/>
              </w:rPr>
              <w:t> 应商未及时与本集团进行结算。</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tbl>
      <w:tblPr>
        <w:tblW w:w="0" w:type="auto"/>
        <w:jc w:val="left"/>
        <w:tblInd w:w="173" w:type="dxa"/>
        <w:tblLayout w:type="fixed"/>
        <w:tblCellMar>
          <w:top w:w="0" w:type="dxa"/>
          <w:left w:w="0" w:type="dxa"/>
          <w:bottom w:w="0" w:type="dxa"/>
          <w:right w:w="0" w:type="dxa"/>
        </w:tblCellMar>
        <w:tblLook w:val="01E0"/>
      </w:tblPr>
      <w:tblGrid>
        <w:gridCol w:w="777"/>
        <w:gridCol w:w="1161"/>
        <w:gridCol w:w="944"/>
        <w:gridCol w:w="1359"/>
        <w:gridCol w:w="1013"/>
        <w:gridCol w:w="379"/>
        <w:gridCol w:w="1289"/>
        <w:gridCol w:w="223"/>
        <w:gridCol w:w="905"/>
        <w:gridCol w:w="1315"/>
      </w:tblGrid>
      <w:tr>
        <w:trPr>
          <w:trHeight w:val="460"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(d)</w:t>
            </w:r>
          </w:p>
        </w:tc>
        <w:tc>
          <w:tcPr>
            <w:tcW w:w="3465" w:type="dxa"/>
            <w:gridSpan w:val="3"/>
            <w:tcBorders>
              <w:top w:val="nil" w:sz="6" w:space="0" w:color="auto"/>
              <w:left w:val="nil" w:sz="6" w:space="0" w:color="auto"/>
              <w:bottom w:val="nil" w:sz="6" w:space="0" w:color="auto"/>
              <w:right w:val="nil" w:sz="6" w:space="0" w:color="auto"/>
            </w:tcBorders>
          </w:tcPr>
          <w:p>
            <w:pPr>
              <w:pStyle w:val="TableParagraph"/>
              <w:spacing w:line="247" w:lineRule="exact"/>
              <w:ind w:left="149" w:right="0"/>
              <w:jc w:val="left"/>
              <w:rPr>
                <w:rFonts w:ascii="宋体" w:hAnsi="宋体" w:cs="宋体" w:eastAsia="宋体" w:hint="default"/>
                <w:sz w:val="24"/>
                <w:szCs w:val="24"/>
              </w:rPr>
            </w:pPr>
            <w:r>
              <w:rPr>
                <w:rFonts w:ascii="宋体" w:hAnsi="宋体" w:cs="宋体" w:eastAsia="宋体" w:hint="default"/>
                <w:sz w:val="24"/>
                <w:szCs w:val="24"/>
              </w:rPr>
              <w:t>应付账款中包括以下外币余额</w:t>
            </w:r>
          </w:p>
        </w:tc>
        <w:tc>
          <w:tcPr>
            <w:tcW w:w="1013" w:type="dxa"/>
            <w:tcBorders>
              <w:top w:val="nil" w:sz="6" w:space="0" w:color="auto"/>
              <w:left w:val="nil" w:sz="6" w:space="0" w:color="auto"/>
              <w:bottom w:val="nil" w:sz="6" w:space="0" w:color="auto"/>
              <w:right w:val="nil" w:sz="6" w:space="0" w:color="auto"/>
            </w:tcBorders>
          </w:tcPr>
          <w:p>
            <w:pPr>
              <w:pStyle w:val="TableParagraph"/>
              <w:spacing w:line="247" w:lineRule="exact"/>
              <w:ind w:left="-195" w:right="0"/>
              <w:jc w:val="left"/>
              <w:rPr>
                <w:rFonts w:ascii="宋体" w:hAnsi="宋体" w:cs="宋体" w:eastAsia="宋体" w:hint="default"/>
                <w:sz w:val="24"/>
                <w:szCs w:val="24"/>
              </w:rPr>
            </w:pPr>
            <w:r>
              <w:rPr>
                <w:rFonts w:ascii="宋体" w:hAnsi="宋体" w:cs="宋体" w:eastAsia="宋体" w:hint="default"/>
                <w:sz w:val="24"/>
                <w:szCs w:val="24"/>
              </w:rPr>
              <w:t>：</w:t>
            </w:r>
          </w:p>
        </w:tc>
        <w:tc>
          <w:tcPr>
            <w:tcW w:w="37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r>
      <w:tr>
        <w:trPr>
          <w:trHeight w:val="512" w:hRule="exact"/>
        </w:trPr>
        <w:tc>
          <w:tcPr>
            <w:tcW w:w="777"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single" w:sz="4" w:space="0" w:color="000000"/>
              <w:right w:val="nil" w:sz="6" w:space="0" w:color="auto"/>
            </w:tcBorders>
          </w:tcPr>
          <w:p>
            <w:pPr/>
          </w:p>
        </w:tc>
        <w:tc>
          <w:tcPr>
            <w:tcW w:w="230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57"/>
              <w:ind w:left="704"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13" w:type="dxa"/>
            <w:tcBorders>
              <w:top w:val="nil" w:sz="6" w:space="0" w:color="auto"/>
              <w:left w:val="nil" w:sz="6" w:space="0" w:color="auto"/>
              <w:bottom w:val="single" w:sz="4" w:space="0" w:color="000000"/>
              <w:right w:val="nil" w:sz="6" w:space="0" w:color="auto"/>
            </w:tcBorders>
          </w:tcPr>
          <w:p>
            <w:pPr/>
          </w:p>
        </w:tc>
        <w:tc>
          <w:tcPr>
            <w:tcW w:w="411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57"/>
              <w:ind w:left="1471"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59" w:hRule="exact"/>
        </w:trPr>
        <w:tc>
          <w:tcPr>
            <w:tcW w:w="777" w:type="dxa"/>
            <w:tcBorders>
              <w:top w:val="nil" w:sz="6" w:space="0" w:color="auto"/>
              <w:left w:val="nil" w:sz="6" w:space="0" w:color="auto"/>
              <w:bottom w:val="nil" w:sz="6" w:space="0" w:color="auto"/>
              <w:right w:val="nil" w:sz="6" w:space="0" w:color="auto"/>
            </w:tcBorders>
          </w:tcPr>
          <w:p>
            <w:pPr/>
          </w:p>
        </w:tc>
        <w:tc>
          <w:tcPr>
            <w:tcW w:w="1161" w:type="dxa"/>
            <w:tcBorders>
              <w:top w:val="single" w:sz="4" w:space="0" w:color="000000"/>
              <w:left w:val="nil" w:sz="6" w:space="0" w:color="auto"/>
              <w:bottom w:val="nil" w:sz="6" w:space="0" w:color="auto"/>
              <w:right w:val="nil" w:sz="6" w:space="0" w:color="auto"/>
            </w:tcBorders>
          </w:tcPr>
          <w:p>
            <w:pPr/>
          </w:p>
        </w:tc>
        <w:tc>
          <w:tcPr>
            <w:tcW w:w="94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9" w:right="240"/>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566"/>
              <w:jc w:val="right"/>
              <w:rPr>
                <w:rFonts w:ascii="宋体" w:hAnsi="宋体" w:cs="宋体" w:eastAsia="宋体" w:hint="default"/>
                <w:sz w:val="18"/>
                <w:szCs w:val="18"/>
              </w:rPr>
            </w:pPr>
            <w:r>
              <w:rPr>
                <w:rFonts w:ascii="宋体" w:hAnsi="宋体" w:cs="宋体" w:eastAsia="宋体" w:hint="default"/>
                <w:sz w:val="18"/>
                <w:szCs w:val="18"/>
              </w:rPr>
              <w:t>汇率</w:t>
            </w:r>
          </w:p>
        </w:tc>
        <w:tc>
          <w:tcPr>
            <w:tcW w:w="101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80"/>
              <w:jc w:val="right"/>
              <w:rPr>
                <w:rFonts w:ascii="宋体" w:hAnsi="宋体" w:cs="宋体" w:eastAsia="宋体" w:hint="default"/>
                <w:sz w:val="18"/>
                <w:szCs w:val="18"/>
              </w:rPr>
            </w:pPr>
            <w:r>
              <w:rPr>
                <w:rFonts w:ascii="宋体" w:hAnsi="宋体" w:cs="宋体" w:eastAsia="宋体" w:hint="default"/>
                <w:sz w:val="18"/>
                <w:szCs w:val="18"/>
              </w:rPr>
              <w:t>折合人民币</w:t>
            </w:r>
          </w:p>
        </w:tc>
        <w:tc>
          <w:tcPr>
            <w:tcW w:w="379" w:type="dxa"/>
            <w:tcBorders>
              <w:top w:val="nil" w:sz="6" w:space="0" w:color="auto"/>
              <w:left w:val="nil" w:sz="6" w:space="0" w:color="auto"/>
              <w:bottom w:val="nil" w:sz="6" w:space="0" w:color="auto"/>
              <w:right w:val="nil" w:sz="6" w:space="0" w:color="auto"/>
            </w:tcBorders>
          </w:tcPr>
          <w:p>
            <w:pP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44"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223" w:type="dxa"/>
            <w:tcBorders>
              <w:top w:val="single" w:sz="4" w:space="0" w:color="000000"/>
              <w:left w:val="nil" w:sz="6" w:space="0" w:color="auto"/>
              <w:bottom w:val="nil" w:sz="6" w:space="0" w:color="auto"/>
              <w:right w:val="nil" w:sz="6" w:space="0" w:color="auto"/>
            </w:tcBorders>
          </w:tcPr>
          <w:p>
            <w:pPr/>
          </w:p>
        </w:tc>
        <w:tc>
          <w:tcPr>
            <w:tcW w:w="90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319"/>
              <w:jc w:val="right"/>
              <w:rPr>
                <w:rFonts w:ascii="宋体" w:hAnsi="宋体" w:cs="宋体" w:eastAsia="宋体" w:hint="default"/>
                <w:sz w:val="18"/>
                <w:szCs w:val="18"/>
              </w:rPr>
            </w:pPr>
            <w:r>
              <w:rPr>
                <w:rFonts w:ascii="宋体" w:hAnsi="宋体" w:cs="宋体" w:eastAsia="宋体" w:hint="default"/>
                <w:sz w:val="18"/>
                <w:szCs w:val="18"/>
              </w:rPr>
              <w:t>汇率</w:t>
            </w:r>
          </w:p>
        </w:tc>
        <w:tc>
          <w:tcPr>
            <w:tcW w:w="131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83"/>
              <w:jc w:val="righ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469" w:hRule="exact"/>
        </w:trPr>
        <w:tc>
          <w:tcPr>
            <w:tcW w:w="777"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49"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40"/>
              <w:jc w:val="right"/>
              <w:rPr>
                <w:rFonts w:ascii="Arial" w:hAnsi="Arial" w:cs="Arial" w:eastAsia="Arial" w:hint="default"/>
                <w:sz w:val="18"/>
                <w:szCs w:val="18"/>
              </w:rPr>
            </w:pPr>
            <w:r>
              <w:rPr>
                <w:rFonts w:ascii="Arial"/>
                <w:w w:val="99"/>
                <w:sz w:val="18"/>
              </w:rPr>
              <w:t>7</w:t>
            </w:r>
            <w:r>
              <w:rPr>
                <w:rFonts w:ascii="Arial"/>
                <w:sz w:val="18"/>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565"/>
              <w:jc w:val="right"/>
              <w:rPr>
                <w:rFonts w:ascii="Arial" w:hAnsi="Arial" w:cs="Arial" w:eastAsia="Arial" w:hint="default"/>
                <w:sz w:val="18"/>
                <w:szCs w:val="18"/>
              </w:rPr>
            </w:pPr>
            <w:r>
              <w:rPr>
                <w:rFonts w:ascii="Arial"/>
                <w:spacing w:val="-1"/>
                <w:sz w:val="18"/>
              </w:rPr>
              <w:t>6.2855</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77"/>
              <w:jc w:val="right"/>
              <w:rPr>
                <w:rFonts w:ascii="Arial" w:hAnsi="Arial" w:cs="Arial" w:eastAsia="Arial" w:hint="default"/>
                <w:sz w:val="18"/>
                <w:szCs w:val="18"/>
              </w:rPr>
            </w:pPr>
            <w:r>
              <w:rPr>
                <w:rFonts w:ascii="Arial"/>
                <w:w w:val="95"/>
                <w:sz w:val="18"/>
              </w:rPr>
              <w:t>44</w:t>
            </w:r>
            <w:r>
              <w:rPr>
                <w:rFonts w:ascii="Arial"/>
                <w:sz w:val="18"/>
              </w:rPr>
            </w:r>
          </w:p>
        </w:tc>
        <w:tc>
          <w:tcPr>
            <w:tcW w:w="37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22"/>
              <w:jc w:val="right"/>
              <w:rPr>
                <w:rFonts w:ascii="Arial" w:hAnsi="Arial" w:cs="Arial" w:eastAsia="Arial" w:hint="default"/>
                <w:sz w:val="18"/>
                <w:szCs w:val="18"/>
              </w:rPr>
            </w:pPr>
            <w:r>
              <w:rPr>
                <w:rFonts w:ascii="Arial"/>
                <w:w w:val="99"/>
                <w:sz w:val="18"/>
              </w:rPr>
              <w:t>5</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20"/>
              <w:jc w:val="right"/>
              <w:rPr>
                <w:rFonts w:ascii="Arial" w:hAnsi="Arial" w:cs="Arial" w:eastAsia="Arial" w:hint="default"/>
                <w:sz w:val="18"/>
                <w:szCs w:val="18"/>
              </w:rPr>
            </w:pPr>
            <w:r>
              <w:rPr>
                <w:rFonts w:ascii="Arial"/>
                <w:spacing w:val="-1"/>
                <w:sz w:val="18"/>
              </w:rPr>
              <w:t>6.3009</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80"/>
              <w:jc w:val="right"/>
              <w:rPr>
                <w:rFonts w:ascii="Arial" w:hAnsi="Arial" w:cs="Arial" w:eastAsia="Arial" w:hint="default"/>
                <w:sz w:val="18"/>
                <w:szCs w:val="18"/>
              </w:rPr>
            </w:pPr>
            <w:r>
              <w:rPr>
                <w:rFonts w:ascii="Arial"/>
                <w:w w:val="95"/>
                <w:sz w:val="18"/>
              </w:rPr>
              <w:t>32</w:t>
            </w:r>
            <w:r>
              <w:rPr>
                <w:rFonts w:ascii="Arial"/>
                <w:sz w:val="18"/>
              </w:rPr>
            </w:r>
          </w:p>
        </w:tc>
      </w:tr>
      <w:tr>
        <w:trPr>
          <w:trHeight w:val="313" w:hRule="exact"/>
        </w:trPr>
        <w:tc>
          <w:tcPr>
            <w:tcW w:w="777"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38"/>
              <w:jc w:val="right"/>
              <w:rPr>
                <w:rFonts w:ascii="Arial" w:hAnsi="Arial" w:cs="Arial" w:eastAsia="Arial" w:hint="default"/>
                <w:sz w:val="18"/>
                <w:szCs w:val="18"/>
              </w:rPr>
            </w:pPr>
            <w:r>
              <w:rPr>
                <w:rFonts w:ascii="Arial"/>
                <w:spacing w:val="-1"/>
                <w:sz w:val="18"/>
              </w:rPr>
              <w:t>94,840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65"/>
              <w:jc w:val="right"/>
              <w:rPr>
                <w:rFonts w:ascii="Arial" w:hAnsi="Arial" w:cs="Arial" w:eastAsia="Arial" w:hint="default"/>
                <w:sz w:val="18"/>
                <w:szCs w:val="18"/>
              </w:rPr>
            </w:pPr>
            <w:r>
              <w:rPr>
                <w:rFonts w:ascii="Arial"/>
                <w:spacing w:val="-1"/>
                <w:sz w:val="18"/>
              </w:rPr>
              <w:t>0.8108</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8"/>
              <w:jc w:val="right"/>
              <w:rPr>
                <w:rFonts w:ascii="Arial" w:hAnsi="Arial" w:cs="Arial" w:eastAsia="Arial" w:hint="default"/>
                <w:sz w:val="18"/>
                <w:szCs w:val="18"/>
              </w:rPr>
            </w:pPr>
            <w:r>
              <w:rPr>
                <w:rFonts w:ascii="Arial"/>
                <w:spacing w:val="-1"/>
                <w:sz w:val="18"/>
              </w:rPr>
              <w:t>76,896</w:t>
            </w:r>
          </w:p>
        </w:tc>
        <w:tc>
          <w:tcPr>
            <w:tcW w:w="37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14" w:right="0"/>
              <w:jc w:val="left"/>
              <w:rPr>
                <w:rFonts w:ascii="Arial" w:hAnsi="Arial" w:cs="Arial" w:eastAsia="Arial" w:hint="default"/>
                <w:sz w:val="18"/>
                <w:szCs w:val="18"/>
              </w:rPr>
            </w:pPr>
            <w:r>
              <w:rPr>
                <w:rFonts w:ascii="Arial"/>
                <w:sz w:val="18"/>
              </w:rPr>
              <w:t>120,984</w:t>
            </w:r>
          </w:p>
        </w:tc>
        <w:tc>
          <w:tcPr>
            <w:tcW w:w="223"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20"/>
              <w:jc w:val="right"/>
              <w:rPr>
                <w:rFonts w:ascii="Arial" w:hAnsi="Arial" w:cs="Arial" w:eastAsia="Arial" w:hint="default"/>
                <w:sz w:val="18"/>
                <w:szCs w:val="18"/>
              </w:rPr>
            </w:pPr>
            <w:r>
              <w:rPr>
                <w:rFonts w:ascii="Arial"/>
                <w:spacing w:val="-1"/>
                <w:sz w:val="18"/>
              </w:rPr>
              <w:t>0.8107</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0"/>
              <w:jc w:val="right"/>
              <w:rPr>
                <w:rFonts w:ascii="Arial" w:hAnsi="Arial" w:cs="Arial" w:eastAsia="Arial" w:hint="default"/>
                <w:sz w:val="18"/>
                <w:szCs w:val="18"/>
              </w:rPr>
            </w:pPr>
            <w:r>
              <w:rPr>
                <w:rFonts w:ascii="Arial"/>
                <w:spacing w:val="-1"/>
                <w:sz w:val="18"/>
              </w:rPr>
              <w:t>98,082</w:t>
            </w:r>
          </w:p>
        </w:tc>
      </w:tr>
      <w:tr>
        <w:trPr>
          <w:trHeight w:val="310" w:hRule="exact"/>
        </w:trPr>
        <w:tc>
          <w:tcPr>
            <w:tcW w:w="777"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234" w:lineRule="exact"/>
              <w:ind w:left="149"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9"/>
              <w:jc w:val="right"/>
              <w:rPr>
                <w:rFonts w:ascii="Arial" w:hAnsi="Arial" w:cs="Arial" w:eastAsia="Arial" w:hint="default"/>
                <w:sz w:val="18"/>
                <w:szCs w:val="18"/>
              </w:rPr>
            </w:pPr>
            <w:r>
              <w:rPr>
                <w:rFonts w:ascii="Arial"/>
                <w:spacing w:val="-1"/>
                <w:sz w:val="18"/>
              </w:rPr>
              <w:t>629,056</w:t>
            </w:r>
          </w:p>
        </w:tc>
        <w:tc>
          <w:tcPr>
            <w:tcW w:w="135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65"/>
              <w:jc w:val="right"/>
              <w:rPr>
                <w:rFonts w:ascii="Arial" w:hAnsi="Arial" w:cs="Arial" w:eastAsia="Arial" w:hint="default"/>
                <w:sz w:val="18"/>
                <w:szCs w:val="18"/>
              </w:rPr>
            </w:pPr>
            <w:r>
              <w:rPr>
                <w:rFonts w:ascii="Arial"/>
                <w:spacing w:val="-1"/>
                <w:sz w:val="18"/>
              </w:rPr>
              <w:t>0.0730</w:t>
            </w:r>
          </w:p>
        </w:tc>
        <w:tc>
          <w:tcPr>
            <w:tcW w:w="1013"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79"/>
              <w:jc w:val="right"/>
              <w:rPr>
                <w:rFonts w:ascii="Arial" w:hAnsi="Arial" w:cs="Arial" w:eastAsia="Arial" w:hint="default"/>
                <w:sz w:val="18"/>
                <w:szCs w:val="18"/>
              </w:rPr>
            </w:pPr>
            <w:r>
              <w:rPr>
                <w:rFonts w:ascii="Arial"/>
                <w:spacing w:val="-1"/>
                <w:sz w:val="18"/>
              </w:rPr>
              <w:t>45,921</w:t>
            </w:r>
            <w:r>
              <w:rPr>
                <w:rFonts w:ascii="Arial"/>
                <w:sz w:val="18"/>
              </w:rPr>
            </w:r>
          </w:p>
        </w:tc>
        <w:tc>
          <w:tcPr>
            <w:tcW w:w="37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14" w:right="0"/>
              <w:jc w:val="left"/>
              <w:rPr>
                <w:rFonts w:ascii="Arial" w:hAnsi="Arial" w:cs="Arial" w:eastAsia="Arial" w:hint="default"/>
                <w:sz w:val="18"/>
                <w:szCs w:val="18"/>
              </w:rPr>
            </w:pPr>
            <w:r>
              <w:rPr>
                <w:rFonts w:ascii="Arial"/>
                <w:sz w:val="18"/>
              </w:rPr>
              <w:t>300,593</w:t>
            </w:r>
          </w:p>
        </w:tc>
        <w:tc>
          <w:tcPr>
            <w:tcW w:w="223"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9"/>
              <w:jc w:val="right"/>
              <w:rPr>
                <w:rFonts w:ascii="Arial" w:hAnsi="Arial" w:cs="Arial" w:eastAsia="Arial" w:hint="default"/>
                <w:sz w:val="18"/>
                <w:szCs w:val="18"/>
              </w:rPr>
            </w:pPr>
            <w:r>
              <w:rPr>
                <w:rFonts w:ascii="Arial"/>
                <w:spacing w:val="-3"/>
                <w:sz w:val="18"/>
              </w:rPr>
              <w:t>0.0811</w:t>
            </w:r>
          </w:p>
        </w:tc>
        <w:tc>
          <w:tcPr>
            <w:tcW w:w="131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80"/>
              <w:jc w:val="right"/>
              <w:rPr>
                <w:rFonts w:ascii="Arial" w:hAnsi="Arial" w:cs="Arial" w:eastAsia="Arial" w:hint="default"/>
                <w:sz w:val="18"/>
                <w:szCs w:val="18"/>
              </w:rPr>
            </w:pPr>
            <w:r>
              <w:rPr>
                <w:rFonts w:ascii="Arial"/>
                <w:spacing w:val="-1"/>
                <w:sz w:val="18"/>
              </w:rPr>
              <w:t>24,378</w:t>
            </w:r>
          </w:p>
        </w:tc>
      </w:tr>
      <w:tr>
        <w:trPr>
          <w:trHeight w:val="307" w:hRule="exact"/>
        </w:trPr>
        <w:tc>
          <w:tcPr>
            <w:tcW w:w="777"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
        </w:tc>
        <w:tc>
          <w:tcPr>
            <w:tcW w:w="1359" w:type="dxa"/>
            <w:tcBorders>
              <w:top w:val="single" w:sz="4" w:space="0" w:color="000000"/>
              <w:left w:val="nil" w:sz="6" w:space="0" w:color="auto"/>
              <w:bottom w:val="single" w:sz="12" w:space="0" w:color="000000"/>
              <w:right w:val="nil" w:sz="6" w:space="0" w:color="auto"/>
            </w:tcBorders>
          </w:tcPr>
          <w:p>
            <w:pPr/>
          </w:p>
        </w:tc>
        <w:tc>
          <w:tcPr>
            <w:tcW w:w="1013"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79"/>
              <w:jc w:val="right"/>
              <w:rPr>
                <w:rFonts w:ascii="Arial" w:hAnsi="Arial" w:cs="Arial" w:eastAsia="Arial" w:hint="default"/>
                <w:sz w:val="18"/>
                <w:szCs w:val="18"/>
              </w:rPr>
            </w:pPr>
            <w:r>
              <w:rPr>
                <w:rFonts w:ascii="Arial"/>
                <w:spacing w:val="-1"/>
                <w:sz w:val="18"/>
              </w:rPr>
              <w:t>122,861</w:t>
            </w:r>
          </w:p>
        </w:tc>
        <w:tc>
          <w:tcPr>
            <w:tcW w:w="37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1315"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80"/>
              <w:jc w:val="right"/>
              <w:rPr>
                <w:rFonts w:ascii="Arial" w:hAnsi="Arial" w:cs="Arial" w:eastAsia="Arial" w:hint="default"/>
                <w:sz w:val="18"/>
                <w:szCs w:val="18"/>
              </w:rPr>
            </w:pPr>
            <w:r>
              <w:rPr>
                <w:rFonts w:ascii="Arial"/>
                <w:spacing w:val="-1"/>
                <w:sz w:val="18"/>
              </w:rPr>
              <w:t>122,492</w:t>
            </w:r>
          </w:p>
        </w:tc>
      </w:tr>
      <w:tr>
        <w:trPr>
          <w:trHeight w:val="940"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(23)</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49" w:right="0"/>
              <w:jc w:val="left"/>
              <w:rPr>
                <w:rFonts w:ascii="黑体" w:hAnsi="黑体" w:cs="黑体" w:eastAsia="黑体" w:hint="default"/>
                <w:sz w:val="24"/>
                <w:szCs w:val="24"/>
              </w:rPr>
            </w:pPr>
            <w:r>
              <w:rPr>
                <w:rFonts w:ascii="黑体" w:hAnsi="黑体" w:cs="黑体" w:eastAsia="黑体" w:hint="default"/>
                <w:sz w:val="24"/>
                <w:szCs w:val="24"/>
              </w:rPr>
              <w:t>预收款项</w:t>
            </w:r>
          </w:p>
        </w:tc>
        <w:tc>
          <w:tcPr>
            <w:tcW w:w="944" w:type="dxa"/>
            <w:tcBorders>
              <w:top w:val="nil" w:sz="6" w:space="0" w:color="auto"/>
              <w:left w:val="nil" w:sz="6" w:space="0" w:color="auto"/>
              <w:bottom w:val="nil" w:sz="6" w:space="0" w:color="auto"/>
              <w:right w:val="nil" w:sz="6" w:space="0" w:color="auto"/>
            </w:tcBorders>
          </w:tcPr>
          <w:p>
            <w:pPr/>
          </w:p>
        </w:tc>
        <w:tc>
          <w:tcPr>
            <w:tcW w:w="1359" w:type="dxa"/>
            <w:tcBorders>
              <w:top w:val="single" w:sz="12" w:space="0" w:color="000000"/>
              <w:left w:val="nil" w:sz="6" w:space="0" w:color="auto"/>
              <w:bottom w:val="nil" w:sz="6" w:space="0" w:color="auto"/>
              <w:right w:val="nil" w:sz="6" w:space="0" w:color="auto"/>
            </w:tcBorders>
          </w:tcPr>
          <w:p>
            <w:pPr/>
          </w:p>
        </w:tc>
        <w:tc>
          <w:tcPr>
            <w:tcW w:w="1013" w:type="dxa"/>
            <w:tcBorders>
              <w:top w:val="single" w:sz="12" w:space="0" w:color="000000"/>
              <w:left w:val="nil" w:sz="6" w:space="0" w:color="auto"/>
              <w:bottom w:val="nil" w:sz="6" w:space="0" w:color="auto"/>
              <w:right w:val="nil" w:sz="6" w:space="0" w:color="auto"/>
            </w:tcBorders>
          </w:tcPr>
          <w:p>
            <w:pPr/>
          </w:p>
        </w:tc>
        <w:tc>
          <w:tcPr>
            <w:tcW w:w="37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1315" w:type="dxa"/>
            <w:tcBorders>
              <w:top w:val="single" w:sz="12" w:space="0" w:color="000000"/>
              <w:left w:val="nil" w:sz="6" w:space="0" w:color="auto"/>
              <w:bottom w:val="nil" w:sz="6" w:space="0" w:color="auto"/>
              <w:right w:val="nil" w:sz="6" w:space="0" w:color="auto"/>
            </w:tcBorders>
          </w:tcPr>
          <w:p>
            <w:pPr/>
          </w:p>
        </w:tc>
      </w:tr>
      <w:tr>
        <w:trPr>
          <w:trHeight w:val="579" w:hRule="exact"/>
        </w:trPr>
        <w:tc>
          <w:tcPr>
            <w:tcW w:w="777"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
        </w:tc>
        <w:tc>
          <w:tcPr>
            <w:tcW w:w="404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9"/>
              <w:ind w:left="1222"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44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9"/>
              <w:ind w:left="273"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05" w:hRule="exact"/>
        </w:trPr>
        <w:tc>
          <w:tcPr>
            <w:tcW w:w="777"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ind w:left="149" w:right="0"/>
              <w:jc w:val="left"/>
              <w:rPr>
                <w:rFonts w:ascii="宋体" w:hAnsi="宋体" w:cs="宋体" w:eastAsia="宋体" w:hint="default"/>
                <w:sz w:val="24"/>
                <w:szCs w:val="24"/>
              </w:rPr>
            </w:pPr>
            <w:r>
              <w:rPr>
                <w:rFonts w:ascii="宋体" w:hAnsi="宋体" w:cs="宋体" w:eastAsia="宋体" w:hint="default"/>
                <w:sz w:val="24"/>
                <w:szCs w:val="24"/>
              </w:rPr>
              <w:t>预收货款</w:t>
            </w:r>
          </w:p>
        </w:tc>
        <w:tc>
          <w:tcPr>
            <w:tcW w:w="944"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268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2"/>
              <w:ind w:left="1082" w:right="0"/>
              <w:jc w:val="left"/>
              <w:rPr>
                <w:rFonts w:ascii="Arial" w:hAnsi="Arial" w:cs="Arial" w:eastAsia="Arial" w:hint="default"/>
                <w:sz w:val="24"/>
                <w:szCs w:val="24"/>
              </w:rPr>
            </w:pPr>
            <w:r>
              <w:rPr>
                <w:rFonts w:ascii="Arial"/>
                <w:sz w:val="24"/>
              </w:rPr>
              <w:t>498,416</w:t>
            </w:r>
          </w:p>
        </w:tc>
        <w:tc>
          <w:tcPr>
            <w:tcW w:w="223"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w:hAnsi="Arial" w:cs="Arial" w:eastAsia="Arial" w:hint="default"/>
                <w:sz w:val="24"/>
                <w:szCs w:val="24"/>
              </w:rPr>
            </w:pPr>
            <w:r>
              <w:rPr>
                <w:rFonts w:ascii="Arial"/>
                <w:spacing w:val="-1"/>
                <w:sz w:val="24"/>
              </w:rPr>
              <w:t>322,947</w:t>
            </w:r>
          </w:p>
        </w:tc>
      </w:tr>
      <w:tr>
        <w:trPr>
          <w:trHeight w:val="391" w:hRule="exact"/>
        </w:trPr>
        <w:tc>
          <w:tcPr>
            <w:tcW w:w="777"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310" w:lineRule="exact"/>
              <w:ind w:left="149" w:right="0"/>
              <w:jc w:val="left"/>
              <w:rPr>
                <w:rFonts w:ascii="宋体" w:hAnsi="宋体" w:cs="宋体" w:eastAsia="宋体" w:hint="default"/>
                <w:sz w:val="24"/>
                <w:szCs w:val="24"/>
              </w:rPr>
            </w:pPr>
            <w:r>
              <w:rPr>
                <w:rFonts w:ascii="宋体" w:hAnsi="宋体" w:cs="宋体" w:eastAsia="宋体" w:hint="default"/>
                <w:sz w:val="24"/>
                <w:szCs w:val="24"/>
              </w:rPr>
              <w:t>预收房租</w:t>
            </w:r>
          </w:p>
        </w:tc>
        <w:tc>
          <w:tcPr>
            <w:tcW w:w="944"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single" w:sz="4" w:space="0" w:color="000000"/>
              <w:right w:val="nil" w:sz="6" w:space="0" w:color="auto"/>
            </w:tcBorders>
          </w:tcPr>
          <w:p>
            <w:pPr/>
          </w:p>
        </w:tc>
        <w:tc>
          <w:tcPr>
            <w:tcW w:w="268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1"/>
              <w:ind w:left="1217" w:right="0"/>
              <w:jc w:val="left"/>
              <w:rPr>
                <w:rFonts w:ascii="Arial" w:hAnsi="Arial" w:cs="Arial" w:eastAsia="Arial" w:hint="default"/>
                <w:sz w:val="24"/>
                <w:szCs w:val="24"/>
              </w:rPr>
            </w:pPr>
            <w:r>
              <w:rPr>
                <w:rFonts w:ascii="Arial"/>
                <w:sz w:val="24"/>
              </w:rPr>
              <w:t>43,755</w:t>
            </w:r>
          </w:p>
        </w:tc>
        <w:tc>
          <w:tcPr>
            <w:tcW w:w="223" w:type="dxa"/>
            <w:tcBorders>
              <w:top w:val="nil" w:sz="6" w:space="0" w:color="auto"/>
              <w:left w:val="nil" w:sz="6" w:space="0" w:color="auto"/>
              <w:bottom w:val="single" w:sz="4" w:space="0" w:color="000000"/>
              <w:right w:val="nil" w:sz="6" w:space="0" w:color="auto"/>
            </w:tcBorders>
          </w:tcPr>
          <w:p>
            <w:pPr/>
          </w:p>
        </w:tc>
        <w:tc>
          <w:tcPr>
            <w:tcW w:w="905" w:type="dxa"/>
            <w:tcBorders>
              <w:top w:val="nil" w:sz="6" w:space="0" w:color="auto"/>
              <w:left w:val="nil" w:sz="6" w:space="0" w:color="auto"/>
              <w:bottom w:val="single" w:sz="4" w:space="0" w:color="000000"/>
              <w:right w:val="nil" w:sz="6" w:space="0" w:color="auto"/>
            </w:tcBorders>
          </w:tcPr>
          <w:p>
            <w:pPr/>
          </w:p>
        </w:tc>
        <w:tc>
          <w:tcPr>
            <w:tcW w:w="1315"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98"/>
              <w:jc w:val="right"/>
              <w:rPr>
                <w:rFonts w:ascii="Arial" w:hAnsi="Arial" w:cs="Arial" w:eastAsia="Arial" w:hint="default"/>
                <w:sz w:val="24"/>
                <w:szCs w:val="24"/>
              </w:rPr>
            </w:pPr>
            <w:r>
              <w:rPr>
                <w:rFonts w:ascii="Arial"/>
                <w:spacing w:val="-1"/>
                <w:sz w:val="24"/>
              </w:rPr>
              <w:t>27,104</w:t>
            </w:r>
          </w:p>
        </w:tc>
      </w:tr>
      <w:tr>
        <w:trPr>
          <w:trHeight w:val="377" w:hRule="exact"/>
        </w:trPr>
        <w:tc>
          <w:tcPr>
            <w:tcW w:w="777"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
        </w:tc>
        <w:tc>
          <w:tcPr>
            <w:tcW w:w="1359" w:type="dxa"/>
            <w:tcBorders>
              <w:top w:val="single" w:sz="4" w:space="0" w:color="000000"/>
              <w:left w:val="nil" w:sz="6" w:space="0" w:color="auto"/>
              <w:bottom w:val="single" w:sz="12" w:space="0" w:color="000000"/>
              <w:right w:val="nil" w:sz="6" w:space="0" w:color="auto"/>
            </w:tcBorders>
          </w:tcPr>
          <w:p>
            <w:pPr/>
          </w:p>
        </w:tc>
        <w:tc>
          <w:tcPr>
            <w:tcW w:w="268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1"/>
              <w:ind w:left="1082" w:right="0"/>
              <w:jc w:val="left"/>
              <w:rPr>
                <w:rFonts w:ascii="Arial" w:hAnsi="Arial" w:cs="Arial" w:eastAsia="Arial" w:hint="default"/>
                <w:sz w:val="24"/>
                <w:szCs w:val="24"/>
              </w:rPr>
            </w:pPr>
            <w:r>
              <w:rPr>
                <w:rFonts w:ascii="Arial"/>
                <w:sz w:val="24"/>
              </w:rPr>
              <w:t>542,171</w:t>
            </w:r>
          </w:p>
        </w:tc>
        <w:tc>
          <w:tcPr>
            <w:tcW w:w="223" w:type="dxa"/>
            <w:tcBorders>
              <w:top w:val="single" w:sz="4" w:space="0" w:color="000000"/>
              <w:left w:val="nil" w:sz="6" w:space="0" w:color="auto"/>
              <w:bottom w:val="single" w:sz="12" w:space="0" w:color="000000"/>
              <w:right w:val="nil" w:sz="6" w:space="0" w:color="auto"/>
            </w:tcBorders>
          </w:tcPr>
          <w:p>
            <w:pPr/>
          </w:p>
        </w:tc>
        <w:tc>
          <w:tcPr>
            <w:tcW w:w="905" w:type="dxa"/>
            <w:tcBorders>
              <w:top w:val="single" w:sz="4" w:space="0" w:color="000000"/>
              <w:left w:val="nil" w:sz="6" w:space="0" w:color="auto"/>
              <w:bottom w:val="single" w:sz="12" w:space="0" w:color="000000"/>
              <w:right w:val="nil" w:sz="6" w:space="0" w:color="auto"/>
            </w:tcBorders>
          </w:tcPr>
          <w:p>
            <w:pPr/>
          </w:p>
        </w:tc>
        <w:tc>
          <w:tcPr>
            <w:tcW w:w="1315"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98"/>
              <w:jc w:val="right"/>
              <w:rPr>
                <w:rFonts w:ascii="Arial" w:hAnsi="Arial" w:cs="Arial" w:eastAsia="Arial" w:hint="default"/>
                <w:sz w:val="24"/>
                <w:szCs w:val="24"/>
              </w:rPr>
            </w:pPr>
            <w:r>
              <w:rPr>
                <w:rFonts w:ascii="Arial"/>
                <w:spacing w:val="-1"/>
                <w:sz w:val="24"/>
              </w:rPr>
              <w:t>350,051</w:t>
            </w:r>
          </w:p>
        </w:tc>
      </w:tr>
      <w:tr>
        <w:trPr>
          <w:trHeight w:val="1253"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590"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5"/>
                <w:szCs w:val="35"/>
              </w:rPr>
            </w:pPr>
          </w:p>
          <w:p>
            <w:pPr>
              <w:pStyle w:val="TableParagraph"/>
              <w:spacing w:line="310" w:lineRule="exact"/>
              <w:ind w:left="149" w:right="96"/>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88"/>
                <w:sz w:val="24"/>
                <w:szCs w:val="24"/>
              </w:rPr>
              <w:t> </w:t>
            </w:r>
            <w:r>
              <w:rPr>
                <w:rFonts w:ascii="Arial" w:hAnsi="Arial" w:cs="Arial" w:eastAsia="Arial" w:hint="default"/>
                <w:spacing w:val="-1"/>
                <w:w w:val="99"/>
                <w:sz w:val="24"/>
                <w:szCs w:val="24"/>
              </w:rPr>
              <w:t>2012</w:t>
            </w:r>
            <w:r>
              <w:rPr>
                <w:rFonts w:ascii="Arial" w:hAnsi="Arial" w:cs="Arial" w:eastAsia="Arial" w:hint="default"/>
                <w:spacing w:val="-36"/>
                <w:w w:val="99"/>
                <w:sz w:val="24"/>
                <w:szCs w:val="24"/>
              </w:rPr>
              <w:t> </w:t>
            </w:r>
            <w:r>
              <w:rPr>
                <w:rFonts w:ascii="宋体" w:hAnsi="宋体" w:cs="宋体" w:eastAsia="宋体" w:hint="default"/>
                <w:sz w:val="24"/>
                <w:szCs w:val="24"/>
              </w:rPr>
              <w:t>年</w:t>
            </w:r>
            <w:r>
              <w:rPr>
                <w:rFonts w:ascii="宋体" w:hAnsi="宋体" w:cs="宋体" w:eastAsia="宋体" w:hint="default"/>
                <w:spacing w:val="-88"/>
                <w:sz w:val="24"/>
                <w:szCs w:val="24"/>
              </w:rPr>
              <w:t> </w:t>
            </w:r>
            <w:r>
              <w:rPr>
                <w:rFonts w:ascii="Arial" w:hAnsi="Arial" w:cs="Arial" w:eastAsia="Arial" w:hint="default"/>
                <w:spacing w:val="-1"/>
                <w:w w:val="99"/>
                <w:sz w:val="24"/>
                <w:szCs w:val="24"/>
              </w:rPr>
              <w:t>12</w:t>
            </w:r>
            <w:r>
              <w:rPr>
                <w:rFonts w:ascii="Arial" w:hAnsi="Arial" w:cs="Arial" w:eastAsia="Arial" w:hint="default"/>
                <w:spacing w:val="-33"/>
                <w:w w:val="99"/>
                <w:sz w:val="24"/>
                <w:szCs w:val="24"/>
              </w:rPr>
              <w:t> </w:t>
            </w:r>
            <w:r>
              <w:rPr>
                <w:rFonts w:ascii="宋体" w:hAnsi="宋体" w:cs="宋体" w:eastAsia="宋体" w:hint="default"/>
                <w:sz w:val="24"/>
                <w:szCs w:val="24"/>
              </w:rPr>
              <w:t>月</w:t>
            </w:r>
            <w:r>
              <w:rPr>
                <w:rFonts w:ascii="宋体" w:hAnsi="宋体" w:cs="宋体" w:eastAsia="宋体" w:hint="default"/>
                <w:spacing w:val="-88"/>
                <w:sz w:val="24"/>
                <w:szCs w:val="24"/>
              </w:rPr>
              <w:t> </w:t>
            </w:r>
            <w:r>
              <w:rPr>
                <w:rFonts w:ascii="Arial" w:hAnsi="Arial" w:cs="Arial" w:eastAsia="Arial" w:hint="default"/>
                <w:spacing w:val="-1"/>
                <w:w w:val="99"/>
                <w:sz w:val="24"/>
                <w:szCs w:val="24"/>
              </w:rPr>
              <w:t>31</w:t>
            </w:r>
            <w:r>
              <w:rPr>
                <w:rFonts w:ascii="Arial" w:hAnsi="Arial" w:cs="Arial" w:eastAsia="Arial" w:hint="default"/>
                <w:spacing w:val="-34"/>
                <w:w w:val="99"/>
                <w:sz w:val="24"/>
                <w:szCs w:val="24"/>
              </w:rPr>
              <w:t> </w:t>
            </w:r>
            <w:r>
              <w:rPr>
                <w:rFonts w:ascii="宋体" w:hAnsi="宋体" w:cs="宋体" w:eastAsia="宋体" w:hint="default"/>
                <w:spacing w:val="-2"/>
                <w:sz w:val="24"/>
                <w:szCs w:val="24"/>
              </w:rPr>
              <w:t>日及</w:t>
            </w:r>
            <w:r>
              <w:rPr>
                <w:rFonts w:ascii="宋体" w:hAnsi="宋体" w:cs="宋体" w:eastAsia="宋体" w:hint="default"/>
                <w:spacing w:val="-88"/>
                <w:sz w:val="24"/>
                <w:szCs w:val="24"/>
              </w:rPr>
              <w:t> </w:t>
            </w:r>
            <w:r>
              <w:rPr>
                <w:rFonts w:ascii="Arial" w:hAnsi="Arial" w:cs="Arial" w:eastAsia="Arial" w:hint="default"/>
                <w:spacing w:val="-5"/>
                <w:w w:val="99"/>
                <w:sz w:val="24"/>
                <w:szCs w:val="24"/>
              </w:rPr>
              <w:t>2011</w:t>
            </w:r>
            <w:r>
              <w:rPr>
                <w:rFonts w:ascii="Arial" w:hAnsi="Arial" w:cs="Arial" w:eastAsia="Arial" w:hint="default"/>
                <w:spacing w:val="-34"/>
                <w:w w:val="99"/>
                <w:sz w:val="24"/>
                <w:szCs w:val="24"/>
              </w:rPr>
              <w:t> </w:t>
            </w:r>
            <w:r>
              <w:rPr>
                <w:rFonts w:ascii="宋体" w:hAnsi="宋体" w:cs="宋体" w:eastAsia="宋体" w:hint="default"/>
                <w:sz w:val="24"/>
                <w:szCs w:val="24"/>
              </w:rPr>
              <w:t>年</w:t>
            </w:r>
            <w:r>
              <w:rPr>
                <w:rFonts w:ascii="宋体" w:hAnsi="宋体" w:cs="宋体" w:eastAsia="宋体" w:hint="default"/>
                <w:spacing w:val="-88"/>
                <w:sz w:val="24"/>
                <w:szCs w:val="24"/>
              </w:rPr>
              <w:t> </w:t>
            </w:r>
            <w:r>
              <w:rPr>
                <w:rFonts w:ascii="Arial" w:hAnsi="Arial" w:cs="Arial" w:eastAsia="Arial" w:hint="default"/>
                <w:spacing w:val="-1"/>
                <w:w w:val="99"/>
                <w:sz w:val="24"/>
                <w:szCs w:val="24"/>
              </w:rPr>
              <w:t>12</w:t>
            </w:r>
            <w:r>
              <w:rPr>
                <w:rFonts w:ascii="Arial" w:hAnsi="Arial" w:cs="Arial" w:eastAsia="Arial" w:hint="default"/>
                <w:spacing w:val="-34"/>
                <w:w w:val="99"/>
                <w:sz w:val="24"/>
                <w:szCs w:val="24"/>
              </w:rPr>
              <w:t> </w:t>
            </w:r>
            <w:r>
              <w:rPr>
                <w:rFonts w:ascii="宋体" w:hAnsi="宋体" w:cs="宋体" w:eastAsia="宋体" w:hint="default"/>
                <w:sz w:val="24"/>
                <w:szCs w:val="24"/>
              </w:rPr>
              <w:t>月</w:t>
            </w:r>
            <w:r>
              <w:rPr>
                <w:rFonts w:ascii="宋体" w:hAnsi="宋体" w:cs="宋体" w:eastAsia="宋体" w:hint="default"/>
                <w:spacing w:val="-90"/>
                <w:sz w:val="24"/>
                <w:szCs w:val="24"/>
              </w:rPr>
              <w:t> </w:t>
            </w:r>
            <w:r>
              <w:rPr>
                <w:rFonts w:ascii="Arial" w:hAnsi="Arial" w:cs="Arial" w:eastAsia="Arial" w:hint="default"/>
                <w:spacing w:val="-1"/>
                <w:w w:val="99"/>
                <w:sz w:val="24"/>
                <w:szCs w:val="24"/>
              </w:rPr>
              <w:t>31</w:t>
            </w:r>
            <w:r>
              <w:rPr>
                <w:rFonts w:ascii="Arial" w:hAnsi="Arial" w:cs="Arial" w:eastAsia="Arial" w:hint="default"/>
                <w:spacing w:val="-34"/>
                <w:w w:val="99"/>
                <w:sz w:val="24"/>
                <w:szCs w:val="24"/>
              </w:rPr>
              <w:t> </w:t>
            </w:r>
            <w:r>
              <w:rPr>
                <w:rFonts w:ascii="宋体" w:hAnsi="宋体" w:cs="宋体" w:eastAsia="宋体" w:hint="default"/>
                <w:spacing w:val="-9"/>
                <w:sz w:val="24"/>
                <w:szCs w:val="24"/>
              </w:rPr>
              <w:t>日，预收款项中无预收持有本公司</w:t>
            </w:r>
            <w:r>
              <w:rPr>
                <w:rFonts w:ascii="宋体" w:hAnsi="宋体" w:cs="宋体" w:eastAsia="宋体" w:hint="default"/>
                <w:spacing w:val="-88"/>
                <w:sz w:val="24"/>
                <w:szCs w:val="24"/>
              </w:rPr>
              <w:t> </w:t>
            </w:r>
            <w:r>
              <w:rPr>
                <w:rFonts w:ascii="Arial" w:hAnsi="Arial" w:cs="Arial" w:eastAsia="Arial" w:hint="default"/>
                <w:spacing w:val="-1"/>
                <w:w w:val="99"/>
                <w:sz w:val="24"/>
                <w:szCs w:val="24"/>
              </w:rPr>
              <w:t>5%(</w:t>
            </w:r>
            <w:r>
              <w:rPr>
                <w:rFonts w:ascii="宋体" w:hAnsi="宋体" w:cs="宋体" w:eastAsia="宋体" w:hint="default"/>
                <w:spacing w:val="-1"/>
                <w:w w:val="99"/>
                <w:sz w:val="24"/>
                <w:szCs w:val="24"/>
              </w:rPr>
              <w:t>含</w:t>
            </w:r>
            <w:r>
              <w:rPr>
                <w:rFonts w:ascii="宋体" w:hAnsi="宋体" w:cs="宋体" w:eastAsia="宋体" w:hint="default"/>
                <w:sz w:val="24"/>
                <w:szCs w:val="24"/>
              </w:rPr>
              <w:t> </w:t>
            </w:r>
            <w:r>
              <w:rPr>
                <w:rFonts w:ascii="Arial" w:hAnsi="Arial" w:cs="Arial" w:eastAsia="Arial" w:hint="default"/>
                <w:sz w:val="24"/>
                <w:szCs w:val="24"/>
              </w:rPr>
              <w:t>5%)</w:t>
            </w:r>
            <w:r>
              <w:rPr>
                <w:rFonts w:ascii="宋体" w:hAnsi="宋体" w:cs="宋体" w:eastAsia="宋体" w:hint="default"/>
                <w:sz w:val="24"/>
                <w:szCs w:val="24"/>
              </w:rPr>
              <w:t>以上表决权股份的股东的款项。</w:t>
            </w:r>
          </w:p>
        </w:tc>
      </w:tr>
      <w:tr>
        <w:trPr>
          <w:trHeight w:val="746"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(b)</w:t>
            </w:r>
          </w:p>
        </w:tc>
        <w:tc>
          <w:tcPr>
            <w:tcW w:w="447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8"/>
              <w:ind w:left="149" w:right="0"/>
              <w:jc w:val="left"/>
              <w:rPr>
                <w:rFonts w:ascii="宋体" w:hAnsi="宋体" w:cs="宋体" w:eastAsia="宋体" w:hint="default"/>
                <w:sz w:val="24"/>
                <w:szCs w:val="24"/>
              </w:rPr>
            </w:pPr>
            <w:r>
              <w:rPr>
                <w:rFonts w:ascii="宋体" w:hAnsi="宋体" w:cs="宋体" w:eastAsia="宋体" w:hint="default"/>
                <w:sz w:val="24"/>
                <w:szCs w:val="24"/>
              </w:rPr>
              <w:t>预收关联方的预收款项分析如下：</w:t>
            </w:r>
          </w:p>
        </w:tc>
        <w:tc>
          <w:tcPr>
            <w:tcW w:w="37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r>
      <w:tr>
        <w:trPr>
          <w:trHeight w:val="575" w:hRule="exact"/>
        </w:trPr>
        <w:tc>
          <w:tcPr>
            <w:tcW w:w="777"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268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9"/>
              <w:ind w:left="559"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44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9"/>
              <w:ind w:left="259"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1025" w:hRule="exact"/>
        </w:trPr>
        <w:tc>
          <w:tcPr>
            <w:tcW w:w="777" w:type="dxa"/>
            <w:tcBorders>
              <w:top w:val="nil" w:sz="6" w:space="0" w:color="auto"/>
              <w:left w:val="nil" w:sz="6" w:space="0" w:color="auto"/>
              <w:bottom w:val="nil" w:sz="6" w:space="0" w:color="auto"/>
              <w:right w:val="nil" w:sz="6" w:space="0" w:color="auto"/>
            </w:tcBorders>
          </w:tcPr>
          <w:p>
            <w:pPr/>
          </w:p>
        </w:tc>
        <w:tc>
          <w:tcPr>
            <w:tcW w:w="4478" w:type="dxa"/>
            <w:gridSpan w:val="4"/>
            <w:tcBorders>
              <w:top w:val="nil" w:sz="6" w:space="0" w:color="auto"/>
              <w:left w:val="nil" w:sz="6" w:space="0" w:color="auto"/>
              <w:bottom w:val="nil" w:sz="6" w:space="0" w:color="auto"/>
              <w:right w:val="nil" w:sz="6" w:space="0" w:color="auto"/>
            </w:tcBorders>
          </w:tcPr>
          <w:p>
            <w:pPr>
              <w:pStyle w:val="TableParagraph"/>
              <w:spacing w:line="230" w:lineRule="auto" w:before="7"/>
              <w:ind w:left="334" w:right="627" w:hanging="195"/>
              <w:jc w:val="both"/>
              <w:rPr>
                <w:rFonts w:ascii="Arial" w:hAnsi="Arial" w:cs="Arial" w:eastAsia="Arial" w:hint="default"/>
                <w:sz w:val="24"/>
                <w:szCs w:val="24"/>
              </w:rPr>
            </w:pPr>
            <w:r>
              <w:rPr>
                <w:rFonts w:ascii="宋体" w:hAnsi="宋体" w:cs="宋体" w:eastAsia="宋体" w:hint="default"/>
                <w:spacing w:val="7"/>
                <w:sz w:val="24"/>
                <w:szCs w:val="24"/>
              </w:rPr>
              <w:t>南京钟山国际高尔夫置业有限公司 </w:t>
            </w:r>
            <w:r>
              <w:rPr>
                <w:rFonts w:ascii="宋体" w:hAnsi="宋体" w:cs="宋体" w:eastAsia="宋体" w:hint="default"/>
                <w:spacing w:val="3"/>
                <w:sz w:val="24"/>
                <w:szCs w:val="24"/>
              </w:rPr>
              <w:t>索菲特钟山高尔夫酒店</w:t>
            </w:r>
            <w:r>
              <w:rPr>
                <w:rFonts w:ascii="Arial" w:hAnsi="Arial" w:cs="Arial" w:eastAsia="Arial" w:hint="default"/>
                <w:spacing w:val="3"/>
                <w:sz w:val="24"/>
                <w:szCs w:val="24"/>
              </w:rPr>
              <w:t>(</w:t>
            </w:r>
            <w:r>
              <w:rPr>
                <w:rFonts w:ascii="宋体" w:hAnsi="宋体" w:cs="宋体" w:eastAsia="宋体" w:hint="default"/>
                <w:spacing w:val="3"/>
                <w:sz w:val="24"/>
                <w:szCs w:val="24"/>
              </w:rPr>
              <w:t>“钟山高</w:t>
            </w:r>
            <w:r>
              <w:rPr>
                <w:rFonts w:ascii="宋体" w:hAnsi="宋体" w:cs="宋体" w:eastAsia="宋体" w:hint="default"/>
                <w:spacing w:val="4"/>
                <w:sz w:val="24"/>
                <w:szCs w:val="24"/>
              </w:rPr>
              <w:t> </w:t>
            </w:r>
            <w:r>
              <w:rPr>
                <w:rFonts w:ascii="宋体" w:hAnsi="宋体" w:cs="宋体" w:eastAsia="宋体" w:hint="default"/>
                <w:sz w:val="24"/>
                <w:szCs w:val="24"/>
              </w:rPr>
              <w:t>尔夫酒店”</w:t>
            </w:r>
            <w:r>
              <w:rPr>
                <w:rFonts w:ascii="Arial" w:hAnsi="Arial" w:cs="Arial" w:eastAsia="Arial" w:hint="default"/>
                <w:sz w:val="24"/>
                <w:szCs w:val="24"/>
              </w:rPr>
              <w:t>)</w:t>
            </w:r>
          </w:p>
        </w:tc>
        <w:tc>
          <w:tcPr>
            <w:tcW w:w="379" w:type="dxa"/>
            <w:tcBorders>
              <w:top w:val="nil" w:sz="6" w:space="0" w:color="auto"/>
              <w:left w:val="nil" w:sz="6" w:space="0" w:color="auto"/>
              <w:bottom w:val="single" w:sz="12" w:space="0" w:color="000000"/>
              <w:right w:val="nil" w:sz="6" w:space="0" w:color="auto"/>
            </w:tcBorders>
          </w:tcPr>
          <w:p>
            <w:pPr/>
          </w:p>
        </w:tc>
        <w:tc>
          <w:tcPr>
            <w:tcW w:w="1289"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35"/>
                <w:szCs w:val="35"/>
              </w:rPr>
            </w:pPr>
          </w:p>
          <w:p>
            <w:pPr>
              <w:pStyle w:val="TableParagraph"/>
              <w:spacing w:line="240" w:lineRule="auto"/>
              <w:ind w:left="801" w:right="0"/>
              <w:jc w:val="left"/>
              <w:rPr>
                <w:rFonts w:ascii="Arial" w:hAnsi="Arial" w:cs="Arial" w:eastAsia="Arial" w:hint="default"/>
                <w:sz w:val="24"/>
                <w:szCs w:val="24"/>
              </w:rPr>
            </w:pPr>
            <w:r>
              <w:rPr>
                <w:rFonts w:ascii="Arial"/>
                <w:sz w:val="24"/>
              </w:rPr>
              <w:t>315</w:t>
            </w:r>
          </w:p>
        </w:tc>
        <w:tc>
          <w:tcPr>
            <w:tcW w:w="223"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single" w:sz="12" w:space="0" w:color="000000"/>
              <w:right w:val="nil" w:sz="6" w:space="0" w:color="auto"/>
            </w:tcBorders>
          </w:tcPr>
          <w:p>
            <w:pPr/>
          </w:p>
        </w:tc>
        <w:tc>
          <w:tcPr>
            <w:tcW w:w="1315"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35"/>
                <w:szCs w:val="35"/>
              </w:rPr>
            </w:pPr>
          </w:p>
          <w:p>
            <w:pPr>
              <w:pStyle w:val="TableParagraph"/>
              <w:spacing w:line="240" w:lineRule="auto"/>
              <w:ind w:right="172"/>
              <w:jc w:val="right"/>
              <w:rPr>
                <w:rFonts w:ascii="Arial" w:hAnsi="Arial" w:cs="Arial" w:eastAsia="Arial" w:hint="default"/>
                <w:sz w:val="24"/>
                <w:szCs w:val="24"/>
              </w:rPr>
            </w:pPr>
            <w:r>
              <w:rPr>
                <w:rFonts w:ascii="Arial"/>
                <w:w w:val="99"/>
                <w:sz w:val="24"/>
              </w:rPr>
              <w:t>-</w:t>
            </w:r>
            <w:r>
              <w:rPr>
                <w:rFonts w:ascii="Arial"/>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700"/>
        <w:gridCol w:w="8772"/>
      </w:tblGrid>
      <w:tr>
        <w:trPr>
          <w:trHeight w:val="572"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(c)</w:t>
            </w:r>
          </w:p>
        </w:tc>
        <w:tc>
          <w:tcPr>
            <w:tcW w:w="8772" w:type="dxa"/>
            <w:tcBorders>
              <w:top w:val="nil" w:sz="6" w:space="0" w:color="auto"/>
              <w:left w:val="nil" w:sz="6" w:space="0" w:color="auto"/>
              <w:bottom w:val="nil" w:sz="6" w:space="0" w:color="auto"/>
              <w:right w:val="nil" w:sz="6" w:space="0" w:color="auto"/>
            </w:tcBorders>
          </w:tcPr>
          <w:p>
            <w:pPr>
              <w:pStyle w:val="TableParagraph"/>
              <w:spacing w:line="255" w:lineRule="exact"/>
              <w:ind w:left="22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44"/>
                <w:sz w:val="24"/>
                <w:szCs w:val="24"/>
              </w:rPr>
              <w:t> </w:t>
            </w:r>
            <w:r>
              <w:rPr>
                <w:rFonts w:ascii="Arial" w:hAnsi="Arial" w:cs="Arial" w:eastAsia="Arial" w:hint="default"/>
                <w:sz w:val="24"/>
                <w:szCs w:val="24"/>
              </w:rPr>
              <w:t>2012</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Arial" w:hAnsi="Arial" w:cs="Arial" w:eastAsia="Arial" w:hint="default"/>
                <w:sz w:val="24"/>
                <w:szCs w:val="24"/>
              </w:rPr>
              <w:t>12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44"/>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日，账龄超过一年的预收款项约人民币</w:t>
            </w:r>
            <w:r>
              <w:rPr>
                <w:rFonts w:ascii="宋体" w:hAnsi="宋体" w:cs="宋体" w:eastAsia="宋体" w:hint="default"/>
                <w:spacing w:val="-43"/>
                <w:sz w:val="24"/>
                <w:szCs w:val="24"/>
              </w:rPr>
              <w:t> </w:t>
            </w:r>
            <w:r>
              <w:rPr>
                <w:rFonts w:ascii="Arial" w:hAnsi="Arial" w:cs="Arial" w:eastAsia="Arial" w:hint="default"/>
                <w:sz w:val="24"/>
                <w:szCs w:val="24"/>
              </w:rPr>
              <w:t>1.05</w:t>
            </w:r>
            <w:r>
              <w:rPr>
                <w:rFonts w:ascii="Arial" w:hAnsi="Arial" w:cs="Arial" w:eastAsia="Arial" w:hint="default"/>
                <w:spacing w:val="9"/>
                <w:sz w:val="24"/>
                <w:szCs w:val="24"/>
              </w:rPr>
              <w:t> </w:t>
            </w:r>
            <w:r>
              <w:rPr>
                <w:rFonts w:ascii="宋体" w:hAnsi="宋体" w:cs="宋体" w:eastAsia="宋体" w:hint="default"/>
                <w:spacing w:val="-3"/>
                <w:sz w:val="24"/>
                <w:szCs w:val="24"/>
              </w:rPr>
              <w:t>亿元</w:t>
            </w:r>
            <w:r>
              <w:rPr>
                <w:rFonts w:ascii="Arial" w:hAnsi="Arial" w:cs="Arial" w:eastAsia="Arial" w:hint="default"/>
                <w:spacing w:val="-3"/>
                <w:sz w:val="24"/>
                <w:szCs w:val="24"/>
              </w:rPr>
              <w:t>(2011</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2" w:lineRule="exact"/>
              <w:ind w:left="220"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9,799</w:t>
            </w:r>
            <w:r>
              <w:rPr>
                <w:rFonts w:ascii="Arial" w:hAnsi="Arial" w:cs="Arial" w:eastAsia="Arial" w:hint="default"/>
                <w:spacing w:val="-7"/>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，主要为尚未与客户结算的尾款。</w:t>
            </w:r>
          </w:p>
        </w:tc>
      </w:tr>
    </w:tbl>
    <w:p>
      <w:pPr>
        <w:spacing w:after="0" w:line="322" w:lineRule="exact"/>
        <w:jc w:val="left"/>
        <w:rPr>
          <w:rFonts w:ascii="宋体" w:hAnsi="宋体" w:cs="宋体" w:eastAsia="宋体" w:hint="default"/>
          <w:sz w:val="24"/>
          <w:szCs w:val="24"/>
        </w:rPr>
        <w:sectPr>
          <w:pgSz w:w="11910" w:h="16850"/>
          <w:pgMar w:header="795" w:footer="1333" w:top="2020" w:bottom="152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774"/>
        <w:gridCol w:w="3146"/>
      </w:tblGrid>
      <w:tr>
        <w:trPr>
          <w:trHeight w:val="497"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146" w:type="dxa"/>
            <w:tcBorders>
              <w:top w:val="nil" w:sz="6" w:space="0" w:color="auto"/>
              <w:left w:val="nil" w:sz="6" w:space="0" w:color="auto"/>
              <w:bottom w:val="nil" w:sz="6" w:space="0" w:color="auto"/>
              <w:right w:val="nil" w:sz="6" w:space="0" w:color="auto"/>
            </w:tcBorders>
          </w:tcPr>
          <w:p>
            <w:pPr>
              <w:pStyle w:val="TableParagraph"/>
              <w:spacing w:line="257" w:lineRule="exact"/>
              <w:ind w:left="14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4"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(23)</w:t>
            </w:r>
          </w:p>
        </w:tc>
        <w:tc>
          <w:tcPr>
            <w:tcW w:w="3146"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46" w:right="0"/>
              <w:jc w:val="left"/>
              <w:rPr>
                <w:rFonts w:ascii="Arial" w:hAnsi="Arial" w:cs="Arial" w:eastAsia="Arial" w:hint="default"/>
                <w:sz w:val="24"/>
                <w:szCs w:val="24"/>
              </w:rPr>
            </w:pPr>
            <w:r>
              <w:rPr>
                <w:rFonts w:ascii="黑体" w:hAnsi="黑体" w:cs="黑体" w:eastAsia="黑体" w:hint="default"/>
                <w:sz w:val="24"/>
                <w:szCs w:val="24"/>
              </w:rPr>
              <w:t>预收款项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704"/>
        <w:gridCol w:w="1077"/>
        <w:gridCol w:w="1254"/>
        <w:gridCol w:w="1381"/>
        <w:gridCol w:w="1002"/>
        <w:gridCol w:w="235"/>
        <w:gridCol w:w="1313"/>
        <w:gridCol w:w="1195"/>
        <w:gridCol w:w="1214"/>
      </w:tblGrid>
      <w:tr>
        <w:trPr>
          <w:trHeight w:val="417"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(d)</w:t>
            </w:r>
          </w:p>
        </w:tc>
        <w:tc>
          <w:tcPr>
            <w:tcW w:w="3712" w:type="dxa"/>
            <w:gridSpan w:val="3"/>
            <w:tcBorders>
              <w:top w:val="nil" w:sz="6" w:space="0" w:color="auto"/>
              <w:left w:val="nil" w:sz="6" w:space="0" w:color="auto"/>
              <w:bottom w:val="nil" w:sz="6" w:space="0" w:color="auto"/>
              <w:right w:val="nil" w:sz="6" w:space="0" w:color="auto"/>
            </w:tcBorders>
          </w:tcPr>
          <w:p>
            <w:pPr>
              <w:pStyle w:val="TableParagraph"/>
              <w:spacing w:line="247" w:lineRule="exact"/>
              <w:ind w:left="210" w:right="0"/>
              <w:jc w:val="left"/>
              <w:rPr>
                <w:rFonts w:ascii="宋体" w:hAnsi="宋体" w:cs="宋体" w:eastAsia="宋体" w:hint="default"/>
                <w:sz w:val="24"/>
                <w:szCs w:val="24"/>
              </w:rPr>
            </w:pPr>
            <w:r>
              <w:rPr>
                <w:rFonts w:ascii="宋体" w:hAnsi="宋体" w:cs="宋体" w:eastAsia="宋体" w:hint="default"/>
                <w:sz w:val="24"/>
                <w:szCs w:val="24"/>
              </w:rPr>
              <w:t>预收款项中包括以下外币余额：</w:t>
            </w:r>
          </w:p>
        </w:tc>
        <w:tc>
          <w:tcPr>
            <w:tcW w:w="100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r>
      <w:tr>
        <w:trPr>
          <w:trHeight w:val="425" w:hRule="exact"/>
        </w:trPr>
        <w:tc>
          <w:tcPr>
            <w:tcW w:w="704" w:type="dxa"/>
            <w:tcBorders>
              <w:top w:val="nil" w:sz="6" w:space="0" w:color="auto"/>
              <w:left w:val="nil" w:sz="6" w:space="0" w:color="auto"/>
              <w:bottom w:val="nil" w:sz="6" w:space="0" w:color="auto"/>
              <w:right w:val="nil" w:sz="6" w:space="0" w:color="auto"/>
            </w:tcBorders>
          </w:tcPr>
          <w:p>
            <w:pPr/>
          </w:p>
        </w:tc>
        <w:tc>
          <w:tcPr>
            <w:tcW w:w="1077" w:type="dxa"/>
            <w:tcBorders>
              <w:top w:val="nil" w:sz="6" w:space="0" w:color="auto"/>
              <w:left w:val="nil" w:sz="6" w:space="0" w:color="auto"/>
              <w:bottom w:val="nil" w:sz="6" w:space="0" w:color="auto"/>
              <w:right w:val="nil" w:sz="6" w:space="0" w:color="auto"/>
            </w:tcBorders>
          </w:tcPr>
          <w:p>
            <w:pPr/>
          </w:p>
        </w:tc>
        <w:tc>
          <w:tcPr>
            <w:tcW w:w="263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14"/>
              <w:ind w:left="1039"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02" w:type="dxa"/>
            <w:tcBorders>
              <w:top w:val="nil" w:sz="6" w:space="0" w:color="auto"/>
              <w:left w:val="nil" w:sz="6" w:space="0" w:color="auto"/>
              <w:bottom w:val="single" w:sz="4" w:space="0" w:color="000000"/>
              <w:right w:val="nil" w:sz="6" w:space="0" w:color="auto"/>
            </w:tcBorders>
          </w:tcPr>
          <w:p>
            <w:pPr/>
          </w:p>
        </w:tc>
        <w:tc>
          <w:tcPr>
            <w:tcW w:w="395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4"/>
              <w:ind w:left="1322"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41" w:hRule="exact"/>
        </w:trPr>
        <w:tc>
          <w:tcPr>
            <w:tcW w:w="704" w:type="dxa"/>
            <w:tcBorders>
              <w:top w:val="nil" w:sz="6" w:space="0" w:color="auto"/>
              <w:left w:val="nil" w:sz="6" w:space="0" w:color="auto"/>
              <w:bottom w:val="nil" w:sz="6" w:space="0" w:color="auto"/>
              <w:right w:val="nil" w:sz="6" w:space="0" w:color="auto"/>
            </w:tcBorders>
          </w:tcPr>
          <w:p>
            <w:pPr/>
          </w:p>
        </w:tc>
        <w:tc>
          <w:tcPr>
            <w:tcW w:w="1077" w:type="dxa"/>
            <w:tcBorders>
              <w:top w:val="nil" w:sz="6" w:space="0" w:color="auto"/>
              <w:left w:val="nil" w:sz="6" w:space="0" w:color="auto"/>
              <w:bottom w:val="nil" w:sz="6" w:space="0" w:color="auto"/>
              <w:right w:val="nil" w:sz="6" w:space="0" w:color="auto"/>
            </w:tcBorders>
          </w:tcPr>
          <w:p>
            <w:pPr/>
          </w:p>
        </w:tc>
        <w:tc>
          <w:tcPr>
            <w:tcW w:w="1254" w:type="dxa"/>
            <w:tcBorders>
              <w:top w:val="single" w:sz="4" w:space="0" w:color="000000"/>
              <w:left w:val="nil" w:sz="6" w:space="0" w:color="auto"/>
              <w:bottom w:val="nil" w:sz="6" w:space="0" w:color="auto"/>
              <w:right w:val="nil" w:sz="6" w:space="0" w:color="auto"/>
            </w:tcBorders>
          </w:tcPr>
          <w:p>
            <w:pPr>
              <w:pStyle w:val="TableParagraph"/>
              <w:spacing w:line="205" w:lineRule="exact"/>
              <w:ind w:right="286"/>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1381" w:type="dxa"/>
            <w:tcBorders>
              <w:top w:val="single" w:sz="4" w:space="0" w:color="000000"/>
              <w:left w:val="nil" w:sz="6" w:space="0" w:color="auto"/>
              <w:bottom w:val="nil" w:sz="6" w:space="0" w:color="auto"/>
              <w:right w:val="nil" w:sz="6" w:space="0" w:color="auto"/>
            </w:tcBorders>
          </w:tcPr>
          <w:p>
            <w:pPr>
              <w:pStyle w:val="TableParagraph"/>
              <w:spacing w:line="205" w:lineRule="exact"/>
              <w:ind w:right="64"/>
              <w:jc w:val="center"/>
              <w:rPr>
                <w:rFonts w:ascii="宋体" w:hAnsi="宋体" w:cs="宋体" w:eastAsia="宋体" w:hint="default"/>
                <w:sz w:val="18"/>
                <w:szCs w:val="18"/>
              </w:rPr>
            </w:pPr>
            <w:r>
              <w:rPr>
                <w:rFonts w:ascii="宋体" w:hAnsi="宋体" w:cs="宋体" w:eastAsia="宋体" w:hint="default"/>
                <w:sz w:val="18"/>
                <w:szCs w:val="18"/>
              </w:rPr>
              <w:t>汇率</w:t>
            </w:r>
          </w:p>
        </w:tc>
        <w:tc>
          <w:tcPr>
            <w:tcW w:w="1002" w:type="dxa"/>
            <w:tcBorders>
              <w:top w:val="single" w:sz="4" w:space="0" w:color="000000"/>
              <w:left w:val="nil" w:sz="6" w:space="0" w:color="auto"/>
              <w:bottom w:val="nil" w:sz="6" w:space="0" w:color="auto"/>
              <w:right w:val="nil" w:sz="6" w:space="0" w:color="auto"/>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single" w:sz="4" w:space="0" w:color="000000"/>
              <w:left w:val="nil" w:sz="6" w:space="0" w:color="auto"/>
              <w:bottom w:val="nil" w:sz="6" w:space="0" w:color="auto"/>
              <w:right w:val="nil" w:sz="6" w:space="0" w:color="auto"/>
            </w:tcBorders>
          </w:tcPr>
          <w:p>
            <w:pPr>
              <w:pStyle w:val="TableParagraph"/>
              <w:spacing w:line="205" w:lineRule="exact"/>
              <w:ind w:right="331"/>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1195" w:type="dxa"/>
            <w:tcBorders>
              <w:top w:val="single" w:sz="4" w:space="0" w:color="000000"/>
              <w:left w:val="nil" w:sz="6" w:space="0" w:color="auto"/>
              <w:bottom w:val="nil" w:sz="6" w:space="0" w:color="auto"/>
              <w:right w:val="nil" w:sz="6" w:space="0" w:color="auto"/>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汇率</w:t>
            </w:r>
          </w:p>
        </w:tc>
        <w:tc>
          <w:tcPr>
            <w:tcW w:w="1214" w:type="dxa"/>
            <w:tcBorders>
              <w:top w:val="single" w:sz="4" w:space="0" w:color="000000"/>
              <w:left w:val="nil" w:sz="6" w:space="0" w:color="auto"/>
              <w:bottom w:val="nil" w:sz="6" w:space="0" w:color="auto"/>
              <w:right w:val="nil" w:sz="6" w:space="0" w:color="auto"/>
            </w:tcBorders>
          </w:tcPr>
          <w:p>
            <w:pPr>
              <w:pStyle w:val="TableParagraph"/>
              <w:spacing w:line="205" w:lineRule="exact"/>
              <w:ind w:left="230"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349" w:hRule="exact"/>
        </w:trPr>
        <w:tc>
          <w:tcPr>
            <w:tcW w:w="704" w:type="dxa"/>
            <w:tcBorders>
              <w:top w:val="nil" w:sz="6" w:space="0" w:color="auto"/>
              <w:left w:val="nil" w:sz="6" w:space="0" w:color="auto"/>
              <w:bottom w:val="nil" w:sz="6" w:space="0" w:color="auto"/>
              <w:right w:val="nil" w:sz="6" w:space="0" w:color="auto"/>
            </w:tcBorders>
          </w:tcPr>
          <w:p>
            <w:pP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10"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85"/>
              <w:jc w:val="right"/>
              <w:rPr>
                <w:rFonts w:ascii="Arial" w:hAnsi="Arial" w:cs="Arial" w:eastAsia="Arial" w:hint="default"/>
                <w:sz w:val="18"/>
                <w:szCs w:val="18"/>
              </w:rPr>
            </w:pPr>
            <w:r>
              <w:rPr>
                <w:rFonts w:ascii="Arial"/>
                <w:spacing w:val="-1"/>
                <w:sz w:val="18"/>
              </w:rPr>
              <w:t>29,649</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87" w:right="0"/>
              <w:jc w:val="left"/>
              <w:rPr>
                <w:rFonts w:ascii="Arial" w:hAnsi="Arial" w:cs="Arial" w:eastAsia="Arial" w:hint="default"/>
                <w:sz w:val="18"/>
                <w:szCs w:val="18"/>
              </w:rPr>
            </w:pPr>
            <w:r>
              <w:rPr>
                <w:rFonts w:ascii="Arial"/>
                <w:sz w:val="18"/>
              </w:rPr>
              <w:t>0.8108</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71"/>
              <w:jc w:val="right"/>
              <w:rPr>
                <w:rFonts w:ascii="Arial" w:hAnsi="Arial" w:cs="Arial" w:eastAsia="Arial" w:hint="default"/>
                <w:sz w:val="18"/>
                <w:szCs w:val="18"/>
              </w:rPr>
            </w:pPr>
            <w:r>
              <w:rPr>
                <w:rFonts w:ascii="Arial"/>
                <w:spacing w:val="-1"/>
                <w:sz w:val="18"/>
              </w:rPr>
              <w:t>24,039</w:t>
            </w: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29"/>
              <w:jc w:val="right"/>
              <w:rPr>
                <w:rFonts w:ascii="Arial" w:hAnsi="Arial" w:cs="Arial" w:eastAsia="Arial" w:hint="default"/>
                <w:sz w:val="18"/>
                <w:szCs w:val="18"/>
              </w:rPr>
            </w:pPr>
            <w:r>
              <w:rPr>
                <w:rFonts w:ascii="Arial"/>
                <w:w w:val="95"/>
                <w:sz w:val="18"/>
              </w:rPr>
              <w:t>86</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10"/>
              <w:jc w:val="right"/>
              <w:rPr>
                <w:rFonts w:ascii="Arial" w:hAnsi="Arial" w:cs="Arial" w:eastAsia="Arial" w:hint="default"/>
                <w:sz w:val="18"/>
                <w:szCs w:val="18"/>
              </w:rPr>
            </w:pPr>
            <w:r>
              <w:rPr>
                <w:rFonts w:ascii="Arial"/>
                <w:spacing w:val="-1"/>
                <w:sz w:val="18"/>
              </w:rPr>
              <w:t>0.8213</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79"/>
              <w:jc w:val="right"/>
              <w:rPr>
                <w:rFonts w:ascii="Arial" w:hAnsi="Arial" w:cs="Arial" w:eastAsia="Arial" w:hint="default"/>
                <w:sz w:val="18"/>
                <w:szCs w:val="18"/>
              </w:rPr>
            </w:pPr>
            <w:r>
              <w:rPr>
                <w:rFonts w:ascii="Arial"/>
                <w:w w:val="95"/>
                <w:sz w:val="18"/>
              </w:rPr>
              <w:t>71</w:t>
            </w:r>
            <w:r>
              <w:rPr>
                <w:rFonts w:ascii="Arial"/>
                <w:sz w:val="18"/>
              </w:rPr>
            </w:r>
          </w:p>
        </w:tc>
      </w:tr>
      <w:tr>
        <w:trPr>
          <w:trHeight w:val="236" w:hRule="exact"/>
        </w:trPr>
        <w:tc>
          <w:tcPr>
            <w:tcW w:w="704" w:type="dxa"/>
            <w:tcBorders>
              <w:top w:val="nil" w:sz="6" w:space="0" w:color="auto"/>
              <w:left w:val="nil" w:sz="6" w:space="0" w:color="auto"/>
              <w:bottom w:val="nil" w:sz="6" w:space="0" w:color="auto"/>
              <w:right w:val="nil" w:sz="6" w:space="0" w:color="auto"/>
            </w:tcBorders>
          </w:tcPr>
          <w:p>
            <w:pPr/>
          </w:p>
        </w:tc>
        <w:tc>
          <w:tcPr>
            <w:tcW w:w="1077" w:type="dxa"/>
            <w:tcBorders>
              <w:top w:val="nil" w:sz="6" w:space="0" w:color="auto"/>
              <w:left w:val="nil" w:sz="6" w:space="0" w:color="auto"/>
              <w:bottom w:val="nil" w:sz="6" w:space="0" w:color="auto"/>
              <w:right w:val="nil" w:sz="6" w:space="0" w:color="auto"/>
            </w:tcBorders>
          </w:tcPr>
          <w:p>
            <w:pPr>
              <w:pStyle w:val="TableParagraph"/>
              <w:spacing w:line="195" w:lineRule="exact"/>
              <w:ind w:left="210"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5"/>
              <w:jc w:val="right"/>
              <w:rPr>
                <w:rFonts w:ascii="Arial" w:hAnsi="Arial" w:cs="Arial" w:eastAsia="Arial" w:hint="default"/>
                <w:sz w:val="18"/>
                <w:szCs w:val="18"/>
              </w:rPr>
            </w:pPr>
            <w:r>
              <w:rPr>
                <w:rFonts w:ascii="Arial"/>
                <w:spacing w:val="-2"/>
                <w:w w:val="95"/>
                <w:sz w:val="18"/>
              </w:rPr>
              <w:t>113,503</w:t>
            </w:r>
            <w:r>
              <w:rPr>
                <w:rFonts w:ascii="Arial"/>
                <w:spacing w:val="-2"/>
                <w:sz w:val="18"/>
              </w:rPr>
            </w:r>
          </w:p>
        </w:tc>
        <w:tc>
          <w:tcPr>
            <w:tcW w:w="1381" w:type="dxa"/>
            <w:tcBorders>
              <w:top w:val="nil" w:sz="6" w:space="0" w:color="auto"/>
              <w:left w:val="nil" w:sz="6" w:space="0" w:color="auto"/>
              <w:bottom w:val="nil" w:sz="6" w:space="0" w:color="auto"/>
              <w:right w:val="nil" w:sz="6" w:space="0" w:color="auto"/>
            </w:tcBorders>
          </w:tcPr>
          <w:p>
            <w:pPr>
              <w:pStyle w:val="TableParagraph"/>
              <w:tabs>
                <w:tab w:pos="1209" w:val="left" w:leader="none"/>
                <w:tab w:pos="1857" w:val="left" w:leader="none"/>
              </w:tabs>
              <w:spacing w:line="240" w:lineRule="auto" w:before="15"/>
              <w:ind w:left="287" w:right="-477"/>
              <w:jc w:val="left"/>
              <w:rPr>
                <w:rFonts w:ascii="Arial" w:hAnsi="Arial" w:cs="Arial" w:eastAsia="Arial" w:hint="default"/>
                <w:sz w:val="18"/>
                <w:szCs w:val="18"/>
              </w:rPr>
            </w:pPr>
            <w:r>
              <w:rPr>
                <w:rFonts w:ascii="Arial"/>
                <w:sz w:val="18"/>
              </w:rPr>
              <w:t>0.0730</w:t>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1002" w:type="dxa"/>
            <w:tcBorders>
              <w:top w:val="nil" w:sz="6" w:space="0" w:color="auto"/>
              <w:left w:val="nil" w:sz="6" w:space="0" w:color="auto"/>
              <w:bottom w:val="nil" w:sz="6" w:space="0" w:color="auto"/>
              <w:right w:val="nil" w:sz="6" w:space="0" w:color="auto"/>
            </w:tcBorders>
          </w:tcPr>
          <w:p>
            <w:pPr>
              <w:pStyle w:val="TableParagraph"/>
              <w:tabs>
                <w:tab w:pos="535" w:val="left" w:leader="none"/>
              </w:tabs>
              <w:spacing w:line="240" w:lineRule="auto" w:before="15"/>
              <w:ind w:right="-10"/>
              <w:jc w:val="right"/>
              <w:rPr>
                <w:rFonts w:ascii="Arial" w:hAnsi="Arial" w:cs="Arial" w:eastAsia="Arial" w:hint="default"/>
                <w:sz w:val="18"/>
                <w:szCs w:val="18"/>
              </w:rPr>
            </w:pPr>
            <w:r>
              <w:rPr>
                <w:rFonts w:ascii="Arial"/>
                <w:w w:val="99"/>
                <w:sz w:val="18"/>
              </w:rPr>
            </w:r>
            <w:r>
              <w:rPr>
                <w:rFonts w:ascii="Arial"/>
                <w:w w:val="95"/>
                <w:sz w:val="18"/>
                <w:u w:val="single" w:color="000000"/>
              </w:rPr>
              <w:t>8,286</w:t>
            </w:r>
            <w:r>
              <w:rPr>
                <w:rFonts w:ascii="Arial"/>
                <w:sz w:val="18"/>
                <w:u w:val="single" w:color="000000"/>
              </w:rPr>
              <w:tab/>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0"/>
              <w:jc w:val="right"/>
              <w:rPr>
                <w:rFonts w:ascii="Arial" w:hAnsi="Arial" w:cs="Arial" w:eastAsia="Arial" w:hint="default"/>
                <w:sz w:val="18"/>
                <w:szCs w:val="18"/>
              </w:rPr>
            </w:pPr>
            <w:r>
              <w:rPr>
                <w:rFonts w:ascii="Arial"/>
                <w:spacing w:val="-1"/>
                <w:sz w:val="18"/>
              </w:rPr>
              <w:t>125,533</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2"/>
              <w:jc w:val="right"/>
              <w:rPr>
                <w:rFonts w:ascii="Arial" w:hAnsi="Arial" w:cs="Arial" w:eastAsia="Arial" w:hint="default"/>
                <w:sz w:val="18"/>
                <w:szCs w:val="18"/>
              </w:rPr>
            </w:pPr>
            <w:r>
              <w:rPr>
                <w:rFonts w:ascii="Arial"/>
                <w:spacing w:val="-1"/>
                <w:sz w:val="18"/>
              </w:rPr>
              <w:t>0.0826</w:t>
            </w:r>
            <w:r>
              <w:rPr>
                <w:rFonts w:ascii="Arial"/>
                <w:sz w:val="18"/>
              </w:rPr>
            </w:r>
          </w:p>
        </w:tc>
        <w:tc>
          <w:tcPr>
            <w:tcW w:w="1214" w:type="dxa"/>
            <w:tcBorders>
              <w:top w:val="nil" w:sz="6" w:space="0" w:color="auto"/>
              <w:left w:val="nil" w:sz="6" w:space="0" w:color="auto"/>
              <w:bottom w:val="nil" w:sz="6" w:space="0" w:color="auto"/>
              <w:right w:val="nil" w:sz="6" w:space="0" w:color="auto"/>
            </w:tcBorders>
          </w:tcPr>
          <w:p>
            <w:pPr>
              <w:pStyle w:val="TableParagraph"/>
              <w:tabs>
                <w:tab w:pos="566" w:val="left" w:leader="none"/>
                <w:tab w:pos="1199"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10,369</w:t>
              <w:tab/>
            </w:r>
            <w:r>
              <w:rPr>
                <w:rFonts w:ascii="Arial"/>
                <w:spacing w:val="-1"/>
                <w:sz w:val="18"/>
              </w:rPr>
            </w:r>
          </w:p>
        </w:tc>
      </w:tr>
      <w:tr>
        <w:trPr>
          <w:trHeight w:val="219" w:hRule="exact"/>
        </w:trPr>
        <w:tc>
          <w:tcPr>
            <w:tcW w:w="704" w:type="dxa"/>
            <w:tcBorders>
              <w:top w:val="nil" w:sz="6" w:space="0" w:color="auto"/>
              <w:left w:val="nil" w:sz="6" w:space="0" w:color="auto"/>
              <w:bottom w:val="nil" w:sz="6" w:space="0" w:color="auto"/>
              <w:right w:val="nil" w:sz="6" w:space="0" w:color="auto"/>
            </w:tcBorders>
          </w:tcPr>
          <w:p>
            <w:pPr/>
          </w:p>
        </w:tc>
        <w:tc>
          <w:tcPr>
            <w:tcW w:w="1077"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single" w:sz="12" w:space="0" w:color="000000"/>
              <w:right w:val="nil" w:sz="6" w:space="0" w:color="auto"/>
            </w:tcBorders>
          </w:tcPr>
          <w:p>
            <w:pPr/>
          </w:p>
        </w:tc>
        <w:tc>
          <w:tcPr>
            <w:tcW w:w="1002" w:type="dxa"/>
            <w:tcBorders>
              <w:top w:val="nil" w:sz="6" w:space="0" w:color="auto"/>
              <w:left w:val="nil" w:sz="6" w:space="0" w:color="auto"/>
              <w:bottom w:val="single" w:sz="12" w:space="0" w:color="000000"/>
              <w:right w:val="nil" w:sz="6" w:space="0" w:color="auto"/>
            </w:tcBorders>
          </w:tcPr>
          <w:p>
            <w:pPr>
              <w:pStyle w:val="TableParagraph"/>
              <w:spacing w:line="202" w:lineRule="exact"/>
              <w:ind w:right="73"/>
              <w:jc w:val="right"/>
              <w:rPr>
                <w:rFonts w:ascii="Arial" w:hAnsi="Arial" w:cs="Arial" w:eastAsia="Arial" w:hint="default"/>
                <w:sz w:val="18"/>
                <w:szCs w:val="18"/>
              </w:rPr>
            </w:pPr>
            <w:r>
              <w:rPr>
                <w:rFonts w:ascii="Arial"/>
                <w:spacing w:val="-1"/>
                <w:sz w:val="18"/>
              </w:rPr>
              <w:t>32,325</w:t>
            </w: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single" w:sz="12" w:space="0" w:color="000000"/>
              <w:right w:val="nil" w:sz="6" w:space="0" w:color="auto"/>
            </w:tcBorders>
          </w:tcPr>
          <w:p>
            <w:pPr>
              <w:pStyle w:val="TableParagraph"/>
              <w:spacing w:line="202" w:lineRule="exact"/>
              <w:ind w:right="80"/>
              <w:jc w:val="right"/>
              <w:rPr>
                <w:rFonts w:ascii="Arial" w:hAnsi="Arial" w:cs="Arial" w:eastAsia="Arial" w:hint="default"/>
                <w:sz w:val="18"/>
                <w:szCs w:val="18"/>
              </w:rPr>
            </w:pPr>
            <w:r>
              <w:rPr>
                <w:rFonts w:ascii="Arial"/>
                <w:spacing w:val="-1"/>
                <w:sz w:val="18"/>
              </w:rPr>
              <w:t>10,440</w:t>
            </w:r>
          </w:p>
        </w:tc>
      </w:tr>
    </w:tbl>
    <w:p>
      <w:pPr>
        <w:spacing w:line="240" w:lineRule="auto" w:before="4"/>
        <w:rPr>
          <w:rFonts w:ascii="Times New Roman" w:hAnsi="Times New Roman" w:cs="Times New Roman" w:eastAsia="Times New Roman" w:hint="default"/>
          <w:sz w:val="27"/>
          <w:szCs w:val="27"/>
        </w:rPr>
      </w:pPr>
    </w:p>
    <w:tbl>
      <w:tblPr>
        <w:tblW w:w="0" w:type="auto"/>
        <w:jc w:val="left"/>
        <w:tblInd w:w="163" w:type="dxa"/>
        <w:tblLayout w:type="fixed"/>
        <w:tblCellMar>
          <w:top w:w="0" w:type="dxa"/>
          <w:left w:w="0" w:type="dxa"/>
          <w:bottom w:w="0" w:type="dxa"/>
          <w:right w:w="0" w:type="dxa"/>
        </w:tblCellMar>
        <w:tblLook w:val="01E0"/>
      </w:tblPr>
      <w:tblGrid>
        <w:gridCol w:w="752"/>
        <w:gridCol w:w="2449"/>
        <w:gridCol w:w="1234"/>
        <w:gridCol w:w="286"/>
        <w:gridCol w:w="1210"/>
        <w:gridCol w:w="288"/>
        <w:gridCol w:w="1289"/>
        <w:gridCol w:w="276"/>
        <w:gridCol w:w="1378"/>
      </w:tblGrid>
      <w:tr>
        <w:trPr>
          <w:trHeight w:val="416" w:hRule="exact"/>
        </w:trPr>
        <w:tc>
          <w:tcPr>
            <w:tcW w:w="75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(24)</w:t>
            </w:r>
          </w:p>
        </w:tc>
        <w:tc>
          <w:tcPr>
            <w:tcW w:w="2449" w:type="dxa"/>
            <w:tcBorders>
              <w:top w:val="nil" w:sz="6" w:space="0" w:color="auto"/>
              <w:left w:val="nil" w:sz="6" w:space="0" w:color="auto"/>
              <w:bottom w:val="nil" w:sz="6" w:space="0" w:color="auto"/>
              <w:right w:val="nil" w:sz="6" w:space="0" w:color="auto"/>
            </w:tcBorders>
          </w:tcPr>
          <w:p>
            <w:pPr>
              <w:pStyle w:val="TableParagraph"/>
              <w:spacing w:line="247" w:lineRule="exact"/>
              <w:ind w:left="43" w:right="0"/>
              <w:jc w:val="left"/>
              <w:rPr>
                <w:rFonts w:ascii="黑体" w:hAnsi="黑体" w:cs="黑体" w:eastAsia="黑体" w:hint="default"/>
                <w:sz w:val="24"/>
                <w:szCs w:val="24"/>
              </w:rPr>
            </w:pPr>
            <w:r>
              <w:rPr>
                <w:rFonts w:ascii="黑体" w:hAnsi="黑体" w:cs="黑体" w:eastAsia="黑体" w:hint="default"/>
                <w:sz w:val="24"/>
                <w:szCs w:val="24"/>
              </w:rPr>
              <w:t>应付职工薪酬</w:t>
            </w:r>
          </w:p>
        </w:tc>
        <w:tc>
          <w:tcPr>
            <w:tcW w:w="123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726" w:hRule="exact"/>
        </w:trPr>
        <w:tc>
          <w:tcPr>
            <w:tcW w:w="752"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479"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1" w:lineRule="exact"/>
              <w:ind w:left="23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8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03"/>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28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460"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7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609"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1" w:lineRule="exact"/>
              <w:ind w:left="34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60" w:hRule="exact"/>
        </w:trPr>
        <w:tc>
          <w:tcPr>
            <w:tcW w:w="752"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4"/>
              <w:jc w:val="right"/>
              <w:rPr>
                <w:rFonts w:ascii="Arial" w:hAnsi="Arial" w:cs="Arial" w:eastAsia="Arial" w:hint="default"/>
                <w:sz w:val="18"/>
                <w:szCs w:val="18"/>
              </w:rPr>
            </w:pPr>
            <w:r>
              <w:rPr>
                <w:rFonts w:ascii="Arial"/>
                <w:spacing w:val="-1"/>
                <w:sz w:val="18"/>
              </w:rPr>
              <w:t>254,772</w:t>
            </w:r>
          </w:p>
        </w:tc>
        <w:tc>
          <w:tcPr>
            <w:tcW w:w="28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02" w:right="0"/>
              <w:jc w:val="left"/>
              <w:rPr>
                <w:rFonts w:ascii="Arial" w:hAnsi="Arial" w:cs="Arial" w:eastAsia="Arial" w:hint="default"/>
                <w:sz w:val="18"/>
                <w:szCs w:val="18"/>
              </w:rPr>
            </w:pPr>
            <w:r>
              <w:rPr>
                <w:rFonts w:ascii="Arial"/>
                <w:sz w:val="18"/>
              </w:rPr>
              <w:t>3,466,328</w:t>
            </w:r>
          </w:p>
        </w:tc>
        <w:tc>
          <w:tcPr>
            <w:tcW w:w="28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59" w:right="0"/>
              <w:jc w:val="left"/>
              <w:rPr>
                <w:rFonts w:ascii="Arial" w:hAnsi="Arial" w:cs="Arial" w:eastAsia="Arial" w:hint="default"/>
                <w:sz w:val="18"/>
                <w:szCs w:val="18"/>
              </w:rPr>
            </w:pPr>
            <w:r>
              <w:rPr>
                <w:rFonts w:ascii="Arial"/>
                <w:sz w:val="18"/>
              </w:rPr>
              <w:t>(3,508,776)</w:t>
            </w:r>
          </w:p>
        </w:tc>
        <w:tc>
          <w:tcPr>
            <w:tcW w:w="27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4"/>
              <w:jc w:val="right"/>
              <w:rPr>
                <w:rFonts w:ascii="Arial" w:hAnsi="Arial" w:cs="Arial" w:eastAsia="Arial" w:hint="default"/>
                <w:sz w:val="18"/>
                <w:szCs w:val="18"/>
              </w:rPr>
            </w:pPr>
            <w:r>
              <w:rPr>
                <w:rFonts w:ascii="Arial"/>
                <w:spacing w:val="-1"/>
                <w:sz w:val="18"/>
              </w:rPr>
              <w:t>212,324</w:t>
            </w:r>
          </w:p>
        </w:tc>
      </w:tr>
      <w:tr>
        <w:trPr>
          <w:trHeight w:val="244" w:hRule="exact"/>
        </w:trPr>
        <w:tc>
          <w:tcPr>
            <w:tcW w:w="752"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nil" w:sz="6" w:space="0" w:color="auto"/>
              <w:right w:val="nil" w:sz="6" w:space="0" w:color="auto"/>
            </w:tcBorders>
          </w:tcPr>
          <w:p>
            <w:pPr>
              <w:pStyle w:val="TableParagraph"/>
              <w:spacing w:line="201" w:lineRule="exact"/>
              <w:ind w:left="108"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3"/>
              <w:jc w:val="right"/>
              <w:rPr>
                <w:rFonts w:ascii="Arial" w:hAnsi="Arial" w:cs="Arial" w:eastAsia="Arial" w:hint="default"/>
                <w:sz w:val="18"/>
                <w:szCs w:val="18"/>
              </w:rPr>
            </w:pPr>
            <w:r>
              <w:rPr>
                <w:rFonts w:ascii="Arial"/>
                <w:w w:val="95"/>
                <w:sz w:val="18"/>
              </w:rPr>
              <w:t>16</w:t>
            </w:r>
            <w:r>
              <w:rPr>
                <w:rFonts w:ascii="Arial"/>
                <w:sz w:val="18"/>
              </w:rPr>
            </w:r>
          </w:p>
        </w:tc>
        <w:tc>
          <w:tcPr>
            <w:tcW w:w="28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2"/>
              <w:jc w:val="right"/>
              <w:rPr>
                <w:rFonts w:ascii="Arial" w:hAnsi="Arial" w:cs="Arial" w:eastAsia="Arial" w:hint="default"/>
                <w:sz w:val="18"/>
                <w:szCs w:val="18"/>
              </w:rPr>
            </w:pPr>
            <w:r>
              <w:rPr>
                <w:rFonts w:ascii="Arial"/>
                <w:spacing w:val="-1"/>
                <w:sz w:val="18"/>
              </w:rPr>
              <w:t>139,349</w:t>
            </w:r>
          </w:p>
        </w:tc>
        <w:tc>
          <w:tcPr>
            <w:tcW w:w="28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10" w:right="0"/>
              <w:jc w:val="left"/>
              <w:rPr>
                <w:rFonts w:ascii="Arial" w:hAnsi="Arial" w:cs="Arial" w:eastAsia="Arial" w:hint="default"/>
                <w:sz w:val="18"/>
                <w:szCs w:val="18"/>
              </w:rPr>
            </w:pPr>
            <w:r>
              <w:rPr>
                <w:rFonts w:ascii="Arial"/>
                <w:sz w:val="18"/>
              </w:rPr>
              <w:t>(106,023)</w:t>
            </w:r>
          </w:p>
        </w:tc>
        <w:tc>
          <w:tcPr>
            <w:tcW w:w="27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4"/>
              <w:jc w:val="right"/>
              <w:rPr>
                <w:rFonts w:ascii="Arial" w:hAnsi="Arial" w:cs="Arial" w:eastAsia="Arial" w:hint="default"/>
                <w:sz w:val="18"/>
                <w:szCs w:val="18"/>
              </w:rPr>
            </w:pPr>
            <w:r>
              <w:rPr>
                <w:rFonts w:ascii="Arial"/>
                <w:spacing w:val="-1"/>
                <w:sz w:val="18"/>
              </w:rPr>
              <w:t>33,342</w:t>
            </w:r>
          </w:p>
        </w:tc>
      </w:tr>
      <w:tr>
        <w:trPr>
          <w:trHeight w:val="232" w:hRule="exact"/>
        </w:trPr>
        <w:tc>
          <w:tcPr>
            <w:tcW w:w="752"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single" w:sz="4" w:space="0" w:color="000000"/>
              <w:right w:val="nil" w:sz="6" w:space="0" w:color="auto"/>
            </w:tcBorders>
          </w:tcPr>
          <w:p>
            <w:pPr>
              <w:pStyle w:val="TableParagraph"/>
              <w:spacing w:line="200" w:lineRule="exact"/>
              <w:ind w:left="108"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234"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06"/>
              <w:jc w:val="right"/>
              <w:rPr>
                <w:rFonts w:ascii="Arial" w:hAnsi="Arial" w:cs="Arial" w:eastAsia="Arial" w:hint="default"/>
                <w:sz w:val="18"/>
                <w:szCs w:val="18"/>
              </w:rPr>
            </w:pPr>
            <w:r>
              <w:rPr>
                <w:rFonts w:ascii="Arial"/>
                <w:spacing w:val="-5"/>
                <w:sz w:val="18"/>
              </w:rPr>
              <w:t>711</w:t>
            </w:r>
          </w:p>
        </w:tc>
        <w:tc>
          <w:tcPr>
            <w:tcW w:w="286" w:type="dxa"/>
            <w:tcBorders>
              <w:top w:val="nil" w:sz="6" w:space="0" w:color="auto"/>
              <w:left w:val="nil" w:sz="6" w:space="0" w:color="auto"/>
              <w:bottom w:val="single" w:sz="4" w:space="0" w:color="000000"/>
              <w:right w:val="nil" w:sz="6" w:space="0" w:color="auto"/>
            </w:tcBorders>
          </w:tcPr>
          <w:p>
            <w:pPr/>
          </w:p>
        </w:tc>
        <w:tc>
          <w:tcPr>
            <w:tcW w:w="1210"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01"/>
              <w:jc w:val="right"/>
              <w:rPr>
                <w:rFonts w:ascii="Arial" w:hAnsi="Arial" w:cs="Arial" w:eastAsia="Arial" w:hint="default"/>
                <w:sz w:val="18"/>
                <w:szCs w:val="18"/>
              </w:rPr>
            </w:pPr>
            <w:r>
              <w:rPr>
                <w:rFonts w:ascii="Arial"/>
                <w:spacing w:val="-1"/>
                <w:sz w:val="18"/>
              </w:rPr>
              <w:t>597,213</w:t>
            </w:r>
          </w:p>
        </w:tc>
        <w:tc>
          <w:tcPr>
            <w:tcW w:w="288" w:type="dxa"/>
            <w:tcBorders>
              <w:top w:val="nil" w:sz="6" w:space="0" w:color="auto"/>
              <w:left w:val="nil" w:sz="6" w:space="0" w:color="auto"/>
              <w:bottom w:val="single" w:sz="4" w:space="0" w:color="000000"/>
              <w:right w:val="nil" w:sz="6" w:space="0" w:color="auto"/>
            </w:tcBorders>
          </w:tcPr>
          <w:p>
            <w:pP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410" w:right="0"/>
              <w:jc w:val="left"/>
              <w:rPr>
                <w:rFonts w:ascii="Arial" w:hAnsi="Arial" w:cs="Arial" w:eastAsia="Arial" w:hint="default"/>
                <w:sz w:val="18"/>
                <w:szCs w:val="18"/>
              </w:rPr>
            </w:pPr>
            <w:r>
              <w:rPr>
                <w:rFonts w:ascii="Arial"/>
                <w:sz w:val="18"/>
              </w:rPr>
              <w:t>(597,321)</w:t>
            </w:r>
          </w:p>
        </w:tc>
        <w:tc>
          <w:tcPr>
            <w:tcW w:w="276" w:type="dxa"/>
            <w:tcBorders>
              <w:top w:val="nil" w:sz="6" w:space="0" w:color="auto"/>
              <w:left w:val="nil" w:sz="6" w:space="0" w:color="auto"/>
              <w:bottom w:val="single" w:sz="4" w:space="0" w:color="000000"/>
              <w:right w:val="nil" w:sz="6" w:space="0" w:color="auto"/>
            </w:tcBorders>
          </w:tcPr>
          <w:p>
            <w:pPr/>
          </w:p>
        </w:tc>
        <w:tc>
          <w:tcPr>
            <w:tcW w:w="1378"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04"/>
              <w:jc w:val="right"/>
              <w:rPr>
                <w:rFonts w:ascii="Arial" w:hAnsi="Arial" w:cs="Arial" w:eastAsia="Arial" w:hint="default"/>
                <w:sz w:val="18"/>
                <w:szCs w:val="18"/>
              </w:rPr>
            </w:pPr>
            <w:r>
              <w:rPr>
                <w:rFonts w:ascii="Arial"/>
                <w:w w:val="95"/>
                <w:sz w:val="18"/>
              </w:rPr>
              <w:t>603</w:t>
            </w:r>
            <w:r>
              <w:rPr>
                <w:rFonts w:ascii="Arial"/>
                <w:sz w:val="18"/>
              </w:rPr>
            </w:r>
          </w:p>
        </w:tc>
      </w:tr>
      <w:tr>
        <w:trPr>
          <w:trHeight w:val="256" w:hRule="exact"/>
        </w:trPr>
        <w:tc>
          <w:tcPr>
            <w:tcW w:w="752" w:type="dxa"/>
            <w:tcBorders>
              <w:top w:val="nil" w:sz="6" w:space="0" w:color="auto"/>
              <w:left w:val="nil" w:sz="6" w:space="0" w:color="auto"/>
              <w:bottom w:val="nil" w:sz="6" w:space="0" w:color="auto"/>
              <w:right w:val="single" w:sz="4" w:space="0" w:color="000000"/>
            </w:tcBorders>
          </w:tcPr>
          <w:p>
            <w:pPr/>
          </w:p>
        </w:tc>
        <w:tc>
          <w:tcPr>
            <w:tcW w:w="2449" w:type="dxa"/>
            <w:tcBorders>
              <w:top w:val="single" w:sz="4" w:space="0" w:color="000000"/>
              <w:left w:val="single" w:sz="4" w:space="0" w:color="000000"/>
              <w:bottom w:val="nil" w:sz="6" w:space="0" w:color="auto"/>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4"/>
              <w:jc w:val="right"/>
              <w:rPr>
                <w:rFonts w:ascii="Arial" w:hAnsi="Arial" w:cs="Arial" w:eastAsia="Arial" w:hint="default"/>
                <w:sz w:val="18"/>
                <w:szCs w:val="18"/>
              </w:rPr>
            </w:pPr>
            <w:r>
              <w:rPr>
                <w:rFonts w:ascii="Arial"/>
                <w:w w:val="95"/>
                <w:sz w:val="18"/>
              </w:rPr>
              <w:t>261</w:t>
            </w:r>
            <w:r>
              <w:rPr>
                <w:rFonts w:ascii="Arial"/>
                <w:sz w:val="18"/>
              </w:rPr>
            </w:r>
          </w:p>
        </w:tc>
        <w:tc>
          <w:tcPr>
            <w:tcW w:w="286" w:type="dxa"/>
            <w:tcBorders>
              <w:top w:val="single" w:sz="4" w:space="0" w:color="000000"/>
              <w:left w:val="nil" w:sz="6" w:space="0" w:color="auto"/>
              <w:bottom w:val="nil" w:sz="6" w:space="0" w:color="auto"/>
              <w:right w:val="nil" w:sz="6" w:space="0" w:color="auto"/>
            </w:tcBorders>
          </w:tcPr>
          <w:p>
            <w:pP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4"/>
              <w:jc w:val="right"/>
              <w:rPr>
                <w:rFonts w:ascii="Arial" w:hAnsi="Arial" w:cs="Arial" w:eastAsia="Arial" w:hint="default"/>
                <w:sz w:val="18"/>
                <w:szCs w:val="18"/>
              </w:rPr>
            </w:pPr>
            <w:r>
              <w:rPr>
                <w:rFonts w:ascii="Arial"/>
                <w:spacing w:val="-1"/>
                <w:sz w:val="18"/>
              </w:rPr>
              <w:t>218,952</w:t>
            </w:r>
          </w:p>
        </w:tc>
        <w:tc>
          <w:tcPr>
            <w:tcW w:w="288" w:type="dxa"/>
            <w:tcBorders>
              <w:top w:val="single" w:sz="4" w:space="0" w:color="000000"/>
              <w:left w:val="nil" w:sz="6" w:space="0" w:color="auto"/>
              <w:bottom w:val="nil" w:sz="6" w:space="0" w:color="auto"/>
              <w:right w:val="nil" w:sz="6" w:space="0" w:color="auto"/>
            </w:tcBorders>
          </w:tcPr>
          <w:p>
            <w:pP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408" w:right="0"/>
              <w:jc w:val="left"/>
              <w:rPr>
                <w:rFonts w:ascii="Arial" w:hAnsi="Arial" w:cs="Arial" w:eastAsia="Arial" w:hint="default"/>
                <w:sz w:val="18"/>
                <w:szCs w:val="18"/>
              </w:rPr>
            </w:pPr>
            <w:r>
              <w:rPr>
                <w:rFonts w:ascii="Arial"/>
                <w:sz w:val="18"/>
              </w:rPr>
              <w:t>(218,992)</w:t>
            </w:r>
          </w:p>
        </w:tc>
        <w:tc>
          <w:tcPr>
            <w:tcW w:w="276" w:type="dxa"/>
            <w:tcBorders>
              <w:top w:val="single" w:sz="4" w:space="0" w:color="000000"/>
              <w:left w:val="nil" w:sz="6" w:space="0" w:color="auto"/>
              <w:bottom w:val="nil" w:sz="6" w:space="0" w:color="auto"/>
              <w:right w:val="nil" w:sz="6" w:space="0" w:color="auto"/>
            </w:tcBorders>
          </w:tcPr>
          <w:p>
            <w:pPr/>
          </w:p>
        </w:tc>
        <w:tc>
          <w:tcPr>
            <w:tcW w:w="1378" w:type="dxa"/>
            <w:tcBorders>
              <w:top w:val="single" w:sz="4" w:space="0" w:color="000000"/>
              <w:left w:val="nil" w:sz="6" w:space="0" w:color="auto"/>
              <w:bottom w:val="nil" w:sz="6" w:space="0" w:color="auto"/>
              <w:right w:val="single" w:sz="4" w:space="0" w:color="000000"/>
            </w:tcBorders>
          </w:tcPr>
          <w:p>
            <w:pPr>
              <w:pStyle w:val="TableParagraph"/>
              <w:spacing w:line="240" w:lineRule="auto" w:before="28"/>
              <w:ind w:right="98"/>
              <w:jc w:val="right"/>
              <w:rPr>
                <w:rFonts w:ascii="Arial" w:hAnsi="Arial" w:cs="Arial" w:eastAsia="Arial" w:hint="default"/>
                <w:sz w:val="18"/>
                <w:szCs w:val="18"/>
              </w:rPr>
            </w:pPr>
            <w:r>
              <w:rPr>
                <w:rFonts w:ascii="Arial"/>
                <w:w w:val="95"/>
                <w:sz w:val="18"/>
              </w:rPr>
              <w:t>221</w:t>
            </w:r>
            <w:r>
              <w:rPr>
                <w:rFonts w:ascii="Arial"/>
                <w:sz w:val="18"/>
              </w:rPr>
            </w:r>
          </w:p>
        </w:tc>
      </w:tr>
      <w:tr>
        <w:trPr>
          <w:trHeight w:val="243" w:hRule="exact"/>
        </w:trPr>
        <w:tc>
          <w:tcPr>
            <w:tcW w:w="752" w:type="dxa"/>
            <w:tcBorders>
              <w:top w:val="nil" w:sz="6" w:space="0" w:color="auto"/>
              <w:left w:val="nil" w:sz="6" w:space="0" w:color="auto"/>
              <w:bottom w:val="nil" w:sz="6" w:space="0" w:color="auto"/>
              <w:right w:val="single" w:sz="4" w:space="0" w:color="000000"/>
            </w:tcBorders>
          </w:tcPr>
          <w:p>
            <w:pPr/>
          </w:p>
        </w:tc>
        <w:tc>
          <w:tcPr>
            <w:tcW w:w="2449" w:type="dxa"/>
            <w:tcBorders>
              <w:top w:val="nil" w:sz="6" w:space="0" w:color="auto"/>
              <w:left w:val="single" w:sz="4" w:space="0" w:color="000000"/>
              <w:bottom w:val="nil" w:sz="6" w:space="0" w:color="auto"/>
              <w:right w:val="nil" w:sz="6" w:space="0" w:color="auto"/>
            </w:tcBorders>
          </w:tcPr>
          <w:p>
            <w:pPr>
              <w:pStyle w:val="TableParagraph"/>
              <w:spacing w:line="200" w:lineRule="exact"/>
              <w:ind w:left="664"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Arial" w:hAnsi="Arial" w:cs="Arial" w:eastAsia="Arial" w:hint="default"/>
                <w:sz w:val="18"/>
                <w:szCs w:val="18"/>
              </w:rPr>
            </w:pPr>
            <w:r>
              <w:rPr>
                <w:rFonts w:ascii="Arial"/>
                <w:w w:val="95"/>
                <w:sz w:val="18"/>
              </w:rPr>
              <w:t>343</w:t>
            </w:r>
            <w:r>
              <w:rPr>
                <w:rFonts w:ascii="Arial"/>
                <w:sz w:val="18"/>
              </w:rPr>
            </w:r>
          </w:p>
        </w:tc>
        <w:tc>
          <w:tcPr>
            <w:tcW w:w="28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4"/>
              <w:jc w:val="right"/>
              <w:rPr>
                <w:rFonts w:ascii="Arial" w:hAnsi="Arial" w:cs="Arial" w:eastAsia="Arial" w:hint="default"/>
                <w:sz w:val="18"/>
                <w:szCs w:val="18"/>
              </w:rPr>
            </w:pPr>
            <w:r>
              <w:rPr>
                <w:rFonts w:ascii="Arial"/>
                <w:spacing w:val="-1"/>
                <w:sz w:val="18"/>
              </w:rPr>
              <w:t>287,832</w:t>
            </w:r>
          </w:p>
        </w:tc>
        <w:tc>
          <w:tcPr>
            <w:tcW w:w="28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08" w:right="0"/>
              <w:jc w:val="left"/>
              <w:rPr>
                <w:rFonts w:ascii="Arial" w:hAnsi="Arial" w:cs="Arial" w:eastAsia="Arial" w:hint="default"/>
                <w:sz w:val="18"/>
                <w:szCs w:val="18"/>
              </w:rPr>
            </w:pPr>
            <w:r>
              <w:rPr>
                <w:rFonts w:ascii="Arial"/>
                <w:sz w:val="18"/>
              </w:rPr>
              <w:t>(287,884)</w:t>
            </w:r>
          </w:p>
        </w:tc>
        <w:tc>
          <w:tcPr>
            <w:tcW w:w="27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right="98"/>
              <w:jc w:val="right"/>
              <w:rPr>
                <w:rFonts w:ascii="Arial" w:hAnsi="Arial" w:cs="Arial" w:eastAsia="Arial" w:hint="default"/>
                <w:sz w:val="18"/>
                <w:szCs w:val="18"/>
              </w:rPr>
            </w:pPr>
            <w:r>
              <w:rPr>
                <w:rFonts w:ascii="Arial"/>
                <w:w w:val="95"/>
                <w:sz w:val="18"/>
              </w:rPr>
              <w:t>291</w:t>
            </w:r>
            <w:r>
              <w:rPr>
                <w:rFonts w:ascii="Arial"/>
                <w:sz w:val="18"/>
              </w:rPr>
            </w:r>
          </w:p>
        </w:tc>
      </w:tr>
      <w:tr>
        <w:trPr>
          <w:trHeight w:val="240" w:hRule="exact"/>
        </w:trPr>
        <w:tc>
          <w:tcPr>
            <w:tcW w:w="752" w:type="dxa"/>
            <w:tcBorders>
              <w:top w:val="nil" w:sz="6" w:space="0" w:color="auto"/>
              <w:left w:val="nil" w:sz="6" w:space="0" w:color="auto"/>
              <w:bottom w:val="nil" w:sz="6" w:space="0" w:color="auto"/>
              <w:right w:val="single" w:sz="4" w:space="0" w:color="000000"/>
            </w:tcBorders>
          </w:tcPr>
          <w:p>
            <w:pPr/>
          </w:p>
        </w:tc>
        <w:tc>
          <w:tcPr>
            <w:tcW w:w="2449" w:type="dxa"/>
            <w:tcBorders>
              <w:top w:val="nil" w:sz="6" w:space="0" w:color="auto"/>
              <w:left w:val="single" w:sz="4" w:space="0" w:color="000000"/>
              <w:bottom w:val="nil" w:sz="6" w:space="0" w:color="auto"/>
              <w:right w:val="nil" w:sz="6" w:space="0" w:color="auto"/>
            </w:tcBorders>
          </w:tcPr>
          <w:p>
            <w:pPr>
              <w:pStyle w:val="TableParagraph"/>
              <w:spacing w:line="200" w:lineRule="exact"/>
              <w:ind w:left="66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3"/>
              <w:jc w:val="right"/>
              <w:rPr>
                <w:rFonts w:ascii="Arial" w:hAnsi="Arial" w:cs="Arial" w:eastAsia="Arial" w:hint="default"/>
                <w:sz w:val="18"/>
                <w:szCs w:val="18"/>
              </w:rPr>
            </w:pPr>
            <w:r>
              <w:rPr>
                <w:rFonts w:ascii="Arial"/>
                <w:w w:val="95"/>
                <w:sz w:val="18"/>
              </w:rPr>
              <w:t>61</w:t>
            </w:r>
            <w:r>
              <w:rPr>
                <w:rFonts w:ascii="Arial"/>
                <w:sz w:val="18"/>
              </w:rPr>
            </w:r>
          </w:p>
        </w:tc>
        <w:tc>
          <w:tcPr>
            <w:tcW w:w="28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2"/>
              <w:jc w:val="right"/>
              <w:rPr>
                <w:rFonts w:ascii="Arial" w:hAnsi="Arial" w:cs="Arial" w:eastAsia="Arial" w:hint="default"/>
                <w:sz w:val="18"/>
                <w:szCs w:val="18"/>
              </w:rPr>
            </w:pPr>
            <w:r>
              <w:rPr>
                <w:rFonts w:ascii="Arial"/>
                <w:spacing w:val="-1"/>
                <w:sz w:val="18"/>
              </w:rPr>
              <w:t>51,563</w:t>
            </w:r>
          </w:p>
        </w:tc>
        <w:tc>
          <w:tcPr>
            <w:tcW w:w="28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11" w:right="0"/>
              <w:jc w:val="left"/>
              <w:rPr>
                <w:rFonts w:ascii="Arial" w:hAnsi="Arial" w:cs="Arial" w:eastAsia="Arial" w:hint="default"/>
                <w:sz w:val="18"/>
                <w:szCs w:val="18"/>
              </w:rPr>
            </w:pPr>
            <w:r>
              <w:rPr>
                <w:rFonts w:ascii="Arial"/>
                <w:sz w:val="18"/>
              </w:rPr>
              <w:t>(51,573)</w:t>
            </w:r>
          </w:p>
        </w:tc>
        <w:tc>
          <w:tcPr>
            <w:tcW w:w="27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right="98"/>
              <w:jc w:val="right"/>
              <w:rPr>
                <w:rFonts w:ascii="Arial" w:hAnsi="Arial" w:cs="Arial" w:eastAsia="Arial" w:hint="default"/>
                <w:sz w:val="18"/>
                <w:szCs w:val="18"/>
              </w:rPr>
            </w:pPr>
            <w:r>
              <w:rPr>
                <w:rFonts w:ascii="Arial"/>
                <w:w w:val="95"/>
                <w:sz w:val="18"/>
              </w:rPr>
              <w:t>51</w:t>
            </w:r>
            <w:r>
              <w:rPr>
                <w:rFonts w:ascii="Arial"/>
                <w:sz w:val="18"/>
              </w:rPr>
            </w:r>
          </w:p>
        </w:tc>
      </w:tr>
      <w:tr>
        <w:trPr>
          <w:trHeight w:val="233" w:hRule="exact"/>
        </w:trPr>
        <w:tc>
          <w:tcPr>
            <w:tcW w:w="752" w:type="dxa"/>
            <w:tcBorders>
              <w:top w:val="nil" w:sz="6" w:space="0" w:color="auto"/>
              <w:left w:val="nil" w:sz="6" w:space="0" w:color="auto"/>
              <w:bottom w:val="nil" w:sz="6" w:space="0" w:color="auto"/>
              <w:right w:val="single" w:sz="4" w:space="0" w:color="000000"/>
            </w:tcBorders>
          </w:tcPr>
          <w:p>
            <w:pPr/>
          </w:p>
        </w:tc>
        <w:tc>
          <w:tcPr>
            <w:tcW w:w="2449" w:type="dxa"/>
            <w:tcBorders>
              <w:top w:val="nil" w:sz="6" w:space="0" w:color="auto"/>
              <w:left w:val="single" w:sz="4" w:space="0" w:color="000000"/>
              <w:bottom w:val="nil" w:sz="6" w:space="0" w:color="auto"/>
              <w:right w:val="nil" w:sz="6" w:space="0" w:color="auto"/>
            </w:tcBorders>
          </w:tcPr>
          <w:p>
            <w:pPr>
              <w:pStyle w:val="TableParagraph"/>
              <w:spacing w:line="195" w:lineRule="exact"/>
              <w:ind w:left="66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3"/>
              <w:jc w:val="right"/>
              <w:rPr>
                <w:rFonts w:ascii="Arial" w:hAnsi="Arial" w:cs="Arial" w:eastAsia="Arial" w:hint="default"/>
                <w:sz w:val="18"/>
                <w:szCs w:val="18"/>
              </w:rPr>
            </w:pPr>
            <w:r>
              <w:rPr>
                <w:rFonts w:ascii="Arial"/>
                <w:w w:val="95"/>
                <w:sz w:val="18"/>
              </w:rPr>
              <w:t>17</w:t>
            </w:r>
            <w:r>
              <w:rPr>
                <w:rFonts w:ascii="Arial"/>
                <w:sz w:val="18"/>
              </w:rPr>
            </w:r>
          </w:p>
        </w:tc>
        <w:tc>
          <w:tcPr>
            <w:tcW w:w="28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2"/>
              <w:jc w:val="right"/>
              <w:rPr>
                <w:rFonts w:ascii="Arial" w:hAnsi="Arial" w:cs="Arial" w:eastAsia="Arial" w:hint="default"/>
                <w:sz w:val="18"/>
                <w:szCs w:val="18"/>
              </w:rPr>
            </w:pPr>
            <w:r>
              <w:rPr>
                <w:rFonts w:ascii="Arial"/>
                <w:spacing w:val="-1"/>
                <w:sz w:val="18"/>
              </w:rPr>
              <w:t>14,238</w:t>
            </w:r>
          </w:p>
        </w:tc>
        <w:tc>
          <w:tcPr>
            <w:tcW w:w="28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11" w:right="0"/>
              <w:jc w:val="left"/>
              <w:rPr>
                <w:rFonts w:ascii="Arial" w:hAnsi="Arial" w:cs="Arial" w:eastAsia="Arial" w:hint="default"/>
                <w:sz w:val="18"/>
                <w:szCs w:val="18"/>
              </w:rPr>
            </w:pPr>
            <w:r>
              <w:rPr>
                <w:rFonts w:ascii="Arial"/>
                <w:sz w:val="18"/>
              </w:rPr>
              <w:t>(14,240)</w:t>
            </w:r>
          </w:p>
        </w:tc>
        <w:tc>
          <w:tcPr>
            <w:tcW w:w="27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right="98"/>
              <w:jc w:val="right"/>
              <w:rPr>
                <w:rFonts w:ascii="Arial" w:hAnsi="Arial" w:cs="Arial" w:eastAsia="Arial" w:hint="default"/>
                <w:sz w:val="18"/>
                <w:szCs w:val="18"/>
              </w:rPr>
            </w:pPr>
            <w:r>
              <w:rPr>
                <w:rFonts w:ascii="Arial"/>
                <w:w w:val="95"/>
                <w:sz w:val="18"/>
              </w:rPr>
              <w:t>15</w:t>
            </w:r>
            <w:r>
              <w:rPr>
                <w:rFonts w:ascii="Arial"/>
                <w:sz w:val="18"/>
              </w:rPr>
            </w:r>
          </w:p>
        </w:tc>
      </w:tr>
      <w:tr>
        <w:trPr>
          <w:trHeight w:val="227" w:hRule="exact"/>
        </w:trPr>
        <w:tc>
          <w:tcPr>
            <w:tcW w:w="752" w:type="dxa"/>
            <w:tcBorders>
              <w:top w:val="nil" w:sz="6" w:space="0" w:color="auto"/>
              <w:left w:val="nil" w:sz="6" w:space="0" w:color="auto"/>
              <w:bottom w:val="nil" w:sz="6" w:space="0" w:color="auto"/>
              <w:right w:val="single" w:sz="4" w:space="0" w:color="000000"/>
            </w:tcBorders>
          </w:tcPr>
          <w:p>
            <w:pPr/>
          </w:p>
        </w:tc>
        <w:tc>
          <w:tcPr>
            <w:tcW w:w="2449" w:type="dxa"/>
            <w:tcBorders>
              <w:top w:val="nil" w:sz="6" w:space="0" w:color="auto"/>
              <w:left w:val="single" w:sz="4" w:space="0" w:color="000000"/>
              <w:bottom w:val="single" w:sz="4" w:space="0" w:color="000000"/>
              <w:right w:val="nil" w:sz="6" w:space="0" w:color="auto"/>
            </w:tcBorders>
          </w:tcPr>
          <w:p>
            <w:pPr>
              <w:pStyle w:val="TableParagraph"/>
              <w:spacing w:line="195" w:lineRule="exact"/>
              <w:ind w:left="66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234"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103"/>
              <w:jc w:val="right"/>
              <w:rPr>
                <w:rFonts w:ascii="Arial" w:hAnsi="Arial" w:cs="Arial" w:eastAsia="Arial" w:hint="default"/>
                <w:sz w:val="18"/>
                <w:szCs w:val="18"/>
              </w:rPr>
            </w:pPr>
            <w:r>
              <w:rPr>
                <w:rFonts w:ascii="Arial"/>
                <w:w w:val="95"/>
                <w:sz w:val="18"/>
              </w:rPr>
              <w:t>29</w:t>
            </w:r>
            <w:r>
              <w:rPr>
                <w:rFonts w:ascii="Arial"/>
                <w:sz w:val="18"/>
              </w:rPr>
            </w:r>
          </w:p>
        </w:tc>
        <w:tc>
          <w:tcPr>
            <w:tcW w:w="286" w:type="dxa"/>
            <w:tcBorders>
              <w:top w:val="nil" w:sz="6" w:space="0" w:color="auto"/>
              <w:left w:val="nil" w:sz="6" w:space="0" w:color="auto"/>
              <w:bottom w:val="single" w:sz="4" w:space="0" w:color="000000"/>
              <w:right w:val="nil" w:sz="6" w:space="0" w:color="auto"/>
            </w:tcBorders>
          </w:tcPr>
          <w:p>
            <w:pPr/>
          </w:p>
        </w:tc>
        <w:tc>
          <w:tcPr>
            <w:tcW w:w="1210"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102"/>
              <w:jc w:val="right"/>
              <w:rPr>
                <w:rFonts w:ascii="Arial" w:hAnsi="Arial" w:cs="Arial" w:eastAsia="Arial" w:hint="default"/>
                <w:sz w:val="18"/>
                <w:szCs w:val="18"/>
              </w:rPr>
            </w:pPr>
            <w:r>
              <w:rPr>
                <w:rFonts w:ascii="Arial"/>
                <w:spacing w:val="-1"/>
                <w:sz w:val="18"/>
              </w:rPr>
              <w:t>24,628</w:t>
            </w:r>
          </w:p>
        </w:tc>
        <w:tc>
          <w:tcPr>
            <w:tcW w:w="288" w:type="dxa"/>
            <w:tcBorders>
              <w:top w:val="nil" w:sz="6" w:space="0" w:color="auto"/>
              <w:left w:val="nil" w:sz="6" w:space="0" w:color="auto"/>
              <w:bottom w:val="single" w:sz="4" w:space="0" w:color="000000"/>
              <w:right w:val="nil" w:sz="6" w:space="0" w:color="auto"/>
            </w:tcBorders>
          </w:tcPr>
          <w:p>
            <w:pP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511" w:right="0"/>
              <w:jc w:val="left"/>
              <w:rPr>
                <w:rFonts w:ascii="Arial" w:hAnsi="Arial" w:cs="Arial" w:eastAsia="Arial" w:hint="default"/>
                <w:sz w:val="18"/>
                <w:szCs w:val="18"/>
              </w:rPr>
            </w:pPr>
            <w:r>
              <w:rPr>
                <w:rFonts w:ascii="Arial"/>
                <w:sz w:val="18"/>
              </w:rPr>
              <w:t>(24,632)</w:t>
            </w:r>
          </w:p>
        </w:tc>
        <w:tc>
          <w:tcPr>
            <w:tcW w:w="276" w:type="dxa"/>
            <w:tcBorders>
              <w:top w:val="nil" w:sz="6" w:space="0" w:color="auto"/>
              <w:left w:val="nil" w:sz="6" w:space="0" w:color="auto"/>
              <w:bottom w:val="single" w:sz="4" w:space="0" w:color="000000"/>
              <w:right w:val="nil" w:sz="6" w:space="0" w:color="auto"/>
            </w:tcBorders>
          </w:tcPr>
          <w:p>
            <w:pPr/>
          </w:p>
        </w:tc>
        <w:tc>
          <w:tcPr>
            <w:tcW w:w="1378" w:type="dxa"/>
            <w:tcBorders>
              <w:top w:val="nil" w:sz="6" w:space="0" w:color="auto"/>
              <w:left w:val="nil" w:sz="6" w:space="0" w:color="auto"/>
              <w:bottom w:val="single" w:sz="4" w:space="0" w:color="000000"/>
              <w:right w:val="single" w:sz="4" w:space="0" w:color="000000"/>
            </w:tcBorders>
          </w:tcPr>
          <w:p>
            <w:pPr>
              <w:pStyle w:val="TableParagraph"/>
              <w:spacing w:line="240" w:lineRule="auto" w:before="15"/>
              <w:ind w:right="98"/>
              <w:jc w:val="right"/>
              <w:rPr>
                <w:rFonts w:ascii="Arial" w:hAnsi="Arial" w:cs="Arial" w:eastAsia="Arial" w:hint="default"/>
                <w:sz w:val="18"/>
                <w:szCs w:val="18"/>
              </w:rPr>
            </w:pPr>
            <w:r>
              <w:rPr>
                <w:rFonts w:ascii="Arial"/>
                <w:w w:val="95"/>
                <w:sz w:val="18"/>
              </w:rPr>
              <w:t>25</w:t>
            </w:r>
            <w:r>
              <w:rPr>
                <w:rFonts w:ascii="Arial"/>
                <w:sz w:val="18"/>
              </w:rPr>
            </w:r>
          </w:p>
        </w:tc>
      </w:tr>
      <w:tr>
        <w:trPr>
          <w:trHeight w:val="249" w:hRule="exact"/>
        </w:trPr>
        <w:tc>
          <w:tcPr>
            <w:tcW w:w="752" w:type="dxa"/>
            <w:tcBorders>
              <w:top w:val="nil" w:sz="6" w:space="0" w:color="auto"/>
              <w:left w:val="nil" w:sz="6" w:space="0" w:color="auto"/>
              <w:bottom w:val="nil" w:sz="6" w:space="0" w:color="auto"/>
              <w:right w:val="nil" w:sz="6" w:space="0" w:color="auto"/>
            </w:tcBorders>
          </w:tcPr>
          <w:p>
            <w:pPr/>
          </w:p>
        </w:tc>
        <w:tc>
          <w:tcPr>
            <w:tcW w:w="2449" w:type="dxa"/>
            <w:tcBorders>
              <w:top w:val="single" w:sz="4" w:space="0" w:color="000000"/>
              <w:left w:val="nil" w:sz="6" w:space="0" w:color="auto"/>
              <w:bottom w:val="nil" w:sz="6" w:space="0" w:color="auto"/>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104"/>
              <w:jc w:val="right"/>
              <w:rPr>
                <w:rFonts w:ascii="Arial" w:hAnsi="Arial" w:cs="Arial" w:eastAsia="Arial" w:hint="default"/>
                <w:sz w:val="18"/>
                <w:szCs w:val="18"/>
              </w:rPr>
            </w:pPr>
            <w:r>
              <w:rPr>
                <w:rFonts w:ascii="Arial"/>
                <w:w w:val="95"/>
                <w:sz w:val="18"/>
              </w:rPr>
              <w:t>1,712</w:t>
            </w:r>
            <w:r>
              <w:rPr>
                <w:rFonts w:ascii="Arial"/>
                <w:sz w:val="18"/>
              </w:rPr>
            </w:r>
          </w:p>
        </w:tc>
        <w:tc>
          <w:tcPr>
            <w:tcW w:w="286" w:type="dxa"/>
            <w:tcBorders>
              <w:top w:val="single" w:sz="4" w:space="0" w:color="000000"/>
              <w:left w:val="nil" w:sz="6" w:space="0" w:color="auto"/>
              <w:bottom w:val="nil" w:sz="6" w:space="0" w:color="auto"/>
              <w:right w:val="nil" w:sz="6" w:space="0" w:color="auto"/>
            </w:tcBorders>
          </w:tcPr>
          <w:p>
            <w:pP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101,780</w:t>
            </w:r>
          </w:p>
        </w:tc>
        <w:tc>
          <w:tcPr>
            <w:tcW w:w="288" w:type="dxa"/>
            <w:tcBorders>
              <w:top w:val="single" w:sz="4" w:space="0" w:color="000000"/>
              <w:left w:val="nil" w:sz="6" w:space="0" w:color="auto"/>
              <w:bottom w:val="nil" w:sz="6" w:space="0" w:color="auto"/>
              <w:right w:val="nil" w:sz="6" w:space="0" w:color="auto"/>
            </w:tcBorders>
          </w:tcPr>
          <w:p>
            <w:pP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410" w:right="0"/>
              <w:jc w:val="left"/>
              <w:rPr>
                <w:rFonts w:ascii="Arial" w:hAnsi="Arial" w:cs="Arial" w:eastAsia="Arial" w:hint="default"/>
                <w:sz w:val="18"/>
                <w:szCs w:val="18"/>
              </w:rPr>
            </w:pPr>
            <w:r>
              <w:rPr>
                <w:rFonts w:ascii="Arial"/>
                <w:sz w:val="18"/>
              </w:rPr>
              <w:t>(103,492)</w:t>
            </w:r>
          </w:p>
        </w:tc>
        <w:tc>
          <w:tcPr>
            <w:tcW w:w="276" w:type="dxa"/>
            <w:tcBorders>
              <w:top w:val="single" w:sz="4" w:space="0" w:color="000000"/>
              <w:left w:val="nil" w:sz="6" w:space="0" w:color="auto"/>
              <w:bottom w:val="nil" w:sz="6" w:space="0" w:color="auto"/>
              <w:right w:val="nil" w:sz="6" w:space="0" w:color="auto"/>
            </w:tcBorders>
          </w:tcPr>
          <w:p>
            <w:pP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52"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nil" w:sz="6" w:space="0" w:color="auto"/>
              <w:right w:val="nil" w:sz="6" w:space="0" w:color="auto"/>
            </w:tcBorders>
          </w:tcPr>
          <w:p>
            <w:pPr>
              <w:pStyle w:val="TableParagraph"/>
              <w:spacing w:line="196" w:lineRule="exact"/>
              <w:ind w:left="108"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4"/>
              <w:jc w:val="right"/>
              <w:rPr>
                <w:rFonts w:ascii="Arial" w:hAnsi="Arial" w:cs="Arial" w:eastAsia="Arial" w:hint="default"/>
                <w:sz w:val="18"/>
                <w:szCs w:val="18"/>
              </w:rPr>
            </w:pPr>
            <w:r>
              <w:rPr>
                <w:rFonts w:ascii="Arial"/>
                <w:spacing w:val="-1"/>
                <w:sz w:val="18"/>
              </w:rPr>
              <w:t>16,341</w:t>
            </w:r>
          </w:p>
        </w:tc>
        <w:tc>
          <w:tcPr>
            <w:tcW w:w="28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2"/>
              <w:jc w:val="right"/>
              <w:rPr>
                <w:rFonts w:ascii="Arial" w:hAnsi="Arial" w:cs="Arial" w:eastAsia="Arial" w:hint="default"/>
                <w:sz w:val="18"/>
                <w:szCs w:val="18"/>
              </w:rPr>
            </w:pPr>
            <w:r>
              <w:rPr>
                <w:rFonts w:ascii="Arial"/>
                <w:spacing w:val="-1"/>
                <w:sz w:val="18"/>
              </w:rPr>
              <w:t>15,845</w:t>
            </w:r>
          </w:p>
        </w:tc>
        <w:tc>
          <w:tcPr>
            <w:tcW w:w="28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11" w:right="0"/>
              <w:jc w:val="left"/>
              <w:rPr>
                <w:rFonts w:ascii="Arial" w:hAnsi="Arial" w:cs="Arial" w:eastAsia="Arial" w:hint="default"/>
                <w:sz w:val="18"/>
                <w:szCs w:val="18"/>
              </w:rPr>
            </w:pPr>
            <w:r>
              <w:rPr>
                <w:rFonts w:ascii="Arial"/>
                <w:sz w:val="18"/>
              </w:rPr>
              <w:t>(19,617)</w:t>
            </w:r>
          </w:p>
        </w:tc>
        <w:tc>
          <w:tcPr>
            <w:tcW w:w="27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4"/>
              <w:jc w:val="right"/>
              <w:rPr>
                <w:rFonts w:ascii="Arial" w:hAnsi="Arial" w:cs="Arial" w:eastAsia="Arial" w:hint="default"/>
                <w:sz w:val="18"/>
                <w:szCs w:val="18"/>
              </w:rPr>
            </w:pPr>
            <w:r>
              <w:rPr>
                <w:rFonts w:ascii="Arial"/>
                <w:spacing w:val="-1"/>
                <w:sz w:val="18"/>
              </w:rPr>
              <w:t>12,569</w:t>
            </w:r>
          </w:p>
        </w:tc>
      </w:tr>
      <w:tr>
        <w:trPr>
          <w:trHeight w:val="234" w:hRule="exact"/>
        </w:trPr>
        <w:tc>
          <w:tcPr>
            <w:tcW w:w="752"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nil" w:sz="6" w:space="0" w:color="auto"/>
              <w:right w:val="nil" w:sz="6" w:space="0" w:color="auto"/>
            </w:tcBorders>
          </w:tcPr>
          <w:p>
            <w:pPr>
              <w:pStyle w:val="TableParagraph"/>
              <w:spacing w:line="195"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34" w:type="dxa"/>
            <w:tcBorders>
              <w:top w:val="nil" w:sz="6" w:space="0" w:color="auto"/>
              <w:left w:val="nil" w:sz="6" w:space="0" w:color="auto"/>
              <w:bottom w:val="nil" w:sz="6" w:space="0" w:color="auto"/>
              <w:right w:val="nil" w:sz="6" w:space="0" w:color="auto"/>
            </w:tcBorders>
          </w:tcPr>
          <w:p>
            <w:pPr>
              <w:pStyle w:val="TableParagraph"/>
              <w:tabs>
                <w:tab w:pos="1024" w:val="left" w:leader="none"/>
                <w:tab w:pos="1233"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w w:val="95"/>
                <w:sz w:val="18"/>
                <w:u w:val="single" w:color="000000"/>
              </w:rPr>
              <w:t>6</w:t>
            </w:r>
            <w:r>
              <w:rPr>
                <w:rFonts w:ascii="Arial"/>
                <w:sz w:val="18"/>
                <w:u w:val="single" w:color="000000"/>
              </w:rPr>
              <w:tab/>
            </w:r>
            <w:r>
              <w:rPr>
                <w:rFonts w:ascii="Arial"/>
                <w:sz w:val="18"/>
              </w:rPr>
            </w:r>
          </w:p>
        </w:tc>
        <w:tc>
          <w:tcPr>
            <w:tcW w:w="28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tabs>
                <w:tab w:pos="465" w:val="left" w:leader="none"/>
                <w:tab w:pos="1209"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2"/>
                <w:w w:val="95"/>
                <w:sz w:val="18"/>
                <w:u w:val="single" w:color="000000"/>
              </w:rPr>
              <w:t>112,806</w:t>
            </w:r>
            <w:r>
              <w:rPr>
                <w:rFonts w:ascii="Arial"/>
                <w:spacing w:val="-2"/>
                <w:sz w:val="18"/>
                <w:u w:val="single" w:color="000000"/>
              </w:rPr>
              <w:tab/>
            </w:r>
            <w:r>
              <w:rPr>
                <w:rFonts w:ascii="Arial"/>
                <w:spacing w:val="-2"/>
                <w:sz w:val="18"/>
              </w:rPr>
            </w:r>
          </w:p>
        </w:tc>
        <w:tc>
          <w:tcPr>
            <w:tcW w:w="28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tabs>
                <w:tab w:pos="422" w:val="left" w:leader="none"/>
                <w:tab w:pos="1289" w:val="left" w:leader="none"/>
              </w:tabs>
              <w:spacing w:line="240" w:lineRule="auto" w:before="15"/>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(112,812)</w:t>
              <w:tab/>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r>
      <w:tr>
        <w:trPr>
          <w:trHeight w:val="217" w:hRule="exact"/>
        </w:trPr>
        <w:tc>
          <w:tcPr>
            <w:tcW w:w="752" w:type="dxa"/>
            <w:tcBorders>
              <w:top w:val="nil" w:sz="6" w:space="0" w:color="auto"/>
              <w:left w:val="nil" w:sz="6" w:space="0" w:color="auto"/>
              <w:bottom w:val="nil" w:sz="6" w:space="0" w:color="auto"/>
              <w:right w:val="nil" w:sz="6" w:space="0" w:color="auto"/>
            </w:tcBorders>
          </w:tcPr>
          <w:p>
            <w:pPr/>
          </w:p>
        </w:tc>
        <w:tc>
          <w:tcPr>
            <w:tcW w:w="3682" w:type="dxa"/>
            <w:gridSpan w:val="2"/>
            <w:tcBorders>
              <w:top w:val="nil" w:sz="6" w:space="0" w:color="auto"/>
              <w:left w:val="nil" w:sz="6" w:space="0" w:color="auto"/>
              <w:bottom w:val="nil" w:sz="6" w:space="0" w:color="auto"/>
              <w:right w:val="nil" w:sz="6" w:space="0" w:color="auto"/>
            </w:tcBorders>
          </w:tcPr>
          <w:p>
            <w:pPr>
              <w:pStyle w:val="TableParagraph"/>
              <w:spacing w:line="200" w:lineRule="exact"/>
              <w:ind w:right="104"/>
              <w:jc w:val="right"/>
              <w:rPr>
                <w:rFonts w:ascii="Arial" w:hAnsi="Arial" w:cs="Arial" w:eastAsia="Arial" w:hint="default"/>
                <w:sz w:val="18"/>
                <w:szCs w:val="18"/>
              </w:rPr>
            </w:pPr>
            <w:r>
              <w:rPr>
                <w:rFonts w:ascii="Arial"/>
                <w:spacing w:val="-1"/>
                <w:sz w:val="18"/>
              </w:rPr>
              <w:t>273,558</w:t>
            </w:r>
          </w:p>
        </w:tc>
        <w:tc>
          <w:tcPr>
            <w:tcW w:w="28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single" w:sz="12" w:space="0" w:color="000000"/>
              <w:right w:val="nil" w:sz="6" w:space="0" w:color="auto"/>
            </w:tcBorders>
          </w:tcPr>
          <w:p>
            <w:pPr>
              <w:pStyle w:val="TableParagraph"/>
              <w:spacing w:line="200" w:lineRule="exact"/>
              <w:ind w:left="302" w:right="0"/>
              <w:jc w:val="left"/>
              <w:rPr>
                <w:rFonts w:ascii="Arial" w:hAnsi="Arial" w:cs="Arial" w:eastAsia="Arial" w:hint="default"/>
                <w:sz w:val="18"/>
                <w:szCs w:val="18"/>
              </w:rPr>
            </w:pPr>
            <w:r>
              <w:rPr>
                <w:rFonts w:ascii="Arial"/>
                <w:sz w:val="18"/>
              </w:rPr>
              <w:t>4,433,321</w:t>
            </w:r>
          </w:p>
        </w:tc>
        <w:tc>
          <w:tcPr>
            <w:tcW w:w="28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12" w:space="0" w:color="000000"/>
              <w:right w:val="nil" w:sz="6" w:space="0" w:color="auto"/>
            </w:tcBorders>
          </w:tcPr>
          <w:p>
            <w:pPr>
              <w:pStyle w:val="TableParagraph"/>
              <w:spacing w:line="200" w:lineRule="exact"/>
              <w:ind w:left="259" w:right="0"/>
              <w:jc w:val="left"/>
              <w:rPr>
                <w:rFonts w:ascii="Arial" w:hAnsi="Arial" w:cs="Arial" w:eastAsia="Arial" w:hint="default"/>
                <w:sz w:val="18"/>
                <w:szCs w:val="18"/>
              </w:rPr>
            </w:pPr>
            <w:r>
              <w:rPr>
                <w:rFonts w:ascii="Arial"/>
                <w:sz w:val="18"/>
              </w:rPr>
              <w:t>(4,448,041)</w:t>
            </w:r>
          </w:p>
        </w:tc>
        <w:tc>
          <w:tcPr>
            <w:tcW w:w="27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single" w:sz="12" w:space="0" w:color="000000"/>
              <w:right w:val="nil" w:sz="6" w:space="0" w:color="auto"/>
            </w:tcBorders>
          </w:tcPr>
          <w:p>
            <w:pPr>
              <w:pStyle w:val="TableParagraph"/>
              <w:spacing w:line="200" w:lineRule="exact"/>
              <w:ind w:right="104"/>
              <w:jc w:val="right"/>
              <w:rPr>
                <w:rFonts w:ascii="Arial" w:hAnsi="Arial" w:cs="Arial" w:eastAsia="Arial" w:hint="default"/>
                <w:sz w:val="18"/>
                <w:szCs w:val="18"/>
              </w:rPr>
            </w:pPr>
            <w:r>
              <w:rPr>
                <w:rFonts w:ascii="Arial"/>
                <w:spacing w:val="-1"/>
                <w:sz w:val="18"/>
              </w:rPr>
              <w:t>258,838</w:t>
            </w:r>
          </w:p>
        </w:tc>
      </w:tr>
      <w:tr>
        <w:trPr>
          <w:trHeight w:val="888" w:hRule="exact"/>
        </w:trPr>
        <w:tc>
          <w:tcPr>
            <w:tcW w:w="752" w:type="dxa"/>
            <w:tcBorders>
              <w:top w:val="nil" w:sz="6" w:space="0" w:color="auto"/>
              <w:left w:val="nil" w:sz="6" w:space="0" w:color="auto"/>
              <w:bottom w:val="nil" w:sz="6" w:space="0" w:color="auto"/>
              <w:right w:val="nil" w:sz="6" w:space="0" w:color="auto"/>
            </w:tcBorders>
          </w:tcPr>
          <w:p>
            <w:pPr/>
          </w:p>
        </w:tc>
        <w:tc>
          <w:tcPr>
            <w:tcW w:w="8409"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22" w:lineRule="exact"/>
              <w:ind w:left="108"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3"/>
                <w:sz w:val="24"/>
                <w:szCs w:val="24"/>
              </w:rPr>
              <w:t> </w:t>
            </w: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12</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日，应付职工薪酬中没有属于拖欠性质的应付款，且该余</w:t>
            </w:r>
          </w:p>
          <w:p>
            <w:pPr>
              <w:pStyle w:val="TableParagraph"/>
              <w:spacing w:line="322" w:lineRule="exact"/>
              <w:ind w:left="108" w:right="0"/>
              <w:jc w:val="left"/>
              <w:rPr>
                <w:rFonts w:ascii="宋体" w:hAnsi="宋体" w:cs="宋体" w:eastAsia="宋体" w:hint="default"/>
                <w:sz w:val="24"/>
                <w:szCs w:val="24"/>
              </w:rPr>
            </w:pPr>
            <w:r>
              <w:rPr>
                <w:rFonts w:ascii="宋体" w:hAnsi="宋体" w:cs="宋体" w:eastAsia="宋体" w:hint="default"/>
                <w:sz w:val="24"/>
                <w:szCs w:val="24"/>
              </w:rPr>
              <w:t>额预计将于</w:t>
            </w:r>
            <w:r>
              <w:rPr>
                <w:rFonts w:ascii="宋体" w:hAnsi="宋体" w:cs="宋体" w:eastAsia="宋体" w:hint="default"/>
                <w:spacing w:val="-62"/>
                <w:sz w:val="24"/>
                <w:szCs w:val="24"/>
              </w:rPr>
              <w:t> </w:t>
            </w: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年度全部发放和使用完毕。</w:t>
            </w:r>
          </w:p>
        </w:tc>
      </w:tr>
    </w:tbl>
    <w:p>
      <w:pPr>
        <w:spacing w:line="240" w:lineRule="auto" w:before="5"/>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82"/>
        <w:gridCol w:w="3006"/>
        <w:gridCol w:w="2352"/>
        <w:gridCol w:w="494"/>
        <w:gridCol w:w="2314"/>
      </w:tblGrid>
      <w:tr>
        <w:trPr>
          <w:trHeight w:val="422" w:hRule="exact"/>
        </w:trPr>
        <w:tc>
          <w:tcPr>
            <w:tcW w:w="78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(25)</w:t>
            </w:r>
          </w:p>
        </w:tc>
        <w:tc>
          <w:tcPr>
            <w:tcW w:w="3006" w:type="dxa"/>
            <w:tcBorders>
              <w:top w:val="nil" w:sz="6" w:space="0" w:color="auto"/>
              <w:left w:val="nil" w:sz="6" w:space="0" w:color="auto"/>
              <w:bottom w:val="nil" w:sz="6" w:space="0" w:color="auto"/>
              <w:right w:val="nil" w:sz="6" w:space="0" w:color="auto"/>
            </w:tcBorders>
          </w:tcPr>
          <w:p>
            <w:pPr>
              <w:pStyle w:val="TableParagraph"/>
              <w:spacing w:line="247" w:lineRule="exact"/>
              <w:ind w:left="154" w:right="0"/>
              <w:jc w:val="left"/>
              <w:rPr>
                <w:rFonts w:ascii="黑体" w:hAnsi="黑体" w:cs="黑体" w:eastAsia="黑体" w:hint="default"/>
                <w:sz w:val="24"/>
                <w:szCs w:val="24"/>
              </w:rPr>
            </w:pPr>
            <w:r>
              <w:rPr>
                <w:rFonts w:ascii="黑体" w:hAnsi="黑体" w:cs="黑体" w:eastAsia="黑体" w:hint="default"/>
                <w:sz w:val="24"/>
                <w:szCs w:val="24"/>
              </w:rPr>
              <w:t>应交税费</w:t>
            </w:r>
          </w:p>
        </w:tc>
        <w:tc>
          <w:tcPr>
            <w:tcW w:w="2352"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
        </w:tc>
      </w:tr>
      <w:tr>
        <w:trPr>
          <w:trHeight w:val="593" w:hRule="exact"/>
        </w:trPr>
        <w:tc>
          <w:tcPr>
            <w:tcW w:w="782" w:type="dxa"/>
            <w:tcBorders>
              <w:top w:val="nil" w:sz="6" w:space="0" w:color="auto"/>
              <w:left w:val="nil" w:sz="6" w:space="0" w:color="auto"/>
              <w:bottom w:val="nil" w:sz="6" w:space="0" w:color="auto"/>
              <w:right w:val="nil" w:sz="6" w:space="0" w:color="auto"/>
            </w:tcBorders>
          </w:tcPr>
          <w:p>
            <w:pPr/>
          </w:p>
        </w:tc>
        <w:tc>
          <w:tcPr>
            <w:tcW w:w="53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3164"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494"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4"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57" w:hRule="exact"/>
        </w:trPr>
        <w:tc>
          <w:tcPr>
            <w:tcW w:w="782" w:type="dxa"/>
            <w:tcBorders>
              <w:top w:val="nil" w:sz="6" w:space="0" w:color="auto"/>
              <w:left w:val="nil" w:sz="6" w:space="0" w:color="auto"/>
              <w:bottom w:val="nil" w:sz="6" w:space="0" w:color="auto"/>
              <w:right w:val="nil" w:sz="6" w:space="0" w:color="auto"/>
            </w:tcBorders>
          </w:tcPr>
          <w:p>
            <w:pPr/>
          </w:p>
        </w:tc>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9" w:right="0"/>
              <w:jc w:val="left"/>
              <w:rPr>
                <w:rFonts w:ascii="宋体" w:hAnsi="宋体" w:cs="宋体" w:eastAsia="宋体" w:hint="default"/>
                <w:sz w:val="24"/>
                <w:szCs w:val="24"/>
              </w:rPr>
            </w:pPr>
            <w:r>
              <w:rPr>
                <w:rFonts w:ascii="宋体" w:hAnsi="宋体" w:cs="宋体" w:eastAsia="宋体" w:hint="default"/>
                <w:sz w:val="24"/>
                <w:szCs w:val="24"/>
              </w:rPr>
              <w:t>应交企业所得税</w:t>
            </w: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53"/>
              <w:jc w:val="right"/>
              <w:rPr>
                <w:rFonts w:ascii="Arial" w:hAnsi="Arial" w:cs="Arial" w:eastAsia="Arial" w:hint="default"/>
                <w:sz w:val="24"/>
                <w:szCs w:val="24"/>
              </w:rPr>
            </w:pPr>
            <w:r>
              <w:rPr>
                <w:rFonts w:ascii="Arial"/>
                <w:spacing w:val="-1"/>
                <w:sz w:val="24"/>
              </w:rPr>
              <w:t>357,279</w:t>
            </w:r>
          </w:p>
        </w:tc>
        <w:tc>
          <w:tcPr>
            <w:tcW w:w="494"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24"/>
              <w:jc w:val="right"/>
              <w:rPr>
                <w:rFonts w:ascii="Arial" w:hAnsi="Arial" w:cs="Arial" w:eastAsia="Arial" w:hint="default"/>
                <w:sz w:val="24"/>
                <w:szCs w:val="24"/>
              </w:rPr>
            </w:pPr>
            <w:r>
              <w:rPr>
                <w:rFonts w:ascii="Arial"/>
                <w:spacing w:val="-1"/>
                <w:sz w:val="24"/>
              </w:rPr>
              <w:t>671,619</w:t>
            </w:r>
          </w:p>
        </w:tc>
      </w:tr>
      <w:tr>
        <w:trPr>
          <w:trHeight w:val="312" w:hRule="exact"/>
        </w:trPr>
        <w:tc>
          <w:tcPr>
            <w:tcW w:w="782" w:type="dxa"/>
            <w:tcBorders>
              <w:top w:val="nil" w:sz="6" w:space="0" w:color="auto"/>
              <w:left w:val="nil" w:sz="6" w:space="0" w:color="auto"/>
              <w:bottom w:val="nil" w:sz="6" w:space="0" w:color="auto"/>
              <w:right w:val="nil" w:sz="6" w:space="0" w:color="auto"/>
            </w:tcBorders>
          </w:tcPr>
          <w:p>
            <w:pPr/>
          </w:p>
        </w:tc>
        <w:tc>
          <w:tcPr>
            <w:tcW w:w="3006" w:type="dxa"/>
            <w:tcBorders>
              <w:top w:val="nil" w:sz="6" w:space="0" w:color="auto"/>
              <w:left w:val="nil" w:sz="6" w:space="0" w:color="auto"/>
              <w:bottom w:val="nil" w:sz="6" w:space="0" w:color="auto"/>
              <w:right w:val="nil" w:sz="6" w:space="0" w:color="auto"/>
            </w:tcBorders>
          </w:tcPr>
          <w:p>
            <w:pPr>
              <w:pStyle w:val="TableParagraph"/>
              <w:spacing w:line="262" w:lineRule="exact"/>
              <w:ind w:left="89" w:right="0"/>
              <w:jc w:val="left"/>
              <w:rPr>
                <w:rFonts w:ascii="宋体" w:hAnsi="宋体" w:cs="宋体" w:eastAsia="宋体" w:hint="default"/>
                <w:sz w:val="24"/>
                <w:szCs w:val="24"/>
              </w:rPr>
            </w:pPr>
            <w:r>
              <w:rPr>
                <w:rFonts w:ascii="宋体" w:hAnsi="宋体" w:cs="宋体" w:eastAsia="宋体" w:hint="default"/>
                <w:sz w:val="24"/>
                <w:szCs w:val="24"/>
              </w:rPr>
              <w:t>应交城市维护建设税</w:t>
            </w: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3"/>
              <w:jc w:val="right"/>
              <w:rPr>
                <w:rFonts w:ascii="Arial" w:hAnsi="Arial" w:cs="Arial" w:eastAsia="Arial" w:hint="default"/>
                <w:sz w:val="24"/>
                <w:szCs w:val="24"/>
              </w:rPr>
            </w:pPr>
            <w:r>
              <w:rPr>
                <w:rFonts w:ascii="Arial"/>
                <w:spacing w:val="-1"/>
                <w:sz w:val="24"/>
              </w:rPr>
              <w:t>20,925</w:t>
            </w:r>
          </w:p>
        </w:tc>
        <w:tc>
          <w:tcPr>
            <w:tcW w:w="494"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4"/>
              <w:jc w:val="right"/>
              <w:rPr>
                <w:rFonts w:ascii="Arial" w:hAnsi="Arial" w:cs="Arial" w:eastAsia="Arial" w:hint="default"/>
                <w:sz w:val="24"/>
                <w:szCs w:val="24"/>
              </w:rPr>
            </w:pPr>
            <w:r>
              <w:rPr>
                <w:rFonts w:ascii="Arial"/>
                <w:spacing w:val="-1"/>
                <w:sz w:val="24"/>
              </w:rPr>
              <w:t>35,470</w:t>
            </w:r>
          </w:p>
        </w:tc>
      </w:tr>
      <w:tr>
        <w:trPr>
          <w:trHeight w:val="310" w:hRule="exact"/>
        </w:trPr>
        <w:tc>
          <w:tcPr>
            <w:tcW w:w="782" w:type="dxa"/>
            <w:tcBorders>
              <w:top w:val="nil" w:sz="6" w:space="0" w:color="auto"/>
              <w:left w:val="nil" w:sz="6" w:space="0" w:color="auto"/>
              <w:bottom w:val="nil" w:sz="6" w:space="0" w:color="auto"/>
              <w:right w:val="nil" w:sz="6" w:space="0" w:color="auto"/>
            </w:tcBorders>
          </w:tcPr>
          <w:p>
            <w:pPr/>
          </w:p>
        </w:tc>
        <w:tc>
          <w:tcPr>
            <w:tcW w:w="3006" w:type="dxa"/>
            <w:tcBorders>
              <w:top w:val="nil" w:sz="6" w:space="0" w:color="auto"/>
              <w:left w:val="nil" w:sz="6" w:space="0" w:color="auto"/>
              <w:bottom w:val="nil" w:sz="6" w:space="0" w:color="auto"/>
              <w:right w:val="nil" w:sz="6" w:space="0" w:color="auto"/>
            </w:tcBorders>
          </w:tcPr>
          <w:p>
            <w:pPr>
              <w:pStyle w:val="TableParagraph"/>
              <w:spacing w:line="262" w:lineRule="exact"/>
              <w:ind w:left="89" w:right="0"/>
              <w:jc w:val="left"/>
              <w:rPr>
                <w:rFonts w:ascii="宋体" w:hAnsi="宋体" w:cs="宋体" w:eastAsia="宋体" w:hint="default"/>
                <w:sz w:val="24"/>
                <w:szCs w:val="24"/>
              </w:rPr>
            </w:pPr>
            <w:r>
              <w:rPr>
                <w:rFonts w:ascii="宋体" w:hAnsi="宋体" w:cs="宋体" w:eastAsia="宋体" w:hint="default"/>
                <w:sz w:val="24"/>
                <w:szCs w:val="24"/>
              </w:rPr>
              <w:t>应交个人所得税</w:t>
            </w: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3"/>
              <w:jc w:val="right"/>
              <w:rPr>
                <w:rFonts w:ascii="Arial" w:hAnsi="Arial" w:cs="Arial" w:eastAsia="Arial" w:hint="default"/>
                <w:sz w:val="24"/>
                <w:szCs w:val="24"/>
              </w:rPr>
            </w:pPr>
            <w:r>
              <w:rPr>
                <w:rFonts w:ascii="Arial"/>
                <w:spacing w:val="-1"/>
                <w:sz w:val="24"/>
              </w:rPr>
              <w:t>25,483</w:t>
            </w:r>
          </w:p>
        </w:tc>
        <w:tc>
          <w:tcPr>
            <w:tcW w:w="494"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24"/>
                <w:szCs w:val="24"/>
              </w:rPr>
            </w:pPr>
            <w:r>
              <w:rPr>
                <w:rFonts w:ascii="Arial"/>
                <w:spacing w:val="-1"/>
                <w:sz w:val="24"/>
              </w:rPr>
              <w:t>120,131</w:t>
            </w:r>
          </w:p>
        </w:tc>
      </w:tr>
      <w:tr>
        <w:trPr>
          <w:trHeight w:val="312" w:hRule="exact"/>
        </w:trPr>
        <w:tc>
          <w:tcPr>
            <w:tcW w:w="782" w:type="dxa"/>
            <w:tcBorders>
              <w:top w:val="nil" w:sz="6" w:space="0" w:color="auto"/>
              <w:left w:val="nil" w:sz="6" w:space="0" w:color="auto"/>
              <w:bottom w:val="nil" w:sz="6" w:space="0" w:color="auto"/>
              <w:right w:val="nil" w:sz="6" w:space="0" w:color="auto"/>
            </w:tcBorders>
          </w:tcPr>
          <w:p>
            <w:pPr/>
          </w:p>
        </w:tc>
        <w:tc>
          <w:tcPr>
            <w:tcW w:w="3006" w:type="dxa"/>
            <w:tcBorders>
              <w:top w:val="nil" w:sz="6" w:space="0" w:color="auto"/>
              <w:left w:val="nil" w:sz="6" w:space="0" w:color="auto"/>
              <w:bottom w:val="nil" w:sz="6" w:space="0" w:color="auto"/>
              <w:right w:val="nil" w:sz="6" w:space="0" w:color="auto"/>
            </w:tcBorders>
          </w:tcPr>
          <w:p>
            <w:pPr>
              <w:pStyle w:val="TableParagraph"/>
              <w:spacing w:line="262" w:lineRule="exact"/>
              <w:ind w:left="89" w:right="0"/>
              <w:jc w:val="left"/>
              <w:rPr>
                <w:rFonts w:ascii="宋体" w:hAnsi="宋体" w:cs="宋体" w:eastAsia="宋体" w:hint="default"/>
                <w:sz w:val="24"/>
                <w:szCs w:val="24"/>
              </w:rPr>
            </w:pPr>
            <w:r>
              <w:rPr>
                <w:rFonts w:ascii="宋体" w:hAnsi="宋体" w:cs="宋体" w:eastAsia="宋体" w:hint="default"/>
                <w:sz w:val="24"/>
                <w:szCs w:val="24"/>
              </w:rPr>
              <w:t>应交教育费附加</w:t>
            </w: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3"/>
              <w:jc w:val="right"/>
              <w:rPr>
                <w:rFonts w:ascii="Arial" w:hAnsi="Arial" w:cs="Arial" w:eastAsia="Arial" w:hint="default"/>
                <w:sz w:val="24"/>
                <w:szCs w:val="24"/>
              </w:rPr>
            </w:pPr>
            <w:r>
              <w:rPr>
                <w:rFonts w:ascii="Arial"/>
                <w:spacing w:val="-1"/>
                <w:sz w:val="24"/>
              </w:rPr>
              <w:t>14,722</w:t>
            </w:r>
          </w:p>
        </w:tc>
        <w:tc>
          <w:tcPr>
            <w:tcW w:w="494"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Arial" w:hAnsi="Arial" w:cs="Arial" w:eastAsia="Arial" w:hint="default"/>
                <w:sz w:val="24"/>
                <w:szCs w:val="24"/>
              </w:rPr>
            </w:pPr>
            <w:r>
              <w:rPr>
                <w:rFonts w:ascii="Arial"/>
                <w:spacing w:val="-1"/>
                <w:sz w:val="24"/>
              </w:rPr>
              <w:t>24,481</w:t>
            </w:r>
          </w:p>
        </w:tc>
      </w:tr>
      <w:tr>
        <w:trPr>
          <w:trHeight w:val="312" w:hRule="exact"/>
        </w:trPr>
        <w:tc>
          <w:tcPr>
            <w:tcW w:w="782" w:type="dxa"/>
            <w:tcBorders>
              <w:top w:val="nil" w:sz="6" w:space="0" w:color="auto"/>
              <w:left w:val="nil" w:sz="6" w:space="0" w:color="auto"/>
              <w:bottom w:val="nil" w:sz="6" w:space="0" w:color="auto"/>
              <w:right w:val="nil" w:sz="6" w:space="0" w:color="auto"/>
            </w:tcBorders>
          </w:tcPr>
          <w:p>
            <w:pPr/>
          </w:p>
        </w:tc>
        <w:tc>
          <w:tcPr>
            <w:tcW w:w="3006" w:type="dxa"/>
            <w:tcBorders>
              <w:top w:val="nil" w:sz="6" w:space="0" w:color="auto"/>
              <w:left w:val="nil" w:sz="6" w:space="0" w:color="auto"/>
              <w:bottom w:val="nil" w:sz="6" w:space="0" w:color="auto"/>
              <w:right w:val="nil" w:sz="6" w:space="0" w:color="auto"/>
            </w:tcBorders>
          </w:tcPr>
          <w:p>
            <w:pPr>
              <w:pStyle w:val="TableParagraph"/>
              <w:spacing w:line="262" w:lineRule="exact"/>
              <w:ind w:left="89" w:right="0"/>
              <w:jc w:val="left"/>
              <w:rPr>
                <w:rFonts w:ascii="宋体" w:hAnsi="宋体" w:cs="宋体" w:eastAsia="宋体" w:hint="default"/>
                <w:sz w:val="24"/>
                <w:szCs w:val="24"/>
              </w:rPr>
            </w:pPr>
            <w:r>
              <w:rPr>
                <w:rFonts w:ascii="宋体" w:hAnsi="宋体" w:cs="宋体" w:eastAsia="宋体" w:hint="default"/>
                <w:sz w:val="24"/>
                <w:szCs w:val="24"/>
              </w:rPr>
              <w:t>应交营业税</w:t>
            </w: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3"/>
              <w:jc w:val="right"/>
              <w:rPr>
                <w:rFonts w:ascii="Arial" w:hAnsi="Arial" w:cs="Arial" w:eastAsia="Arial" w:hint="default"/>
                <w:sz w:val="24"/>
                <w:szCs w:val="24"/>
              </w:rPr>
            </w:pPr>
            <w:r>
              <w:rPr>
                <w:rFonts w:ascii="Arial"/>
                <w:spacing w:val="-1"/>
                <w:sz w:val="24"/>
              </w:rPr>
              <w:t>25,896</w:t>
            </w:r>
          </w:p>
        </w:tc>
        <w:tc>
          <w:tcPr>
            <w:tcW w:w="494"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4"/>
              <w:jc w:val="right"/>
              <w:rPr>
                <w:rFonts w:ascii="Arial" w:hAnsi="Arial" w:cs="Arial" w:eastAsia="Arial" w:hint="default"/>
                <w:sz w:val="24"/>
                <w:szCs w:val="24"/>
              </w:rPr>
            </w:pPr>
            <w:r>
              <w:rPr>
                <w:rFonts w:ascii="Arial"/>
                <w:spacing w:val="-1"/>
                <w:sz w:val="24"/>
              </w:rPr>
              <w:t>14,523</w:t>
            </w:r>
          </w:p>
        </w:tc>
      </w:tr>
      <w:tr>
        <w:trPr>
          <w:trHeight w:val="311" w:hRule="exact"/>
        </w:trPr>
        <w:tc>
          <w:tcPr>
            <w:tcW w:w="782" w:type="dxa"/>
            <w:tcBorders>
              <w:top w:val="nil" w:sz="6" w:space="0" w:color="auto"/>
              <w:left w:val="nil" w:sz="6" w:space="0" w:color="auto"/>
              <w:bottom w:val="nil" w:sz="6" w:space="0" w:color="auto"/>
              <w:right w:val="nil" w:sz="6" w:space="0" w:color="auto"/>
            </w:tcBorders>
          </w:tcPr>
          <w:p>
            <w:pPr/>
          </w:p>
        </w:tc>
        <w:tc>
          <w:tcPr>
            <w:tcW w:w="3006" w:type="dxa"/>
            <w:tcBorders>
              <w:top w:val="nil" w:sz="6" w:space="0" w:color="auto"/>
              <w:left w:val="nil" w:sz="6" w:space="0" w:color="auto"/>
              <w:bottom w:val="nil" w:sz="6" w:space="0" w:color="auto"/>
              <w:right w:val="nil" w:sz="6" w:space="0" w:color="auto"/>
            </w:tcBorders>
          </w:tcPr>
          <w:p>
            <w:pPr>
              <w:pStyle w:val="TableParagraph"/>
              <w:spacing w:line="262" w:lineRule="exact"/>
              <w:ind w:left="89" w:right="0"/>
              <w:jc w:val="left"/>
              <w:rPr>
                <w:rFonts w:ascii="宋体" w:hAnsi="宋体" w:cs="宋体" w:eastAsia="宋体" w:hint="default"/>
                <w:sz w:val="24"/>
                <w:szCs w:val="24"/>
              </w:rPr>
            </w:pPr>
            <w:r>
              <w:rPr>
                <w:rFonts w:ascii="宋体" w:hAnsi="宋体" w:cs="宋体" w:eastAsia="宋体" w:hint="default"/>
                <w:sz w:val="24"/>
                <w:szCs w:val="24"/>
              </w:rPr>
              <w:t>待抵扣增值税</w:t>
            </w: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0"/>
              <w:jc w:val="right"/>
              <w:rPr>
                <w:rFonts w:ascii="Arial" w:hAnsi="Arial" w:cs="Arial" w:eastAsia="Arial" w:hint="default"/>
                <w:sz w:val="24"/>
                <w:szCs w:val="24"/>
              </w:rPr>
            </w:pPr>
            <w:r>
              <w:rPr>
                <w:rFonts w:ascii="Arial"/>
                <w:spacing w:val="-1"/>
                <w:sz w:val="24"/>
              </w:rPr>
              <w:t>(322,978)</w:t>
            </w:r>
          </w:p>
        </w:tc>
        <w:tc>
          <w:tcPr>
            <w:tcW w:w="494"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7"/>
              <w:jc w:val="right"/>
              <w:rPr>
                <w:rFonts w:ascii="Arial" w:hAnsi="Arial" w:cs="Arial" w:eastAsia="Arial" w:hint="default"/>
                <w:sz w:val="24"/>
                <w:szCs w:val="24"/>
              </w:rPr>
            </w:pPr>
            <w:r>
              <w:rPr>
                <w:rFonts w:ascii="Arial"/>
                <w:spacing w:val="-1"/>
                <w:sz w:val="24"/>
              </w:rPr>
              <w:t>(64,795)</w:t>
            </w:r>
          </w:p>
        </w:tc>
      </w:tr>
      <w:tr>
        <w:trPr>
          <w:trHeight w:val="312" w:hRule="exact"/>
        </w:trPr>
        <w:tc>
          <w:tcPr>
            <w:tcW w:w="782" w:type="dxa"/>
            <w:tcBorders>
              <w:top w:val="nil" w:sz="6" w:space="0" w:color="auto"/>
              <w:left w:val="nil" w:sz="6" w:space="0" w:color="auto"/>
              <w:bottom w:val="nil" w:sz="6" w:space="0" w:color="auto"/>
              <w:right w:val="nil" w:sz="6" w:space="0" w:color="auto"/>
            </w:tcBorders>
          </w:tcPr>
          <w:p>
            <w:pPr/>
          </w:p>
        </w:tc>
        <w:tc>
          <w:tcPr>
            <w:tcW w:w="3006" w:type="dxa"/>
            <w:tcBorders>
              <w:top w:val="nil" w:sz="6" w:space="0" w:color="auto"/>
              <w:left w:val="nil" w:sz="6" w:space="0" w:color="auto"/>
              <w:bottom w:val="nil" w:sz="6" w:space="0" w:color="auto"/>
              <w:right w:val="nil" w:sz="6" w:space="0" w:color="auto"/>
            </w:tcBorders>
          </w:tcPr>
          <w:p>
            <w:pPr>
              <w:pStyle w:val="TableParagraph"/>
              <w:spacing w:line="261" w:lineRule="exact"/>
              <w:ind w:left="89"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352" w:type="dxa"/>
            <w:tcBorders>
              <w:top w:val="nil" w:sz="6" w:space="0" w:color="auto"/>
              <w:left w:val="nil" w:sz="6" w:space="0" w:color="auto"/>
              <w:bottom w:val="nil" w:sz="6" w:space="0" w:color="auto"/>
              <w:right w:val="nil" w:sz="6" w:space="0" w:color="auto"/>
            </w:tcBorders>
          </w:tcPr>
          <w:p>
            <w:pPr>
              <w:pStyle w:val="TableParagraph"/>
              <w:tabs>
                <w:tab w:pos="1596" w:val="left" w:leader="none"/>
                <w:tab w:pos="2352" w:val="left" w:leader="none"/>
              </w:tabs>
              <w:spacing w:line="240" w:lineRule="auto" w:before="18"/>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1,985</w:t>
              <w:tab/>
            </w:r>
            <w:r>
              <w:rPr>
                <w:rFonts w:ascii="Arial"/>
                <w:spacing w:val="-1"/>
                <w:sz w:val="24"/>
              </w:rPr>
            </w:r>
          </w:p>
        </w:tc>
        <w:tc>
          <w:tcPr>
            <w:tcW w:w="494"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tabs>
                <w:tab w:pos="1358" w:val="left" w:leader="none"/>
              </w:tabs>
              <w:spacing w:line="240" w:lineRule="auto" w:before="18"/>
              <w:ind w:right="5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(10,673)</w:t>
            </w:r>
            <w:r>
              <w:rPr>
                <w:rFonts w:ascii="Arial"/>
                <w:spacing w:val="-1"/>
                <w:sz w:val="24"/>
              </w:rPr>
            </w:r>
          </w:p>
        </w:tc>
      </w:tr>
      <w:tr>
        <w:trPr>
          <w:trHeight w:val="287" w:hRule="exact"/>
        </w:trPr>
        <w:tc>
          <w:tcPr>
            <w:tcW w:w="782" w:type="dxa"/>
            <w:tcBorders>
              <w:top w:val="nil" w:sz="6" w:space="0" w:color="auto"/>
              <w:left w:val="nil" w:sz="6" w:space="0" w:color="auto"/>
              <w:bottom w:val="nil" w:sz="6" w:space="0" w:color="auto"/>
              <w:right w:val="nil" w:sz="6" w:space="0" w:color="auto"/>
            </w:tcBorders>
          </w:tcPr>
          <w:p>
            <w:pPr/>
          </w:p>
        </w:tc>
        <w:tc>
          <w:tcPr>
            <w:tcW w:w="3006"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single" w:sz="12" w:space="0" w:color="000000"/>
              <w:right w:val="nil" w:sz="6" w:space="0" w:color="auto"/>
            </w:tcBorders>
          </w:tcPr>
          <w:p>
            <w:pPr>
              <w:pStyle w:val="TableParagraph"/>
              <w:spacing w:line="268" w:lineRule="exact"/>
              <w:ind w:right="153"/>
              <w:jc w:val="right"/>
              <w:rPr>
                <w:rFonts w:ascii="Arial" w:hAnsi="Arial" w:cs="Arial" w:eastAsia="Arial" w:hint="default"/>
                <w:sz w:val="24"/>
                <w:szCs w:val="24"/>
              </w:rPr>
            </w:pPr>
            <w:r>
              <w:rPr>
                <w:rFonts w:ascii="Arial"/>
                <w:spacing w:val="-1"/>
                <w:sz w:val="24"/>
              </w:rPr>
              <w:t>123,312</w:t>
            </w:r>
          </w:p>
        </w:tc>
        <w:tc>
          <w:tcPr>
            <w:tcW w:w="494"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single" w:sz="12" w:space="0" w:color="000000"/>
              <w:right w:val="nil" w:sz="6" w:space="0" w:color="auto"/>
            </w:tcBorders>
          </w:tcPr>
          <w:p>
            <w:pPr>
              <w:pStyle w:val="TableParagraph"/>
              <w:spacing w:line="268" w:lineRule="exact"/>
              <w:ind w:right="107"/>
              <w:jc w:val="right"/>
              <w:rPr>
                <w:rFonts w:ascii="Arial" w:hAnsi="Arial" w:cs="Arial" w:eastAsia="Arial" w:hint="default"/>
                <w:sz w:val="24"/>
                <w:szCs w:val="24"/>
              </w:rPr>
            </w:pPr>
            <w:r>
              <w:rPr>
                <w:rFonts w:ascii="Arial"/>
                <w:spacing w:val="-1"/>
                <w:sz w:val="24"/>
              </w:rPr>
              <w:t>790,756</w:t>
            </w:r>
          </w:p>
        </w:tc>
      </w:tr>
    </w:tbl>
    <w:p>
      <w:pPr>
        <w:spacing w:after="0" w:line="268" w:lineRule="exact"/>
        <w:jc w:val="right"/>
        <w:rPr>
          <w:rFonts w:ascii="Arial" w:hAnsi="Arial" w:cs="Arial" w:eastAsia="Arial" w:hint="default"/>
          <w:sz w:val="24"/>
          <w:szCs w:val="24"/>
        </w:rPr>
        <w:sectPr>
          <w:pgSz w:w="11910" w:h="16850"/>
          <w:pgMar w:header="795" w:footer="1333" w:top="2020" w:bottom="152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782"/>
        <w:gridCol w:w="3357"/>
        <w:gridCol w:w="2345"/>
        <w:gridCol w:w="240"/>
        <w:gridCol w:w="2506"/>
      </w:tblGrid>
      <w:tr>
        <w:trPr>
          <w:trHeight w:val="415" w:hRule="exact"/>
        </w:trPr>
        <w:tc>
          <w:tcPr>
            <w:tcW w:w="78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357" w:type="dxa"/>
            <w:tcBorders>
              <w:top w:val="nil" w:sz="6" w:space="0" w:color="auto"/>
              <w:left w:val="nil" w:sz="6" w:space="0" w:color="auto"/>
              <w:bottom w:val="nil" w:sz="6" w:space="0" w:color="auto"/>
              <w:right w:val="nil" w:sz="6" w:space="0" w:color="auto"/>
            </w:tcBorders>
          </w:tcPr>
          <w:p>
            <w:pPr>
              <w:pStyle w:val="TableParagraph"/>
              <w:spacing w:line="257" w:lineRule="exact"/>
              <w:ind w:left="15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45"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
        </w:tc>
      </w:tr>
      <w:tr>
        <w:trPr>
          <w:trHeight w:val="585" w:hRule="exact"/>
        </w:trPr>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00" w:right="0"/>
              <w:jc w:val="left"/>
              <w:rPr>
                <w:rFonts w:ascii="Arial" w:hAnsi="Arial" w:cs="Arial" w:eastAsia="Arial" w:hint="default"/>
                <w:sz w:val="24"/>
                <w:szCs w:val="24"/>
              </w:rPr>
            </w:pPr>
            <w:r>
              <w:rPr>
                <w:rFonts w:ascii="Arial"/>
                <w:sz w:val="24"/>
              </w:rPr>
              <w:t>(26)</w:t>
            </w:r>
          </w:p>
        </w:tc>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54" w:right="0"/>
              <w:jc w:val="left"/>
              <w:rPr>
                <w:rFonts w:ascii="黑体" w:hAnsi="黑体" w:cs="黑体" w:eastAsia="黑体" w:hint="default"/>
                <w:sz w:val="24"/>
                <w:szCs w:val="24"/>
              </w:rPr>
            </w:pPr>
            <w:r>
              <w:rPr>
                <w:rFonts w:ascii="黑体" w:hAnsi="黑体" w:cs="黑体" w:eastAsia="黑体" w:hint="default"/>
                <w:sz w:val="24"/>
                <w:szCs w:val="24"/>
              </w:rPr>
              <w:t>应付利息</w:t>
            </w:r>
          </w:p>
        </w:tc>
        <w:tc>
          <w:tcPr>
            <w:tcW w:w="2345"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
        </w:tc>
      </w:tr>
      <w:tr>
        <w:trPr>
          <w:trHeight w:val="603" w:hRule="exact"/>
        </w:trPr>
        <w:tc>
          <w:tcPr>
            <w:tcW w:w="782" w:type="dxa"/>
            <w:tcBorders>
              <w:top w:val="nil" w:sz="6" w:space="0" w:color="auto"/>
              <w:left w:val="nil" w:sz="6" w:space="0" w:color="auto"/>
              <w:bottom w:val="nil" w:sz="6" w:space="0" w:color="auto"/>
              <w:right w:val="nil" w:sz="6" w:space="0" w:color="auto"/>
            </w:tcBorders>
          </w:tcPr>
          <w:p>
            <w:pPr/>
          </w:p>
        </w:tc>
        <w:tc>
          <w:tcPr>
            <w:tcW w:w="57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3531"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40"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0"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73" w:hRule="exact"/>
        </w:trPr>
        <w:tc>
          <w:tcPr>
            <w:tcW w:w="782" w:type="dxa"/>
            <w:tcBorders>
              <w:top w:val="nil" w:sz="6" w:space="0" w:color="auto"/>
              <w:left w:val="nil" w:sz="6" w:space="0" w:color="auto"/>
              <w:bottom w:val="nil" w:sz="6" w:space="0" w:color="auto"/>
              <w:right w:val="nil" w:sz="6" w:space="0" w:color="auto"/>
            </w:tcBorders>
          </w:tcPr>
          <w:p>
            <w:pPr/>
          </w:p>
        </w:tc>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94" w:right="0"/>
              <w:jc w:val="left"/>
              <w:rPr>
                <w:rFonts w:ascii="Arial" w:hAnsi="Arial" w:cs="Arial" w:eastAsia="Arial" w:hint="default"/>
                <w:sz w:val="24"/>
                <w:szCs w:val="24"/>
              </w:rPr>
            </w:pPr>
            <w:r>
              <w:rPr>
                <w:rFonts w:ascii="宋体" w:hAnsi="宋体" w:cs="宋体" w:eastAsia="宋体" w:hint="default"/>
                <w:sz w:val="24"/>
                <w:szCs w:val="24"/>
              </w:rPr>
              <w:t>公司债券利息</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(30))</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78"/>
              <w:jc w:val="right"/>
              <w:rPr>
                <w:rFonts w:ascii="Arial" w:hAnsi="Arial" w:cs="Arial" w:eastAsia="Arial" w:hint="default"/>
                <w:sz w:val="24"/>
                <w:szCs w:val="24"/>
              </w:rPr>
            </w:pPr>
            <w:r>
              <w:rPr>
                <w:rFonts w:ascii="Arial"/>
                <w:spacing w:val="-4"/>
                <w:sz w:val="24"/>
              </w:rPr>
              <w:t>11,160</w:t>
            </w:r>
          </w:p>
        </w:tc>
        <w:tc>
          <w:tcPr>
            <w:tcW w:w="240"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138"/>
              <w:jc w:val="right"/>
              <w:rPr>
                <w:rFonts w:ascii="Arial" w:hAnsi="Arial" w:cs="Arial" w:eastAsia="Arial" w:hint="default"/>
                <w:sz w:val="24"/>
                <w:szCs w:val="24"/>
              </w:rPr>
            </w:pPr>
            <w:r>
              <w:rPr>
                <w:rFonts w:ascii="Arial"/>
                <w:w w:val="99"/>
                <w:sz w:val="24"/>
              </w:rPr>
              <w:t>-</w:t>
            </w:r>
            <w:r>
              <w:rPr>
                <w:rFonts w:ascii="Arial"/>
                <w:sz w:val="24"/>
              </w:rPr>
            </w:r>
          </w:p>
        </w:tc>
      </w:tr>
      <w:tr>
        <w:trPr>
          <w:trHeight w:val="318" w:hRule="exact"/>
        </w:trPr>
        <w:tc>
          <w:tcPr>
            <w:tcW w:w="782" w:type="dxa"/>
            <w:tcBorders>
              <w:top w:val="nil" w:sz="6" w:space="0" w:color="auto"/>
              <w:left w:val="nil" w:sz="6" w:space="0" w:color="auto"/>
              <w:bottom w:val="nil" w:sz="6" w:space="0" w:color="auto"/>
              <w:right w:val="nil" w:sz="6" w:space="0" w:color="auto"/>
            </w:tcBorders>
          </w:tcPr>
          <w:p>
            <w:pPr/>
          </w:p>
        </w:tc>
        <w:tc>
          <w:tcPr>
            <w:tcW w:w="3357" w:type="dxa"/>
            <w:tcBorders>
              <w:top w:val="nil" w:sz="6" w:space="0" w:color="auto"/>
              <w:left w:val="nil" w:sz="6" w:space="0" w:color="auto"/>
              <w:bottom w:val="nil" w:sz="6" w:space="0" w:color="auto"/>
              <w:right w:val="nil" w:sz="6" w:space="0" w:color="auto"/>
            </w:tcBorders>
          </w:tcPr>
          <w:p>
            <w:pPr>
              <w:pStyle w:val="TableParagraph"/>
              <w:spacing w:line="267" w:lineRule="exact"/>
              <w:ind w:left="89" w:right="0"/>
              <w:jc w:val="left"/>
              <w:rPr>
                <w:rFonts w:ascii="宋体" w:hAnsi="宋体" w:cs="宋体" w:eastAsia="宋体" w:hint="default"/>
                <w:sz w:val="24"/>
                <w:szCs w:val="24"/>
              </w:rPr>
            </w:pPr>
            <w:r>
              <w:rPr>
                <w:rFonts w:ascii="宋体" w:hAnsi="宋体" w:cs="宋体" w:eastAsia="宋体" w:hint="default"/>
                <w:sz w:val="24"/>
                <w:szCs w:val="24"/>
              </w:rPr>
              <w:t>短期借款利息</w:t>
            </w:r>
          </w:p>
        </w:tc>
        <w:tc>
          <w:tcPr>
            <w:tcW w:w="2345" w:type="dxa"/>
            <w:tcBorders>
              <w:top w:val="nil" w:sz="6" w:space="0" w:color="auto"/>
              <w:left w:val="nil" w:sz="6" w:space="0" w:color="auto"/>
              <w:bottom w:val="nil" w:sz="6" w:space="0" w:color="auto"/>
              <w:right w:val="nil" w:sz="6" w:space="0" w:color="auto"/>
            </w:tcBorders>
          </w:tcPr>
          <w:p>
            <w:pPr>
              <w:pStyle w:val="TableParagraph"/>
              <w:tabs>
                <w:tab w:pos="1673" w:val="left" w:leader="none"/>
                <w:tab w:pos="2345" w:val="left" w:leader="none"/>
              </w:tabs>
              <w:spacing w:line="240" w:lineRule="auto" w:before="24"/>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2,650</w:t>
              <w:tab/>
            </w:r>
            <w:r>
              <w:rPr>
                <w:rFonts w:ascii="Arial"/>
                <w:spacing w:val="-1"/>
                <w:sz w:val="24"/>
              </w:rPr>
            </w:r>
          </w:p>
        </w:tc>
        <w:tc>
          <w:tcPr>
            <w:tcW w:w="240"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tabs>
                <w:tab w:pos="1793" w:val="left" w:leader="none"/>
                <w:tab w:pos="2505" w:val="left" w:leader="none"/>
              </w:tabs>
              <w:spacing w:line="240" w:lineRule="auto" w:before="24"/>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5,305</w:t>
              <w:tab/>
            </w:r>
            <w:r>
              <w:rPr>
                <w:rFonts w:ascii="Arial"/>
                <w:spacing w:val="-1"/>
                <w:sz w:val="24"/>
              </w:rPr>
            </w:r>
          </w:p>
        </w:tc>
      </w:tr>
      <w:tr>
        <w:trPr>
          <w:trHeight w:val="287" w:hRule="exact"/>
        </w:trPr>
        <w:tc>
          <w:tcPr>
            <w:tcW w:w="782" w:type="dxa"/>
            <w:tcBorders>
              <w:top w:val="nil" w:sz="6" w:space="0" w:color="auto"/>
              <w:left w:val="nil" w:sz="6" w:space="0" w:color="auto"/>
              <w:bottom w:val="nil" w:sz="6" w:space="0" w:color="auto"/>
              <w:right w:val="nil" w:sz="6" w:space="0" w:color="auto"/>
            </w:tcBorders>
          </w:tcPr>
          <w:p>
            <w:pPr/>
          </w:p>
        </w:tc>
        <w:tc>
          <w:tcPr>
            <w:tcW w:w="5702"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right="71"/>
              <w:jc w:val="right"/>
              <w:rPr>
                <w:rFonts w:ascii="Arial" w:hAnsi="Arial" w:cs="Arial" w:eastAsia="Arial" w:hint="default"/>
                <w:sz w:val="24"/>
                <w:szCs w:val="24"/>
              </w:rPr>
            </w:pPr>
            <w:r>
              <w:rPr>
                <w:rFonts w:ascii="Arial"/>
                <w:spacing w:val="-1"/>
                <w:sz w:val="24"/>
              </w:rPr>
              <w:t>13,810</w:t>
            </w:r>
          </w:p>
        </w:tc>
        <w:tc>
          <w:tcPr>
            <w:tcW w:w="240"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single" w:sz="12" w:space="0" w:color="000000"/>
              <w:right w:val="nil" w:sz="6" w:space="0" w:color="auto"/>
            </w:tcBorders>
          </w:tcPr>
          <w:p>
            <w:pPr>
              <w:pStyle w:val="TableParagraph"/>
              <w:spacing w:line="268" w:lineRule="exact"/>
              <w:ind w:right="109"/>
              <w:jc w:val="right"/>
              <w:rPr>
                <w:rFonts w:ascii="Arial" w:hAnsi="Arial" w:cs="Arial" w:eastAsia="Arial" w:hint="default"/>
                <w:sz w:val="24"/>
                <w:szCs w:val="24"/>
              </w:rPr>
            </w:pPr>
            <w:r>
              <w:rPr>
                <w:rFonts w:ascii="Arial"/>
                <w:spacing w:val="-1"/>
                <w:sz w:val="24"/>
              </w:rPr>
              <w:t>5,305</w:t>
            </w:r>
          </w:p>
        </w:tc>
      </w:tr>
      <w:tr>
        <w:trPr>
          <w:trHeight w:val="738" w:hRule="exact"/>
        </w:trPr>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00" w:right="0"/>
              <w:jc w:val="left"/>
              <w:rPr>
                <w:rFonts w:ascii="Arial" w:hAnsi="Arial" w:cs="Arial" w:eastAsia="Arial" w:hint="default"/>
                <w:sz w:val="24"/>
                <w:szCs w:val="24"/>
              </w:rPr>
            </w:pPr>
            <w:r>
              <w:rPr>
                <w:rFonts w:ascii="Arial"/>
                <w:sz w:val="24"/>
              </w:rPr>
              <w:t>(27)</w:t>
            </w:r>
          </w:p>
        </w:tc>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1" w:right="0"/>
              <w:jc w:val="left"/>
              <w:rPr>
                <w:rFonts w:ascii="黑体" w:hAnsi="黑体" w:cs="黑体" w:eastAsia="黑体" w:hint="default"/>
                <w:sz w:val="24"/>
                <w:szCs w:val="24"/>
              </w:rPr>
            </w:pPr>
            <w:r>
              <w:rPr>
                <w:rFonts w:ascii="黑体" w:hAnsi="黑体" w:cs="黑体" w:eastAsia="黑体" w:hint="default"/>
                <w:sz w:val="24"/>
                <w:szCs w:val="24"/>
              </w:rPr>
              <w:t>其他应付款</w:t>
            </w:r>
          </w:p>
        </w:tc>
        <w:tc>
          <w:tcPr>
            <w:tcW w:w="2345" w:type="dxa"/>
            <w:tcBorders>
              <w:top w:val="single" w:sz="12"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506" w:type="dxa"/>
            <w:tcBorders>
              <w:top w:val="single" w:sz="12" w:space="0" w:color="000000"/>
              <w:left w:val="nil" w:sz="6" w:space="0" w:color="auto"/>
              <w:bottom w:val="nil" w:sz="6" w:space="0" w:color="auto"/>
              <w:right w:val="nil" w:sz="6" w:space="0" w:color="auto"/>
            </w:tcBorders>
          </w:tcPr>
          <w:p>
            <w:pPr/>
          </w:p>
        </w:tc>
      </w:tr>
      <w:tr>
        <w:trPr>
          <w:trHeight w:val="603" w:hRule="exact"/>
        </w:trPr>
        <w:tc>
          <w:tcPr>
            <w:tcW w:w="782" w:type="dxa"/>
            <w:tcBorders>
              <w:top w:val="nil" w:sz="6" w:space="0" w:color="auto"/>
              <w:left w:val="nil" w:sz="6" w:space="0" w:color="auto"/>
              <w:bottom w:val="nil" w:sz="6" w:space="0" w:color="auto"/>
              <w:right w:val="nil" w:sz="6" w:space="0" w:color="auto"/>
            </w:tcBorders>
          </w:tcPr>
          <w:p>
            <w:pPr/>
          </w:p>
        </w:tc>
        <w:tc>
          <w:tcPr>
            <w:tcW w:w="57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3553"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40"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79"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73" w:hRule="exact"/>
        </w:trPr>
        <w:tc>
          <w:tcPr>
            <w:tcW w:w="782" w:type="dxa"/>
            <w:tcBorders>
              <w:top w:val="nil" w:sz="6" w:space="0" w:color="auto"/>
              <w:left w:val="nil" w:sz="6" w:space="0" w:color="auto"/>
              <w:bottom w:val="nil" w:sz="6" w:space="0" w:color="auto"/>
              <w:right w:val="nil" w:sz="6" w:space="0" w:color="auto"/>
            </w:tcBorders>
          </w:tcPr>
          <w:p>
            <w:pPr/>
          </w:p>
        </w:tc>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96" w:right="0"/>
              <w:jc w:val="left"/>
              <w:rPr>
                <w:rFonts w:ascii="宋体" w:hAnsi="宋体" w:cs="宋体" w:eastAsia="宋体" w:hint="default"/>
                <w:sz w:val="24"/>
                <w:szCs w:val="24"/>
              </w:rPr>
            </w:pPr>
            <w:r>
              <w:rPr>
                <w:rFonts w:ascii="宋体" w:hAnsi="宋体" w:cs="宋体" w:eastAsia="宋体" w:hint="default"/>
                <w:sz w:val="24"/>
                <w:szCs w:val="24"/>
              </w:rPr>
              <w:t>应付工程款项</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83"/>
              <w:jc w:val="right"/>
              <w:rPr>
                <w:rFonts w:ascii="Arial" w:hAnsi="Arial" w:cs="Arial" w:eastAsia="Arial" w:hint="default"/>
                <w:sz w:val="24"/>
                <w:szCs w:val="24"/>
              </w:rPr>
            </w:pPr>
            <w:r>
              <w:rPr>
                <w:rFonts w:ascii="Arial"/>
                <w:spacing w:val="-1"/>
                <w:sz w:val="24"/>
              </w:rPr>
              <w:t>1,590,059</w:t>
            </w:r>
          </w:p>
        </w:tc>
        <w:tc>
          <w:tcPr>
            <w:tcW w:w="240"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71"/>
              <w:jc w:val="right"/>
              <w:rPr>
                <w:rFonts w:ascii="Arial" w:hAnsi="Arial" w:cs="Arial" w:eastAsia="Arial" w:hint="default"/>
                <w:sz w:val="24"/>
                <w:szCs w:val="24"/>
              </w:rPr>
            </w:pPr>
            <w:r>
              <w:rPr>
                <w:rFonts w:ascii="Arial"/>
                <w:spacing w:val="-1"/>
                <w:sz w:val="24"/>
              </w:rPr>
              <w:t>1,255,490</w:t>
            </w:r>
          </w:p>
        </w:tc>
      </w:tr>
      <w:tr>
        <w:trPr>
          <w:trHeight w:val="320" w:hRule="exact"/>
        </w:trPr>
        <w:tc>
          <w:tcPr>
            <w:tcW w:w="782" w:type="dxa"/>
            <w:tcBorders>
              <w:top w:val="nil" w:sz="6" w:space="0" w:color="auto"/>
              <w:left w:val="nil" w:sz="6" w:space="0" w:color="auto"/>
              <w:bottom w:val="nil" w:sz="6" w:space="0" w:color="auto"/>
              <w:right w:val="nil" w:sz="6" w:space="0" w:color="auto"/>
            </w:tcBorders>
          </w:tcPr>
          <w:p>
            <w:pPr/>
          </w:p>
        </w:tc>
        <w:tc>
          <w:tcPr>
            <w:tcW w:w="3357" w:type="dxa"/>
            <w:tcBorders>
              <w:top w:val="nil" w:sz="6" w:space="0" w:color="auto"/>
              <w:left w:val="nil" w:sz="6" w:space="0" w:color="auto"/>
              <w:bottom w:val="nil" w:sz="6" w:space="0" w:color="auto"/>
              <w:right w:val="nil" w:sz="6" w:space="0" w:color="auto"/>
            </w:tcBorders>
          </w:tcPr>
          <w:p>
            <w:pPr>
              <w:pStyle w:val="TableParagraph"/>
              <w:spacing w:line="267" w:lineRule="exact"/>
              <w:ind w:left="96" w:right="0"/>
              <w:jc w:val="left"/>
              <w:rPr>
                <w:rFonts w:ascii="宋体" w:hAnsi="宋体" w:cs="宋体" w:eastAsia="宋体" w:hint="default"/>
                <w:sz w:val="24"/>
                <w:szCs w:val="24"/>
              </w:rPr>
            </w:pPr>
            <w:r>
              <w:rPr>
                <w:rFonts w:ascii="宋体" w:hAnsi="宋体" w:cs="宋体" w:eastAsia="宋体" w:hint="default"/>
                <w:sz w:val="24"/>
                <w:szCs w:val="24"/>
              </w:rPr>
              <w:t>应付广告费</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3"/>
              <w:jc w:val="right"/>
              <w:rPr>
                <w:rFonts w:ascii="Arial" w:hAnsi="Arial" w:cs="Arial" w:eastAsia="Arial" w:hint="default"/>
                <w:sz w:val="24"/>
                <w:szCs w:val="24"/>
              </w:rPr>
            </w:pPr>
            <w:r>
              <w:rPr>
                <w:rFonts w:ascii="Arial"/>
                <w:spacing w:val="-3"/>
                <w:sz w:val="24"/>
              </w:rPr>
              <w:t>430,011</w:t>
            </w:r>
          </w:p>
        </w:tc>
        <w:tc>
          <w:tcPr>
            <w:tcW w:w="240"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9"/>
              <w:jc w:val="right"/>
              <w:rPr>
                <w:rFonts w:ascii="Arial" w:hAnsi="Arial" w:cs="Arial" w:eastAsia="Arial" w:hint="default"/>
                <w:sz w:val="24"/>
                <w:szCs w:val="24"/>
              </w:rPr>
            </w:pPr>
            <w:r>
              <w:rPr>
                <w:rFonts w:ascii="Arial"/>
                <w:spacing w:val="-1"/>
                <w:sz w:val="24"/>
              </w:rPr>
              <w:t>415,598</w:t>
            </w:r>
          </w:p>
        </w:tc>
      </w:tr>
      <w:tr>
        <w:trPr>
          <w:trHeight w:val="320" w:hRule="exact"/>
        </w:trPr>
        <w:tc>
          <w:tcPr>
            <w:tcW w:w="782" w:type="dxa"/>
            <w:tcBorders>
              <w:top w:val="nil" w:sz="6" w:space="0" w:color="auto"/>
              <w:left w:val="nil" w:sz="6" w:space="0" w:color="auto"/>
              <w:bottom w:val="nil" w:sz="6" w:space="0" w:color="auto"/>
              <w:right w:val="nil" w:sz="6" w:space="0" w:color="auto"/>
            </w:tcBorders>
          </w:tcPr>
          <w:p>
            <w:pPr/>
          </w:p>
        </w:tc>
        <w:tc>
          <w:tcPr>
            <w:tcW w:w="3357" w:type="dxa"/>
            <w:tcBorders>
              <w:top w:val="nil" w:sz="6" w:space="0" w:color="auto"/>
              <w:left w:val="nil" w:sz="6" w:space="0" w:color="auto"/>
              <w:bottom w:val="nil" w:sz="6" w:space="0" w:color="auto"/>
              <w:right w:val="nil" w:sz="6" w:space="0" w:color="auto"/>
            </w:tcBorders>
          </w:tcPr>
          <w:p>
            <w:pPr>
              <w:pStyle w:val="TableParagraph"/>
              <w:spacing w:line="268" w:lineRule="exact"/>
              <w:ind w:left="96" w:right="0"/>
              <w:jc w:val="left"/>
              <w:rPr>
                <w:rFonts w:ascii="宋体" w:hAnsi="宋体" w:cs="宋体" w:eastAsia="宋体" w:hint="default"/>
                <w:sz w:val="24"/>
                <w:szCs w:val="24"/>
              </w:rPr>
            </w:pPr>
            <w:r>
              <w:rPr>
                <w:rFonts w:ascii="宋体" w:hAnsi="宋体" w:cs="宋体" w:eastAsia="宋体" w:hint="default"/>
                <w:sz w:val="24"/>
                <w:szCs w:val="24"/>
              </w:rPr>
              <w:t>收取的保证金及押金</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4"/>
              <w:jc w:val="right"/>
              <w:rPr>
                <w:rFonts w:ascii="Arial" w:hAnsi="Arial" w:cs="Arial" w:eastAsia="Arial" w:hint="default"/>
                <w:sz w:val="24"/>
                <w:szCs w:val="24"/>
              </w:rPr>
            </w:pPr>
            <w:r>
              <w:rPr>
                <w:rFonts w:ascii="Arial"/>
                <w:spacing w:val="-1"/>
                <w:sz w:val="24"/>
              </w:rPr>
              <w:t>396,915</w:t>
            </w:r>
          </w:p>
        </w:tc>
        <w:tc>
          <w:tcPr>
            <w:tcW w:w="240"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2"/>
              <w:jc w:val="right"/>
              <w:rPr>
                <w:rFonts w:ascii="Arial" w:hAnsi="Arial" w:cs="Arial" w:eastAsia="Arial" w:hint="default"/>
                <w:sz w:val="24"/>
                <w:szCs w:val="24"/>
              </w:rPr>
            </w:pPr>
            <w:r>
              <w:rPr>
                <w:rFonts w:ascii="Arial"/>
                <w:spacing w:val="-1"/>
                <w:sz w:val="24"/>
              </w:rPr>
              <w:t>395,101</w:t>
            </w:r>
          </w:p>
        </w:tc>
      </w:tr>
      <w:tr>
        <w:trPr>
          <w:trHeight w:val="322" w:hRule="exact"/>
        </w:trPr>
        <w:tc>
          <w:tcPr>
            <w:tcW w:w="782" w:type="dxa"/>
            <w:tcBorders>
              <w:top w:val="nil" w:sz="6" w:space="0" w:color="auto"/>
              <w:left w:val="nil" w:sz="6" w:space="0" w:color="auto"/>
              <w:bottom w:val="nil" w:sz="6" w:space="0" w:color="auto"/>
              <w:right w:val="nil" w:sz="6" w:space="0" w:color="auto"/>
            </w:tcBorders>
          </w:tcPr>
          <w:p>
            <w:pPr/>
          </w:p>
        </w:tc>
        <w:tc>
          <w:tcPr>
            <w:tcW w:w="3357" w:type="dxa"/>
            <w:tcBorders>
              <w:top w:val="nil" w:sz="6" w:space="0" w:color="auto"/>
              <w:left w:val="nil" w:sz="6" w:space="0" w:color="auto"/>
              <w:bottom w:val="nil" w:sz="6" w:space="0" w:color="auto"/>
              <w:right w:val="nil" w:sz="6" w:space="0" w:color="auto"/>
            </w:tcBorders>
          </w:tcPr>
          <w:p>
            <w:pPr>
              <w:pStyle w:val="TableParagraph"/>
              <w:spacing w:line="267" w:lineRule="exact"/>
              <w:ind w:left="96" w:right="0"/>
              <w:jc w:val="left"/>
              <w:rPr>
                <w:rFonts w:ascii="宋体" w:hAnsi="宋体" w:cs="宋体" w:eastAsia="宋体" w:hint="default"/>
                <w:sz w:val="24"/>
                <w:szCs w:val="24"/>
              </w:rPr>
            </w:pPr>
            <w:r>
              <w:rPr>
                <w:rFonts w:ascii="宋体" w:hAnsi="宋体" w:cs="宋体" w:eastAsia="宋体" w:hint="default"/>
                <w:sz w:val="24"/>
                <w:szCs w:val="24"/>
              </w:rPr>
              <w:t>应付市场推广费</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4"/>
              <w:jc w:val="right"/>
              <w:rPr>
                <w:rFonts w:ascii="Arial" w:hAnsi="Arial" w:cs="Arial" w:eastAsia="Arial" w:hint="default"/>
                <w:sz w:val="24"/>
                <w:szCs w:val="24"/>
              </w:rPr>
            </w:pPr>
            <w:r>
              <w:rPr>
                <w:rFonts w:ascii="Arial"/>
                <w:spacing w:val="-1"/>
                <w:sz w:val="24"/>
              </w:rPr>
              <w:t>166,239</w:t>
            </w:r>
          </w:p>
        </w:tc>
        <w:tc>
          <w:tcPr>
            <w:tcW w:w="240"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8"/>
              <w:jc w:val="right"/>
              <w:rPr>
                <w:rFonts w:ascii="Arial" w:hAnsi="Arial" w:cs="Arial" w:eastAsia="Arial" w:hint="default"/>
                <w:sz w:val="24"/>
                <w:szCs w:val="24"/>
              </w:rPr>
            </w:pPr>
            <w:r>
              <w:rPr>
                <w:rFonts w:ascii="Arial"/>
                <w:spacing w:val="-3"/>
                <w:sz w:val="24"/>
              </w:rPr>
              <w:t>229,112</w:t>
            </w:r>
          </w:p>
        </w:tc>
      </w:tr>
      <w:tr>
        <w:trPr>
          <w:trHeight w:val="318" w:hRule="exact"/>
        </w:trPr>
        <w:tc>
          <w:tcPr>
            <w:tcW w:w="782" w:type="dxa"/>
            <w:tcBorders>
              <w:top w:val="nil" w:sz="6" w:space="0" w:color="auto"/>
              <w:left w:val="nil" w:sz="6" w:space="0" w:color="auto"/>
              <w:bottom w:val="nil" w:sz="6" w:space="0" w:color="auto"/>
              <w:right w:val="nil" w:sz="6" w:space="0" w:color="auto"/>
            </w:tcBorders>
          </w:tcPr>
          <w:p>
            <w:pPr/>
          </w:p>
        </w:tc>
        <w:tc>
          <w:tcPr>
            <w:tcW w:w="3357" w:type="dxa"/>
            <w:tcBorders>
              <w:top w:val="nil" w:sz="6" w:space="0" w:color="auto"/>
              <w:left w:val="nil" w:sz="6" w:space="0" w:color="auto"/>
              <w:bottom w:val="nil" w:sz="6" w:space="0" w:color="auto"/>
              <w:right w:val="nil" w:sz="6" w:space="0" w:color="auto"/>
            </w:tcBorders>
          </w:tcPr>
          <w:p>
            <w:pPr>
              <w:pStyle w:val="TableParagraph"/>
              <w:spacing w:line="267" w:lineRule="exact"/>
              <w:ind w:left="9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345" w:type="dxa"/>
            <w:tcBorders>
              <w:top w:val="nil" w:sz="6" w:space="0" w:color="auto"/>
              <w:left w:val="nil" w:sz="6" w:space="0" w:color="auto"/>
              <w:bottom w:val="nil" w:sz="6" w:space="0" w:color="auto"/>
              <w:right w:val="nil" w:sz="6" w:space="0" w:color="auto"/>
            </w:tcBorders>
          </w:tcPr>
          <w:p>
            <w:pPr>
              <w:pStyle w:val="TableParagraph"/>
              <w:tabs>
                <w:tab w:pos="1389" w:val="left" w:leader="none"/>
                <w:tab w:pos="2345" w:val="left" w:leader="none"/>
              </w:tabs>
              <w:spacing w:line="240" w:lineRule="auto" w:before="24"/>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763,768</w:t>
              <w:tab/>
            </w:r>
            <w:r>
              <w:rPr>
                <w:rFonts w:ascii="Arial"/>
                <w:spacing w:val="-1"/>
                <w:sz w:val="24"/>
              </w:rPr>
            </w:r>
          </w:p>
        </w:tc>
        <w:tc>
          <w:tcPr>
            <w:tcW w:w="240"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tabs>
                <w:tab w:pos="1565" w:val="left" w:leader="none"/>
                <w:tab w:pos="2505" w:val="left" w:leader="none"/>
              </w:tabs>
              <w:spacing w:line="240" w:lineRule="auto" w:before="24"/>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448,624</w:t>
              <w:tab/>
            </w:r>
            <w:r>
              <w:rPr>
                <w:rFonts w:ascii="Arial"/>
                <w:spacing w:val="-1"/>
                <w:sz w:val="24"/>
              </w:rPr>
            </w:r>
          </w:p>
        </w:tc>
      </w:tr>
      <w:tr>
        <w:trPr>
          <w:trHeight w:val="287" w:hRule="exact"/>
        </w:trPr>
        <w:tc>
          <w:tcPr>
            <w:tcW w:w="782" w:type="dxa"/>
            <w:tcBorders>
              <w:top w:val="nil" w:sz="6" w:space="0" w:color="auto"/>
              <w:left w:val="nil" w:sz="6" w:space="0" w:color="auto"/>
              <w:bottom w:val="nil" w:sz="6" w:space="0" w:color="auto"/>
              <w:right w:val="nil" w:sz="6" w:space="0" w:color="auto"/>
            </w:tcBorders>
          </w:tcPr>
          <w:p>
            <w:pPr/>
          </w:p>
        </w:tc>
        <w:tc>
          <w:tcPr>
            <w:tcW w:w="5702"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right="83"/>
              <w:jc w:val="right"/>
              <w:rPr>
                <w:rFonts w:ascii="Arial" w:hAnsi="Arial" w:cs="Arial" w:eastAsia="Arial" w:hint="default"/>
                <w:sz w:val="24"/>
                <w:szCs w:val="24"/>
              </w:rPr>
            </w:pPr>
            <w:r>
              <w:rPr>
                <w:rFonts w:ascii="Arial"/>
                <w:spacing w:val="-1"/>
                <w:sz w:val="24"/>
              </w:rPr>
              <w:t>3,346,992</w:t>
            </w:r>
          </w:p>
        </w:tc>
        <w:tc>
          <w:tcPr>
            <w:tcW w:w="240"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single" w:sz="12" w:space="0" w:color="000000"/>
              <w:right w:val="nil" w:sz="6" w:space="0" w:color="auto"/>
            </w:tcBorders>
          </w:tcPr>
          <w:p>
            <w:pPr>
              <w:pStyle w:val="TableParagraph"/>
              <w:spacing w:line="268" w:lineRule="exact"/>
              <w:ind w:right="71"/>
              <w:jc w:val="right"/>
              <w:rPr>
                <w:rFonts w:ascii="Arial" w:hAnsi="Arial" w:cs="Arial" w:eastAsia="Arial" w:hint="default"/>
                <w:sz w:val="24"/>
                <w:szCs w:val="24"/>
              </w:rPr>
            </w:pPr>
            <w:r>
              <w:rPr>
                <w:rFonts w:ascii="Arial"/>
                <w:spacing w:val="-1"/>
                <w:sz w:val="24"/>
              </w:rPr>
              <w:t>2,743,925</w:t>
            </w:r>
          </w:p>
        </w:tc>
      </w:tr>
      <w:tr>
        <w:trPr>
          <w:trHeight w:val="888" w:hRule="exact"/>
        </w:trPr>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44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310" w:lineRule="exact"/>
              <w:ind w:left="161" w:right="146"/>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日及</w:t>
            </w:r>
            <w:r>
              <w:rPr>
                <w:rFonts w:ascii="宋体" w:hAnsi="宋体" w:cs="宋体" w:eastAsia="宋体" w:hint="default"/>
                <w:spacing w:val="-61"/>
                <w:sz w:val="24"/>
                <w:szCs w:val="24"/>
              </w:rPr>
              <w:t> </w:t>
            </w:r>
            <w:r>
              <w:rPr>
                <w:rFonts w:ascii="Arial" w:hAnsi="Arial" w:cs="Arial" w:eastAsia="Arial" w:hint="default"/>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日，其他应付款中无应付持有本公 司</w:t>
            </w:r>
            <w:r>
              <w:rPr>
                <w:rFonts w:ascii="宋体" w:hAnsi="宋体" w:cs="宋体" w:eastAsia="宋体" w:hint="default"/>
                <w:spacing w:val="-61"/>
                <w:sz w:val="24"/>
                <w:szCs w:val="24"/>
              </w:rPr>
              <w:t> </w:t>
            </w:r>
            <w:r>
              <w:rPr>
                <w:rFonts w:ascii="Arial" w:hAnsi="Arial" w:cs="Arial" w:eastAsia="Arial" w:hint="default"/>
                <w:sz w:val="24"/>
                <w:szCs w:val="24"/>
              </w:rPr>
              <w:t>5%(</w:t>
            </w:r>
            <w:r>
              <w:rPr>
                <w:rFonts w:ascii="宋体" w:hAnsi="宋体" w:cs="宋体" w:eastAsia="宋体" w:hint="default"/>
                <w:sz w:val="24"/>
                <w:szCs w:val="24"/>
              </w:rPr>
              <w:t>含</w:t>
            </w:r>
            <w:r>
              <w:rPr>
                <w:rFonts w:ascii="宋体" w:hAnsi="宋体" w:cs="宋体" w:eastAsia="宋体" w:hint="default"/>
                <w:spacing w:val="-61"/>
                <w:sz w:val="24"/>
                <w:szCs w:val="24"/>
              </w:rPr>
              <w:t> </w:t>
            </w:r>
            <w:r>
              <w:rPr>
                <w:rFonts w:ascii="Arial" w:hAnsi="Arial" w:cs="Arial" w:eastAsia="Arial" w:hint="default"/>
                <w:sz w:val="24"/>
                <w:szCs w:val="24"/>
              </w:rPr>
              <w:t>5%)</w:t>
            </w:r>
            <w:r>
              <w:rPr>
                <w:rFonts w:ascii="宋体" w:hAnsi="宋体" w:cs="宋体" w:eastAsia="宋体" w:hint="default"/>
                <w:sz w:val="24"/>
                <w:szCs w:val="24"/>
              </w:rPr>
              <w:t>以上表决权股份的股东的款项。</w:t>
            </w:r>
          </w:p>
        </w:tc>
      </w:tr>
    </w:tbl>
    <w:p>
      <w:pPr>
        <w:spacing w:after="0" w:line="310" w:lineRule="exact"/>
        <w:jc w:val="left"/>
        <w:rPr>
          <w:rFonts w:ascii="宋体" w:hAnsi="宋体" w:cs="宋体" w:eastAsia="宋体" w:hint="default"/>
          <w:sz w:val="24"/>
          <w:szCs w:val="24"/>
        </w:rPr>
        <w:sectPr>
          <w:pgSz w:w="11910" w:h="16850"/>
          <w:pgMar w:header="795" w:footer="1333" w:top="2020" w:bottom="1520" w:left="146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87"/>
        <w:gridCol w:w="3839"/>
        <w:gridCol w:w="2288"/>
        <w:gridCol w:w="235"/>
        <w:gridCol w:w="2187"/>
      </w:tblGrid>
      <w:tr>
        <w:trPr>
          <w:trHeight w:val="497"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839" w:type="dxa"/>
            <w:tcBorders>
              <w:top w:val="nil" w:sz="6" w:space="0" w:color="auto"/>
              <w:left w:val="nil" w:sz="6" w:space="0" w:color="auto"/>
              <w:bottom w:val="nil" w:sz="6" w:space="0" w:color="auto"/>
              <w:right w:val="nil" w:sz="6" w:space="0" w:color="auto"/>
            </w:tcBorders>
          </w:tcPr>
          <w:p>
            <w:pPr>
              <w:pStyle w:val="TableParagraph"/>
              <w:spacing w:line="257" w:lineRule="exact"/>
              <w:ind w:left="159"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8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
        </w:tc>
      </w:tr>
      <w:tr>
        <w:trPr>
          <w:trHeight w:val="731"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(27)</w:t>
            </w:r>
          </w:p>
        </w:tc>
        <w:tc>
          <w:tcPr>
            <w:tcW w:w="3839"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59" w:right="0"/>
              <w:jc w:val="left"/>
              <w:rPr>
                <w:rFonts w:ascii="Arial" w:hAnsi="Arial" w:cs="Arial" w:eastAsia="Arial" w:hint="default"/>
                <w:sz w:val="24"/>
                <w:szCs w:val="24"/>
              </w:rPr>
            </w:pPr>
            <w:r>
              <w:rPr>
                <w:rFonts w:ascii="黑体" w:hAnsi="黑体" w:cs="黑体" w:eastAsia="黑体" w:hint="default"/>
                <w:sz w:val="24"/>
                <w:szCs w:val="24"/>
              </w:rPr>
              <w:t>其他应付款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8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
        </w:tc>
      </w:tr>
      <w:tr>
        <w:trPr>
          <w:trHeight w:val="740"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3839"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59" w:right="0"/>
              <w:jc w:val="left"/>
              <w:rPr>
                <w:rFonts w:ascii="宋体" w:hAnsi="宋体" w:cs="宋体" w:eastAsia="宋体" w:hint="default"/>
                <w:sz w:val="24"/>
                <w:szCs w:val="24"/>
              </w:rPr>
            </w:pPr>
            <w:r>
              <w:rPr>
                <w:rFonts w:ascii="宋体" w:hAnsi="宋体" w:cs="宋体" w:eastAsia="宋体" w:hint="default"/>
                <w:sz w:val="24"/>
                <w:szCs w:val="24"/>
              </w:rPr>
              <w:t>应付关联方的其他应付款：</w:t>
            </w:r>
          </w:p>
        </w:tc>
        <w:tc>
          <w:tcPr>
            <w:tcW w:w="228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
        </w:tc>
      </w:tr>
      <w:tr>
        <w:trPr>
          <w:trHeight w:val="749" w:hRule="exact"/>
        </w:trPr>
        <w:tc>
          <w:tcPr>
            <w:tcW w:w="787" w:type="dxa"/>
            <w:tcBorders>
              <w:top w:val="nil" w:sz="6" w:space="0" w:color="auto"/>
              <w:left w:val="nil" w:sz="6" w:space="0" w:color="auto"/>
              <w:bottom w:val="nil" w:sz="6" w:space="0" w:color="auto"/>
              <w:right w:val="nil" w:sz="6" w:space="0" w:color="auto"/>
            </w:tcBorders>
          </w:tcPr>
          <w:p>
            <w:pPr/>
          </w:p>
        </w:tc>
        <w:tc>
          <w:tcPr>
            <w:tcW w:w="61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6"/>
              <w:ind w:left="4005"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3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91"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904" w:hRule="exact"/>
        </w:trPr>
        <w:tc>
          <w:tcPr>
            <w:tcW w:w="787"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312" w:lineRule="exact" w:before="214"/>
              <w:ind w:left="408" w:right="50" w:hanging="250"/>
              <w:jc w:val="left"/>
              <w:rPr>
                <w:rFonts w:ascii="Arial" w:hAnsi="Arial" w:cs="Arial" w:eastAsia="Arial" w:hint="default"/>
                <w:sz w:val="24"/>
                <w:szCs w:val="24"/>
              </w:rPr>
            </w:pPr>
            <w:r>
              <w:rPr>
                <w:rFonts w:ascii="宋体" w:hAnsi="宋体" w:cs="宋体" w:eastAsia="宋体" w:hint="default"/>
                <w:spacing w:val="6"/>
                <w:sz w:val="24"/>
                <w:szCs w:val="24"/>
              </w:rPr>
              <w:t>江苏苏宁建材有限公司</w:t>
            </w:r>
            <w:r>
              <w:rPr>
                <w:rFonts w:ascii="Arial" w:hAnsi="Arial" w:cs="Arial" w:eastAsia="Arial" w:hint="default"/>
                <w:spacing w:val="6"/>
                <w:sz w:val="24"/>
                <w:szCs w:val="24"/>
              </w:rPr>
              <w:t>(“</w:t>
            </w:r>
            <w:r>
              <w:rPr>
                <w:rFonts w:ascii="宋体" w:hAnsi="宋体" w:cs="宋体" w:eastAsia="宋体" w:hint="default"/>
                <w:spacing w:val="6"/>
                <w:sz w:val="24"/>
                <w:szCs w:val="24"/>
              </w:rPr>
              <w:t>江苏苏宁</w:t>
            </w:r>
            <w:r>
              <w:rPr>
                <w:rFonts w:ascii="宋体" w:hAnsi="宋体" w:cs="宋体" w:eastAsia="宋体" w:hint="default"/>
                <w:spacing w:val="-114"/>
                <w:sz w:val="24"/>
                <w:szCs w:val="24"/>
              </w:rPr>
              <w:t> </w:t>
            </w:r>
            <w:r>
              <w:rPr>
                <w:rFonts w:ascii="宋体" w:hAnsi="宋体" w:cs="宋体" w:eastAsia="宋体" w:hint="default"/>
                <w:sz w:val="24"/>
                <w:szCs w:val="24"/>
              </w:rPr>
              <w:t>建材</w:t>
            </w:r>
            <w:r>
              <w:rPr>
                <w:rFonts w:ascii="Arial" w:hAnsi="Arial" w:cs="Arial" w:eastAsia="Arial" w:hint="default"/>
                <w:sz w:val="24"/>
                <w:szCs w:val="24"/>
              </w:rPr>
              <w:t>”)</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85"/>
              <w:jc w:val="right"/>
              <w:rPr>
                <w:rFonts w:ascii="Arial" w:hAnsi="Arial" w:cs="Arial" w:eastAsia="Arial" w:hint="default"/>
                <w:sz w:val="24"/>
                <w:szCs w:val="24"/>
              </w:rPr>
            </w:pPr>
            <w:r>
              <w:rPr>
                <w:rFonts w:ascii="Arial"/>
                <w:spacing w:val="-1"/>
                <w:sz w:val="24"/>
              </w:rPr>
              <w:t>1,972</w:t>
            </w:r>
          </w:p>
        </w:tc>
        <w:tc>
          <w:tcPr>
            <w:tcW w:w="23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150"/>
              <w:jc w:val="right"/>
              <w:rPr>
                <w:rFonts w:ascii="Arial" w:hAnsi="Arial" w:cs="Arial" w:eastAsia="Arial" w:hint="default"/>
                <w:sz w:val="24"/>
                <w:szCs w:val="24"/>
              </w:rPr>
            </w:pPr>
            <w:r>
              <w:rPr>
                <w:rFonts w:ascii="Arial"/>
                <w:w w:val="99"/>
                <w:sz w:val="24"/>
              </w:rPr>
              <w:t>-</w:t>
            </w:r>
            <w:r>
              <w:rPr>
                <w:rFonts w:ascii="Arial"/>
                <w:sz w:val="24"/>
              </w:rPr>
            </w:r>
          </w:p>
        </w:tc>
      </w:tr>
      <w:tr>
        <w:trPr>
          <w:trHeight w:val="713" w:hRule="exact"/>
        </w:trPr>
        <w:tc>
          <w:tcPr>
            <w:tcW w:w="787"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310" w:lineRule="exact" w:before="24"/>
              <w:ind w:left="408" w:right="77" w:hanging="250"/>
              <w:jc w:val="left"/>
              <w:rPr>
                <w:rFonts w:ascii="Arial" w:hAnsi="Arial" w:cs="Arial" w:eastAsia="Arial" w:hint="default"/>
                <w:sz w:val="24"/>
                <w:szCs w:val="24"/>
              </w:rPr>
            </w:pPr>
            <w:r>
              <w:rPr>
                <w:rFonts w:ascii="宋体" w:hAnsi="宋体" w:cs="宋体" w:eastAsia="宋体" w:hint="default"/>
                <w:spacing w:val="4"/>
                <w:sz w:val="24"/>
                <w:szCs w:val="24"/>
              </w:rPr>
              <w:t>徐州苏宁置业有限公司</w:t>
            </w:r>
            <w:r>
              <w:rPr>
                <w:rFonts w:ascii="Arial" w:hAnsi="Arial" w:cs="Arial" w:eastAsia="Arial" w:hint="default"/>
                <w:spacing w:val="4"/>
                <w:sz w:val="24"/>
                <w:szCs w:val="24"/>
              </w:rPr>
              <w:t>(“</w:t>
            </w:r>
            <w:r>
              <w:rPr>
                <w:rFonts w:ascii="宋体" w:hAnsi="宋体" w:cs="宋体" w:eastAsia="宋体" w:hint="default"/>
                <w:spacing w:val="4"/>
                <w:sz w:val="24"/>
                <w:szCs w:val="24"/>
              </w:rPr>
              <w:t>徐州苏宁</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置业</w:t>
            </w:r>
            <w:r>
              <w:rPr>
                <w:rFonts w:ascii="Arial" w:hAnsi="Arial" w:cs="Arial" w:eastAsia="Arial" w:hint="default"/>
                <w:sz w:val="24"/>
                <w:szCs w:val="24"/>
              </w:rPr>
              <w:t>”)</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40" w:lineRule="auto"/>
              <w:ind w:right="85"/>
              <w:jc w:val="right"/>
              <w:rPr>
                <w:rFonts w:ascii="Arial" w:hAnsi="Arial" w:cs="Arial" w:eastAsia="Arial" w:hint="default"/>
                <w:sz w:val="24"/>
                <w:szCs w:val="24"/>
              </w:rPr>
            </w:pPr>
            <w:r>
              <w:rPr>
                <w:rFonts w:ascii="Arial"/>
                <w:spacing w:val="-1"/>
                <w:sz w:val="24"/>
              </w:rPr>
              <w:t>1,100</w:t>
            </w:r>
          </w:p>
        </w:tc>
        <w:tc>
          <w:tcPr>
            <w:tcW w:w="23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40" w:lineRule="auto"/>
              <w:ind w:right="150"/>
              <w:jc w:val="right"/>
              <w:rPr>
                <w:rFonts w:ascii="Arial" w:hAnsi="Arial" w:cs="Arial" w:eastAsia="Arial" w:hint="default"/>
                <w:sz w:val="24"/>
                <w:szCs w:val="24"/>
              </w:rPr>
            </w:pPr>
            <w:r>
              <w:rPr>
                <w:rFonts w:ascii="Arial"/>
                <w:w w:val="99"/>
                <w:sz w:val="24"/>
              </w:rPr>
              <w:t>-</w:t>
            </w:r>
            <w:r>
              <w:rPr>
                <w:rFonts w:ascii="Arial"/>
                <w:sz w:val="24"/>
              </w:rPr>
            </w:r>
          </w:p>
        </w:tc>
      </w:tr>
      <w:tr>
        <w:trPr>
          <w:trHeight w:val="401" w:hRule="exact"/>
        </w:trPr>
        <w:tc>
          <w:tcPr>
            <w:tcW w:w="787"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306" w:lineRule="exact"/>
              <w:ind w:left="159" w:right="0"/>
              <w:jc w:val="lef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4"/>
              <w:jc w:val="right"/>
              <w:rPr>
                <w:rFonts w:ascii="Arial" w:hAnsi="Arial" w:cs="Arial" w:eastAsia="Arial" w:hint="default"/>
                <w:sz w:val="24"/>
                <w:szCs w:val="24"/>
              </w:rPr>
            </w:pPr>
            <w:r>
              <w:rPr>
                <w:rFonts w:ascii="Arial"/>
                <w:w w:val="95"/>
                <w:sz w:val="24"/>
              </w:rPr>
              <w:t>418</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0"/>
              <w:jc w:val="right"/>
              <w:rPr>
                <w:rFonts w:ascii="Arial" w:hAnsi="Arial" w:cs="Arial" w:eastAsia="Arial" w:hint="default"/>
                <w:sz w:val="24"/>
                <w:szCs w:val="24"/>
              </w:rPr>
            </w:pPr>
            <w:r>
              <w:rPr>
                <w:rFonts w:ascii="Arial"/>
                <w:w w:val="99"/>
                <w:sz w:val="24"/>
              </w:rPr>
              <w:t>-</w:t>
            </w:r>
            <w:r>
              <w:rPr>
                <w:rFonts w:ascii="Arial"/>
                <w:sz w:val="24"/>
              </w:rPr>
            </w:r>
          </w:p>
        </w:tc>
      </w:tr>
      <w:tr>
        <w:trPr>
          <w:trHeight w:val="713" w:hRule="exact"/>
        </w:trPr>
        <w:tc>
          <w:tcPr>
            <w:tcW w:w="787"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312" w:lineRule="exact" w:before="22"/>
              <w:ind w:left="408" w:right="50" w:hanging="250"/>
              <w:jc w:val="left"/>
              <w:rPr>
                <w:rFonts w:ascii="Arial" w:hAnsi="Arial" w:cs="Arial" w:eastAsia="Arial" w:hint="default"/>
                <w:sz w:val="24"/>
                <w:szCs w:val="24"/>
              </w:rPr>
            </w:pPr>
            <w:r>
              <w:rPr>
                <w:rFonts w:ascii="宋体" w:hAnsi="宋体" w:cs="宋体" w:eastAsia="宋体" w:hint="default"/>
                <w:spacing w:val="6"/>
                <w:sz w:val="24"/>
                <w:szCs w:val="24"/>
              </w:rPr>
              <w:t>盐城苏宁置业有限公司</w:t>
            </w:r>
            <w:r>
              <w:rPr>
                <w:rFonts w:ascii="Arial" w:hAnsi="Arial" w:cs="Arial" w:eastAsia="Arial" w:hint="default"/>
                <w:spacing w:val="6"/>
                <w:sz w:val="24"/>
                <w:szCs w:val="24"/>
              </w:rPr>
              <w:t>(“</w:t>
            </w:r>
            <w:r>
              <w:rPr>
                <w:rFonts w:ascii="宋体" w:hAnsi="宋体" w:cs="宋体" w:eastAsia="宋体" w:hint="default"/>
                <w:spacing w:val="6"/>
                <w:sz w:val="24"/>
                <w:szCs w:val="24"/>
              </w:rPr>
              <w:t>盐城苏宁</w:t>
            </w:r>
            <w:r>
              <w:rPr>
                <w:rFonts w:ascii="宋体" w:hAnsi="宋体" w:cs="宋体" w:eastAsia="宋体" w:hint="default"/>
                <w:spacing w:val="-114"/>
                <w:sz w:val="24"/>
                <w:szCs w:val="24"/>
              </w:rPr>
              <w:t> </w:t>
            </w:r>
            <w:r>
              <w:rPr>
                <w:rFonts w:ascii="宋体" w:hAnsi="宋体" w:cs="宋体" w:eastAsia="宋体" w:hint="default"/>
                <w:sz w:val="24"/>
                <w:szCs w:val="24"/>
              </w:rPr>
              <w:t>置业</w:t>
            </w:r>
            <w:r>
              <w:rPr>
                <w:rFonts w:ascii="Arial" w:hAnsi="Arial" w:cs="Arial" w:eastAsia="Arial" w:hint="default"/>
                <w:sz w:val="24"/>
                <w:szCs w:val="24"/>
              </w:rPr>
              <w:t>”)</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40" w:lineRule="auto"/>
              <w:ind w:right="72"/>
              <w:jc w:val="right"/>
              <w:rPr>
                <w:rFonts w:ascii="Arial" w:hAnsi="Arial" w:cs="Arial" w:eastAsia="Arial" w:hint="default"/>
                <w:sz w:val="24"/>
                <w:szCs w:val="24"/>
              </w:rPr>
            </w:pPr>
            <w:r>
              <w:rPr>
                <w:rFonts w:ascii="Arial"/>
                <w:w w:val="95"/>
                <w:sz w:val="24"/>
              </w:rPr>
              <w:t>280</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40" w:lineRule="auto"/>
              <w:ind w:right="150"/>
              <w:jc w:val="right"/>
              <w:rPr>
                <w:rFonts w:ascii="Arial" w:hAnsi="Arial" w:cs="Arial" w:eastAsia="Arial" w:hint="default"/>
                <w:sz w:val="24"/>
                <w:szCs w:val="24"/>
              </w:rPr>
            </w:pPr>
            <w:r>
              <w:rPr>
                <w:rFonts w:ascii="Arial"/>
                <w:w w:val="99"/>
                <w:sz w:val="24"/>
              </w:rPr>
              <w:t>-</w:t>
            </w:r>
            <w:r>
              <w:rPr>
                <w:rFonts w:ascii="Arial"/>
                <w:sz w:val="24"/>
              </w:rPr>
            </w:r>
          </w:p>
        </w:tc>
      </w:tr>
      <w:tr>
        <w:trPr>
          <w:trHeight w:val="401" w:hRule="exact"/>
        </w:trPr>
        <w:tc>
          <w:tcPr>
            <w:tcW w:w="787"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306" w:lineRule="exact"/>
              <w:ind w:left="159" w:right="0"/>
              <w:jc w:val="left"/>
              <w:rPr>
                <w:rFonts w:ascii="宋体" w:hAnsi="宋体" w:cs="宋体" w:eastAsia="宋体" w:hint="default"/>
                <w:sz w:val="24"/>
                <w:szCs w:val="24"/>
              </w:rPr>
            </w:pPr>
            <w:r>
              <w:rPr>
                <w:rFonts w:ascii="宋体" w:hAnsi="宋体" w:cs="宋体" w:eastAsia="宋体" w:hint="default"/>
                <w:sz w:val="24"/>
                <w:szCs w:val="24"/>
              </w:rPr>
              <w:t>银河诺富特酒店</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5"/>
              <w:jc w:val="right"/>
              <w:rPr>
                <w:rFonts w:ascii="Arial" w:hAnsi="Arial" w:cs="Arial" w:eastAsia="Arial" w:hint="default"/>
                <w:sz w:val="24"/>
                <w:szCs w:val="24"/>
              </w:rPr>
            </w:pPr>
            <w:r>
              <w:rPr>
                <w:rFonts w:ascii="Arial"/>
                <w:spacing w:val="-7"/>
                <w:sz w:val="24"/>
              </w:rPr>
              <w:t>211</w:t>
            </w:r>
          </w:p>
        </w:tc>
        <w:tc>
          <w:tcPr>
            <w:tcW w:w="23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0"/>
              <w:jc w:val="right"/>
              <w:rPr>
                <w:rFonts w:ascii="Arial" w:hAnsi="Arial" w:cs="Arial" w:eastAsia="Arial" w:hint="default"/>
                <w:sz w:val="24"/>
                <w:szCs w:val="24"/>
              </w:rPr>
            </w:pPr>
            <w:r>
              <w:rPr>
                <w:rFonts w:ascii="Arial"/>
                <w:w w:val="99"/>
                <w:sz w:val="24"/>
              </w:rPr>
              <w:t>-</w:t>
            </w:r>
            <w:r>
              <w:rPr>
                <w:rFonts w:ascii="Arial"/>
                <w:sz w:val="24"/>
              </w:rPr>
            </w:r>
          </w:p>
        </w:tc>
      </w:tr>
      <w:tr>
        <w:trPr>
          <w:trHeight w:val="401" w:hRule="exact"/>
        </w:trPr>
        <w:tc>
          <w:tcPr>
            <w:tcW w:w="787"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306" w:lineRule="exact"/>
              <w:ind w:left="159" w:right="0"/>
              <w:jc w:val="left"/>
              <w:rPr>
                <w:rFonts w:ascii="宋体" w:hAnsi="宋体" w:cs="宋体" w:eastAsia="宋体" w:hint="default"/>
                <w:sz w:val="24"/>
                <w:szCs w:val="24"/>
              </w:rPr>
            </w:pPr>
            <w:r>
              <w:rPr>
                <w:rFonts w:ascii="宋体" w:hAnsi="宋体" w:cs="宋体" w:eastAsia="宋体" w:hint="default"/>
                <w:sz w:val="24"/>
                <w:szCs w:val="24"/>
              </w:rPr>
              <w:t>索菲特银河大酒店</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4"/>
              <w:jc w:val="right"/>
              <w:rPr>
                <w:rFonts w:ascii="Arial" w:hAnsi="Arial" w:cs="Arial" w:eastAsia="Arial" w:hint="default"/>
                <w:sz w:val="24"/>
                <w:szCs w:val="24"/>
              </w:rPr>
            </w:pPr>
            <w:r>
              <w:rPr>
                <w:rFonts w:ascii="Arial"/>
                <w:w w:val="95"/>
                <w:sz w:val="24"/>
              </w:rPr>
              <w:t>108</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0"/>
              <w:jc w:val="right"/>
              <w:rPr>
                <w:rFonts w:ascii="Arial" w:hAnsi="Arial" w:cs="Arial" w:eastAsia="Arial" w:hint="default"/>
                <w:sz w:val="24"/>
                <w:szCs w:val="24"/>
              </w:rPr>
            </w:pPr>
            <w:r>
              <w:rPr>
                <w:rFonts w:ascii="Arial"/>
                <w:w w:val="99"/>
                <w:sz w:val="24"/>
              </w:rPr>
              <w:t>-</w:t>
            </w:r>
            <w:r>
              <w:rPr>
                <w:rFonts w:ascii="Arial"/>
                <w:sz w:val="24"/>
              </w:rPr>
            </w:r>
          </w:p>
        </w:tc>
      </w:tr>
      <w:tr>
        <w:trPr>
          <w:trHeight w:val="402" w:hRule="exact"/>
        </w:trPr>
        <w:tc>
          <w:tcPr>
            <w:tcW w:w="787"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306" w:lineRule="exact"/>
              <w:ind w:left="159" w:right="0"/>
              <w:jc w:val="left"/>
              <w:rPr>
                <w:rFonts w:ascii="宋体" w:hAnsi="宋体" w:cs="宋体" w:eastAsia="宋体" w:hint="default"/>
                <w:sz w:val="24"/>
                <w:szCs w:val="24"/>
              </w:rPr>
            </w:pPr>
            <w:r>
              <w:rPr>
                <w:rFonts w:ascii="宋体" w:hAnsi="宋体" w:cs="宋体" w:eastAsia="宋体" w:hint="default"/>
                <w:sz w:val="24"/>
                <w:szCs w:val="24"/>
              </w:rPr>
              <w:t>钟山高尔夫酒店</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4"/>
              <w:jc w:val="right"/>
              <w:rPr>
                <w:rFonts w:ascii="Arial" w:hAnsi="Arial" w:cs="Arial" w:eastAsia="Arial" w:hint="default"/>
                <w:sz w:val="24"/>
                <w:szCs w:val="24"/>
              </w:rPr>
            </w:pPr>
            <w:r>
              <w:rPr>
                <w:rFonts w:ascii="Arial"/>
                <w:w w:val="95"/>
                <w:sz w:val="24"/>
              </w:rPr>
              <w:t>83</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0"/>
              <w:jc w:val="right"/>
              <w:rPr>
                <w:rFonts w:ascii="Arial" w:hAnsi="Arial" w:cs="Arial" w:eastAsia="Arial" w:hint="default"/>
                <w:sz w:val="24"/>
                <w:szCs w:val="24"/>
              </w:rPr>
            </w:pPr>
            <w:r>
              <w:rPr>
                <w:rFonts w:ascii="Arial"/>
                <w:w w:val="99"/>
                <w:sz w:val="24"/>
              </w:rPr>
              <w:t>-</w:t>
            </w:r>
            <w:r>
              <w:rPr>
                <w:rFonts w:ascii="Arial"/>
                <w:sz w:val="24"/>
              </w:rPr>
            </w:r>
          </w:p>
        </w:tc>
      </w:tr>
      <w:tr>
        <w:trPr>
          <w:trHeight w:val="713" w:hRule="exact"/>
        </w:trPr>
        <w:tc>
          <w:tcPr>
            <w:tcW w:w="787"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310" w:lineRule="exact" w:before="25"/>
              <w:ind w:left="408" w:right="36" w:hanging="250"/>
              <w:jc w:val="left"/>
              <w:rPr>
                <w:rFonts w:ascii="Arial" w:hAnsi="Arial" w:cs="Arial" w:eastAsia="Arial" w:hint="default"/>
                <w:sz w:val="24"/>
                <w:szCs w:val="24"/>
              </w:rPr>
            </w:pPr>
            <w:r>
              <w:rPr>
                <w:rFonts w:ascii="宋体" w:hAnsi="宋体" w:cs="宋体" w:eastAsia="宋体" w:hint="default"/>
                <w:spacing w:val="6"/>
                <w:sz w:val="24"/>
                <w:szCs w:val="24"/>
              </w:rPr>
              <w:t>北京华商商务会所有限公司</w:t>
            </w:r>
            <w:r>
              <w:rPr>
                <w:rFonts w:ascii="Arial" w:hAnsi="Arial" w:cs="Arial" w:eastAsia="Arial" w:hint="default"/>
                <w:spacing w:val="6"/>
                <w:sz w:val="24"/>
                <w:szCs w:val="24"/>
              </w:rPr>
              <w:t>(</w:t>
            </w:r>
            <w:r>
              <w:rPr>
                <w:rFonts w:ascii="Arial" w:hAnsi="Arial" w:cs="Arial" w:eastAsia="Arial" w:hint="default"/>
                <w:spacing w:val="6"/>
                <w:sz w:val="24"/>
                <w:szCs w:val="24"/>
              </w:rPr>
              <w:t>“</w:t>
            </w:r>
            <w:r>
              <w:rPr>
                <w:rFonts w:ascii="宋体" w:hAnsi="宋体" w:cs="宋体" w:eastAsia="宋体" w:hint="default"/>
                <w:spacing w:val="6"/>
                <w:sz w:val="24"/>
                <w:szCs w:val="24"/>
              </w:rPr>
              <w:t>华商</w:t>
            </w:r>
            <w:r>
              <w:rPr>
                <w:rFonts w:ascii="宋体" w:hAnsi="宋体" w:cs="宋体" w:eastAsia="宋体" w:hint="default"/>
                <w:spacing w:val="-106"/>
                <w:sz w:val="24"/>
                <w:szCs w:val="24"/>
              </w:rPr>
              <w:t> </w:t>
            </w:r>
            <w:r>
              <w:rPr>
                <w:rFonts w:ascii="宋体" w:hAnsi="宋体" w:cs="宋体" w:eastAsia="宋体" w:hint="default"/>
                <w:sz w:val="24"/>
                <w:szCs w:val="24"/>
              </w:rPr>
              <w:t>会所</w:t>
            </w:r>
            <w:r>
              <w:rPr>
                <w:rFonts w:ascii="Arial" w:hAnsi="Arial" w:cs="Arial" w:eastAsia="Arial" w:hint="default"/>
                <w:sz w:val="24"/>
                <w:szCs w:val="24"/>
              </w:rPr>
              <w:t>”</w:t>
            </w:r>
            <w:r>
              <w:rPr>
                <w:rFonts w:ascii="Arial" w:hAnsi="Arial" w:cs="Arial" w:eastAsia="Arial" w:hint="default"/>
                <w:sz w:val="24"/>
                <w:szCs w:val="24"/>
              </w:rPr>
              <w:t>)</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spacing w:line="240" w:lineRule="auto"/>
              <w:ind w:right="84"/>
              <w:jc w:val="right"/>
              <w:rPr>
                <w:rFonts w:ascii="Arial" w:hAnsi="Arial" w:cs="Arial" w:eastAsia="Arial" w:hint="default"/>
                <w:sz w:val="24"/>
                <w:szCs w:val="24"/>
              </w:rPr>
            </w:pPr>
            <w:r>
              <w:rPr>
                <w:rFonts w:ascii="Arial"/>
                <w:w w:val="95"/>
                <w:sz w:val="24"/>
              </w:rPr>
              <w:t>21</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spacing w:line="240" w:lineRule="auto"/>
              <w:ind w:right="150"/>
              <w:jc w:val="right"/>
              <w:rPr>
                <w:rFonts w:ascii="Arial" w:hAnsi="Arial" w:cs="Arial" w:eastAsia="Arial" w:hint="default"/>
                <w:sz w:val="24"/>
                <w:szCs w:val="24"/>
              </w:rPr>
            </w:pPr>
            <w:r>
              <w:rPr>
                <w:rFonts w:ascii="Arial"/>
                <w:w w:val="99"/>
                <w:sz w:val="24"/>
              </w:rPr>
              <w:t>-</w:t>
            </w:r>
            <w:r>
              <w:rPr>
                <w:rFonts w:ascii="Arial"/>
                <w:sz w:val="24"/>
              </w:rPr>
            </w:r>
          </w:p>
        </w:tc>
      </w:tr>
      <w:tr>
        <w:trPr>
          <w:trHeight w:val="401" w:hRule="exact"/>
        </w:trPr>
        <w:tc>
          <w:tcPr>
            <w:tcW w:w="787"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307" w:lineRule="exact"/>
              <w:ind w:left="159"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4"/>
              <w:jc w:val="right"/>
              <w:rPr>
                <w:rFonts w:ascii="Arial" w:hAnsi="Arial" w:cs="Arial" w:eastAsia="Arial" w:hint="default"/>
                <w:sz w:val="24"/>
                <w:szCs w:val="24"/>
              </w:rPr>
            </w:pPr>
            <w:r>
              <w:rPr>
                <w:rFonts w:ascii="Arial"/>
                <w:w w:val="99"/>
                <w:sz w:val="24"/>
              </w:rPr>
              <w:t>-</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Arial" w:hAnsi="Arial" w:cs="Arial" w:eastAsia="Arial" w:hint="default"/>
                <w:sz w:val="24"/>
                <w:szCs w:val="24"/>
              </w:rPr>
            </w:pPr>
            <w:r>
              <w:rPr>
                <w:rFonts w:ascii="Arial"/>
                <w:spacing w:val="-1"/>
                <w:sz w:val="24"/>
              </w:rPr>
              <w:t>2,010</w:t>
            </w:r>
          </w:p>
        </w:tc>
      </w:tr>
      <w:tr>
        <w:trPr>
          <w:trHeight w:val="389" w:hRule="exact"/>
        </w:trPr>
        <w:tc>
          <w:tcPr>
            <w:tcW w:w="787"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307" w:lineRule="exact"/>
              <w:ind w:left="159" w:right="0"/>
              <w:jc w:val="left"/>
              <w:rPr>
                <w:rFonts w:ascii="宋体" w:hAnsi="宋体" w:cs="宋体" w:eastAsia="宋体" w:hint="default"/>
                <w:sz w:val="24"/>
                <w:szCs w:val="24"/>
              </w:rPr>
            </w:pPr>
            <w:r>
              <w:rPr>
                <w:rFonts w:ascii="宋体" w:hAnsi="宋体" w:cs="宋体" w:eastAsia="宋体" w:hint="default"/>
                <w:sz w:val="24"/>
                <w:szCs w:val="24"/>
              </w:rPr>
              <w:t>银河国际购物广场</w:t>
            </w:r>
          </w:p>
        </w:tc>
        <w:tc>
          <w:tcPr>
            <w:tcW w:w="2288"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14"/>
              <w:jc w:val="right"/>
              <w:rPr>
                <w:rFonts w:ascii="Arial" w:hAnsi="Arial" w:cs="Arial" w:eastAsia="Arial" w:hint="default"/>
                <w:sz w:val="24"/>
                <w:szCs w:val="24"/>
              </w:rPr>
            </w:pPr>
            <w:r>
              <w:rPr>
                <w:rFonts w:ascii="Arial"/>
                <w:w w:val="99"/>
                <w:sz w:val="24"/>
              </w:rPr>
              <w:t>-</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03"/>
              <w:jc w:val="right"/>
              <w:rPr>
                <w:rFonts w:ascii="Arial" w:hAnsi="Arial" w:cs="Arial" w:eastAsia="Arial" w:hint="default"/>
                <w:sz w:val="24"/>
                <w:szCs w:val="24"/>
              </w:rPr>
            </w:pPr>
            <w:r>
              <w:rPr>
                <w:rFonts w:ascii="Arial"/>
                <w:w w:val="95"/>
                <w:sz w:val="24"/>
              </w:rPr>
              <w:t>304</w:t>
            </w:r>
            <w:r>
              <w:rPr>
                <w:rFonts w:ascii="Arial"/>
                <w:sz w:val="24"/>
              </w:rPr>
            </w:r>
          </w:p>
        </w:tc>
      </w:tr>
      <w:tr>
        <w:trPr>
          <w:trHeight w:val="374" w:hRule="exact"/>
        </w:trPr>
        <w:tc>
          <w:tcPr>
            <w:tcW w:w="787"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
        </w:tc>
        <w:tc>
          <w:tcPr>
            <w:tcW w:w="2288"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85"/>
              <w:jc w:val="right"/>
              <w:rPr>
                <w:rFonts w:ascii="Arial" w:hAnsi="Arial" w:cs="Arial" w:eastAsia="Arial" w:hint="default"/>
                <w:sz w:val="24"/>
                <w:szCs w:val="24"/>
              </w:rPr>
            </w:pPr>
            <w:r>
              <w:rPr>
                <w:rFonts w:ascii="Arial"/>
                <w:spacing w:val="-1"/>
                <w:sz w:val="24"/>
              </w:rPr>
              <w:t>4,193</w:t>
            </w:r>
          </w:p>
        </w:tc>
        <w:tc>
          <w:tcPr>
            <w:tcW w:w="235" w:type="dxa"/>
            <w:tcBorders>
              <w:top w:val="nil" w:sz="6" w:space="0" w:color="auto"/>
              <w:left w:val="nil" w:sz="6" w:space="0" w:color="auto"/>
              <w:bottom w:val="nil" w:sz="6" w:space="0" w:color="auto"/>
              <w:right w:val="nil" w:sz="6" w:space="0" w:color="auto"/>
            </w:tcBorders>
          </w:tcPr>
          <w:p>
            <w:pPr/>
          </w:p>
        </w:tc>
        <w:tc>
          <w:tcPr>
            <w:tcW w:w="2187"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4"/>
              <w:jc w:val="right"/>
              <w:rPr>
                <w:rFonts w:ascii="Arial" w:hAnsi="Arial" w:cs="Arial" w:eastAsia="Arial" w:hint="default"/>
                <w:sz w:val="24"/>
                <w:szCs w:val="24"/>
              </w:rPr>
            </w:pPr>
            <w:r>
              <w:rPr>
                <w:rFonts w:ascii="Arial"/>
                <w:spacing w:val="-1"/>
                <w:sz w:val="24"/>
              </w:rPr>
              <w:t>2,314</w:t>
            </w:r>
          </w:p>
        </w:tc>
      </w:tr>
      <w:tr>
        <w:trPr>
          <w:trHeight w:val="1009"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(c)</w:t>
            </w:r>
          </w:p>
        </w:tc>
        <w:tc>
          <w:tcPr>
            <w:tcW w:w="854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321" w:lineRule="exact"/>
              <w:ind w:left="159"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z w:val="24"/>
                <w:szCs w:val="24"/>
              </w:rPr>
              <w:t>2012</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pacing w:val="-6"/>
                <w:sz w:val="24"/>
                <w:szCs w:val="24"/>
              </w:rPr>
              <w:t>日，账龄超过一年的其他应付款约人民币</w:t>
            </w:r>
            <w:r>
              <w:rPr>
                <w:rFonts w:ascii="宋体" w:hAnsi="宋体" w:cs="宋体" w:eastAsia="宋体" w:hint="default"/>
                <w:spacing w:val="-57"/>
                <w:sz w:val="24"/>
                <w:szCs w:val="24"/>
              </w:rPr>
              <w:t> </w:t>
            </w:r>
            <w:r>
              <w:rPr>
                <w:rFonts w:ascii="Arial" w:hAnsi="Arial" w:cs="Arial" w:eastAsia="Arial" w:hint="default"/>
                <w:sz w:val="24"/>
                <w:szCs w:val="24"/>
              </w:rPr>
              <w:t>2.68</w:t>
            </w:r>
            <w:r>
              <w:rPr>
                <w:rFonts w:ascii="Arial" w:hAnsi="Arial" w:cs="Arial" w:eastAsia="Arial" w:hint="default"/>
                <w:spacing w:val="-7"/>
                <w:sz w:val="24"/>
                <w:szCs w:val="24"/>
              </w:rPr>
              <w:t> </w:t>
            </w:r>
            <w:r>
              <w:rPr>
                <w:rFonts w:ascii="宋体" w:hAnsi="宋体" w:cs="宋体" w:eastAsia="宋体" w:hint="default"/>
                <w:spacing w:val="-3"/>
                <w:sz w:val="24"/>
                <w:szCs w:val="24"/>
              </w:rPr>
              <w:t>亿元</w:t>
            </w:r>
            <w:r>
              <w:rPr>
                <w:rFonts w:ascii="Arial" w:hAnsi="Arial" w:cs="Arial" w:eastAsia="Arial" w:hint="default"/>
                <w:spacing w:val="-3"/>
                <w:sz w:val="24"/>
                <w:szCs w:val="24"/>
              </w:rPr>
              <w:t>(2011</w:t>
            </w:r>
            <w:r>
              <w:rPr>
                <w:rFonts w:ascii="Arial" w:hAnsi="Arial" w:cs="Arial" w:eastAsia="Arial" w:hint="default"/>
                <w:spacing w:val="-5"/>
                <w:sz w:val="24"/>
                <w:szCs w:val="24"/>
              </w:rPr>
              <w:t> </w:t>
            </w:r>
            <w:r>
              <w:rPr>
                <w:rFonts w:ascii="宋体" w:hAnsi="宋体" w:cs="宋体" w:eastAsia="宋体" w:hint="default"/>
                <w:sz w:val="24"/>
                <w:szCs w:val="24"/>
              </w:rPr>
              <w:t>年</w:t>
            </w:r>
          </w:p>
          <w:p>
            <w:pPr>
              <w:pStyle w:val="TableParagraph"/>
              <w:spacing w:line="321" w:lineRule="exact"/>
              <w:ind w:left="159"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日：约人民币</w:t>
            </w:r>
            <w:r>
              <w:rPr>
                <w:rFonts w:ascii="宋体" w:hAnsi="宋体" w:cs="宋体" w:eastAsia="宋体" w:hint="default"/>
                <w:spacing w:val="-62"/>
                <w:sz w:val="24"/>
                <w:szCs w:val="24"/>
              </w:rPr>
              <w:t> </w:t>
            </w:r>
            <w:r>
              <w:rPr>
                <w:rFonts w:ascii="Arial" w:hAnsi="Arial" w:cs="Arial" w:eastAsia="Arial" w:hint="default"/>
                <w:sz w:val="24"/>
                <w:szCs w:val="24"/>
              </w:rPr>
              <w:t>2.94</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，主要为收取的各类保证金和押金。</w:t>
            </w:r>
          </w:p>
        </w:tc>
      </w:tr>
    </w:tbl>
    <w:p>
      <w:pPr>
        <w:spacing w:after="0" w:line="321" w:lineRule="exact"/>
        <w:jc w:val="left"/>
        <w:rPr>
          <w:rFonts w:ascii="宋体" w:hAnsi="宋体" w:cs="宋体" w:eastAsia="宋体" w:hint="default"/>
          <w:sz w:val="24"/>
          <w:szCs w:val="24"/>
        </w:rPr>
        <w:sectPr>
          <w:pgSz w:w="11910" w:h="16850"/>
          <w:pgMar w:header="795" w:footer="1333" w:top="2020" w:bottom="1520" w:left="1420" w:right="0"/>
        </w:sectPr>
      </w:pPr>
    </w:p>
    <w:p>
      <w:pPr>
        <w:spacing w:line="240" w:lineRule="auto" w:before="0"/>
        <w:rPr>
          <w:rFonts w:ascii="Times New Roman" w:hAnsi="Times New Roman" w:cs="Times New Roman" w:eastAsia="Times New Roman" w:hint="default"/>
          <w:sz w:val="28"/>
          <w:szCs w:val="28"/>
        </w:rPr>
      </w:pPr>
    </w:p>
    <w:p>
      <w:pPr>
        <w:pStyle w:val="Heading3"/>
        <w:tabs>
          <w:tab w:pos="1121" w:val="left" w:leader="none"/>
        </w:tabs>
        <w:spacing w:line="542" w:lineRule="auto" w:before="26"/>
        <w:ind w:left="308" w:right="6562" w:firstLine="64"/>
        <w:jc w:val="left"/>
        <w:rPr>
          <w:rFonts w:ascii="Arial" w:hAnsi="Arial" w:cs="Arial" w:eastAsia="Arial" w:hint="default"/>
        </w:rPr>
      </w:pPr>
      <w:r>
        <w:rPr>
          <w:rFonts w:ascii="黑体" w:hAnsi="黑体" w:cs="黑体" w:eastAsia="黑体" w:hint="default"/>
        </w:rPr>
        <w:t>五</w:t>
        <w:tab/>
        <w:t>合并财务报表项目附注</w:t>
      </w:r>
      <w:r>
        <w:rPr>
          <w:rFonts w:ascii="Arial" w:hAnsi="Arial" w:cs="Arial" w:eastAsia="Arial" w:hint="default"/>
        </w:rPr>
        <w:t>(</w:t>
      </w:r>
      <w:r>
        <w:rPr>
          <w:rFonts w:ascii="黑体" w:hAnsi="黑体" w:cs="黑体" w:eastAsia="黑体" w:hint="default"/>
        </w:rPr>
        <w:t>续</w:t>
      </w:r>
      <w:r>
        <w:rPr>
          <w:rFonts w:ascii="Arial" w:hAnsi="Arial" w:cs="Arial" w:eastAsia="Arial" w:hint="default"/>
        </w:rPr>
        <w:t>) </w:t>
      </w:r>
      <w:r>
        <w:rPr>
          <w:rFonts w:ascii="Arial" w:hAnsi="Arial" w:cs="Arial" w:eastAsia="Arial" w:hint="default"/>
          <w:spacing w:val="-1"/>
          <w:position w:val="2"/>
        </w:rPr>
        <w:t>(27)</w:t>
        <w:tab/>
      </w:r>
      <w:r>
        <w:rPr>
          <w:rFonts w:ascii="黑体" w:hAnsi="黑体" w:cs="黑体" w:eastAsia="黑体" w:hint="default"/>
          <w:spacing w:val="-1"/>
        </w:rPr>
        <w:t>其他应付款</w:t>
      </w:r>
      <w:r>
        <w:rPr>
          <w:rFonts w:ascii="Arial" w:hAnsi="Arial" w:cs="Arial" w:eastAsia="Arial" w:hint="default"/>
          <w:spacing w:val="-1"/>
        </w:rPr>
        <w:t>(</w:t>
      </w:r>
      <w:r>
        <w:rPr>
          <w:rFonts w:ascii="黑体" w:hAnsi="黑体" w:cs="黑体" w:eastAsia="黑体" w:hint="default"/>
          <w:spacing w:val="-1"/>
        </w:rPr>
        <w:t>续</w:t>
      </w:r>
      <w:r>
        <w:rPr>
          <w:rFonts w:ascii="Arial" w:hAnsi="Arial" w:cs="Arial" w:eastAsia="Arial" w:hint="default"/>
          <w:spacing w:val="-1"/>
        </w:rPr>
        <w:t>)</w:t>
      </w:r>
    </w:p>
    <w:p>
      <w:pPr>
        <w:pStyle w:val="Heading3"/>
        <w:tabs>
          <w:tab w:pos="1121" w:val="left" w:leader="none"/>
        </w:tabs>
        <w:spacing w:line="240" w:lineRule="auto" w:before="52"/>
        <w:ind w:left="373" w:right="846"/>
        <w:jc w:val="left"/>
      </w:pPr>
      <w:r>
        <w:rPr>
          <w:rFonts w:ascii="Arial" w:hAnsi="Arial" w:cs="Arial" w:eastAsia="Arial" w:hint="default"/>
          <w:spacing w:val="-1"/>
          <w:position w:val="2"/>
        </w:rPr>
        <w:t>(d)</w:t>
        <w:tab/>
      </w:r>
      <w:r>
        <w:rPr/>
        <w:t>其他应付款中包括以下外币余额：</w:t>
      </w:r>
    </w:p>
    <w:p>
      <w:pPr>
        <w:spacing w:line="240" w:lineRule="auto" w:before="4"/>
        <w:rPr>
          <w:rFonts w:ascii="宋体" w:hAnsi="宋体" w:cs="宋体" w:eastAsia="宋体" w:hint="default"/>
          <w:sz w:val="33"/>
          <w:szCs w:val="33"/>
        </w:rPr>
      </w:pPr>
    </w:p>
    <w:p>
      <w:pPr>
        <w:pStyle w:val="BodyText"/>
        <w:tabs>
          <w:tab w:pos="6621" w:val="left" w:leader="none"/>
        </w:tabs>
        <w:spacing w:line="240" w:lineRule="auto" w:before="0"/>
        <w:ind w:left="2608" w:right="846"/>
        <w:jc w:val="left"/>
      </w:pPr>
      <w:r>
        <w:rPr/>
        <w:pict>
          <v:shape style="position:absolute;margin-left:125.349998pt;margin-top:17.663702pt;width:417.05pt;height:116.4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5"/>
                    <w:gridCol w:w="1317"/>
                    <w:gridCol w:w="1199"/>
                    <w:gridCol w:w="1212"/>
                    <w:gridCol w:w="245"/>
                    <w:gridCol w:w="1321"/>
                    <w:gridCol w:w="1166"/>
                    <w:gridCol w:w="1315"/>
                  </w:tblGrid>
                  <w:tr>
                    <w:trPr>
                      <w:trHeight w:val="785" w:hRule="exact"/>
                    </w:trPr>
                    <w:tc>
                      <w:tcPr>
                        <w:tcW w:w="565" w:type="dxa"/>
                        <w:tcBorders>
                          <w:top w:val="nil" w:sz="6" w:space="0" w:color="auto"/>
                          <w:left w:val="nil" w:sz="6" w:space="0" w:color="auto"/>
                          <w:bottom w:val="nil" w:sz="6" w:space="0" w:color="auto"/>
                          <w:right w:val="nil" w:sz="6" w:space="0" w:color="auto"/>
                        </w:tcBorders>
                      </w:tcPr>
                      <w:p>
                        <w:pPr/>
                      </w:p>
                    </w:tc>
                    <w:tc>
                      <w:tcPr>
                        <w:tcW w:w="131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218"/>
                          <w:jc w:val="right"/>
                          <w:rPr>
                            <w:rFonts w:ascii="宋体" w:hAnsi="宋体" w:cs="宋体" w:eastAsia="宋体" w:hint="default"/>
                            <w:sz w:val="21"/>
                            <w:szCs w:val="21"/>
                          </w:rPr>
                        </w:pPr>
                        <w:r>
                          <w:rPr>
                            <w:rFonts w:ascii="宋体" w:hAnsi="宋体" w:cs="宋体" w:eastAsia="宋体" w:hint="default"/>
                            <w:spacing w:val="-1"/>
                            <w:sz w:val="21"/>
                            <w:szCs w:val="21"/>
                          </w:rPr>
                          <w:t>外币金额</w:t>
                        </w:r>
                      </w:p>
                    </w:tc>
                    <w:tc>
                      <w:tcPr>
                        <w:tcW w:w="119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331"/>
                          <w:jc w:val="right"/>
                          <w:rPr>
                            <w:rFonts w:ascii="宋体" w:hAnsi="宋体" w:cs="宋体" w:eastAsia="宋体" w:hint="default"/>
                            <w:sz w:val="21"/>
                            <w:szCs w:val="21"/>
                          </w:rPr>
                        </w:pPr>
                        <w:r>
                          <w:rPr>
                            <w:rFonts w:ascii="宋体" w:hAnsi="宋体" w:cs="宋体" w:eastAsia="宋体" w:hint="default"/>
                            <w:sz w:val="21"/>
                            <w:szCs w:val="21"/>
                          </w:rPr>
                          <w:t>汇率</w:t>
                        </w:r>
                      </w:p>
                    </w:tc>
                    <w:tc>
                      <w:tcPr>
                        <w:tcW w:w="1212" w:type="dxa"/>
                        <w:tcBorders>
                          <w:top w:val="single" w:sz="4" w:space="0" w:color="000000"/>
                          <w:left w:val="nil" w:sz="6" w:space="0" w:color="auto"/>
                          <w:bottom w:val="nil" w:sz="6" w:space="0" w:color="auto"/>
                          <w:right w:val="nil" w:sz="6" w:space="0" w:color="auto"/>
                        </w:tcBorders>
                      </w:tcPr>
                      <w:p>
                        <w:pPr>
                          <w:pStyle w:val="TableParagraph"/>
                          <w:spacing w:line="273" w:lineRule="exact" w:before="7"/>
                          <w:ind w:right="80"/>
                          <w:jc w:val="right"/>
                          <w:rPr>
                            <w:rFonts w:ascii="宋体" w:hAnsi="宋体" w:cs="宋体" w:eastAsia="宋体" w:hint="default"/>
                            <w:sz w:val="21"/>
                            <w:szCs w:val="21"/>
                          </w:rPr>
                        </w:pPr>
                        <w:r>
                          <w:rPr>
                            <w:rFonts w:ascii="宋体" w:hAnsi="宋体" w:cs="宋体" w:eastAsia="宋体" w:hint="default"/>
                            <w:spacing w:val="-1"/>
                            <w:sz w:val="21"/>
                            <w:szCs w:val="21"/>
                          </w:rPr>
                          <w:t>折合人民</w:t>
                        </w:r>
                      </w:p>
                      <w:p>
                        <w:pPr>
                          <w:pStyle w:val="TableParagraph"/>
                          <w:spacing w:line="273" w:lineRule="exact"/>
                          <w:ind w:right="82"/>
                          <w:jc w:val="right"/>
                          <w:rPr>
                            <w:rFonts w:ascii="宋体" w:hAnsi="宋体" w:cs="宋体" w:eastAsia="宋体" w:hint="default"/>
                            <w:sz w:val="21"/>
                            <w:szCs w:val="21"/>
                          </w:rPr>
                        </w:pPr>
                        <w:r>
                          <w:rPr>
                            <w:rFonts w:ascii="宋体" w:hAnsi="宋体" w:cs="宋体" w:eastAsia="宋体" w:hint="default"/>
                            <w:w w:val="100"/>
                            <w:sz w:val="21"/>
                            <w:szCs w:val="21"/>
                          </w:rPr>
                          <w:t>币</w:t>
                        </w:r>
                      </w:p>
                    </w:tc>
                    <w:tc>
                      <w:tcPr>
                        <w:tcW w:w="245" w:type="dxa"/>
                        <w:tcBorders>
                          <w:top w:val="nil" w:sz="6" w:space="0" w:color="auto"/>
                          <w:left w:val="nil" w:sz="6" w:space="0" w:color="auto"/>
                          <w:bottom w:val="nil" w:sz="6" w:space="0" w:color="auto"/>
                          <w:right w:val="nil" w:sz="6" w:space="0" w:color="auto"/>
                        </w:tcBorders>
                      </w:tcPr>
                      <w:p>
                        <w:pPr/>
                      </w:p>
                    </w:tc>
                    <w:tc>
                      <w:tcPr>
                        <w:tcW w:w="132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210"/>
                          <w:jc w:val="right"/>
                          <w:rPr>
                            <w:rFonts w:ascii="宋体" w:hAnsi="宋体" w:cs="宋体" w:eastAsia="宋体" w:hint="default"/>
                            <w:sz w:val="21"/>
                            <w:szCs w:val="21"/>
                          </w:rPr>
                        </w:pPr>
                        <w:r>
                          <w:rPr>
                            <w:rFonts w:ascii="宋体" w:hAnsi="宋体" w:cs="宋体" w:eastAsia="宋体" w:hint="default"/>
                            <w:spacing w:val="-1"/>
                            <w:sz w:val="21"/>
                            <w:szCs w:val="21"/>
                          </w:rPr>
                          <w:t>外币金额</w:t>
                        </w:r>
                      </w:p>
                    </w:tc>
                    <w:tc>
                      <w:tcPr>
                        <w:tcW w:w="116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322"/>
                          <w:jc w:val="right"/>
                          <w:rPr>
                            <w:rFonts w:ascii="宋体" w:hAnsi="宋体" w:cs="宋体" w:eastAsia="宋体" w:hint="default"/>
                            <w:sz w:val="21"/>
                            <w:szCs w:val="21"/>
                          </w:rPr>
                        </w:pPr>
                        <w:r>
                          <w:rPr>
                            <w:rFonts w:ascii="宋体" w:hAnsi="宋体" w:cs="宋体" w:eastAsia="宋体" w:hint="default"/>
                            <w:sz w:val="21"/>
                            <w:szCs w:val="21"/>
                          </w:rPr>
                          <w:t>汇率</w:t>
                        </w:r>
                      </w:p>
                    </w:tc>
                    <w:tc>
                      <w:tcPr>
                        <w:tcW w:w="131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79"/>
                          <w:jc w:val="right"/>
                          <w:rPr>
                            <w:rFonts w:ascii="宋体" w:hAnsi="宋体" w:cs="宋体" w:eastAsia="宋体" w:hint="default"/>
                            <w:sz w:val="21"/>
                            <w:szCs w:val="21"/>
                          </w:rPr>
                        </w:pPr>
                        <w:r>
                          <w:rPr>
                            <w:rFonts w:ascii="宋体" w:hAnsi="宋体" w:cs="宋体" w:eastAsia="宋体" w:hint="default"/>
                            <w:spacing w:val="-1"/>
                            <w:sz w:val="21"/>
                            <w:szCs w:val="21"/>
                          </w:rPr>
                          <w:t>折合人民币</w:t>
                        </w:r>
                      </w:p>
                    </w:tc>
                  </w:tr>
                  <w:tr>
                    <w:trPr>
                      <w:trHeight w:val="456" w:hRule="exact"/>
                    </w:trPr>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72"/>
                          <w:jc w:val="center"/>
                          <w:rPr>
                            <w:rFonts w:ascii="宋体" w:hAnsi="宋体" w:cs="宋体" w:eastAsia="宋体" w:hint="default"/>
                            <w:sz w:val="21"/>
                            <w:szCs w:val="21"/>
                          </w:rPr>
                        </w:pPr>
                        <w:r>
                          <w:rPr>
                            <w:rFonts w:ascii="宋体" w:hAnsi="宋体" w:cs="宋体" w:eastAsia="宋体" w:hint="default"/>
                            <w:sz w:val="21"/>
                            <w:szCs w:val="21"/>
                          </w:rPr>
                          <w:t>港元</w:t>
                        </w:r>
                      </w:p>
                    </w:tc>
                    <w:tc>
                      <w:tcPr>
                        <w:tcW w:w="1317"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23"/>
                          <w:jc w:val="right"/>
                          <w:rPr>
                            <w:rFonts w:ascii="Arial" w:hAnsi="Arial" w:cs="Arial" w:eastAsia="Arial" w:hint="default"/>
                            <w:sz w:val="21"/>
                            <w:szCs w:val="21"/>
                          </w:rPr>
                        </w:pPr>
                        <w:r>
                          <w:rPr>
                            <w:rFonts w:ascii="Arial"/>
                            <w:spacing w:val="-1"/>
                            <w:sz w:val="21"/>
                          </w:rPr>
                          <w:t>0.810</w:t>
                        </w:r>
                      </w:p>
                    </w:tc>
                    <w:tc>
                      <w:tcPr>
                        <w:tcW w:w="1315" w:type="dxa"/>
                        <w:tcBorders>
                          <w:top w:val="nil" w:sz="6" w:space="0" w:color="auto"/>
                          <w:left w:val="nil" w:sz="6" w:space="0" w:color="auto"/>
                          <w:bottom w:val="nil" w:sz="6" w:space="0" w:color="auto"/>
                          <w:right w:val="nil" w:sz="6" w:space="0" w:color="auto"/>
                        </w:tcBorders>
                      </w:tcPr>
                      <w:p>
                        <w:pPr/>
                      </w:p>
                    </w:tc>
                  </w:tr>
                  <w:tr>
                    <w:trPr>
                      <w:trHeight w:val="283" w:hRule="exact"/>
                    </w:trPr>
                    <w:tc>
                      <w:tcPr>
                        <w:tcW w:w="565"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Style w:val="TableParagraph"/>
                          <w:spacing w:line="227" w:lineRule="exact"/>
                          <w:ind w:right="218"/>
                          <w:jc w:val="right"/>
                          <w:rPr>
                            <w:rFonts w:ascii="Arial" w:hAnsi="Arial" w:cs="Arial" w:eastAsia="Arial" w:hint="default"/>
                            <w:sz w:val="21"/>
                            <w:szCs w:val="21"/>
                          </w:rPr>
                        </w:pPr>
                        <w:r>
                          <w:rPr>
                            <w:rFonts w:ascii="Arial"/>
                            <w:spacing w:val="-1"/>
                            <w:sz w:val="21"/>
                          </w:rPr>
                          <w:t>24,454</w:t>
                        </w:r>
                      </w:p>
                    </w:tc>
                    <w:tc>
                      <w:tcPr>
                        <w:tcW w:w="1199" w:type="dxa"/>
                        <w:tcBorders>
                          <w:top w:val="nil" w:sz="6" w:space="0" w:color="auto"/>
                          <w:left w:val="nil" w:sz="6" w:space="0" w:color="auto"/>
                          <w:bottom w:val="nil" w:sz="6" w:space="0" w:color="auto"/>
                          <w:right w:val="nil" w:sz="6" w:space="0" w:color="auto"/>
                        </w:tcBorders>
                      </w:tcPr>
                      <w:p>
                        <w:pPr>
                          <w:pStyle w:val="TableParagraph"/>
                          <w:spacing w:line="227" w:lineRule="exact"/>
                          <w:ind w:right="332"/>
                          <w:jc w:val="right"/>
                          <w:rPr>
                            <w:rFonts w:ascii="Arial" w:hAnsi="Arial" w:cs="Arial" w:eastAsia="Arial" w:hint="default"/>
                            <w:sz w:val="21"/>
                            <w:szCs w:val="21"/>
                          </w:rPr>
                        </w:pPr>
                        <w:r>
                          <w:rPr>
                            <w:rFonts w:ascii="Arial"/>
                            <w:spacing w:val="-1"/>
                            <w:sz w:val="21"/>
                          </w:rPr>
                          <w:t>0.8108</w:t>
                        </w:r>
                      </w:p>
                    </w:tc>
                    <w:tc>
                      <w:tcPr>
                        <w:tcW w:w="1212" w:type="dxa"/>
                        <w:tcBorders>
                          <w:top w:val="nil" w:sz="6" w:space="0" w:color="auto"/>
                          <w:left w:val="nil" w:sz="6" w:space="0" w:color="auto"/>
                          <w:bottom w:val="nil" w:sz="6" w:space="0" w:color="auto"/>
                          <w:right w:val="nil" w:sz="6" w:space="0" w:color="auto"/>
                        </w:tcBorders>
                      </w:tcPr>
                      <w:p>
                        <w:pPr>
                          <w:pStyle w:val="TableParagraph"/>
                          <w:spacing w:line="227" w:lineRule="exact"/>
                          <w:ind w:right="80"/>
                          <w:jc w:val="right"/>
                          <w:rPr>
                            <w:rFonts w:ascii="Arial" w:hAnsi="Arial" w:cs="Arial" w:eastAsia="Arial" w:hint="default"/>
                            <w:sz w:val="21"/>
                            <w:szCs w:val="21"/>
                          </w:rPr>
                        </w:pPr>
                        <w:r>
                          <w:rPr>
                            <w:rFonts w:ascii="Arial"/>
                            <w:spacing w:val="-1"/>
                            <w:sz w:val="21"/>
                          </w:rPr>
                          <w:t>19,827</w:t>
                        </w:r>
                      </w:p>
                    </w:tc>
                    <w:tc>
                      <w:tcPr>
                        <w:tcW w:w="245"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27" w:lineRule="exact"/>
                          <w:ind w:right="210"/>
                          <w:jc w:val="right"/>
                          <w:rPr>
                            <w:rFonts w:ascii="Arial" w:hAnsi="Arial" w:cs="Arial" w:eastAsia="Arial" w:hint="default"/>
                            <w:sz w:val="21"/>
                            <w:szCs w:val="21"/>
                          </w:rPr>
                        </w:pPr>
                        <w:r>
                          <w:rPr>
                            <w:rFonts w:ascii="Arial"/>
                            <w:spacing w:val="-1"/>
                            <w:sz w:val="21"/>
                          </w:rPr>
                          <w:t>3,437</w:t>
                        </w:r>
                      </w:p>
                    </w:tc>
                    <w:tc>
                      <w:tcPr>
                        <w:tcW w:w="1166" w:type="dxa"/>
                        <w:tcBorders>
                          <w:top w:val="nil" w:sz="6" w:space="0" w:color="auto"/>
                          <w:left w:val="nil" w:sz="6" w:space="0" w:color="auto"/>
                          <w:bottom w:val="nil" w:sz="6" w:space="0" w:color="auto"/>
                          <w:right w:val="nil" w:sz="6" w:space="0" w:color="auto"/>
                        </w:tcBorders>
                      </w:tcPr>
                      <w:p>
                        <w:pPr>
                          <w:pStyle w:val="TableParagraph"/>
                          <w:spacing w:line="229" w:lineRule="exact"/>
                          <w:ind w:right="324"/>
                          <w:jc w:val="right"/>
                          <w:rPr>
                            <w:rFonts w:ascii="Arial" w:hAnsi="Arial" w:cs="Arial" w:eastAsia="Arial" w:hint="default"/>
                            <w:sz w:val="21"/>
                            <w:szCs w:val="21"/>
                          </w:rPr>
                        </w:pPr>
                        <w:r>
                          <w:rPr>
                            <w:rFonts w:ascii="Arial"/>
                            <w:w w:val="100"/>
                            <w:sz w:val="21"/>
                          </w:rPr>
                          <w:t>7</w:t>
                        </w:r>
                      </w:p>
                    </w:tc>
                    <w:tc>
                      <w:tcPr>
                        <w:tcW w:w="1315" w:type="dxa"/>
                        <w:tcBorders>
                          <w:top w:val="nil" w:sz="6" w:space="0" w:color="auto"/>
                          <w:left w:val="nil" w:sz="6" w:space="0" w:color="auto"/>
                          <w:bottom w:val="nil" w:sz="6" w:space="0" w:color="auto"/>
                          <w:right w:val="nil" w:sz="6" w:space="0" w:color="auto"/>
                        </w:tcBorders>
                      </w:tcPr>
                      <w:p>
                        <w:pPr>
                          <w:pStyle w:val="TableParagraph"/>
                          <w:spacing w:line="227" w:lineRule="exact"/>
                          <w:ind w:right="80"/>
                          <w:jc w:val="right"/>
                          <w:rPr>
                            <w:rFonts w:ascii="Arial" w:hAnsi="Arial" w:cs="Arial" w:eastAsia="Arial" w:hint="default"/>
                            <w:sz w:val="21"/>
                            <w:szCs w:val="21"/>
                          </w:rPr>
                        </w:pPr>
                        <w:r>
                          <w:rPr>
                            <w:rFonts w:ascii="Arial"/>
                            <w:spacing w:val="-1"/>
                            <w:sz w:val="21"/>
                          </w:rPr>
                          <w:t>2,786</w:t>
                        </w:r>
                      </w:p>
                    </w:tc>
                  </w:tr>
                  <w:tr>
                    <w:trPr>
                      <w:trHeight w:val="348" w:hRule="exact"/>
                    </w:trPr>
                    <w:tc>
                      <w:tcPr>
                        <w:tcW w:w="565" w:type="dxa"/>
                        <w:tcBorders>
                          <w:top w:val="nil" w:sz="6" w:space="0" w:color="auto"/>
                          <w:left w:val="nil" w:sz="6" w:space="0" w:color="auto"/>
                          <w:bottom w:val="nil" w:sz="6" w:space="0" w:color="auto"/>
                          <w:right w:val="nil" w:sz="6" w:space="0" w:color="auto"/>
                        </w:tcBorders>
                      </w:tcPr>
                      <w:p>
                        <w:pPr>
                          <w:pStyle w:val="TableParagraph"/>
                          <w:spacing w:line="269" w:lineRule="exact"/>
                          <w:ind w:right="72"/>
                          <w:jc w:val="center"/>
                          <w:rPr>
                            <w:rFonts w:ascii="宋体" w:hAnsi="宋体" w:cs="宋体" w:eastAsia="宋体" w:hint="default"/>
                            <w:sz w:val="21"/>
                            <w:szCs w:val="21"/>
                          </w:rPr>
                        </w:pPr>
                        <w:r>
                          <w:rPr>
                            <w:rFonts w:ascii="宋体" w:hAnsi="宋体" w:cs="宋体" w:eastAsia="宋体" w:hint="default"/>
                            <w:sz w:val="21"/>
                            <w:szCs w:val="21"/>
                          </w:rPr>
                          <w:t>日元</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7"/>
                          <w:jc w:val="right"/>
                          <w:rPr>
                            <w:rFonts w:ascii="Arial" w:hAnsi="Arial" w:cs="Arial" w:eastAsia="Arial" w:hint="default"/>
                            <w:sz w:val="21"/>
                            <w:szCs w:val="21"/>
                          </w:rPr>
                        </w:pPr>
                        <w:r>
                          <w:rPr>
                            <w:rFonts w:ascii="Arial"/>
                            <w:spacing w:val="-1"/>
                            <w:sz w:val="21"/>
                          </w:rPr>
                          <w:t>812,641</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2"/>
                          <w:jc w:val="right"/>
                          <w:rPr>
                            <w:rFonts w:ascii="Arial" w:hAnsi="Arial" w:cs="Arial" w:eastAsia="Arial" w:hint="default"/>
                            <w:sz w:val="21"/>
                            <w:szCs w:val="21"/>
                          </w:rPr>
                        </w:pPr>
                        <w:r>
                          <w:rPr>
                            <w:rFonts w:ascii="Arial"/>
                            <w:spacing w:val="-1"/>
                            <w:sz w:val="21"/>
                          </w:rPr>
                          <w:t>0.0730</w:t>
                        </w: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80"/>
                          <w:jc w:val="right"/>
                          <w:rPr>
                            <w:rFonts w:ascii="Arial" w:hAnsi="Arial" w:cs="Arial" w:eastAsia="Arial" w:hint="default"/>
                            <w:sz w:val="21"/>
                            <w:szCs w:val="21"/>
                          </w:rPr>
                        </w:pPr>
                        <w:r>
                          <w:rPr>
                            <w:rFonts w:ascii="Arial"/>
                            <w:spacing w:val="-1"/>
                            <w:sz w:val="21"/>
                          </w:rPr>
                          <w:t>59,323</w:t>
                        </w:r>
                      </w:p>
                    </w:tc>
                    <w:tc>
                      <w:tcPr>
                        <w:tcW w:w="245"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0"/>
                          <w:jc w:val="right"/>
                          <w:rPr>
                            <w:rFonts w:ascii="Arial" w:hAnsi="Arial" w:cs="Arial" w:eastAsia="Arial" w:hint="default"/>
                            <w:sz w:val="21"/>
                            <w:szCs w:val="21"/>
                          </w:rPr>
                        </w:pPr>
                        <w:r>
                          <w:rPr>
                            <w:rFonts w:ascii="Arial"/>
                            <w:spacing w:val="-1"/>
                            <w:sz w:val="21"/>
                          </w:rPr>
                          <w:t>793,975</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22"/>
                          <w:jc w:val="right"/>
                          <w:rPr>
                            <w:rFonts w:ascii="Arial" w:hAnsi="Arial" w:cs="Arial" w:eastAsia="Arial" w:hint="default"/>
                            <w:sz w:val="21"/>
                            <w:szCs w:val="21"/>
                          </w:rPr>
                        </w:pPr>
                        <w:r>
                          <w:rPr>
                            <w:rFonts w:ascii="Arial"/>
                            <w:spacing w:val="-4"/>
                            <w:sz w:val="21"/>
                          </w:rPr>
                          <w:t>0.0811</w:t>
                        </w:r>
                      </w:p>
                    </w:tc>
                    <w:tc>
                      <w:tcPr>
                        <w:tcW w:w="131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79"/>
                          <w:jc w:val="right"/>
                          <w:rPr>
                            <w:rFonts w:ascii="Arial" w:hAnsi="Arial" w:cs="Arial" w:eastAsia="Arial" w:hint="default"/>
                            <w:sz w:val="21"/>
                            <w:szCs w:val="21"/>
                          </w:rPr>
                        </w:pPr>
                        <w:r>
                          <w:rPr>
                            <w:rFonts w:ascii="Arial"/>
                            <w:spacing w:val="-1"/>
                            <w:sz w:val="21"/>
                          </w:rPr>
                          <w:t>64,391</w:t>
                        </w:r>
                      </w:p>
                    </w:tc>
                  </w:tr>
                  <w:tr>
                    <w:trPr>
                      <w:trHeight w:val="455" w:hRule="exact"/>
                    </w:trPr>
                    <w:tc>
                      <w:tcPr>
                        <w:tcW w:w="565"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80"/>
                          <w:jc w:val="right"/>
                          <w:rPr>
                            <w:rFonts w:ascii="Arial" w:hAnsi="Arial" w:cs="Arial" w:eastAsia="Arial" w:hint="default"/>
                            <w:sz w:val="21"/>
                            <w:szCs w:val="21"/>
                          </w:rPr>
                        </w:pPr>
                        <w:r>
                          <w:rPr>
                            <w:rFonts w:ascii="Arial"/>
                            <w:spacing w:val="-1"/>
                            <w:sz w:val="21"/>
                          </w:rPr>
                          <w:t>79,150</w:t>
                        </w:r>
                      </w:p>
                    </w:tc>
                    <w:tc>
                      <w:tcPr>
                        <w:tcW w:w="245"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31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80"/>
                          <w:jc w:val="right"/>
                          <w:rPr>
                            <w:rFonts w:ascii="Arial" w:hAnsi="Arial" w:cs="Arial" w:eastAsia="Arial" w:hint="default"/>
                            <w:sz w:val="21"/>
                            <w:szCs w:val="21"/>
                          </w:rPr>
                        </w:pPr>
                        <w:r>
                          <w:rPr>
                            <w:rFonts w:ascii="Arial"/>
                            <w:spacing w:val="-1"/>
                            <w:sz w:val="21"/>
                          </w:rPr>
                          <w:t>67,177</w:t>
                        </w:r>
                      </w:p>
                    </w:tc>
                  </w:tr>
                </w:tbl>
                <w:p>
                  <w:pPr/>
                </w:p>
              </w:txbxContent>
            </v:textbox>
            <w10:wrap type="none"/>
          </v:shape>
        </w:pict>
      </w:r>
      <w:r>
        <w:rPr>
          <w:rFonts w:ascii="Arial" w:hAnsi="Arial" w:cs="Arial" w:eastAsia="Arial" w:hint="default"/>
        </w:rPr>
        <w:t>2012</w:t>
      </w:r>
      <w:r>
        <w:rPr>
          <w:rFonts w:ascii="Arial" w:hAnsi="Arial" w:cs="Arial" w:eastAsia="Arial" w:hint="default"/>
          <w:spacing w:val="-7"/>
        </w:rPr>
        <w:t> </w:t>
      </w:r>
      <w:r>
        <w:rPr/>
        <w:t>年</w:t>
      </w:r>
      <w:r>
        <w:rPr>
          <w:spacing w:val="-52"/>
        </w:rPr>
        <w:t> </w:t>
      </w:r>
      <w:r>
        <w:rPr>
          <w:rFonts w:ascii="Arial" w:hAnsi="Arial" w:cs="Arial" w:eastAsia="Arial" w:hint="default"/>
        </w:rPr>
        <w:t>12</w:t>
      </w:r>
      <w:r>
        <w:rPr>
          <w:rFonts w:ascii="Arial" w:hAnsi="Arial" w:cs="Arial" w:eastAsia="Arial" w:hint="default"/>
          <w:spacing w:val="-5"/>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spacing w:val="-5"/>
        </w:rPr>
        <w:t>2011</w:t>
      </w:r>
      <w:r>
        <w:rPr>
          <w:rFonts w:ascii="Arial" w:hAnsi="Arial" w:cs="Arial" w:eastAsia="Arial" w:hint="default"/>
          <w:spacing w:val="-7"/>
        </w:rPr>
        <w:t> </w:t>
      </w:r>
      <w:r>
        <w:rPr/>
        <w:t>年</w:t>
      </w:r>
      <w:r>
        <w:rPr>
          <w:spacing w:val="-52"/>
        </w:rPr>
        <w:t> </w:t>
      </w:r>
      <w:r>
        <w:rPr>
          <w:rFonts w:ascii="Arial" w:hAnsi="Arial" w:cs="Arial" w:eastAsia="Arial" w:hint="default"/>
        </w:rPr>
        <w:t>12</w:t>
      </w:r>
      <w:r>
        <w:rPr>
          <w:rFonts w:ascii="Arial" w:hAnsi="Arial" w:cs="Arial" w:eastAsia="Arial" w:hint="default"/>
          <w:spacing w:val="-7"/>
        </w:rPr>
        <w:t> </w:t>
      </w:r>
      <w:r>
        <w:rPr/>
        <w:t>月</w:t>
      </w:r>
      <w:r>
        <w:rPr>
          <w:spacing w:val="-52"/>
        </w:rPr>
        <w:t> </w:t>
      </w:r>
      <w:r>
        <w:rPr>
          <w:rFonts w:ascii="Arial" w:hAnsi="Arial" w:cs="Arial" w:eastAsia="Arial" w:hint="default"/>
        </w:rPr>
        <w:t>31</w:t>
      </w:r>
      <w:r>
        <w:rPr>
          <w:rFonts w:ascii="Arial" w:hAnsi="Arial" w:cs="Arial" w:eastAsia="Arial" w:hint="default"/>
          <w:spacing w:val="-5"/>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794"/>
        <w:gridCol w:w="3251"/>
        <w:gridCol w:w="1227"/>
        <w:gridCol w:w="1382"/>
        <w:gridCol w:w="204"/>
        <w:gridCol w:w="2496"/>
      </w:tblGrid>
      <w:tr>
        <w:trPr>
          <w:trHeight w:val="905" w:hRule="exact"/>
        </w:trPr>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00" w:right="0"/>
              <w:jc w:val="left"/>
              <w:rPr>
                <w:rFonts w:ascii="Arial" w:hAnsi="Arial" w:cs="Arial" w:eastAsia="Arial" w:hint="default"/>
                <w:sz w:val="24"/>
                <w:szCs w:val="24"/>
              </w:rPr>
            </w:pPr>
            <w:r>
              <w:rPr>
                <w:rFonts w:ascii="Arial"/>
                <w:sz w:val="24"/>
              </w:rPr>
              <w:t>(28)</w:t>
            </w:r>
          </w:p>
        </w:tc>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66" w:right="0"/>
              <w:jc w:val="left"/>
              <w:rPr>
                <w:rFonts w:ascii="黑体" w:hAnsi="黑体" w:cs="黑体" w:eastAsia="黑体" w:hint="default"/>
                <w:sz w:val="24"/>
                <w:szCs w:val="24"/>
              </w:rPr>
            </w:pPr>
            <w:r>
              <w:rPr>
                <w:rFonts w:ascii="黑体" w:hAnsi="黑体" w:cs="黑体" w:eastAsia="黑体" w:hint="default"/>
                <w:sz w:val="24"/>
                <w:szCs w:val="24"/>
              </w:rPr>
              <w:t>一年内到期的非流动负债</w:t>
            </w:r>
          </w:p>
        </w:tc>
        <w:tc>
          <w:tcPr>
            <w:tcW w:w="1227" w:type="dxa"/>
            <w:tcBorders>
              <w:top w:val="single" w:sz="12" w:space="0" w:color="000000"/>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2496" w:type="dxa"/>
            <w:tcBorders>
              <w:top w:val="single" w:sz="12" w:space="0" w:color="000000"/>
              <w:left w:val="nil" w:sz="6" w:space="0" w:color="auto"/>
              <w:bottom w:val="nil" w:sz="6" w:space="0" w:color="auto"/>
              <w:right w:val="nil" w:sz="6" w:space="0" w:color="auto"/>
            </w:tcBorders>
          </w:tcPr>
          <w:p>
            <w:pPr/>
          </w:p>
        </w:tc>
      </w:tr>
      <w:tr>
        <w:trPr>
          <w:trHeight w:val="754" w:hRule="exact"/>
        </w:trPr>
        <w:tc>
          <w:tcPr>
            <w:tcW w:w="794" w:type="dxa"/>
            <w:tcBorders>
              <w:top w:val="nil" w:sz="6" w:space="0" w:color="auto"/>
              <w:left w:val="nil" w:sz="6" w:space="0" w:color="auto"/>
              <w:bottom w:val="nil" w:sz="6" w:space="0" w:color="auto"/>
              <w:right w:val="nil" w:sz="6" w:space="0" w:color="auto"/>
            </w:tcBorders>
          </w:tcPr>
          <w:p>
            <w:pPr/>
          </w:p>
        </w:tc>
        <w:tc>
          <w:tcPr>
            <w:tcW w:w="58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0"/>
              <w:ind w:left="3714"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04"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54"/>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81" w:hRule="exact"/>
        </w:trPr>
        <w:tc>
          <w:tcPr>
            <w:tcW w:w="794" w:type="dxa"/>
            <w:tcBorders>
              <w:top w:val="nil" w:sz="6" w:space="0" w:color="auto"/>
              <w:left w:val="nil" w:sz="6" w:space="0" w:color="auto"/>
              <w:bottom w:val="nil" w:sz="6" w:space="0" w:color="auto"/>
              <w:right w:val="nil" w:sz="6" w:space="0" w:color="auto"/>
            </w:tcBorders>
          </w:tcPr>
          <w:p>
            <w:pPr/>
          </w:p>
        </w:tc>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66" w:right="0"/>
              <w:jc w:val="left"/>
              <w:rPr>
                <w:rFonts w:ascii="宋体" w:hAnsi="宋体" w:cs="宋体" w:eastAsia="宋体" w:hint="default"/>
                <w:sz w:val="24"/>
                <w:szCs w:val="24"/>
              </w:rPr>
            </w:pPr>
            <w:r>
              <w:rPr>
                <w:rFonts w:ascii="宋体" w:hAnsi="宋体" w:cs="宋体" w:eastAsia="宋体" w:hint="default"/>
                <w:sz w:val="24"/>
                <w:szCs w:val="24"/>
              </w:rPr>
              <w:t>递延广告位使用费收入</w:t>
            </w:r>
          </w:p>
        </w:tc>
        <w:tc>
          <w:tcPr>
            <w:tcW w:w="1227" w:type="dxa"/>
            <w:tcBorders>
              <w:top w:val="nil" w:sz="6" w:space="0" w:color="auto"/>
              <w:left w:val="nil" w:sz="6" w:space="0" w:color="auto"/>
              <w:bottom w:val="single" w:sz="12" w:space="0" w:color="000000"/>
              <w:right w:val="nil" w:sz="6" w:space="0" w:color="auto"/>
            </w:tcBorders>
          </w:tcPr>
          <w:p>
            <w:pPr/>
          </w:p>
        </w:tc>
        <w:tc>
          <w:tcPr>
            <w:tcW w:w="1382"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99" w:right="0"/>
              <w:jc w:val="left"/>
              <w:rPr>
                <w:rFonts w:ascii="Arial" w:hAnsi="Arial" w:cs="Arial" w:eastAsia="Arial" w:hint="default"/>
                <w:sz w:val="24"/>
                <w:szCs w:val="24"/>
              </w:rPr>
            </w:pPr>
            <w:r>
              <w:rPr>
                <w:rFonts w:ascii="Arial"/>
                <w:sz w:val="24"/>
              </w:rPr>
              <w:t>44,868</w:t>
            </w:r>
          </w:p>
        </w:tc>
        <w:tc>
          <w:tcPr>
            <w:tcW w:w="204"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5"/>
              <w:jc w:val="right"/>
              <w:rPr>
                <w:rFonts w:ascii="Arial" w:hAnsi="Arial" w:cs="Arial" w:eastAsia="Arial" w:hint="default"/>
                <w:sz w:val="24"/>
                <w:szCs w:val="24"/>
              </w:rPr>
            </w:pPr>
            <w:r>
              <w:rPr>
                <w:rFonts w:ascii="Arial"/>
                <w:spacing w:val="-1"/>
                <w:sz w:val="24"/>
              </w:rPr>
              <w:t>120,029</w:t>
            </w:r>
          </w:p>
        </w:tc>
      </w:tr>
    </w:tbl>
    <w:p>
      <w:pPr>
        <w:spacing w:line="240" w:lineRule="auto" w:before="12"/>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767"/>
        <w:gridCol w:w="3274"/>
        <w:gridCol w:w="2542"/>
        <w:gridCol w:w="235"/>
        <w:gridCol w:w="2492"/>
      </w:tblGrid>
      <w:tr>
        <w:trPr>
          <w:trHeight w:val="502" w:hRule="exact"/>
        </w:trPr>
        <w:tc>
          <w:tcPr>
            <w:tcW w:w="76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(29)</w:t>
            </w:r>
          </w:p>
        </w:tc>
        <w:tc>
          <w:tcPr>
            <w:tcW w:w="3274" w:type="dxa"/>
            <w:tcBorders>
              <w:top w:val="nil" w:sz="6" w:space="0" w:color="auto"/>
              <w:left w:val="nil" w:sz="6" w:space="0" w:color="auto"/>
              <w:bottom w:val="nil" w:sz="6" w:space="0" w:color="auto"/>
              <w:right w:val="nil" w:sz="6" w:space="0" w:color="auto"/>
            </w:tcBorders>
          </w:tcPr>
          <w:p>
            <w:pPr>
              <w:pStyle w:val="TableParagraph"/>
              <w:spacing w:line="247" w:lineRule="exact"/>
              <w:ind w:left="138" w:right="0"/>
              <w:jc w:val="left"/>
              <w:rPr>
                <w:rFonts w:ascii="黑体" w:hAnsi="黑体" w:cs="黑体" w:eastAsia="黑体" w:hint="default"/>
                <w:sz w:val="24"/>
                <w:szCs w:val="24"/>
              </w:rPr>
            </w:pPr>
            <w:r>
              <w:rPr>
                <w:rFonts w:ascii="黑体" w:hAnsi="黑体" w:cs="黑体" w:eastAsia="黑体" w:hint="default"/>
                <w:sz w:val="24"/>
                <w:szCs w:val="24"/>
              </w:rPr>
              <w:t>其他流动负债</w:t>
            </w:r>
          </w:p>
        </w:tc>
        <w:tc>
          <w:tcPr>
            <w:tcW w:w="254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
        </w:tc>
      </w:tr>
      <w:tr>
        <w:trPr>
          <w:trHeight w:val="758" w:hRule="exact"/>
        </w:trPr>
        <w:tc>
          <w:tcPr>
            <w:tcW w:w="767" w:type="dxa"/>
            <w:tcBorders>
              <w:top w:val="nil" w:sz="6" w:space="0" w:color="auto"/>
              <w:left w:val="nil" w:sz="6" w:space="0" w:color="auto"/>
              <w:bottom w:val="nil" w:sz="6" w:space="0" w:color="auto"/>
              <w:right w:val="nil" w:sz="6" w:space="0" w:color="auto"/>
            </w:tcBorders>
          </w:tcPr>
          <w:p>
            <w:pPr/>
          </w:p>
        </w:tc>
        <w:tc>
          <w:tcPr>
            <w:tcW w:w="3274"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79"/>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35"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79"/>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87" w:hRule="exact"/>
        </w:trPr>
        <w:tc>
          <w:tcPr>
            <w:tcW w:w="767" w:type="dxa"/>
            <w:tcBorders>
              <w:top w:val="nil" w:sz="6" w:space="0" w:color="auto"/>
              <w:left w:val="nil" w:sz="6" w:space="0" w:color="auto"/>
              <w:bottom w:val="nil" w:sz="6" w:space="0" w:color="auto"/>
              <w:right w:val="nil" w:sz="6" w:space="0" w:color="auto"/>
            </w:tcBorders>
          </w:tcPr>
          <w:p>
            <w:pPr/>
          </w:p>
        </w:tc>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65" w:right="0"/>
              <w:jc w:val="left"/>
              <w:rPr>
                <w:rFonts w:ascii="宋体" w:hAnsi="宋体" w:cs="宋体" w:eastAsia="宋体" w:hint="default"/>
                <w:sz w:val="24"/>
                <w:szCs w:val="24"/>
              </w:rPr>
            </w:pPr>
            <w:r>
              <w:rPr>
                <w:rFonts w:ascii="宋体" w:hAnsi="宋体" w:cs="宋体" w:eastAsia="宋体" w:hint="default"/>
                <w:sz w:val="24"/>
                <w:szCs w:val="24"/>
              </w:rPr>
              <w:t>预提房屋租金</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79"/>
              <w:jc w:val="right"/>
              <w:rPr>
                <w:rFonts w:ascii="Arial" w:hAnsi="Arial" w:cs="Arial" w:eastAsia="Arial" w:hint="default"/>
                <w:sz w:val="24"/>
                <w:szCs w:val="24"/>
              </w:rPr>
            </w:pPr>
            <w:r>
              <w:rPr>
                <w:rFonts w:ascii="Arial"/>
                <w:spacing w:val="-1"/>
                <w:sz w:val="24"/>
              </w:rPr>
              <w:t>287,743</w:t>
            </w:r>
          </w:p>
        </w:tc>
        <w:tc>
          <w:tcPr>
            <w:tcW w:w="235"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5"/>
              <w:jc w:val="right"/>
              <w:rPr>
                <w:rFonts w:ascii="Arial" w:hAnsi="Arial" w:cs="Arial" w:eastAsia="Arial" w:hint="default"/>
                <w:sz w:val="24"/>
                <w:szCs w:val="24"/>
              </w:rPr>
            </w:pPr>
            <w:r>
              <w:rPr>
                <w:rFonts w:ascii="Arial"/>
                <w:spacing w:val="-1"/>
                <w:sz w:val="24"/>
              </w:rPr>
              <w:t>256,167</w:t>
            </w:r>
          </w:p>
        </w:tc>
      </w:tr>
      <w:tr>
        <w:trPr>
          <w:trHeight w:val="401" w:hRule="exact"/>
        </w:trPr>
        <w:tc>
          <w:tcPr>
            <w:tcW w:w="767" w:type="dxa"/>
            <w:tcBorders>
              <w:top w:val="nil" w:sz="6" w:space="0" w:color="auto"/>
              <w:left w:val="nil" w:sz="6" w:space="0" w:color="auto"/>
              <w:bottom w:val="nil" w:sz="6" w:space="0" w:color="auto"/>
              <w:right w:val="nil" w:sz="6" w:space="0" w:color="auto"/>
            </w:tcBorders>
          </w:tcPr>
          <w:p>
            <w:pPr/>
          </w:p>
        </w:tc>
        <w:tc>
          <w:tcPr>
            <w:tcW w:w="3274" w:type="dxa"/>
            <w:tcBorders>
              <w:top w:val="nil" w:sz="6" w:space="0" w:color="auto"/>
              <w:left w:val="nil" w:sz="6" w:space="0" w:color="auto"/>
              <w:bottom w:val="nil" w:sz="6" w:space="0" w:color="auto"/>
              <w:right w:val="nil" w:sz="6" w:space="0" w:color="auto"/>
            </w:tcBorders>
          </w:tcPr>
          <w:p>
            <w:pPr>
              <w:pStyle w:val="TableParagraph"/>
              <w:spacing w:line="306" w:lineRule="exact"/>
              <w:ind w:left="165" w:right="0"/>
              <w:jc w:val="left"/>
              <w:rPr>
                <w:rFonts w:ascii="宋体" w:hAnsi="宋体" w:cs="宋体" w:eastAsia="宋体" w:hint="default"/>
                <w:sz w:val="24"/>
                <w:szCs w:val="24"/>
              </w:rPr>
            </w:pPr>
            <w:r>
              <w:rPr>
                <w:rFonts w:ascii="宋体" w:hAnsi="宋体" w:cs="宋体" w:eastAsia="宋体" w:hint="default"/>
                <w:sz w:val="24"/>
                <w:szCs w:val="24"/>
              </w:rPr>
              <w:t>预提水电费</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9"/>
              <w:jc w:val="right"/>
              <w:rPr>
                <w:rFonts w:ascii="Arial" w:hAnsi="Arial" w:cs="Arial" w:eastAsia="Arial" w:hint="default"/>
                <w:sz w:val="24"/>
                <w:szCs w:val="24"/>
              </w:rPr>
            </w:pPr>
            <w:r>
              <w:rPr>
                <w:rFonts w:ascii="Arial"/>
                <w:spacing w:val="-1"/>
                <w:sz w:val="24"/>
              </w:rPr>
              <w:t>121,597</w:t>
            </w:r>
          </w:p>
        </w:tc>
        <w:tc>
          <w:tcPr>
            <w:tcW w:w="235"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4"/>
              <w:jc w:val="right"/>
              <w:rPr>
                <w:rFonts w:ascii="Arial" w:hAnsi="Arial" w:cs="Arial" w:eastAsia="Arial" w:hint="default"/>
                <w:sz w:val="24"/>
                <w:szCs w:val="24"/>
              </w:rPr>
            </w:pPr>
            <w:r>
              <w:rPr>
                <w:rFonts w:ascii="Arial"/>
                <w:spacing w:val="-3"/>
                <w:sz w:val="24"/>
              </w:rPr>
              <w:t>116,266</w:t>
            </w:r>
          </w:p>
        </w:tc>
      </w:tr>
      <w:tr>
        <w:trPr>
          <w:trHeight w:val="402" w:hRule="exact"/>
        </w:trPr>
        <w:tc>
          <w:tcPr>
            <w:tcW w:w="767" w:type="dxa"/>
            <w:tcBorders>
              <w:top w:val="nil" w:sz="6" w:space="0" w:color="auto"/>
              <w:left w:val="nil" w:sz="6" w:space="0" w:color="auto"/>
              <w:bottom w:val="nil" w:sz="6" w:space="0" w:color="auto"/>
              <w:right w:val="nil" w:sz="6" w:space="0" w:color="auto"/>
            </w:tcBorders>
          </w:tcPr>
          <w:p>
            <w:pPr/>
          </w:p>
        </w:tc>
        <w:tc>
          <w:tcPr>
            <w:tcW w:w="3274" w:type="dxa"/>
            <w:tcBorders>
              <w:top w:val="nil" w:sz="6" w:space="0" w:color="auto"/>
              <w:left w:val="nil" w:sz="6" w:space="0" w:color="auto"/>
              <w:bottom w:val="nil" w:sz="6" w:space="0" w:color="auto"/>
              <w:right w:val="nil" w:sz="6" w:space="0" w:color="auto"/>
            </w:tcBorders>
          </w:tcPr>
          <w:p>
            <w:pPr>
              <w:pStyle w:val="TableParagraph"/>
              <w:spacing w:line="323" w:lineRule="exact"/>
              <w:ind w:left="165" w:right="0"/>
              <w:jc w:val="left"/>
              <w:rPr>
                <w:rFonts w:ascii="Arial" w:hAnsi="Arial" w:cs="Arial" w:eastAsia="Arial" w:hint="default"/>
                <w:sz w:val="24"/>
                <w:szCs w:val="24"/>
              </w:rPr>
            </w:pPr>
            <w:r>
              <w:rPr>
                <w:rFonts w:ascii="宋体" w:hAnsi="宋体" w:cs="宋体" w:eastAsia="宋体" w:hint="default"/>
                <w:sz w:val="24"/>
                <w:szCs w:val="24"/>
              </w:rPr>
              <w:t>积分计划</w:t>
            </w:r>
            <w:r>
              <w:rPr>
                <w:rFonts w:ascii="Arial" w:hAnsi="Arial" w:cs="Arial" w:eastAsia="Arial" w:hint="default"/>
                <w:sz w:val="24"/>
                <w:szCs w:val="24"/>
              </w:rPr>
              <w:t>(a)</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Arial" w:hAnsi="Arial" w:cs="Arial" w:eastAsia="Arial" w:hint="default"/>
                <w:sz w:val="24"/>
                <w:szCs w:val="24"/>
              </w:rPr>
            </w:pPr>
            <w:r>
              <w:rPr>
                <w:rFonts w:ascii="Arial"/>
                <w:w w:val="95"/>
                <w:sz w:val="24"/>
              </w:rPr>
              <w:t>65,797</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5"/>
              <w:jc w:val="right"/>
              <w:rPr>
                <w:rFonts w:ascii="Arial" w:hAnsi="Arial" w:cs="Arial" w:eastAsia="Arial" w:hint="default"/>
                <w:sz w:val="24"/>
                <w:szCs w:val="24"/>
              </w:rPr>
            </w:pPr>
            <w:r>
              <w:rPr>
                <w:rFonts w:ascii="Arial"/>
                <w:spacing w:val="-1"/>
                <w:sz w:val="24"/>
              </w:rPr>
              <w:t>172,916</w:t>
            </w:r>
          </w:p>
        </w:tc>
      </w:tr>
      <w:tr>
        <w:trPr>
          <w:trHeight w:val="389" w:hRule="exact"/>
        </w:trPr>
        <w:tc>
          <w:tcPr>
            <w:tcW w:w="767" w:type="dxa"/>
            <w:tcBorders>
              <w:top w:val="nil" w:sz="6" w:space="0" w:color="auto"/>
              <w:left w:val="nil" w:sz="6" w:space="0" w:color="auto"/>
              <w:bottom w:val="nil" w:sz="6" w:space="0" w:color="auto"/>
              <w:right w:val="nil" w:sz="6" w:space="0" w:color="auto"/>
            </w:tcBorders>
          </w:tcPr>
          <w:p>
            <w:pPr/>
          </w:p>
        </w:tc>
        <w:tc>
          <w:tcPr>
            <w:tcW w:w="3274" w:type="dxa"/>
            <w:tcBorders>
              <w:top w:val="nil" w:sz="6" w:space="0" w:color="auto"/>
              <w:left w:val="nil" w:sz="6" w:space="0" w:color="auto"/>
              <w:bottom w:val="nil" w:sz="6" w:space="0" w:color="auto"/>
              <w:right w:val="nil" w:sz="6" w:space="0" w:color="auto"/>
            </w:tcBorders>
          </w:tcPr>
          <w:p>
            <w:pPr>
              <w:pStyle w:val="TableParagraph"/>
              <w:spacing w:line="307" w:lineRule="exact"/>
              <w:ind w:left="16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542"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78"/>
              <w:jc w:val="right"/>
              <w:rPr>
                <w:rFonts w:ascii="Arial" w:hAnsi="Arial" w:cs="Arial" w:eastAsia="Arial" w:hint="default"/>
                <w:sz w:val="24"/>
                <w:szCs w:val="24"/>
              </w:rPr>
            </w:pPr>
            <w:r>
              <w:rPr>
                <w:rFonts w:ascii="Arial"/>
                <w:w w:val="95"/>
                <w:sz w:val="24"/>
              </w:rPr>
              <w:t>51</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13"/>
              <w:jc w:val="right"/>
              <w:rPr>
                <w:rFonts w:ascii="Arial" w:hAnsi="Arial" w:cs="Arial" w:eastAsia="Arial" w:hint="default"/>
                <w:sz w:val="24"/>
                <w:szCs w:val="24"/>
              </w:rPr>
            </w:pPr>
            <w:r>
              <w:rPr>
                <w:rFonts w:ascii="Arial"/>
                <w:w w:val="95"/>
                <w:sz w:val="24"/>
              </w:rPr>
              <w:t>153</w:t>
            </w:r>
            <w:r>
              <w:rPr>
                <w:rFonts w:ascii="Arial"/>
                <w:sz w:val="24"/>
              </w:rPr>
            </w:r>
          </w:p>
        </w:tc>
      </w:tr>
      <w:tr>
        <w:trPr>
          <w:trHeight w:val="653" w:hRule="exact"/>
        </w:trPr>
        <w:tc>
          <w:tcPr>
            <w:tcW w:w="767" w:type="dxa"/>
            <w:tcBorders>
              <w:top w:val="nil" w:sz="6" w:space="0" w:color="auto"/>
              <w:left w:val="nil" w:sz="6" w:space="0" w:color="auto"/>
              <w:bottom w:val="nil" w:sz="6" w:space="0" w:color="auto"/>
              <w:right w:val="nil" w:sz="6" w:space="0" w:color="auto"/>
            </w:tcBorders>
          </w:tcPr>
          <w:p>
            <w:pPr/>
          </w:p>
        </w:tc>
        <w:tc>
          <w:tcPr>
            <w:tcW w:w="3274" w:type="dxa"/>
            <w:tcBorders>
              <w:top w:val="nil" w:sz="6" w:space="0" w:color="auto"/>
              <w:left w:val="nil" w:sz="6" w:space="0" w:color="auto"/>
              <w:bottom w:val="nil" w:sz="6" w:space="0" w:color="auto"/>
              <w:right w:val="nil" w:sz="6" w:space="0" w:color="auto"/>
            </w:tcBorders>
          </w:tcPr>
          <w:p>
            <w:pPr/>
          </w:p>
        </w:tc>
        <w:tc>
          <w:tcPr>
            <w:tcW w:w="254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78"/>
              <w:jc w:val="right"/>
              <w:rPr>
                <w:rFonts w:ascii="Arial" w:hAnsi="Arial" w:cs="Arial" w:eastAsia="Arial" w:hint="default"/>
                <w:sz w:val="24"/>
                <w:szCs w:val="24"/>
              </w:rPr>
            </w:pPr>
            <w:r>
              <w:rPr>
                <w:rFonts w:ascii="Arial"/>
                <w:spacing w:val="-1"/>
                <w:sz w:val="24"/>
              </w:rPr>
              <w:t>475,188</w:t>
            </w:r>
          </w:p>
        </w:tc>
        <w:tc>
          <w:tcPr>
            <w:tcW w:w="235" w:type="dxa"/>
            <w:tcBorders>
              <w:top w:val="nil" w:sz="6" w:space="0" w:color="auto"/>
              <w:left w:val="nil" w:sz="6" w:space="0" w:color="auto"/>
              <w:bottom w:val="nil" w:sz="6" w:space="0" w:color="auto"/>
              <w:right w:val="nil" w:sz="6" w:space="0" w:color="auto"/>
            </w:tcBorders>
          </w:tcPr>
          <w:p>
            <w:pPr/>
          </w:p>
        </w:tc>
        <w:tc>
          <w:tcPr>
            <w:tcW w:w="2492"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3"/>
              <w:jc w:val="right"/>
              <w:rPr>
                <w:rFonts w:ascii="Arial" w:hAnsi="Arial" w:cs="Arial" w:eastAsia="Arial" w:hint="default"/>
                <w:sz w:val="24"/>
                <w:szCs w:val="24"/>
              </w:rPr>
            </w:pPr>
            <w:r>
              <w:rPr>
                <w:rFonts w:ascii="Arial"/>
                <w:spacing w:val="-1"/>
                <w:sz w:val="24"/>
              </w:rPr>
              <w:t>545,502</w:t>
            </w:r>
          </w:p>
        </w:tc>
      </w:tr>
    </w:tbl>
    <w:p>
      <w:pPr>
        <w:spacing w:line="240" w:lineRule="auto" w:before="12"/>
        <w:rPr>
          <w:rFonts w:ascii="宋体" w:hAnsi="宋体" w:cs="宋体" w:eastAsia="宋体" w:hint="default"/>
          <w:sz w:val="26"/>
          <w:szCs w:val="26"/>
        </w:rPr>
      </w:pPr>
    </w:p>
    <w:tbl>
      <w:tblPr>
        <w:tblW w:w="0" w:type="auto"/>
        <w:jc w:val="left"/>
        <w:tblInd w:w="173" w:type="dxa"/>
        <w:tblLayout w:type="fixed"/>
        <w:tblCellMar>
          <w:top w:w="0" w:type="dxa"/>
          <w:left w:w="0" w:type="dxa"/>
          <w:bottom w:w="0" w:type="dxa"/>
          <w:right w:w="0" w:type="dxa"/>
        </w:tblCellMar>
        <w:tblLook w:val="01E0"/>
      </w:tblPr>
      <w:tblGrid>
        <w:gridCol w:w="707"/>
        <w:gridCol w:w="8668"/>
      </w:tblGrid>
      <w:tr>
        <w:trPr>
          <w:trHeight w:val="559"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(a)</w:t>
            </w:r>
          </w:p>
        </w:tc>
        <w:tc>
          <w:tcPr>
            <w:tcW w:w="8668" w:type="dxa"/>
            <w:tcBorders>
              <w:top w:val="nil" w:sz="6" w:space="0" w:color="auto"/>
              <w:left w:val="nil" w:sz="6" w:space="0" w:color="auto"/>
              <w:bottom w:val="nil" w:sz="6" w:space="0" w:color="auto"/>
              <w:right w:val="nil" w:sz="6" w:space="0" w:color="auto"/>
            </w:tcBorders>
          </w:tcPr>
          <w:p>
            <w:pPr>
              <w:pStyle w:val="TableParagraph"/>
              <w:spacing w:line="246" w:lineRule="exact"/>
              <w:ind w:left="213" w:right="0"/>
              <w:jc w:val="left"/>
              <w:rPr>
                <w:rFonts w:ascii="宋体" w:hAnsi="宋体" w:cs="宋体" w:eastAsia="宋体" w:hint="default"/>
                <w:sz w:val="24"/>
                <w:szCs w:val="24"/>
              </w:rPr>
            </w:pPr>
            <w:r>
              <w:rPr>
                <w:rFonts w:ascii="宋体" w:hAnsi="宋体" w:cs="宋体" w:eastAsia="宋体" w:hint="default"/>
                <w:spacing w:val="2"/>
                <w:sz w:val="24"/>
                <w:szCs w:val="24"/>
              </w:rPr>
              <w:t>根据积分计划递延确认的收益，以授予顾客的积分为基准，并根据本集团已公</w:t>
            </w:r>
            <w:r>
              <w:rPr>
                <w:rFonts w:ascii="宋体" w:hAnsi="宋体" w:cs="宋体" w:eastAsia="宋体" w:hint="default"/>
                <w:sz w:val="24"/>
                <w:szCs w:val="24"/>
              </w:rPr>
            </w:r>
          </w:p>
          <w:p>
            <w:pPr>
              <w:pStyle w:val="TableParagraph"/>
              <w:spacing w:line="313" w:lineRule="exact"/>
              <w:ind w:left="213" w:right="0"/>
              <w:jc w:val="left"/>
              <w:rPr>
                <w:rFonts w:ascii="宋体" w:hAnsi="宋体" w:cs="宋体" w:eastAsia="宋体" w:hint="default"/>
                <w:sz w:val="24"/>
                <w:szCs w:val="24"/>
              </w:rPr>
            </w:pPr>
            <w:r>
              <w:rPr>
                <w:rFonts w:ascii="宋体" w:hAnsi="宋体" w:cs="宋体" w:eastAsia="宋体" w:hint="default"/>
                <w:sz w:val="24"/>
                <w:szCs w:val="24"/>
              </w:rPr>
              <w:t>布的积分使用方法和积分的预期兑付率后，按公允价值确认。</w:t>
            </w:r>
          </w:p>
        </w:tc>
      </w:tr>
    </w:tbl>
    <w:p>
      <w:pPr>
        <w:spacing w:after="0" w:line="313" w:lineRule="exact"/>
        <w:jc w:val="left"/>
        <w:rPr>
          <w:rFonts w:ascii="宋体" w:hAnsi="宋体" w:cs="宋体" w:eastAsia="宋体" w:hint="default"/>
          <w:sz w:val="24"/>
          <w:szCs w:val="24"/>
        </w:rPr>
        <w:sectPr>
          <w:pgSz w:w="11910" w:h="16850"/>
          <w:pgMar w:header="795" w:footer="1333" w:top="2020" w:bottom="152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821"/>
        <w:gridCol w:w="1273"/>
        <w:gridCol w:w="1543"/>
        <w:gridCol w:w="876"/>
        <w:gridCol w:w="913"/>
        <w:gridCol w:w="755"/>
        <w:gridCol w:w="1454"/>
        <w:gridCol w:w="1457"/>
      </w:tblGrid>
      <w:tr>
        <w:trPr>
          <w:trHeight w:val="416" w:hRule="exact"/>
        </w:trPr>
        <w:tc>
          <w:tcPr>
            <w:tcW w:w="82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691"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12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913" w:type="dxa"/>
            <w:tcBorders>
              <w:top w:val="nil" w:sz="6" w:space="0" w:color="auto"/>
              <w:left w:val="nil" w:sz="6" w:space="0" w:color="auto"/>
              <w:bottom w:val="nil" w:sz="6" w:space="0" w:color="auto"/>
              <w:right w:val="nil" w:sz="6" w:space="0" w:color="auto"/>
            </w:tcBorders>
          </w:tcPr>
          <w:p>
            <w:pPr/>
          </w:p>
        </w:tc>
        <w:tc>
          <w:tcPr>
            <w:tcW w:w="755"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r>
      <w:tr>
        <w:trPr>
          <w:trHeight w:val="586" w:hRule="exact"/>
        </w:trPr>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64" w:right="0"/>
              <w:jc w:val="left"/>
              <w:rPr>
                <w:rFonts w:ascii="Arial" w:hAnsi="Arial" w:cs="Arial" w:eastAsia="Arial" w:hint="default"/>
                <w:sz w:val="24"/>
                <w:szCs w:val="24"/>
              </w:rPr>
            </w:pPr>
            <w:r>
              <w:rPr>
                <w:rFonts w:ascii="Arial"/>
                <w:sz w:val="24"/>
              </w:rPr>
              <w:t>(30)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64" w:right="0"/>
              <w:jc w:val="left"/>
              <w:rPr>
                <w:rFonts w:ascii="黑体" w:hAnsi="黑体" w:cs="黑体" w:eastAsia="黑体" w:hint="default"/>
                <w:sz w:val="24"/>
                <w:szCs w:val="24"/>
              </w:rPr>
            </w:pPr>
            <w:r>
              <w:rPr>
                <w:rFonts w:ascii="黑体" w:hAnsi="黑体" w:cs="黑体" w:eastAsia="黑体" w:hint="default"/>
                <w:sz w:val="24"/>
                <w:szCs w:val="24"/>
              </w:rPr>
              <w:t>应付债券</w:t>
            </w:r>
          </w:p>
        </w:tc>
        <w:tc>
          <w:tcPr>
            <w:tcW w:w="1543"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c>
          <w:tcPr>
            <w:tcW w:w="755"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r>
      <w:tr>
        <w:trPr>
          <w:trHeight w:val="869" w:hRule="exact"/>
        </w:trPr>
        <w:tc>
          <w:tcPr>
            <w:tcW w:w="8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2419" w:type="dxa"/>
            <w:gridSpan w:val="2"/>
            <w:tcBorders>
              <w:top w:val="nil" w:sz="6" w:space="0" w:color="auto"/>
              <w:left w:val="nil" w:sz="6" w:space="0" w:color="auto"/>
              <w:bottom w:val="nil" w:sz="6" w:space="0" w:color="auto"/>
              <w:right w:val="nil" w:sz="6" w:space="0" w:color="auto"/>
            </w:tcBorders>
          </w:tcPr>
          <w:p>
            <w:pPr>
              <w:pStyle w:val="TableParagraph"/>
              <w:spacing w:line="320" w:lineRule="exact" w:before="100"/>
              <w:ind w:left="1344"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320" w:lineRule="exact"/>
              <w:ind w:left="968"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6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40" w:lineRule="auto"/>
              <w:ind w:left="294" w:right="0"/>
              <w:jc w:val="left"/>
              <w:rPr>
                <w:rFonts w:ascii="宋体" w:hAnsi="宋体" w:cs="宋体" w:eastAsia="宋体" w:hint="default"/>
                <w:sz w:val="24"/>
                <w:szCs w:val="24"/>
              </w:rPr>
            </w:pPr>
            <w:r>
              <w:rPr>
                <w:rFonts w:ascii="宋体" w:hAnsi="宋体" w:cs="宋体" w:eastAsia="宋体" w:hint="default"/>
                <w:sz w:val="24"/>
                <w:szCs w:val="24"/>
              </w:rPr>
              <w:t>本年增加</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40" w:lineRule="auto"/>
              <w:ind w:left="83" w:right="0"/>
              <w:jc w:val="left"/>
              <w:rPr>
                <w:rFonts w:ascii="宋体" w:hAnsi="宋体" w:cs="宋体" w:eastAsia="宋体" w:hint="default"/>
                <w:sz w:val="24"/>
                <w:szCs w:val="24"/>
              </w:rPr>
            </w:pPr>
            <w:r>
              <w:rPr>
                <w:rFonts w:ascii="宋体" w:hAnsi="宋体" w:cs="宋体" w:eastAsia="宋体" w:hint="default"/>
                <w:sz w:val="24"/>
                <w:szCs w:val="24"/>
              </w:rPr>
              <w:t>折价调整</w:t>
            </w:r>
          </w:p>
        </w:tc>
        <w:tc>
          <w:tcPr>
            <w:tcW w:w="1457" w:type="dxa"/>
            <w:tcBorders>
              <w:top w:val="nil" w:sz="6" w:space="0" w:color="auto"/>
              <w:left w:val="nil" w:sz="6" w:space="0" w:color="auto"/>
              <w:bottom w:val="nil" w:sz="6" w:space="0" w:color="auto"/>
              <w:right w:val="nil" w:sz="6" w:space="0" w:color="auto"/>
            </w:tcBorders>
          </w:tcPr>
          <w:p>
            <w:pPr>
              <w:pStyle w:val="TableParagraph"/>
              <w:spacing w:line="320" w:lineRule="exact" w:before="100"/>
              <w:ind w:left="505"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0" w:lineRule="exact"/>
              <w:ind w:left="145"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43" w:hRule="exact"/>
        </w:trPr>
        <w:tc>
          <w:tcPr>
            <w:tcW w:w="8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99" w:right="0"/>
              <w:jc w:val="left"/>
              <w:rPr>
                <w:rFonts w:ascii="宋体" w:hAnsi="宋体" w:cs="宋体" w:eastAsia="宋体" w:hint="default"/>
                <w:sz w:val="24"/>
                <w:szCs w:val="24"/>
              </w:rPr>
            </w:pPr>
            <w:r>
              <w:rPr>
                <w:rFonts w:ascii="宋体" w:hAnsi="宋体" w:cs="宋体" w:eastAsia="宋体" w:hint="default"/>
                <w:sz w:val="24"/>
                <w:szCs w:val="24"/>
              </w:rPr>
              <w:t>公司债券</w:t>
            </w:r>
          </w:p>
        </w:tc>
        <w:tc>
          <w:tcPr>
            <w:tcW w:w="2419" w:type="dxa"/>
            <w:gridSpan w:val="2"/>
            <w:tcBorders>
              <w:top w:val="nil" w:sz="6" w:space="0" w:color="auto"/>
              <w:left w:val="nil" w:sz="6" w:space="0" w:color="auto"/>
              <w:bottom w:val="nil" w:sz="6" w:space="0" w:color="auto"/>
              <w:right w:val="nil" w:sz="6" w:space="0" w:color="auto"/>
            </w:tcBorders>
          </w:tcPr>
          <w:p>
            <w:pPr>
              <w:pStyle w:val="TableParagraph"/>
              <w:tabs>
                <w:tab w:pos="2052" w:val="left" w:leader="none"/>
                <w:tab w:pos="2239" w:val="left" w:leader="none"/>
              </w:tabs>
              <w:spacing w:line="240" w:lineRule="auto" w:before="131"/>
              <w:ind w:left="55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w:t>
              <w:tab/>
            </w:r>
            <w:r>
              <w:rPr>
                <w:rFonts w:ascii="Arial"/>
                <w:sz w:val="24"/>
              </w:rPr>
            </w:r>
          </w:p>
        </w:tc>
        <w:tc>
          <w:tcPr>
            <w:tcW w:w="1667" w:type="dxa"/>
            <w:gridSpan w:val="2"/>
            <w:tcBorders>
              <w:top w:val="nil" w:sz="6" w:space="0" w:color="auto"/>
              <w:left w:val="nil" w:sz="6" w:space="0" w:color="auto"/>
              <w:bottom w:val="nil" w:sz="6" w:space="0" w:color="auto"/>
              <w:right w:val="nil" w:sz="6" w:space="0" w:color="auto"/>
            </w:tcBorders>
          </w:tcPr>
          <w:p>
            <w:pPr>
              <w:pStyle w:val="TableParagraph"/>
              <w:tabs>
                <w:tab w:pos="1575" w:val="left" w:leader="none"/>
                <w:tab w:pos="2370" w:val="left" w:leader="none"/>
              </w:tabs>
              <w:spacing w:line="240" w:lineRule="auto" w:before="131"/>
              <w:ind w:left="63" w:right="-704"/>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pacing w:val="-23"/>
                <w:sz w:val="24"/>
                <w:u w:val="thick" w:color="000000"/>
              </w:rPr>
              <w:t> </w:t>
            </w:r>
            <w:r>
              <w:rPr>
                <w:rFonts w:ascii="Arial"/>
                <w:sz w:val="24"/>
                <w:u w:val="thick" w:color="000000"/>
              </w:rPr>
              <w:t>4,465,144</w:t>
            </w:r>
            <w:r>
              <w:rPr>
                <w:rFonts w:ascii="Arial"/>
                <w:spacing w:val="24"/>
                <w:sz w:val="24"/>
                <w:u w:val="thick" w:color="000000"/>
              </w:rPr>
              <w:t> </w:t>
            </w:r>
            <w:r>
              <w:rPr>
                <w:rFonts w:ascii="Arial"/>
                <w:spacing w:val="24"/>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454" w:type="dxa"/>
            <w:tcBorders>
              <w:top w:val="nil" w:sz="6" w:space="0" w:color="auto"/>
              <w:left w:val="nil" w:sz="6" w:space="0" w:color="auto"/>
              <w:bottom w:val="nil" w:sz="6" w:space="0" w:color="auto"/>
              <w:right w:val="nil" w:sz="6" w:space="0" w:color="auto"/>
            </w:tcBorders>
          </w:tcPr>
          <w:p>
            <w:pPr>
              <w:pStyle w:val="TableParagraph"/>
              <w:tabs>
                <w:tab w:pos="1366" w:val="left" w:leader="none"/>
                <w:tab w:pos="1730" w:val="left" w:leader="none"/>
              </w:tabs>
              <w:spacing w:line="240" w:lineRule="auto" w:before="131"/>
              <w:ind w:left="703" w:right="-278"/>
              <w:jc w:val="left"/>
              <w:rPr>
                <w:rFonts w:ascii="Arial" w:hAnsi="Arial" w:cs="Arial" w:eastAsia="Arial" w:hint="default"/>
                <w:sz w:val="24"/>
                <w:szCs w:val="24"/>
              </w:rPr>
            </w:pPr>
            <w:r>
              <w:rPr>
                <w:rFonts w:ascii="Arial"/>
                <w:w w:val="99"/>
                <w:sz w:val="24"/>
              </w:rPr>
            </w:r>
            <w:r>
              <w:rPr>
                <w:rFonts w:ascii="Arial"/>
                <w:sz w:val="24"/>
                <w:u w:val="thick" w:color="000000"/>
              </w:rPr>
              <w:t>261</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457" w:type="dxa"/>
            <w:tcBorders>
              <w:top w:val="nil" w:sz="6" w:space="0" w:color="auto"/>
              <w:left w:val="nil" w:sz="6" w:space="0" w:color="auto"/>
              <w:bottom w:val="nil" w:sz="6" w:space="0" w:color="auto"/>
              <w:right w:val="nil" w:sz="6" w:space="0" w:color="auto"/>
            </w:tcBorders>
          </w:tcPr>
          <w:p>
            <w:pPr>
              <w:pStyle w:val="TableParagraph"/>
              <w:tabs>
                <w:tab w:pos="1137" w:val="left" w:leader="none"/>
              </w:tabs>
              <w:spacing w:line="240" w:lineRule="auto" w:before="131"/>
              <w:ind w:right="40"/>
              <w:jc w:val="right"/>
              <w:rPr>
                <w:rFonts w:ascii="Arial" w:hAnsi="Arial" w:cs="Arial" w:eastAsia="Arial" w:hint="default"/>
                <w:sz w:val="24"/>
                <w:szCs w:val="24"/>
              </w:rPr>
            </w:pPr>
            <w:r>
              <w:rPr>
                <w:rFonts w:ascii="Arial"/>
                <w:w w:val="99"/>
                <w:sz w:val="24"/>
              </w:rPr>
            </w:r>
            <w:r>
              <w:rPr>
                <w:rFonts w:ascii="Arial"/>
                <w:spacing w:val="-1"/>
                <w:sz w:val="24"/>
                <w:u w:val="thick" w:color="000000"/>
              </w:rPr>
              <w:t>4,465,405</w:t>
              <w:tab/>
            </w:r>
            <w:r>
              <w:rPr>
                <w:rFonts w:ascii="Arial"/>
                <w:spacing w:val="-1"/>
                <w:sz w:val="24"/>
              </w:rPr>
            </w:r>
          </w:p>
        </w:tc>
      </w:tr>
      <w:tr>
        <w:trPr>
          <w:trHeight w:val="523" w:hRule="exact"/>
        </w:trPr>
        <w:tc>
          <w:tcPr>
            <w:tcW w:w="909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66"/>
              <w:ind w:left="984" w:right="0"/>
              <w:jc w:val="left"/>
              <w:rPr>
                <w:rFonts w:ascii="宋体" w:hAnsi="宋体" w:cs="宋体" w:eastAsia="宋体" w:hint="default"/>
                <w:sz w:val="24"/>
                <w:szCs w:val="24"/>
              </w:rPr>
            </w:pPr>
            <w:r>
              <w:rPr>
                <w:rFonts w:ascii="宋体" w:hAnsi="宋体" w:cs="宋体" w:eastAsia="宋体" w:hint="default"/>
                <w:sz w:val="24"/>
                <w:szCs w:val="24"/>
              </w:rPr>
              <w:t>债券有关信息如下：</w:t>
            </w:r>
          </w:p>
        </w:tc>
      </w:tr>
      <w:tr>
        <w:trPr>
          <w:trHeight w:val="504" w:hRule="exact"/>
        </w:trPr>
        <w:tc>
          <w:tcPr>
            <w:tcW w:w="8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79"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16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740"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30" w:right="0"/>
              <w:jc w:val="left"/>
              <w:rPr>
                <w:rFonts w:ascii="宋体" w:hAnsi="宋体" w:cs="宋体" w:eastAsia="宋体" w:hint="default"/>
                <w:sz w:val="21"/>
                <w:szCs w:val="21"/>
              </w:rPr>
            </w:pPr>
            <w:r>
              <w:rPr>
                <w:rFonts w:ascii="宋体" w:hAnsi="宋体" w:cs="宋体" w:eastAsia="宋体" w:hint="default"/>
                <w:sz w:val="21"/>
                <w:szCs w:val="21"/>
              </w:rPr>
              <w:t>债券期限</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1"/>
              <w:jc w:val="right"/>
              <w:rPr>
                <w:rFonts w:ascii="宋体" w:hAnsi="宋体" w:cs="宋体" w:eastAsia="宋体" w:hint="default"/>
                <w:sz w:val="21"/>
                <w:szCs w:val="21"/>
              </w:rPr>
            </w:pPr>
            <w:r>
              <w:rPr>
                <w:rFonts w:ascii="宋体" w:hAnsi="宋体" w:cs="宋体" w:eastAsia="宋体" w:hint="default"/>
                <w:spacing w:val="-1"/>
                <w:sz w:val="21"/>
                <w:szCs w:val="21"/>
              </w:rPr>
              <w:t>发行金额</w:t>
            </w:r>
          </w:p>
        </w:tc>
      </w:tr>
      <w:tr>
        <w:trPr>
          <w:trHeight w:val="792" w:hRule="exact"/>
        </w:trPr>
        <w:tc>
          <w:tcPr>
            <w:tcW w:w="8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Style w:val="TableParagraph"/>
              <w:spacing w:line="272" w:lineRule="exact" w:before="115"/>
              <w:ind w:left="459" w:right="0"/>
              <w:jc w:val="left"/>
              <w:rPr>
                <w:rFonts w:ascii="Arial" w:hAnsi="Arial" w:cs="Arial" w:eastAsia="Arial" w:hint="default"/>
                <w:sz w:val="21"/>
                <w:szCs w:val="21"/>
              </w:rPr>
            </w:pPr>
            <w:r>
              <w:rPr>
                <w:rFonts w:ascii="宋体" w:hAnsi="宋体" w:cs="宋体" w:eastAsia="宋体" w:hint="default"/>
                <w:spacing w:val="43"/>
                <w:w w:val="100"/>
                <w:sz w:val="21"/>
                <w:szCs w:val="21"/>
              </w:rPr>
              <w:t>公司</w:t>
            </w:r>
            <w:r>
              <w:rPr>
                <w:rFonts w:ascii="宋体" w:hAnsi="宋体" w:cs="宋体" w:eastAsia="宋体" w:hint="default"/>
                <w:spacing w:val="-16"/>
                <w:w w:val="100"/>
                <w:sz w:val="21"/>
                <w:szCs w:val="21"/>
              </w:rPr>
              <w:t> </w:t>
            </w:r>
            <w:r>
              <w:rPr>
                <w:rFonts w:ascii="宋体" w:hAnsi="宋体" w:cs="宋体" w:eastAsia="宋体" w:hint="default"/>
                <w:w w:val="100"/>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券</w:t>
            </w:r>
            <w:r>
              <w:rPr>
                <w:rFonts w:ascii="Arial" w:hAnsi="Arial" w:cs="Arial" w:eastAsia="Arial" w:hint="default"/>
                <w:sz w:val="21"/>
                <w:szCs w:val="21"/>
              </w:rPr>
              <w:t>(a)</w:t>
            </w:r>
          </w:p>
        </w:tc>
        <w:tc>
          <w:tcPr>
            <w:tcW w:w="24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852"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1"/>
                <w:sz w:val="21"/>
                <w:szCs w:val="21"/>
              </w:rPr>
              <w:t> </w:t>
            </w:r>
            <w:r>
              <w:rPr>
                <w:rFonts w:ascii="Arial" w:hAnsi="Arial" w:cs="Arial" w:eastAsia="Arial" w:hint="default"/>
                <w:sz w:val="21"/>
                <w:szCs w:val="21"/>
              </w:rPr>
              <w:t>45</w:t>
            </w:r>
            <w:r>
              <w:rPr>
                <w:rFonts w:ascii="Arial" w:hAnsi="Arial" w:cs="Arial" w:eastAsia="Arial" w:hint="default"/>
                <w:spacing w:val="-6"/>
                <w:sz w:val="21"/>
                <w:szCs w:val="21"/>
              </w:rPr>
              <w:t> </w:t>
            </w:r>
            <w:r>
              <w:rPr>
                <w:rFonts w:ascii="宋体" w:hAnsi="宋体" w:cs="宋体" w:eastAsia="宋体" w:hint="default"/>
                <w:sz w:val="21"/>
                <w:szCs w:val="21"/>
              </w:rPr>
              <w:t>亿元</w:t>
            </w:r>
          </w:p>
        </w:tc>
        <w:tc>
          <w:tcPr>
            <w:tcW w:w="1667" w:type="dxa"/>
            <w:gridSpan w:val="2"/>
            <w:tcBorders>
              <w:top w:val="nil" w:sz="6" w:space="0" w:color="auto"/>
              <w:left w:val="nil" w:sz="6" w:space="0" w:color="auto"/>
              <w:bottom w:val="nil" w:sz="6" w:space="0" w:color="auto"/>
              <w:right w:val="nil" w:sz="6" w:space="0" w:color="auto"/>
            </w:tcBorders>
          </w:tcPr>
          <w:p>
            <w:pPr>
              <w:pStyle w:val="TableParagraph"/>
              <w:spacing w:line="280" w:lineRule="exact" w:before="87"/>
              <w:ind w:left="214" w:right="0"/>
              <w:jc w:val="left"/>
              <w:rPr>
                <w:rFonts w:ascii="宋体" w:hAnsi="宋体" w:cs="宋体" w:eastAsia="宋体" w:hint="default"/>
                <w:sz w:val="21"/>
                <w:szCs w:val="21"/>
              </w:rPr>
            </w:pPr>
            <w:r>
              <w:rPr>
                <w:rFonts w:ascii="Arial" w:hAnsi="Arial" w:cs="Arial" w:eastAsia="Arial" w:hint="default"/>
                <w:sz w:val="21"/>
                <w:szCs w:val="21"/>
              </w:rPr>
              <w:t>2012 </w:t>
            </w:r>
            <w:r>
              <w:rPr>
                <w:rFonts w:ascii="宋体" w:hAnsi="宋体" w:cs="宋体" w:eastAsia="宋体" w:hint="default"/>
                <w:sz w:val="21"/>
                <w:szCs w:val="21"/>
              </w:rPr>
              <w:t>年 </w:t>
            </w:r>
            <w:r>
              <w:rPr>
                <w:rFonts w:ascii="Arial" w:hAnsi="Arial" w:cs="Arial" w:eastAsia="Arial" w:hint="default"/>
                <w:sz w:val="21"/>
                <w:szCs w:val="21"/>
              </w:rPr>
              <w:t>12</w:t>
            </w:r>
            <w:r>
              <w:rPr>
                <w:rFonts w:ascii="Arial" w:hAnsi="Arial" w:cs="Arial" w:eastAsia="Arial" w:hint="default"/>
                <w:spacing w:val="24"/>
                <w:sz w:val="21"/>
                <w:szCs w:val="21"/>
              </w:rPr>
              <w:t> </w:t>
            </w:r>
            <w:r>
              <w:rPr>
                <w:rFonts w:ascii="宋体" w:hAnsi="宋体" w:cs="宋体" w:eastAsia="宋体" w:hint="default"/>
                <w:sz w:val="21"/>
                <w:szCs w:val="21"/>
              </w:rPr>
              <w:t>月</w:t>
            </w:r>
          </w:p>
          <w:p>
            <w:pPr>
              <w:pStyle w:val="TableParagraph"/>
              <w:spacing w:line="280" w:lineRule="exact"/>
              <w:ind w:left="214" w:right="0"/>
              <w:jc w:val="left"/>
              <w:rPr>
                <w:rFonts w:ascii="宋体" w:hAnsi="宋体" w:cs="宋体" w:eastAsia="宋体" w:hint="default"/>
                <w:sz w:val="21"/>
                <w:szCs w:val="21"/>
              </w:rPr>
            </w:pPr>
            <w:r>
              <w:rPr>
                <w:rFonts w:ascii="Arial" w:hAnsi="Arial" w:cs="Arial" w:eastAsia="Arial" w:hint="default"/>
                <w:sz w:val="21"/>
                <w:szCs w:val="21"/>
              </w:rPr>
              <w:t>14</w:t>
            </w:r>
            <w:r>
              <w:rPr>
                <w:rFonts w:ascii="Arial" w:hAnsi="Arial" w:cs="Arial" w:eastAsia="Arial" w:hint="default"/>
                <w:spacing w:val="-3"/>
                <w:sz w:val="21"/>
                <w:szCs w:val="21"/>
              </w:rPr>
              <w:t> </w:t>
            </w:r>
            <w:r>
              <w:rPr>
                <w:rFonts w:ascii="宋体" w:hAnsi="宋体" w:cs="宋体" w:eastAsia="宋体" w:hint="default"/>
                <w:sz w:val="21"/>
                <w:szCs w:val="21"/>
              </w:rPr>
              <w:t>日</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8"/>
              <w:jc w:val="righ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4"/>
                <w:sz w:val="21"/>
                <w:szCs w:val="21"/>
              </w:rPr>
              <w:t> </w:t>
            </w:r>
            <w:r>
              <w:rPr>
                <w:rFonts w:ascii="宋体" w:hAnsi="宋体" w:cs="宋体" w:eastAsia="宋体" w:hint="default"/>
                <w:sz w:val="21"/>
                <w:szCs w:val="21"/>
              </w:rPr>
              <w:t>年</w:t>
            </w:r>
          </w:p>
        </w:tc>
        <w:tc>
          <w:tcPr>
            <w:tcW w:w="1457" w:type="dxa"/>
            <w:tcBorders>
              <w:top w:val="nil" w:sz="6" w:space="0" w:color="auto"/>
              <w:left w:val="nil" w:sz="6" w:space="0" w:color="auto"/>
              <w:bottom w:val="nil" w:sz="6" w:space="0" w:color="auto"/>
              <w:right w:val="nil" w:sz="6" w:space="0" w:color="auto"/>
            </w:tcBorders>
          </w:tcPr>
          <w:p>
            <w:pPr>
              <w:pStyle w:val="TableParagraph"/>
              <w:spacing w:line="280" w:lineRule="exact" w:before="87"/>
              <w:ind w:right="21"/>
              <w:jc w:val="right"/>
              <w:rPr>
                <w:rFonts w:ascii="Arial" w:hAnsi="Arial" w:cs="Arial" w:eastAsia="Arial" w:hint="default"/>
                <w:sz w:val="21"/>
                <w:szCs w:val="21"/>
              </w:rPr>
            </w:pPr>
            <w:r>
              <w:rPr>
                <w:rFonts w:ascii="宋体" w:hAnsi="宋体" w:cs="宋体" w:eastAsia="宋体" w:hint="default"/>
                <w:sz w:val="21"/>
                <w:szCs w:val="21"/>
              </w:rPr>
              <w:t>人民币</w:t>
            </w:r>
            <w:r>
              <w:rPr>
                <w:rFonts w:ascii="宋体" w:hAnsi="宋体" w:cs="宋体" w:eastAsia="宋体" w:hint="default"/>
                <w:spacing w:val="-52"/>
                <w:sz w:val="21"/>
                <w:szCs w:val="21"/>
              </w:rPr>
              <w:t> </w:t>
            </w:r>
            <w:r>
              <w:rPr>
                <w:rFonts w:ascii="Arial" w:hAnsi="Arial" w:cs="Arial" w:eastAsia="Arial" w:hint="default"/>
                <w:sz w:val="21"/>
                <w:szCs w:val="21"/>
              </w:rPr>
              <w:t>45</w:t>
            </w:r>
          </w:p>
          <w:p>
            <w:pPr>
              <w:pStyle w:val="TableParagraph"/>
              <w:spacing w:line="266" w:lineRule="exact"/>
              <w:ind w:right="21"/>
              <w:jc w:val="right"/>
              <w:rPr>
                <w:rFonts w:ascii="宋体" w:hAnsi="宋体" w:cs="宋体" w:eastAsia="宋体" w:hint="default"/>
                <w:sz w:val="21"/>
                <w:szCs w:val="21"/>
              </w:rPr>
            </w:pPr>
            <w:r>
              <w:rPr>
                <w:rFonts w:ascii="宋体" w:hAnsi="宋体" w:cs="宋体" w:eastAsia="宋体" w:hint="default"/>
                <w:sz w:val="21"/>
                <w:szCs w:val="21"/>
              </w:rPr>
              <w:t>亿元</w:t>
            </w:r>
          </w:p>
        </w:tc>
      </w:tr>
      <w:tr>
        <w:trPr>
          <w:trHeight w:val="527" w:hRule="exact"/>
        </w:trPr>
        <w:tc>
          <w:tcPr>
            <w:tcW w:w="909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74"/>
              <w:ind w:left="919" w:right="0"/>
              <w:jc w:val="left"/>
              <w:rPr>
                <w:rFonts w:ascii="宋体" w:hAnsi="宋体" w:cs="宋体" w:eastAsia="宋体" w:hint="default"/>
                <w:sz w:val="24"/>
                <w:szCs w:val="24"/>
              </w:rPr>
            </w:pPr>
            <w:r>
              <w:rPr>
                <w:rFonts w:ascii="宋体" w:hAnsi="宋体" w:cs="宋体" w:eastAsia="宋体" w:hint="default"/>
                <w:sz w:val="24"/>
                <w:szCs w:val="24"/>
              </w:rPr>
              <w:t>债券之应计利息分析如下：</w:t>
            </w:r>
          </w:p>
        </w:tc>
      </w:tr>
      <w:tr>
        <w:trPr>
          <w:trHeight w:val="422" w:hRule="exact"/>
        </w:trPr>
        <w:tc>
          <w:tcPr>
            <w:tcW w:w="909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65"/>
              <w:ind w:left="1929" w:right="0"/>
              <w:jc w:val="center"/>
              <w:rPr>
                <w:rFonts w:ascii="宋体" w:hAnsi="宋体" w:cs="宋体" w:eastAsia="宋体" w:hint="default"/>
                <w:sz w:val="24"/>
                <w:szCs w:val="24"/>
              </w:rPr>
            </w:pPr>
            <w:r>
              <w:rPr>
                <w:rFonts w:ascii="宋体" w:hAnsi="宋体" w:cs="宋体" w:eastAsia="宋体" w:hint="default"/>
                <w:sz w:val="24"/>
                <w:szCs w:val="24"/>
              </w:rPr>
              <w:t>应计利息</w:t>
            </w:r>
          </w:p>
        </w:tc>
      </w:tr>
      <w:tr>
        <w:trPr>
          <w:trHeight w:val="771" w:hRule="exact"/>
        </w:trPr>
        <w:tc>
          <w:tcPr>
            <w:tcW w:w="821" w:type="dxa"/>
            <w:tcBorders>
              <w:top w:val="nil" w:sz="6" w:space="0" w:color="auto"/>
              <w:left w:val="nil" w:sz="6" w:space="0" w:color="auto"/>
              <w:bottom w:val="nil" w:sz="6" w:space="0" w:color="auto"/>
              <w:right w:val="nil" w:sz="6" w:space="0" w:color="auto"/>
            </w:tcBorders>
          </w:tcPr>
          <w:p>
            <w:pPr/>
          </w:p>
        </w:tc>
        <w:tc>
          <w:tcPr>
            <w:tcW w:w="2815" w:type="dxa"/>
            <w:gridSpan w:val="2"/>
            <w:tcBorders>
              <w:top w:val="nil" w:sz="6" w:space="0" w:color="auto"/>
              <w:left w:val="nil" w:sz="6" w:space="0" w:color="auto"/>
              <w:bottom w:val="nil" w:sz="6" w:space="0" w:color="auto"/>
              <w:right w:val="nil" w:sz="6" w:space="0" w:color="auto"/>
            </w:tcBorders>
          </w:tcPr>
          <w:p>
            <w:pPr>
              <w:pStyle w:val="TableParagraph"/>
              <w:spacing w:line="286" w:lineRule="exact"/>
              <w:ind w:left="1794"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322" w:lineRule="exact"/>
              <w:ind w:left="1416"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789" w:type="dxa"/>
            <w:gridSpan w:val="2"/>
            <w:tcBorders>
              <w:top w:val="single" w:sz="4" w:space="0" w:color="000000"/>
              <w:left w:val="nil" w:sz="6" w:space="0" w:color="auto"/>
              <w:bottom w:val="nil" w:sz="6" w:space="0" w:color="auto"/>
              <w:right w:val="nil" w:sz="6" w:space="0" w:color="auto"/>
            </w:tcBorders>
          </w:tcPr>
          <w:p>
            <w:pPr>
              <w:pStyle w:val="TableParagraph"/>
              <w:spacing w:line="274" w:lineRule="exact"/>
              <w:ind w:left="202" w:right="0"/>
              <w:jc w:val="left"/>
              <w:rPr>
                <w:rFonts w:ascii="宋体" w:hAnsi="宋体" w:cs="宋体" w:eastAsia="宋体" w:hint="default"/>
                <w:sz w:val="24"/>
                <w:szCs w:val="24"/>
              </w:rPr>
            </w:pPr>
            <w:r>
              <w:rPr>
                <w:rFonts w:ascii="宋体" w:hAnsi="宋体" w:cs="宋体" w:eastAsia="宋体" w:hint="default"/>
                <w:sz w:val="24"/>
                <w:szCs w:val="24"/>
              </w:rPr>
              <w:t>本年应计利息</w:t>
            </w:r>
          </w:p>
        </w:tc>
        <w:tc>
          <w:tcPr>
            <w:tcW w:w="2208" w:type="dxa"/>
            <w:gridSpan w:val="2"/>
            <w:tcBorders>
              <w:top w:val="single" w:sz="4" w:space="0" w:color="000000"/>
              <w:left w:val="nil" w:sz="6" w:space="0" w:color="auto"/>
              <w:bottom w:val="nil" w:sz="6" w:space="0" w:color="auto"/>
              <w:right w:val="nil" w:sz="6" w:space="0" w:color="auto"/>
            </w:tcBorders>
          </w:tcPr>
          <w:p>
            <w:pPr>
              <w:pStyle w:val="TableParagraph"/>
              <w:spacing w:line="274" w:lineRule="exact"/>
              <w:ind w:left="123" w:right="0"/>
              <w:jc w:val="left"/>
              <w:rPr>
                <w:rFonts w:ascii="宋体" w:hAnsi="宋体" w:cs="宋体" w:eastAsia="宋体" w:hint="default"/>
                <w:sz w:val="24"/>
                <w:szCs w:val="24"/>
              </w:rPr>
            </w:pPr>
            <w:r>
              <w:rPr>
                <w:rFonts w:ascii="宋体" w:hAnsi="宋体" w:cs="宋体" w:eastAsia="宋体" w:hint="default"/>
                <w:sz w:val="24"/>
                <w:szCs w:val="24"/>
              </w:rPr>
              <w:t>本年已付利息</w:t>
            </w:r>
          </w:p>
        </w:tc>
        <w:tc>
          <w:tcPr>
            <w:tcW w:w="1457" w:type="dxa"/>
            <w:tcBorders>
              <w:top w:val="single" w:sz="4" w:space="0" w:color="000000"/>
              <w:left w:val="nil" w:sz="6" w:space="0" w:color="auto"/>
              <w:bottom w:val="nil" w:sz="6" w:space="0" w:color="auto"/>
              <w:right w:val="nil" w:sz="6" w:space="0" w:color="auto"/>
            </w:tcBorders>
          </w:tcPr>
          <w:p>
            <w:pPr>
              <w:pStyle w:val="TableParagraph"/>
              <w:spacing w:line="281" w:lineRule="exact"/>
              <w:ind w:left="440"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left="80"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59" w:hRule="exact"/>
        </w:trPr>
        <w:tc>
          <w:tcPr>
            <w:tcW w:w="821"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9" w:right="0"/>
              <w:jc w:val="left"/>
              <w:rPr>
                <w:rFonts w:ascii="Arial" w:hAnsi="Arial" w:cs="Arial" w:eastAsia="Arial" w:hint="default"/>
                <w:sz w:val="24"/>
                <w:szCs w:val="24"/>
              </w:rPr>
            </w:pPr>
            <w:r>
              <w:rPr>
                <w:rFonts w:ascii="宋体" w:hAnsi="宋体" w:cs="宋体" w:eastAsia="宋体" w:hint="default"/>
                <w:sz w:val="24"/>
                <w:szCs w:val="24"/>
              </w:rPr>
              <w:t>公司债券</w:t>
            </w:r>
            <w:r>
              <w:rPr>
                <w:rFonts w:ascii="Arial" w:hAnsi="Arial" w:cs="Arial" w:eastAsia="Arial" w:hint="default"/>
                <w:sz w:val="24"/>
                <w:szCs w:val="24"/>
              </w:rPr>
              <w:t>(a</w:t>
            </w:r>
          </w:p>
        </w:tc>
        <w:tc>
          <w:tcPr>
            <w:tcW w:w="1543" w:type="dxa"/>
            <w:tcBorders>
              <w:top w:val="nil" w:sz="6" w:space="0" w:color="auto"/>
              <w:left w:val="nil" w:sz="6" w:space="0" w:color="auto"/>
              <w:bottom w:val="single" w:sz="12" w:space="0" w:color="000000"/>
              <w:right w:val="nil" w:sz="6" w:space="0" w:color="auto"/>
            </w:tcBorders>
          </w:tcPr>
          <w:p>
            <w:pPr>
              <w:pStyle w:val="TableParagraph"/>
              <w:spacing w:line="240" w:lineRule="auto" w:before="164"/>
              <w:ind w:right="231"/>
              <w:jc w:val="right"/>
              <w:rPr>
                <w:rFonts w:ascii="Arial" w:hAnsi="Arial" w:cs="Arial" w:eastAsia="Arial" w:hint="default"/>
                <w:sz w:val="24"/>
                <w:szCs w:val="24"/>
              </w:rPr>
            </w:pPr>
            <w:r>
              <w:rPr>
                <w:rFonts w:ascii="Arial"/>
                <w:w w:val="99"/>
                <w:sz w:val="24"/>
              </w:rPr>
              <w:t>-</w:t>
            </w:r>
            <w:r>
              <w:rPr>
                <w:rFonts w:ascii="Arial"/>
                <w:sz w:val="24"/>
              </w:rPr>
            </w:r>
          </w:p>
        </w:tc>
        <w:tc>
          <w:tcPr>
            <w:tcW w:w="876" w:type="dxa"/>
            <w:tcBorders>
              <w:top w:val="nil" w:sz="6" w:space="0" w:color="auto"/>
              <w:left w:val="nil" w:sz="6" w:space="0" w:color="auto"/>
              <w:bottom w:val="single" w:sz="12" w:space="0" w:color="000000"/>
              <w:right w:val="nil" w:sz="6" w:space="0" w:color="auto"/>
            </w:tcBorders>
          </w:tcPr>
          <w:p>
            <w:pPr/>
          </w:p>
        </w:tc>
        <w:tc>
          <w:tcPr>
            <w:tcW w:w="913" w:type="dxa"/>
            <w:tcBorders>
              <w:top w:val="nil" w:sz="6" w:space="0" w:color="auto"/>
              <w:left w:val="nil" w:sz="6" w:space="0" w:color="auto"/>
              <w:bottom w:val="single" w:sz="12" w:space="0" w:color="000000"/>
              <w:right w:val="nil" w:sz="6" w:space="0" w:color="auto"/>
            </w:tcBorders>
          </w:tcPr>
          <w:p>
            <w:pPr>
              <w:pStyle w:val="TableParagraph"/>
              <w:spacing w:line="240" w:lineRule="auto" w:before="164"/>
              <w:ind w:left="73" w:right="0"/>
              <w:jc w:val="left"/>
              <w:rPr>
                <w:rFonts w:ascii="Arial" w:hAnsi="Arial" w:cs="Arial" w:eastAsia="Arial" w:hint="default"/>
                <w:sz w:val="24"/>
                <w:szCs w:val="24"/>
              </w:rPr>
            </w:pPr>
            <w:r>
              <w:rPr>
                <w:rFonts w:ascii="Arial"/>
                <w:spacing w:val="-4"/>
                <w:sz w:val="24"/>
              </w:rPr>
              <w:t>11,160</w:t>
            </w:r>
          </w:p>
        </w:tc>
        <w:tc>
          <w:tcPr>
            <w:tcW w:w="755" w:type="dxa"/>
            <w:tcBorders>
              <w:top w:val="nil" w:sz="6" w:space="0" w:color="auto"/>
              <w:left w:val="nil" w:sz="6" w:space="0" w:color="auto"/>
              <w:bottom w:val="single" w:sz="12" w:space="0" w:color="000000"/>
              <w:right w:val="nil" w:sz="6" w:space="0" w:color="auto"/>
            </w:tcBorders>
          </w:tcPr>
          <w:p>
            <w:pPr/>
          </w:p>
        </w:tc>
        <w:tc>
          <w:tcPr>
            <w:tcW w:w="1454" w:type="dxa"/>
            <w:tcBorders>
              <w:top w:val="nil" w:sz="6" w:space="0" w:color="auto"/>
              <w:left w:val="nil" w:sz="6" w:space="0" w:color="auto"/>
              <w:bottom w:val="single" w:sz="12" w:space="0" w:color="000000"/>
              <w:right w:val="nil" w:sz="6" w:space="0" w:color="auto"/>
            </w:tcBorders>
          </w:tcPr>
          <w:p>
            <w:pPr>
              <w:pStyle w:val="TableParagraph"/>
              <w:spacing w:line="240" w:lineRule="auto" w:before="164"/>
              <w:ind w:left="51" w:right="0"/>
              <w:jc w:val="center"/>
              <w:rPr>
                <w:rFonts w:ascii="Arial" w:hAnsi="Arial" w:cs="Arial" w:eastAsia="Arial" w:hint="default"/>
                <w:sz w:val="24"/>
                <w:szCs w:val="24"/>
              </w:rPr>
            </w:pPr>
            <w:r>
              <w:rPr>
                <w:rFonts w:ascii="Arial"/>
                <w:w w:val="99"/>
                <w:sz w:val="24"/>
              </w:rPr>
              <w:t>-</w:t>
            </w:r>
            <w:r>
              <w:rPr>
                <w:rFonts w:ascii="Arial"/>
                <w:sz w:val="24"/>
              </w:rPr>
            </w:r>
          </w:p>
        </w:tc>
        <w:tc>
          <w:tcPr>
            <w:tcW w:w="1457" w:type="dxa"/>
            <w:tcBorders>
              <w:top w:val="nil" w:sz="6" w:space="0" w:color="auto"/>
              <w:left w:val="nil" w:sz="6" w:space="0" w:color="auto"/>
              <w:bottom w:val="single" w:sz="12" w:space="0" w:color="000000"/>
              <w:right w:val="nil" w:sz="6" w:space="0" w:color="auto"/>
            </w:tcBorders>
          </w:tcPr>
          <w:p>
            <w:pPr>
              <w:pStyle w:val="TableParagraph"/>
              <w:spacing w:line="240" w:lineRule="auto" w:before="164"/>
              <w:ind w:right="166"/>
              <w:jc w:val="right"/>
              <w:rPr>
                <w:rFonts w:ascii="Arial" w:hAnsi="Arial" w:cs="Arial" w:eastAsia="Arial" w:hint="default"/>
                <w:sz w:val="24"/>
                <w:szCs w:val="24"/>
              </w:rPr>
            </w:pPr>
            <w:r>
              <w:rPr>
                <w:rFonts w:ascii="Arial"/>
                <w:spacing w:val="-4"/>
                <w:sz w:val="24"/>
              </w:rPr>
              <w:t>11,160</w:t>
            </w:r>
          </w:p>
        </w:tc>
      </w:tr>
      <w:tr>
        <w:trPr>
          <w:trHeight w:val="1512" w:hRule="exact"/>
        </w:trPr>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64" w:right="0"/>
              <w:jc w:val="left"/>
              <w:rPr>
                <w:rFonts w:ascii="Arial" w:hAnsi="Arial" w:cs="Arial" w:eastAsia="Arial" w:hint="default"/>
                <w:sz w:val="24"/>
                <w:szCs w:val="24"/>
              </w:rPr>
            </w:pPr>
            <w:r>
              <w:rPr>
                <w:rFonts w:ascii="Arial"/>
                <w:sz w:val="24"/>
              </w:rPr>
              <w:t>(a)</w:t>
            </w:r>
          </w:p>
        </w:tc>
        <w:tc>
          <w:tcPr>
            <w:tcW w:w="8270"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20" w:lineRule="exact"/>
              <w:ind w:left="164" w:right="0"/>
              <w:jc w:val="both"/>
              <w:rPr>
                <w:rFonts w:ascii="Arial" w:hAnsi="Arial" w:cs="Arial" w:eastAsia="Arial" w:hint="default"/>
                <w:sz w:val="24"/>
                <w:szCs w:val="24"/>
              </w:rPr>
            </w:pPr>
            <w:r>
              <w:rPr>
                <w:rFonts w:ascii="宋体" w:hAnsi="宋体" w:cs="宋体" w:eastAsia="宋体" w:hint="default"/>
                <w:sz w:val="24"/>
                <w:szCs w:val="24"/>
              </w:rPr>
              <w:t>经中国证券监督管理委员会证监许可</w:t>
            </w:r>
            <w:r>
              <w:rPr>
                <w:rFonts w:ascii="Arial" w:hAnsi="Arial" w:cs="Arial" w:eastAsia="Arial" w:hint="default"/>
                <w:sz w:val="24"/>
                <w:szCs w:val="24"/>
              </w:rPr>
              <w:t>[2012]1419  </w:t>
            </w:r>
            <w:r>
              <w:rPr>
                <w:rFonts w:ascii="宋体" w:hAnsi="宋体" w:cs="宋体" w:eastAsia="宋体" w:hint="default"/>
                <w:sz w:val="24"/>
                <w:szCs w:val="24"/>
              </w:rPr>
              <w:t>号文核准，本公司于</w:t>
            </w:r>
            <w:r>
              <w:rPr>
                <w:rFonts w:ascii="宋体" w:hAnsi="宋体" w:cs="宋体" w:eastAsia="宋体" w:hint="default"/>
                <w:spacing w:val="-9"/>
                <w:sz w:val="24"/>
                <w:szCs w:val="24"/>
              </w:rPr>
              <w:t> </w:t>
            </w:r>
            <w:r>
              <w:rPr>
                <w:rFonts w:ascii="Arial" w:hAnsi="Arial" w:cs="Arial" w:eastAsia="Arial" w:hint="default"/>
                <w:sz w:val="24"/>
                <w:szCs w:val="24"/>
              </w:rPr>
              <w:t>2012</w:t>
            </w:r>
          </w:p>
          <w:p>
            <w:pPr>
              <w:pStyle w:val="TableParagraph"/>
              <w:spacing w:line="312" w:lineRule="exact" w:before="20"/>
              <w:ind w:left="164" w:right="0"/>
              <w:jc w:val="both"/>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49"/>
                <w:sz w:val="24"/>
                <w:szCs w:val="24"/>
              </w:rPr>
              <w:t> </w:t>
            </w:r>
            <w:r>
              <w:rPr>
                <w:rFonts w:ascii="Arial" w:hAnsi="Arial" w:cs="Arial" w:eastAsia="Arial" w:hint="default"/>
                <w:sz w:val="24"/>
                <w:szCs w:val="24"/>
              </w:rPr>
              <w:t>14</w:t>
            </w:r>
            <w:r>
              <w:rPr>
                <w:rFonts w:ascii="Arial" w:hAnsi="Arial" w:cs="Arial" w:eastAsia="Arial" w:hint="default"/>
                <w:spacing w:val="5"/>
                <w:sz w:val="24"/>
                <w:szCs w:val="24"/>
              </w:rPr>
              <w:t> </w:t>
            </w:r>
            <w:r>
              <w:rPr>
                <w:rFonts w:ascii="宋体" w:hAnsi="宋体" w:cs="宋体" w:eastAsia="宋体" w:hint="default"/>
                <w:sz w:val="24"/>
                <w:szCs w:val="24"/>
              </w:rPr>
              <w:t>日发行公司债券，发行总额人民币</w:t>
            </w:r>
            <w:r>
              <w:rPr>
                <w:rFonts w:ascii="宋体" w:hAnsi="宋体" w:cs="宋体" w:eastAsia="宋体" w:hint="default"/>
                <w:spacing w:val="-49"/>
                <w:sz w:val="24"/>
                <w:szCs w:val="24"/>
              </w:rPr>
              <w:t> </w:t>
            </w:r>
            <w:r>
              <w:rPr>
                <w:rFonts w:ascii="Arial" w:hAnsi="Arial" w:cs="Arial" w:eastAsia="Arial" w:hint="default"/>
                <w:sz w:val="24"/>
                <w:szCs w:val="24"/>
              </w:rPr>
              <w:t>45</w:t>
            </w:r>
            <w:r>
              <w:rPr>
                <w:rFonts w:ascii="Arial" w:hAnsi="Arial" w:cs="Arial" w:eastAsia="Arial" w:hint="default"/>
                <w:spacing w:val="5"/>
                <w:sz w:val="24"/>
                <w:szCs w:val="24"/>
              </w:rPr>
              <w:t> </w:t>
            </w:r>
            <w:r>
              <w:rPr>
                <w:rFonts w:ascii="宋体" w:hAnsi="宋体" w:cs="宋体" w:eastAsia="宋体" w:hint="default"/>
                <w:sz w:val="24"/>
                <w:szCs w:val="24"/>
              </w:rPr>
              <w:t>亿元，债券期限为</w:t>
            </w:r>
            <w:r>
              <w:rPr>
                <w:rFonts w:ascii="宋体" w:hAnsi="宋体" w:cs="宋体" w:eastAsia="宋体" w:hint="default"/>
                <w:spacing w:val="-49"/>
                <w:sz w:val="24"/>
                <w:szCs w:val="24"/>
              </w:rPr>
              <w:t> </w:t>
            </w:r>
            <w:r>
              <w:rPr>
                <w:rFonts w:ascii="Arial" w:hAnsi="Arial" w:cs="Arial" w:eastAsia="Arial" w:hint="default"/>
                <w:sz w:val="24"/>
                <w:szCs w:val="24"/>
              </w:rPr>
              <w:t>5</w:t>
            </w:r>
            <w:r>
              <w:rPr>
                <w:rFonts w:ascii="Arial" w:hAnsi="Arial" w:cs="Arial" w:eastAsia="Arial" w:hint="default"/>
                <w:spacing w:val="5"/>
                <w:sz w:val="24"/>
                <w:szCs w:val="24"/>
              </w:rPr>
              <w:t> </w:t>
            </w:r>
            <w:r>
              <w:rPr>
                <w:rFonts w:ascii="宋体" w:hAnsi="宋体" w:cs="宋体" w:eastAsia="宋体" w:hint="default"/>
                <w:sz w:val="24"/>
                <w:szCs w:val="24"/>
              </w:rPr>
              <w:t>年。 此债券采用单利按年计息，固定年利率为</w:t>
            </w:r>
            <w:r>
              <w:rPr>
                <w:rFonts w:ascii="宋体" w:hAnsi="宋体" w:cs="宋体" w:eastAsia="宋体" w:hint="default"/>
                <w:spacing w:val="-15"/>
                <w:sz w:val="24"/>
                <w:szCs w:val="24"/>
              </w:rPr>
              <w:t> </w:t>
            </w:r>
            <w:r>
              <w:rPr>
                <w:rFonts w:ascii="Arial" w:hAnsi="Arial" w:cs="Arial" w:eastAsia="Arial" w:hint="default"/>
                <w:sz w:val="24"/>
                <w:szCs w:val="24"/>
              </w:rPr>
              <w:t>5.20%</w:t>
            </w:r>
            <w:r>
              <w:rPr>
                <w:rFonts w:ascii="宋体" w:hAnsi="宋体" w:cs="宋体" w:eastAsia="宋体" w:hint="default"/>
                <w:sz w:val="24"/>
                <w:szCs w:val="24"/>
              </w:rPr>
              <w:t>，每年付息一次，到期一次 </w:t>
            </w:r>
            <w:r>
              <w:rPr>
                <w:rFonts w:ascii="宋体" w:hAnsi="宋体" w:cs="宋体" w:eastAsia="宋体" w:hint="default"/>
                <w:spacing w:val="-5"/>
                <w:sz w:val="24"/>
                <w:szCs w:val="24"/>
              </w:rPr>
              <w:t>还本，最后一期利息随本金兑付一起支付</w:t>
            </w:r>
            <w:r>
              <w:rPr>
                <w:rFonts w:ascii="Arial" w:hAnsi="Arial" w:cs="Arial" w:eastAsia="Arial" w:hint="default"/>
                <w:spacing w:val="-5"/>
                <w:sz w:val="24"/>
                <w:szCs w:val="24"/>
              </w:rPr>
              <w:t>(</w:t>
            </w:r>
            <w:r>
              <w:rPr>
                <w:rFonts w:ascii="宋体" w:hAnsi="宋体" w:cs="宋体" w:eastAsia="宋体" w:hint="default"/>
                <w:spacing w:val="-5"/>
                <w:sz w:val="24"/>
                <w:szCs w:val="24"/>
              </w:rPr>
              <w:t>附注五</w:t>
            </w:r>
            <w:r>
              <w:rPr>
                <w:rFonts w:ascii="Arial" w:hAnsi="Arial" w:cs="Arial" w:eastAsia="Arial" w:hint="default"/>
                <w:spacing w:val="-5"/>
                <w:sz w:val="24"/>
                <w:szCs w:val="24"/>
              </w:rPr>
              <w:t>(26))</w:t>
            </w:r>
            <w:r>
              <w:rPr>
                <w:rFonts w:ascii="宋体" w:hAnsi="宋体" w:cs="宋体" w:eastAsia="宋体" w:hint="default"/>
                <w:spacing w:val="-5"/>
                <w:sz w:val="24"/>
                <w:szCs w:val="24"/>
              </w:rPr>
              <w:t>。上述债券无赎回条款。</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780"/>
        <w:gridCol w:w="2243"/>
        <w:gridCol w:w="1882"/>
        <w:gridCol w:w="134"/>
        <w:gridCol w:w="1006"/>
        <w:gridCol w:w="142"/>
        <w:gridCol w:w="943"/>
        <w:gridCol w:w="142"/>
        <w:gridCol w:w="1803"/>
      </w:tblGrid>
      <w:tr>
        <w:trPr>
          <w:trHeight w:val="497" w:hRule="exact"/>
        </w:trPr>
        <w:tc>
          <w:tcPr>
            <w:tcW w:w="78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(31)</w:t>
            </w:r>
          </w:p>
        </w:tc>
        <w:tc>
          <w:tcPr>
            <w:tcW w:w="2243" w:type="dxa"/>
            <w:tcBorders>
              <w:top w:val="nil" w:sz="6" w:space="0" w:color="auto"/>
              <w:left w:val="nil" w:sz="6" w:space="0" w:color="auto"/>
              <w:bottom w:val="nil" w:sz="6" w:space="0" w:color="auto"/>
              <w:right w:val="nil" w:sz="6" w:space="0" w:color="auto"/>
            </w:tcBorders>
          </w:tcPr>
          <w:p>
            <w:pPr>
              <w:pStyle w:val="TableParagraph"/>
              <w:spacing w:line="247" w:lineRule="exact"/>
              <w:ind w:left="152" w:right="0"/>
              <w:jc w:val="left"/>
              <w:rPr>
                <w:rFonts w:ascii="黑体" w:hAnsi="黑体" w:cs="黑体" w:eastAsia="黑体" w:hint="default"/>
                <w:sz w:val="24"/>
                <w:szCs w:val="24"/>
              </w:rPr>
            </w:pPr>
            <w:r>
              <w:rPr>
                <w:rFonts w:ascii="黑体" w:hAnsi="黑体" w:cs="黑体" w:eastAsia="黑体" w:hint="default"/>
                <w:sz w:val="24"/>
                <w:szCs w:val="24"/>
              </w:rPr>
              <w:t>预计负债</w:t>
            </w:r>
          </w:p>
        </w:tc>
        <w:tc>
          <w:tcPr>
            <w:tcW w:w="1882"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
        </w:tc>
      </w:tr>
      <w:tr>
        <w:trPr>
          <w:trHeight w:val="968" w:hRule="exact"/>
        </w:trPr>
        <w:tc>
          <w:tcPr>
            <w:tcW w:w="780" w:type="dxa"/>
            <w:tcBorders>
              <w:top w:val="nil" w:sz="6" w:space="0" w:color="auto"/>
              <w:left w:val="nil" w:sz="6" w:space="0" w:color="auto"/>
              <w:bottom w:val="nil" w:sz="6" w:space="0" w:color="auto"/>
              <w:right w:val="nil" w:sz="6" w:space="0" w:color="auto"/>
            </w:tcBorders>
          </w:tcPr>
          <w:p>
            <w:pPr/>
          </w:p>
        </w:tc>
        <w:tc>
          <w:tcPr>
            <w:tcW w:w="41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6"/>
              <w:ind w:left="2300"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Arial" w:hAnsi="Arial" w:cs="Arial" w:eastAsia="Arial" w:hint="default"/>
                <w:sz w:val="21"/>
                <w:szCs w:val="21"/>
              </w:rPr>
              <w:t>12</w:t>
            </w:r>
            <w:r>
              <w:rPr>
                <w:rFonts w:ascii="Arial" w:hAnsi="Arial" w:cs="Arial" w:eastAsia="Arial"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Arial" w:hAnsi="Arial" w:cs="Arial" w:eastAsia="Arial" w:hint="default"/>
                <w:sz w:val="21"/>
                <w:szCs w:val="21"/>
              </w:rPr>
              <w:t>31</w:t>
            </w:r>
            <w:r>
              <w:rPr>
                <w:rFonts w:ascii="Arial" w:hAnsi="Arial" w:cs="Arial" w:eastAsia="Arial" w:hint="default"/>
                <w:spacing w:val="-13"/>
                <w:sz w:val="21"/>
                <w:szCs w:val="21"/>
              </w:rPr>
              <w:t> </w:t>
            </w:r>
            <w:r>
              <w:rPr>
                <w:rFonts w:ascii="宋体" w:hAnsi="宋体" w:cs="宋体" w:eastAsia="宋体" w:hint="default"/>
                <w:sz w:val="21"/>
                <w:szCs w:val="21"/>
              </w:rPr>
              <w:t>日</w:t>
            </w:r>
          </w:p>
        </w:tc>
        <w:tc>
          <w:tcPr>
            <w:tcW w:w="134"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53"/>
              <w:jc w:val="right"/>
              <w:rPr>
                <w:rFonts w:ascii="宋体" w:hAnsi="宋体" w:cs="宋体" w:eastAsia="宋体" w:hint="default"/>
                <w:sz w:val="21"/>
                <w:szCs w:val="21"/>
              </w:rPr>
            </w:pPr>
            <w:r>
              <w:rPr>
                <w:rFonts w:ascii="宋体" w:hAnsi="宋体" w:cs="宋体" w:eastAsia="宋体" w:hint="default"/>
                <w:spacing w:val="-1"/>
                <w:sz w:val="21"/>
                <w:szCs w:val="21"/>
              </w:rPr>
              <w:t>本年增加</w:t>
            </w:r>
          </w:p>
        </w:tc>
        <w:tc>
          <w:tcPr>
            <w:tcW w:w="142"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pacing w:val="-1"/>
                <w:sz w:val="21"/>
                <w:szCs w:val="21"/>
              </w:rPr>
              <w:t>本年减少</w:t>
            </w:r>
          </w:p>
        </w:tc>
        <w:tc>
          <w:tcPr>
            <w:tcW w:w="142"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Style w:val="TableParagraph"/>
              <w:spacing w:line="282" w:lineRule="exact" w:before="188"/>
              <w:ind w:left="5" w:right="0"/>
              <w:jc w:val="center"/>
              <w:rPr>
                <w:rFonts w:ascii="Arial" w:hAnsi="Arial" w:cs="Arial" w:eastAsia="Arial"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p>
          <w:p>
            <w:pPr>
              <w:pStyle w:val="TableParagraph"/>
              <w:spacing w:line="267"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521" w:hRule="exact"/>
        </w:trPr>
        <w:tc>
          <w:tcPr>
            <w:tcW w:w="780"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52" w:right="0"/>
              <w:jc w:val="left"/>
              <w:rPr>
                <w:rFonts w:ascii="Arial" w:hAnsi="Arial" w:cs="Arial" w:eastAsia="Arial" w:hint="default"/>
                <w:sz w:val="21"/>
                <w:szCs w:val="21"/>
              </w:rPr>
            </w:pPr>
            <w:r>
              <w:rPr>
                <w:rFonts w:ascii="宋体" w:hAnsi="宋体" w:cs="宋体" w:eastAsia="宋体" w:hint="default"/>
                <w:sz w:val="21"/>
                <w:szCs w:val="21"/>
              </w:rPr>
              <w:t>待执行的亏损合同</w:t>
            </w:r>
            <w:r>
              <w:rPr>
                <w:rFonts w:ascii="Arial" w:hAnsi="Arial" w:cs="Arial" w:eastAsia="Arial" w:hint="default"/>
                <w:sz w:val="21"/>
                <w:szCs w:val="21"/>
              </w:rPr>
              <w:t>(a)</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83"/>
              <w:jc w:val="right"/>
              <w:rPr>
                <w:rFonts w:ascii="Arial" w:hAnsi="Arial" w:cs="Arial" w:eastAsia="Arial" w:hint="default"/>
                <w:sz w:val="21"/>
                <w:szCs w:val="21"/>
              </w:rPr>
            </w:pPr>
            <w:r>
              <w:rPr>
                <w:rFonts w:ascii="Arial"/>
                <w:spacing w:val="-1"/>
                <w:sz w:val="21"/>
              </w:rPr>
              <w:t>65,387</w:t>
            </w:r>
          </w:p>
        </w:tc>
        <w:tc>
          <w:tcPr>
            <w:tcW w:w="134"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54"/>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50"/>
              <w:jc w:val="right"/>
              <w:rPr>
                <w:rFonts w:ascii="Arial" w:hAnsi="Arial" w:cs="Arial" w:eastAsia="Arial" w:hint="default"/>
                <w:sz w:val="21"/>
                <w:szCs w:val="21"/>
              </w:rPr>
            </w:pPr>
            <w:r>
              <w:rPr>
                <w:rFonts w:ascii="Arial"/>
                <w:spacing w:val="-1"/>
                <w:sz w:val="21"/>
              </w:rPr>
              <w:t>(15,507)</w:t>
            </w:r>
          </w:p>
        </w:tc>
        <w:tc>
          <w:tcPr>
            <w:tcW w:w="142"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51"/>
              <w:jc w:val="right"/>
              <w:rPr>
                <w:rFonts w:ascii="Arial" w:hAnsi="Arial" w:cs="Arial" w:eastAsia="Arial" w:hint="default"/>
                <w:sz w:val="21"/>
                <w:szCs w:val="21"/>
              </w:rPr>
            </w:pPr>
            <w:r>
              <w:rPr>
                <w:rFonts w:ascii="Arial"/>
                <w:spacing w:val="-1"/>
                <w:sz w:val="21"/>
              </w:rPr>
              <w:t>49,880</w:t>
            </w:r>
          </w:p>
        </w:tc>
      </w:tr>
      <w:tr>
        <w:trPr>
          <w:trHeight w:val="349" w:hRule="exact"/>
        </w:trPr>
        <w:tc>
          <w:tcPr>
            <w:tcW w:w="780"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71" w:lineRule="exact"/>
              <w:ind w:left="1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82"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83"/>
              <w:jc w:val="right"/>
              <w:rPr>
                <w:rFonts w:ascii="Arial" w:hAnsi="Arial" w:cs="Arial" w:eastAsia="Arial" w:hint="default"/>
                <w:sz w:val="21"/>
                <w:szCs w:val="21"/>
              </w:rPr>
            </w:pPr>
            <w:r>
              <w:rPr>
                <w:rFonts w:ascii="Arial"/>
                <w:spacing w:val="-1"/>
                <w:sz w:val="21"/>
              </w:rPr>
              <w:t>35,748</w:t>
            </w:r>
          </w:p>
        </w:tc>
        <w:tc>
          <w:tcPr>
            <w:tcW w:w="134"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53"/>
              <w:jc w:val="right"/>
              <w:rPr>
                <w:rFonts w:ascii="Arial" w:hAnsi="Arial" w:cs="Arial" w:eastAsia="Arial" w:hint="default"/>
                <w:sz w:val="21"/>
                <w:szCs w:val="21"/>
              </w:rPr>
            </w:pPr>
            <w:r>
              <w:rPr>
                <w:rFonts w:ascii="Arial"/>
                <w:spacing w:val="-1"/>
                <w:sz w:val="21"/>
              </w:rPr>
              <w:t>3,236</w:t>
            </w:r>
          </w:p>
        </w:tc>
        <w:tc>
          <w:tcPr>
            <w:tcW w:w="142"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50"/>
              <w:jc w:val="right"/>
              <w:rPr>
                <w:rFonts w:ascii="Arial" w:hAnsi="Arial" w:cs="Arial" w:eastAsia="Arial" w:hint="default"/>
                <w:sz w:val="21"/>
                <w:szCs w:val="21"/>
              </w:rPr>
            </w:pPr>
            <w:r>
              <w:rPr>
                <w:rFonts w:ascii="Arial"/>
                <w:spacing w:val="-1"/>
                <w:sz w:val="21"/>
              </w:rPr>
              <w:t>(25,949)</w:t>
            </w:r>
          </w:p>
        </w:tc>
        <w:tc>
          <w:tcPr>
            <w:tcW w:w="142"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51"/>
              <w:jc w:val="right"/>
              <w:rPr>
                <w:rFonts w:ascii="Arial" w:hAnsi="Arial" w:cs="Arial" w:eastAsia="Arial" w:hint="default"/>
                <w:sz w:val="21"/>
                <w:szCs w:val="21"/>
              </w:rPr>
            </w:pPr>
            <w:r>
              <w:rPr>
                <w:rFonts w:ascii="Arial"/>
                <w:spacing w:val="-1"/>
                <w:sz w:val="21"/>
              </w:rPr>
              <w:t>13,035</w:t>
            </w:r>
          </w:p>
        </w:tc>
      </w:tr>
      <w:tr>
        <w:trPr>
          <w:trHeight w:val="377" w:hRule="exact"/>
        </w:trPr>
        <w:tc>
          <w:tcPr>
            <w:tcW w:w="780"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
        </w:tc>
        <w:tc>
          <w:tcPr>
            <w:tcW w:w="1882"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82"/>
              <w:jc w:val="right"/>
              <w:rPr>
                <w:rFonts w:ascii="Arial" w:hAnsi="Arial" w:cs="Arial" w:eastAsia="Arial" w:hint="default"/>
                <w:sz w:val="21"/>
                <w:szCs w:val="21"/>
              </w:rPr>
            </w:pPr>
            <w:r>
              <w:rPr>
                <w:rFonts w:ascii="Arial"/>
                <w:spacing w:val="-1"/>
                <w:sz w:val="21"/>
              </w:rPr>
              <w:t>101,135</w:t>
            </w:r>
          </w:p>
        </w:tc>
        <w:tc>
          <w:tcPr>
            <w:tcW w:w="134" w:type="dxa"/>
            <w:tcBorders>
              <w:top w:val="nil" w:sz="6" w:space="0" w:color="auto"/>
              <w:left w:val="nil" w:sz="6" w:space="0" w:color="auto"/>
              <w:bottom w:val="nil" w:sz="6" w:space="0" w:color="auto"/>
              <w:right w:val="nil" w:sz="6" w:space="0" w:color="auto"/>
            </w:tcBorders>
          </w:tcPr>
          <w:p>
            <w:pPr/>
          </w:p>
        </w:tc>
        <w:tc>
          <w:tcPr>
            <w:tcW w:w="1006"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53"/>
              <w:jc w:val="right"/>
              <w:rPr>
                <w:rFonts w:ascii="Arial" w:hAnsi="Arial" w:cs="Arial" w:eastAsia="Arial" w:hint="default"/>
                <w:sz w:val="21"/>
                <w:szCs w:val="21"/>
              </w:rPr>
            </w:pPr>
            <w:r>
              <w:rPr>
                <w:rFonts w:ascii="Arial"/>
                <w:spacing w:val="-1"/>
                <w:sz w:val="21"/>
              </w:rPr>
              <w:t>3,236</w:t>
            </w:r>
          </w:p>
        </w:tc>
        <w:tc>
          <w:tcPr>
            <w:tcW w:w="142" w:type="dxa"/>
            <w:tcBorders>
              <w:top w:val="nil" w:sz="6" w:space="0" w:color="auto"/>
              <w:left w:val="nil" w:sz="6" w:space="0" w:color="auto"/>
              <w:bottom w:val="nil" w:sz="6" w:space="0" w:color="auto"/>
              <w:right w:val="nil" w:sz="6" w:space="0" w:color="auto"/>
            </w:tcBorders>
          </w:tcPr>
          <w:p>
            <w:pPr/>
          </w:p>
        </w:tc>
        <w:tc>
          <w:tcPr>
            <w:tcW w:w="943"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50"/>
              <w:jc w:val="right"/>
              <w:rPr>
                <w:rFonts w:ascii="Arial" w:hAnsi="Arial" w:cs="Arial" w:eastAsia="Arial" w:hint="default"/>
                <w:sz w:val="21"/>
                <w:szCs w:val="21"/>
              </w:rPr>
            </w:pPr>
            <w:r>
              <w:rPr>
                <w:rFonts w:ascii="Arial"/>
                <w:spacing w:val="-1"/>
                <w:sz w:val="21"/>
              </w:rPr>
              <w:t>(41,456)</w:t>
            </w:r>
          </w:p>
        </w:tc>
        <w:tc>
          <w:tcPr>
            <w:tcW w:w="142" w:type="dxa"/>
            <w:tcBorders>
              <w:top w:val="nil" w:sz="6" w:space="0" w:color="auto"/>
              <w:left w:val="nil" w:sz="6" w:space="0" w:color="auto"/>
              <w:bottom w:val="nil" w:sz="6" w:space="0" w:color="auto"/>
              <w:right w:val="nil" w:sz="6" w:space="0" w:color="auto"/>
            </w:tcBorders>
          </w:tcPr>
          <w:p>
            <w:pPr/>
          </w:p>
        </w:tc>
        <w:tc>
          <w:tcPr>
            <w:tcW w:w="1803"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51"/>
              <w:jc w:val="right"/>
              <w:rPr>
                <w:rFonts w:ascii="Arial" w:hAnsi="Arial" w:cs="Arial" w:eastAsia="Arial" w:hint="default"/>
                <w:sz w:val="21"/>
                <w:szCs w:val="21"/>
              </w:rPr>
            </w:pPr>
            <w:r>
              <w:rPr>
                <w:rFonts w:ascii="Arial"/>
                <w:spacing w:val="-1"/>
                <w:sz w:val="21"/>
              </w:rPr>
              <w:t>62,915</w:t>
            </w:r>
          </w:p>
        </w:tc>
      </w:tr>
      <w:tr>
        <w:trPr>
          <w:trHeight w:val="1308" w:hRule="exact"/>
        </w:trPr>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294"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3"/>
                <w:szCs w:val="33"/>
              </w:rPr>
            </w:pPr>
          </w:p>
          <w:p>
            <w:pPr>
              <w:pStyle w:val="TableParagraph"/>
              <w:spacing w:line="230" w:lineRule="auto"/>
              <w:ind w:left="152" w:right="29"/>
              <w:jc w:val="both"/>
              <w:rPr>
                <w:rFonts w:ascii="宋体" w:hAnsi="宋体" w:cs="宋体" w:eastAsia="宋体" w:hint="default"/>
                <w:sz w:val="24"/>
                <w:szCs w:val="24"/>
              </w:rPr>
            </w:pPr>
            <w:r>
              <w:rPr>
                <w:rFonts w:ascii="宋体" w:hAnsi="宋体" w:cs="宋体" w:eastAsia="宋体" w:hint="default"/>
                <w:spacing w:val="-2"/>
                <w:sz w:val="24"/>
                <w:szCs w:val="24"/>
              </w:rPr>
              <w:t>本集团签订的不可撤销的租赁合同，由于租入租出的价格差异导致履行该合同</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的预计成本超过预计收入而产生预计亏损。于</w:t>
            </w:r>
            <w:r>
              <w:rPr>
                <w:rFonts w:ascii="宋体" w:hAnsi="宋体" w:cs="宋体" w:eastAsia="宋体" w:hint="default"/>
                <w:spacing w:val="-63"/>
                <w:sz w:val="24"/>
                <w:szCs w:val="24"/>
              </w:rPr>
              <w:t> </w:t>
            </w:r>
            <w:r>
              <w:rPr>
                <w:rFonts w:ascii="Arial" w:hAnsi="Arial" w:cs="Arial" w:eastAsia="Arial" w:hint="default"/>
                <w:sz w:val="24"/>
                <w:szCs w:val="24"/>
              </w:rPr>
              <w:t>2012</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12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pacing w:val="-4"/>
                <w:sz w:val="24"/>
                <w:szCs w:val="24"/>
              </w:rPr>
              <w:t>日，本集团已</w:t>
            </w:r>
            <w:r>
              <w:rPr>
                <w:rFonts w:ascii="宋体" w:hAnsi="宋体" w:cs="宋体" w:eastAsia="宋体" w:hint="default"/>
                <w:sz w:val="24"/>
                <w:szCs w:val="24"/>
              </w:rPr>
              <w:t> 就尚未履行完毕的租赁合同，按预计亏损确认为预计负债。</w:t>
            </w:r>
          </w:p>
        </w:tc>
      </w:tr>
    </w:tbl>
    <w:p>
      <w:pPr>
        <w:spacing w:after="0" w:line="230" w:lineRule="auto"/>
        <w:jc w:val="both"/>
        <w:rPr>
          <w:rFonts w:ascii="宋体" w:hAnsi="宋体" w:cs="宋体" w:eastAsia="宋体" w:hint="default"/>
          <w:sz w:val="24"/>
          <w:szCs w:val="24"/>
        </w:rPr>
        <w:sectPr>
          <w:pgSz w:w="11910" w:h="16850"/>
          <w:pgMar w:header="795" w:footer="1333" w:top="2020" w:bottom="152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1595464" type="#_x0000_t75" stroked="false">
            <v:imagedata r:id="rId10" o:title=""/>
          </v:shape>
        </w:pict>
      </w:r>
    </w:p>
    <w:p>
      <w:pPr>
        <w:spacing w:line="240" w:lineRule="auto" w:before="4"/>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821"/>
        <w:gridCol w:w="3350"/>
        <w:gridCol w:w="295"/>
        <w:gridCol w:w="2235"/>
        <w:gridCol w:w="106"/>
        <w:gridCol w:w="2283"/>
      </w:tblGrid>
      <w:tr>
        <w:trPr>
          <w:trHeight w:val="495" w:hRule="exact"/>
        </w:trPr>
        <w:tc>
          <w:tcPr>
            <w:tcW w:w="82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350" w:type="dxa"/>
            <w:tcBorders>
              <w:top w:val="nil" w:sz="6" w:space="0" w:color="auto"/>
              <w:left w:val="nil" w:sz="6" w:space="0" w:color="auto"/>
              <w:bottom w:val="nil" w:sz="6" w:space="0" w:color="auto"/>
              <w:right w:val="nil" w:sz="6" w:space="0" w:color="auto"/>
            </w:tcBorders>
          </w:tcPr>
          <w:p>
            <w:pPr>
              <w:pStyle w:val="TableParagraph"/>
              <w:spacing w:line="257" w:lineRule="exact"/>
              <w:ind w:left="12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
        </w:tc>
      </w:tr>
      <w:tr>
        <w:trPr>
          <w:trHeight w:val="744" w:hRule="exact"/>
        </w:trPr>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64" w:right="0"/>
              <w:jc w:val="left"/>
              <w:rPr>
                <w:rFonts w:ascii="Arial" w:hAnsi="Arial" w:cs="Arial" w:eastAsia="Arial" w:hint="default"/>
                <w:sz w:val="24"/>
                <w:szCs w:val="24"/>
              </w:rPr>
            </w:pPr>
            <w:r>
              <w:rPr>
                <w:rFonts w:ascii="Arial"/>
                <w:sz w:val="24"/>
              </w:rPr>
              <w:t>(32)</w:t>
            </w:r>
          </w:p>
        </w:tc>
        <w:tc>
          <w:tcPr>
            <w:tcW w:w="335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61" w:right="0"/>
              <w:jc w:val="left"/>
              <w:rPr>
                <w:rFonts w:ascii="黑体" w:hAnsi="黑体" w:cs="黑体" w:eastAsia="黑体" w:hint="default"/>
                <w:sz w:val="24"/>
                <w:szCs w:val="24"/>
              </w:rPr>
            </w:pPr>
            <w:r>
              <w:rPr>
                <w:rFonts w:ascii="黑体" w:hAnsi="黑体" w:cs="黑体" w:eastAsia="黑体" w:hint="default"/>
                <w:sz w:val="24"/>
                <w:szCs w:val="24"/>
              </w:rPr>
              <w:t>其他非流动负债</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
        </w:tc>
      </w:tr>
      <w:tr>
        <w:trPr>
          <w:trHeight w:val="753" w:hRule="exact"/>
        </w:trPr>
        <w:tc>
          <w:tcPr>
            <w:tcW w:w="821" w:type="dxa"/>
            <w:tcBorders>
              <w:top w:val="nil" w:sz="6" w:space="0" w:color="auto"/>
              <w:left w:val="nil" w:sz="6" w:space="0" w:color="auto"/>
              <w:bottom w:val="nil" w:sz="6" w:space="0" w:color="auto"/>
              <w:right w:val="nil" w:sz="6" w:space="0" w:color="auto"/>
            </w:tcBorders>
          </w:tcPr>
          <w:p>
            <w:pPr/>
          </w:p>
        </w:tc>
        <w:tc>
          <w:tcPr>
            <w:tcW w:w="588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9"/>
              <w:ind w:left="3747"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38"/>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78"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96" w:right="0"/>
              <w:jc w:val="left"/>
              <w:rPr>
                <w:rFonts w:ascii="Arial" w:hAnsi="Arial" w:cs="Arial" w:eastAsia="Arial" w:hint="default"/>
                <w:sz w:val="24"/>
                <w:szCs w:val="24"/>
              </w:rPr>
            </w:pPr>
            <w:r>
              <w:rPr>
                <w:rFonts w:ascii="宋体" w:hAnsi="宋体" w:cs="宋体" w:eastAsia="宋体" w:hint="default"/>
                <w:sz w:val="24"/>
                <w:szCs w:val="24"/>
              </w:rPr>
              <w:t>递延延保业务收入</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(16))</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36"/>
              <w:jc w:val="right"/>
              <w:rPr>
                <w:rFonts w:ascii="Arial" w:hAnsi="Arial" w:cs="Arial" w:eastAsia="Arial" w:hint="default"/>
                <w:sz w:val="24"/>
                <w:szCs w:val="24"/>
              </w:rPr>
            </w:pPr>
            <w:r>
              <w:rPr>
                <w:rFonts w:ascii="Arial"/>
                <w:spacing w:val="-1"/>
                <w:sz w:val="24"/>
              </w:rPr>
              <w:t>780,632</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36"/>
              <w:jc w:val="right"/>
              <w:rPr>
                <w:rFonts w:ascii="Arial" w:hAnsi="Arial" w:cs="Arial" w:eastAsia="Arial" w:hint="default"/>
                <w:sz w:val="24"/>
                <w:szCs w:val="24"/>
              </w:rPr>
            </w:pPr>
            <w:r>
              <w:rPr>
                <w:rFonts w:ascii="Arial"/>
                <w:spacing w:val="-1"/>
                <w:sz w:val="24"/>
              </w:rPr>
              <w:t>634,927</w:t>
            </w:r>
          </w:p>
        </w:tc>
      </w:tr>
      <w:tr>
        <w:trPr>
          <w:trHeight w:val="392"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320" w:lineRule="exact"/>
              <w:ind w:left="96" w:right="0"/>
              <w:jc w:val="left"/>
              <w:rPr>
                <w:rFonts w:ascii="Arial" w:hAnsi="Arial" w:cs="Arial" w:eastAsia="Arial" w:hint="default"/>
                <w:sz w:val="24"/>
                <w:szCs w:val="24"/>
              </w:rPr>
            </w:pPr>
            <w:r>
              <w:rPr>
                <w:rFonts w:ascii="宋体" w:hAnsi="宋体" w:cs="宋体" w:eastAsia="宋体" w:hint="default"/>
                <w:sz w:val="24"/>
                <w:szCs w:val="24"/>
              </w:rPr>
              <w:t>递延收益</w:t>
            </w:r>
            <w:r>
              <w:rPr>
                <w:rFonts w:ascii="Arial" w:hAnsi="Arial" w:cs="Arial" w:eastAsia="Arial" w:hint="default"/>
                <w:sz w:val="24"/>
                <w:szCs w:val="24"/>
              </w:rPr>
              <w:t>(a)</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6"/>
              <w:jc w:val="right"/>
              <w:rPr>
                <w:rFonts w:ascii="Arial" w:hAnsi="Arial" w:cs="Arial" w:eastAsia="Arial" w:hint="default"/>
                <w:sz w:val="24"/>
                <w:szCs w:val="24"/>
              </w:rPr>
            </w:pPr>
            <w:r>
              <w:rPr>
                <w:rFonts w:ascii="Arial"/>
                <w:spacing w:val="-1"/>
                <w:sz w:val="24"/>
              </w:rPr>
              <w:t>305,561</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6"/>
              <w:jc w:val="right"/>
              <w:rPr>
                <w:rFonts w:ascii="Arial" w:hAnsi="Arial" w:cs="Arial" w:eastAsia="Arial" w:hint="default"/>
                <w:sz w:val="24"/>
                <w:szCs w:val="24"/>
              </w:rPr>
            </w:pPr>
            <w:r>
              <w:rPr>
                <w:rFonts w:ascii="Arial"/>
                <w:spacing w:val="-1"/>
                <w:sz w:val="24"/>
              </w:rPr>
              <w:t>167,803</w:t>
            </w:r>
          </w:p>
        </w:tc>
      </w:tr>
      <w:tr>
        <w:trPr>
          <w:trHeight w:val="391"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303" w:lineRule="exact"/>
              <w:ind w:left="96" w:right="0"/>
              <w:jc w:val="left"/>
              <w:rPr>
                <w:rFonts w:ascii="宋体" w:hAnsi="宋体" w:cs="宋体" w:eastAsia="宋体" w:hint="default"/>
                <w:sz w:val="24"/>
                <w:szCs w:val="24"/>
              </w:rPr>
            </w:pPr>
            <w:r>
              <w:rPr>
                <w:rFonts w:ascii="宋体" w:hAnsi="宋体" w:cs="宋体" w:eastAsia="宋体" w:hint="default"/>
                <w:sz w:val="24"/>
                <w:szCs w:val="24"/>
              </w:rPr>
              <w:t>养老金计划</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6"/>
              <w:jc w:val="right"/>
              <w:rPr>
                <w:rFonts w:ascii="Arial" w:hAnsi="Arial" w:cs="Arial" w:eastAsia="Arial" w:hint="default"/>
                <w:sz w:val="24"/>
                <w:szCs w:val="24"/>
              </w:rPr>
            </w:pPr>
            <w:r>
              <w:rPr>
                <w:rFonts w:ascii="Arial"/>
                <w:spacing w:val="-1"/>
                <w:sz w:val="24"/>
              </w:rPr>
              <w:t>23,196</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6"/>
              <w:jc w:val="right"/>
              <w:rPr>
                <w:rFonts w:ascii="Arial" w:hAnsi="Arial" w:cs="Arial" w:eastAsia="Arial" w:hint="default"/>
                <w:sz w:val="24"/>
                <w:szCs w:val="24"/>
              </w:rPr>
            </w:pPr>
            <w:r>
              <w:rPr>
                <w:rFonts w:ascii="Arial"/>
                <w:spacing w:val="-1"/>
                <w:sz w:val="24"/>
              </w:rPr>
              <w:t>30,569</w:t>
            </w:r>
          </w:p>
        </w:tc>
      </w:tr>
      <w:tr>
        <w:trPr>
          <w:trHeight w:val="384"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303" w:lineRule="exact"/>
              <w:ind w:left="96" w:right="0"/>
              <w:jc w:val="left"/>
              <w:rPr>
                <w:rFonts w:ascii="宋体" w:hAnsi="宋体" w:cs="宋体" w:eastAsia="宋体" w:hint="default"/>
                <w:sz w:val="24"/>
                <w:szCs w:val="24"/>
              </w:rPr>
            </w:pPr>
            <w:r>
              <w:rPr>
                <w:rFonts w:ascii="宋体" w:hAnsi="宋体" w:cs="宋体" w:eastAsia="宋体" w:hint="default"/>
                <w:sz w:val="24"/>
                <w:szCs w:val="24"/>
              </w:rPr>
              <w:t>远期外汇合同的公允价值亏损</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36"/>
              <w:jc w:val="right"/>
              <w:rPr>
                <w:rFonts w:ascii="Arial" w:hAnsi="Arial" w:cs="Arial" w:eastAsia="Arial" w:hint="default"/>
                <w:sz w:val="24"/>
                <w:szCs w:val="24"/>
              </w:rPr>
            </w:pPr>
            <w:r>
              <w:rPr>
                <w:rFonts w:ascii="Arial"/>
                <w:spacing w:val="-1"/>
                <w:sz w:val="24"/>
              </w:rPr>
              <w:t>3,826</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36"/>
              <w:jc w:val="right"/>
              <w:rPr>
                <w:rFonts w:ascii="Arial" w:hAnsi="Arial" w:cs="Arial" w:eastAsia="Arial" w:hint="default"/>
                <w:sz w:val="24"/>
                <w:szCs w:val="24"/>
              </w:rPr>
            </w:pPr>
            <w:r>
              <w:rPr>
                <w:rFonts w:ascii="Arial"/>
                <w:w w:val="99"/>
                <w:sz w:val="24"/>
              </w:rPr>
              <w:t>-</w:t>
            </w:r>
            <w:r>
              <w:rPr>
                <w:rFonts w:ascii="Arial"/>
                <w:sz w:val="24"/>
              </w:rPr>
            </w:r>
          </w:p>
        </w:tc>
      </w:tr>
      <w:tr>
        <w:trPr>
          <w:trHeight w:val="374"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36"/>
              <w:jc w:val="right"/>
              <w:rPr>
                <w:rFonts w:ascii="Arial" w:hAnsi="Arial" w:cs="Arial" w:eastAsia="Arial" w:hint="default"/>
                <w:sz w:val="24"/>
                <w:szCs w:val="24"/>
              </w:rPr>
            </w:pPr>
            <w:r>
              <w:rPr>
                <w:rFonts w:ascii="Arial"/>
                <w:spacing w:val="-3"/>
                <w:sz w:val="24"/>
              </w:rPr>
              <w:t>1,113,215</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39"/>
              <w:jc w:val="right"/>
              <w:rPr>
                <w:rFonts w:ascii="Arial" w:hAnsi="Arial" w:cs="Arial" w:eastAsia="Arial" w:hint="default"/>
                <w:sz w:val="24"/>
                <w:szCs w:val="24"/>
              </w:rPr>
            </w:pPr>
            <w:r>
              <w:rPr>
                <w:rFonts w:ascii="Arial"/>
                <w:spacing w:val="-1"/>
                <w:sz w:val="24"/>
              </w:rPr>
              <w:t>833,299</w:t>
            </w:r>
          </w:p>
        </w:tc>
      </w:tr>
      <w:tr>
        <w:trPr>
          <w:trHeight w:val="940" w:hRule="exact"/>
        </w:trPr>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left="264" w:right="0"/>
              <w:jc w:val="left"/>
              <w:rPr>
                <w:rFonts w:ascii="Arial" w:hAnsi="Arial" w:cs="Arial" w:eastAsia="Arial" w:hint="default"/>
                <w:sz w:val="24"/>
                <w:szCs w:val="24"/>
              </w:rPr>
            </w:pPr>
            <w:r>
              <w:rPr>
                <w:rFonts w:ascii="Arial"/>
                <w:sz w:val="24"/>
              </w:rPr>
              <w:t>(a)</w:t>
            </w:r>
          </w:p>
        </w:tc>
        <w:tc>
          <w:tcPr>
            <w:tcW w:w="33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61"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single" w:sz="12" w:space="0" w:color="000000"/>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single" w:sz="12" w:space="0" w:color="000000"/>
              <w:left w:val="nil" w:sz="6" w:space="0" w:color="auto"/>
              <w:bottom w:val="nil" w:sz="6" w:space="0" w:color="auto"/>
              <w:right w:val="nil" w:sz="6" w:space="0" w:color="auto"/>
            </w:tcBorders>
          </w:tcPr>
          <w:p>
            <w:pPr/>
          </w:p>
        </w:tc>
      </w:tr>
      <w:tr>
        <w:trPr>
          <w:trHeight w:val="575" w:hRule="exact"/>
        </w:trPr>
        <w:tc>
          <w:tcPr>
            <w:tcW w:w="821" w:type="dxa"/>
            <w:tcBorders>
              <w:top w:val="nil" w:sz="6" w:space="0" w:color="auto"/>
              <w:left w:val="nil" w:sz="6" w:space="0" w:color="auto"/>
              <w:bottom w:val="nil" w:sz="6" w:space="0" w:color="auto"/>
              <w:right w:val="nil" w:sz="6" w:space="0" w:color="auto"/>
            </w:tcBorders>
          </w:tcPr>
          <w:p>
            <w:pPr/>
          </w:p>
        </w:tc>
        <w:tc>
          <w:tcPr>
            <w:tcW w:w="588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9"/>
              <w:ind w:left="3546"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03"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64"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310" w:lineRule="exact"/>
              <w:ind w:left="161" w:right="0"/>
              <w:jc w:val="left"/>
              <w:rPr>
                <w:rFonts w:ascii="宋体" w:hAnsi="宋体" w:cs="宋体" w:eastAsia="宋体" w:hint="default"/>
                <w:sz w:val="24"/>
                <w:szCs w:val="24"/>
              </w:rPr>
            </w:pPr>
            <w:r>
              <w:rPr>
                <w:rFonts w:ascii="宋体" w:hAnsi="宋体" w:cs="宋体" w:eastAsia="宋体" w:hint="default"/>
                <w:sz w:val="24"/>
                <w:szCs w:val="24"/>
              </w:rPr>
              <w:t>与资产相关的政府补助</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
        </w:tc>
      </w:tr>
      <w:tr>
        <w:trPr>
          <w:trHeight w:val="583"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411" w:right="0"/>
              <w:jc w:val="left"/>
              <w:rPr>
                <w:rFonts w:ascii="宋体" w:hAnsi="宋体" w:cs="宋体" w:eastAsia="宋体" w:hint="default"/>
                <w:sz w:val="24"/>
                <w:szCs w:val="24"/>
              </w:rPr>
            </w:pPr>
            <w:r>
              <w:rPr>
                <w:rFonts w:ascii="宋体" w:hAnsi="宋体" w:cs="宋体" w:eastAsia="宋体" w:hint="default"/>
                <w:sz w:val="24"/>
                <w:szCs w:val="24"/>
              </w:rPr>
              <w:t>哈尔滨物流基地</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58"/>
              <w:jc w:val="right"/>
              <w:rPr>
                <w:rFonts w:ascii="Arial" w:hAnsi="Arial" w:cs="Arial" w:eastAsia="Arial" w:hint="default"/>
                <w:sz w:val="24"/>
                <w:szCs w:val="24"/>
              </w:rPr>
            </w:pPr>
            <w:r>
              <w:rPr>
                <w:rFonts w:ascii="Arial"/>
                <w:spacing w:val="-1"/>
                <w:sz w:val="24"/>
              </w:rPr>
              <w:t>40,600</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6"/>
              <w:jc w:val="right"/>
              <w:rPr>
                <w:rFonts w:ascii="Arial" w:hAnsi="Arial" w:cs="Arial" w:eastAsia="Arial" w:hint="default"/>
                <w:sz w:val="24"/>
                <w:szCs w:val="24"/>
              </w:rPr>
            </w:pPr>
            <w:r>
              <w:rPr>
                <w:rFonts w:ascii="Arial"/>
                <w:spacing w:val="-1"/>
                <w:sz w:val="24"/>
              </w:rPr>
              <w:t>14,800</w:t>
            </w:r>
          </w:p>
        </w:tc>
      </w:tr>
      <w:tr>
        <w:trPr>
          <w:trHeight w:val="391"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303" w:lineRule="exact"/>
              <w:ind w:left="411" w:right="0"/>
              <w:jc w:val="left"/>
              <w:rPr>
                <w:rFonts w:ascii="宋体" w:hAnsi="宋体" w:cs="宋体" w:eastAsia="宋体" w:hint="default"/>
                <w:sz w:val="24"/>
                <w:szCs w:val="24"/>
              </w:rPr>
            </w:pPr>
            <w:r>
              <w:rPr>
                <w:rFonts w:ascii="宋体" w:hAnsi="宋体" w:cs="宋体" w:eastAsia="宋体" w:hint="default"/>
                <w:sz w:val="24"/>
                <w:szCs w:val="24"/>
              </w:rPr>
              <w:t>北京物流基地</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58"/>
              <w:jc w:val="right"/>
              <w:rPr>
                <w:rFonts w:ascii="Arial" w:hAnsi="Arial" w:cs="Arial" w:eastAsia="Arial" w:hint="default"/>
                <w:sz w:val="24"/>
                <w:szCs w:val="24"/>
              </w:rPr>
            </w:pPr>
            <w:r>
              <w:rPr>
                <w:rFonts w:ascii="Arial"/>
                <w:spacing w:val="-1"/>
                <w:sz w:val="24"/>
              </w:rPr>
              <w:t>37,056</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8"/>
              <w:jc w:val="right"/>
              <w:rPr>
                <w:rFonts w:ascii="Arial" w:hAnsi="Arial" w:cs="Arial" w:eastAsia="Arial" w:hint="default"/>
                <w:sz w:val="24"/>
                <w:szCs w:val="24"/>
              </w:rPr>
            </w:pPr>
            <w:r>
              <w:rPr>
                <w:rFonts w:ascii="Arial"/>
                <w:spacing w:val="-1"/>
                <w:sz w:val="24"/>
              </w:rPr>
              <w:t>37,830</w:t>
            </w:r>
          </w:p>
        </w:tc>
      </w:tr>
      <w:tr>
        <w:trPr>
          <w:trHeight w:val="391"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303" w:lineRule="exact"/>
              <w:ind w:left="411" w:right="0"/>
              <w:jc w:val="left"/>
              <w:rPr>
                <w:rFonts w:ascii="宋体" w:hAnsi="宋体" w:cs="宋体" w:eastAsia="宋体" w:hint="default"/>
                <w:sz w:val="24"/>
                <w:szCs w:val="24"/>
              </w:rPr>
            </w:pPr>
            <w:r>
              <w:rPr>
                <w:rFonts w:ascii="宋体" w:hAnsi="宋体" w:cs="宋体" w:eastAsia="宋体" w:hint="default"/>
                <w:sz w:val="24"/>
                <w:szCs w:val="24"/>
              </w:rPr>
              <w:t>南通苏宁采购物流基地</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58"/>
              <w:jc w:val="right"/>
              <w:rPr>
                <w:rFonts w:ascii="Arial" w:hAnsi="Arial" w:cs="Arial" w:eastAsia="Arial" w:hint="default"/>
                <w:sz w:val="24"/>
                <w:szCs w:val="24"/>
              </w:rPr>
            </w:pPr>
            <w:r>
              <w:rPr>
                <w:rFonts w:ascii="Arial"/>
                <w:spacing w:val="-1"/>
                <w:sz w:val="24"/>
              </w:rPr>
              <w:t>33,150</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6"/>
              <w:jc w:val="right"/>
              <w:rPr>
                <w:rFonts w:ascii="Arial" w:hAnsi="Arial" w:cs="Arial" w:eastAsia="Arial" w:hint="default"/>
                <w:sz w:val="24"/>
                <w:szCs w:val="24"/>
              </w:rPr>
            </w:pPr>
            <w:r>
              <w:rPr>
                <w:rFonts w:ascii="Arial"/>
                <w:spacing w:val="-1"/>
                <w:sz w:val="24"/>
              </w:rPr>
              <w:t>33,943</w:t>
            </w:r>
          </w:p>
        </w:tc>
      </w:tr>
      <w:tr>
        <w:trPr>
          <w:trHeight w:val="391"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303" w:lineRule="exact"/>
              <w:ind w:left="411" w:right="0"/>
              <w:jc w:val="left"/>
              <w:rPr>
                <w:rFonts w:ascii="宋体" w:hAnsi="宋体" w:cs="宋体" w:eastAsia="宋体" w:hint="default"/>
                <w:sz w:val="24"/>
                <w:szCs w:val="24"/>
              </w:rPr>
            </w:pPr>
            <w:r>
              <w:rPr>
                <w:rFonts w:ascii="宋体" w:hAnsi="宋体" w:cs="宋体" w:eastAsia="宋体" w:hint="default"/>
                <w:sz w:val="24"/>
                <w:szCs w:val="24"/>
              </w:rPr>
              <w:t>东西湖物流基地</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58"/>
              <w:jc w:val="right"/>
              <w:rPr>
                <w:rFonts w:ascii="Arial" w:hAnsi="Arial" w:cs="Arial" w:eastAsia="Arial" w:hint="default"/>
                <w:sz w:val="24"/>
                <w:szCs w:val="24"/>
              </w:rPr>
            </w:pPr>
            <w:r>
              <w:rPr>
                <w:rFonts w:ascii="Arial"/>
                <w:spacing w:val="-1"/>
                <w:sz w:val="24"/>
              </w:rPr>
              <w:t>30,753</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6"/>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303" w:lineRule="exact"/>
              <w:ind w:left="411" w:right="0"/>
              <w:jc w:val="left"/>
              <w:rPr>
                <w:rFonts w:ascii="宋体" w:hAnsi="宋体" w:cs="宋体" w:eastAsia="宋体" w:hint="default"/>
                <w:sz w:val="24"/>
                <w:szCs w:val="24"/>
              </w:rPr>
            </w:pPr>
            <w:r>
              <w:rPr>
                <w:rFonts w:ascii="宋体" w:hAnsi="宋体" w:cs="宋体" w:eastAsia="宋体" w:hint="default"/>
                <w:sz w:val="24"/>
                <w:szCs w:val="24"/>
              </w:rPr>
              <w:t>渤宁苏宁物流基地</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58"/>
              <w:jc w:val="right"/>
              <w:rPr>
                <w:rFonts w:ascii="Arial" w:hAnsi="Arial" w:cs="Arial" w:eastAsia="Arial" w:hint="default"/>
                <w:sz w:val="24"/>
                <w:szCs w:val="24"/>
              </w:rPr>
            </w:pPr>
            <w:r>
              <w:rPr>
                <w:rFonts w:ascii="Arial"/>
                <w:spacing w:val="-1"/>
                <w:sz w:val="24"/>
              </w:rPr>
              <w:t>30,402</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6"/>
              <w:jc w:val="right"/>
              <w:rPr>
                <w:rFonts w:ascii="Arial" w:hAnsi="Arial" w:cs="Arial" w:eastAsia="Arial" w:hint="default"/>
                <w:sz w:val="24"/>
                <w:szCs w:val="24"/>
              </w:rPr>
            </w:pPr>
            <w:r>
              <w:rPr>
                <w:rFonts w:ascii="Arial"/>
                <w:spacing w:val="-1"/>
                <w:sz w:val="24"/>
              </w:rPr>
              <w:t>31,031</w:t>
            </w:r>
          </w:p>
        </w:tc>
      </w:tr>
      <w:tr>
        <w:trPr>
          <w:trHeight w:val="392"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303" w:lineRule="exact"/>
              <w:ind w:left="411" w:right="0"/>
              <w:jc w:val="left"/>
              <w:rPr>
                <w:rFonts w:ascii="宋体" w:hAnsi="宋体" w:cs="宋体" w:eastAsia="宋体" w:hint="default"/>
                <w:sz w:val="24"/>
                <w:szCs w:val="24"/>
              </w:rPr>
            </w:pPr>
            <w:r>
              <w:rPr>
                <w:rFonts w:ascii="宋体" w:hAnsi="宋体" w:cs="宋体" w:eastAsia="宋体" w:hint="default"/>
                <w:sz w:val="24"/>
                <w:szCs w:val="24"/>
              </w:rPr>
              <w:t>长春物流中心</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8"/>
              <w:jc w:val="right"/>
              <w:rPr>
                <w:rFonts w:ascii="Arial" w:hAnsi="Arial" w:cs="Arial" w:eastAsia="Arial" w:hint="default"/>
                <w:sz w:val="24"/>
                <w:szCs w:val="24"/>
              </w:rPr>
            </w:pPr>
            <w:r>
              <w:rPr>
                <w:rFonts w:ascii="Arial"/>
                <w:spacing w:val="-1"/>
                <w:sz w:val="24"/>
              </w:rPr>
              <w:t>20,360</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6"/>
              <w:jc w:val="right"/>
              <w:rPr>
                <w:rFonts w:ascii="Arial" w:hAnsi="Arial" w:cs="Arial" w:eastAsia="Arial" w:hint="default"/>
                <w:sz w:val="24"/>
                <w:szCs w:val="24"/>
              </w:rPr>
            </w:pPr>
            <w:r>
              <w:rPr>
                <w:rFonts w:ascii="Arial"/>
                <w:w w:val="99"/>
                <w:sz w:val="24"/>
              </w:rPr>
              <w:t>-</w:t>
            </w:r>
            <w:r>
              <w:rPr>
                <w:rFonts w:ascii="Arial"/>
                <w:sz w:val="24"/>
              </w:rPr>
            </w:r>
          </w:p>
        </w:tc>
      </w:tr>
      <w:tr>
        <w:trPr>
          <w:trHeight w:val="392"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301" w:lineRule="exact"/>
              <w:ind w:left="411" w:right="0"/>
              <w:jc w:val="left"/>
              <w:rPr>
                <w:rFonts w:ascii="宋体" w:hAnsi="宋体" w:cs="宋体" w:eastAsia="宋体" w:hint="default"/>
                <w:sz w:val="24"/>
                <w:szCs w:val="24"/>
              </w:rPr>
            </w:pPr>
            <w:r>
              <w:rPr>
                <w:rFonts w:ascii="宋体" w:hAnsi="宋体" w:cs="宋体" w:eastAsia="宋体" w:hint="default"/>
                <w:sz w:val="24"/>
                <w:szCs w:val="24"/>
              </w:rPr>
              <w:t>合肥物流基地</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8"/>
              <w:jc w:val="right"/>
              <w:rPr>
                <w:rFonts w:ascii="Arial" w:hAnsi="Arial" w:cs="Arial" w:eastAsia="Arial" w:hint="default"/>
                <w:sz w:val="24"/>
                <w:szCs w:val="24"/>
              </w:rPr>
            </w:pPr>
            <w:r>
              <w:rPr>
                <w:rFonts w:ascii="Arial"/>
                <w:spacing w:val="-1"/>
                <w:sz w:val="24"/>
              </w:rPr>
              <w:t>18,868</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6"/>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302" w:lineRule="exact"/>
              <w:ind w:left="411" w:right="0"/>
              <w:jc w:val="left"/>
              <w:rPr>
                <w:rFonts w:ascii="宋体" w:hAnsi="宋体" w:cs="宋体" w:eastAsia="宋体" w:hint="default"/>
                <w:sz w:val="24"/>
                <w:szCs w:val="24"/>
              </w:rPr>
            </w:pPr>
            <w:r>
              <w:rPr>
                <w:rFonts w:ascii="宋体" w:hAnsi="宋体" w:cs="宋体" w:eastAsia="宋体" w:hint="default"/>
                <w:sz w:val="24"/>
                <w:szCs w:val="24"/>
              </w:rPr>
              <w:t>盐城盐宁物流基地</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8"/>
              <w:jc w:val="right"/>
              <w:rPr>
                <w:rFonts w:ascii="Arial" w:hAnsi="Arial" w:cs="Arial" w:eastAsia="Arial" w:hint="default"/>
                <w:sz w:val="24"/>
                <w:szCs w:val="24"/>
              </w:rPr>
            </w:pPr>
            <w:r>
              <w:rPr>
                <w:rFonts w:ascii="Arial"/>
                <w:spacing w:val="-1"/>
                <w:sz w:val="24"/>
              </w:rPr>
              <w:t>16,685</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8"/>
              <w:jc w:val="right"/>
              <w:rPr>
                <w:rFonts w:ascii="Arial" w:hAnsi="Arial" w:cs="Arial" w:eastAsia="Arial" w:hint="default"/>
                <w:sz w:val="24"/>
                <w:szCs w:val="24"/>
              </w:rPr>
            </w:pPr>
            <w:r>
              <w:rPr>
                <w:rFonts w:ascii="Arial"/>
                <w:spacing w:val="-1"/>
                <w:sz w:val="24"/>
              </w:rPr>
              <w:t>17,030</w:t>
            </w:r>
          </w:p>
        </w:tc>
      </w:tr>
      <w:tr>
        <w:trPr>
          <w:trHeight w:val="391"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301" w:lineRule="exact"/>
              <w:ind w:left="411" w:right="0"/>
              <w:jc w:val="left"/>
              <w:rPr>
                <w:rFonts w:ascii="宋体" w:hAnsi="宋体" w:cs="宋体" w:eastAsia="宋体" w:hint="default"/>
                <w:sz w:val="24"/>
                <w:szCs w:val="24"/>
              </w:rPr>
            </w:pPr>
            <w:r>
              <w:rPr>
                <w:rFonts w:ascii="宋体" w:hAnsi="宋体" w:cs="宋体" w:eastAsia="宋体" w:hint="default"/>
                <w:sz w:val="24"/>
                <w:szCs w:val="24"/>
              </w:rPr>
              <w:t>宿迁物流中心</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8"/>
              <w:jc w:val="right"/>
              <w:rPr>
                <w:rFonts w:ascii="Arial" w:hAnsi="Arial" w:cs="Arial" w:eastAsia="Arial" w:hint="default"/>
                <w:sz w:val="24"/>
                <w:szCs w:val="24"/>
              </w:rPr>
            </w:pPr>
            <w:r>
              <w:rPr>
                <w:rFonts w:ascii="Arial"/>
                <w:spacing w:val="-1"/>
                <w:sz w:val="24"/>
              </w:rPr>
              <w:t>14,490</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6"/>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301" w:lineRule="exact"/>
              <w:ind w:left="411" w:right="0"/>
              <w:jc w:val="left"/>
              <w:rPr>
                <w:rFonts w:ascii="宋体" w:hAnsi="宋体" w:cs="宋体" w:eastAsia="宋体" w:hint="default"/>
                <w:sz w:val="24"/>
                <w:szCs w:val="24"/>
              </w:rPr>
            </w:pPr>
            <w:r>
              <w:rPr>
                <w:rFonts w:ascii="宋体" w:hAnsi="宋体" w:cs="宋体" w:eastAsia="宋体" w:hint="default"/>
                <w:sz w:val="24"/>
                <w:szCs w:val="24"/>
              </w:rPr>
              <w:t>苏南物流基地</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8"/>
              <w:jc w:val="right"/>
              <w:rPr>
                <w:rFonts w:ascii="Arial" w:hAnsi="Arial" w:cs="Arial" w:eastAsia="Arial" w:hint="default"/>
                <w:sz w:val="24"/>
                <w:szCs w:val="24"/>
              </w:rPr>
            </w:pPr>
            <w:r>
              <w:rPr>
                <w:rFonts w:ascii="Arial"/>
                <w:spacing w:val="-1"/>
                <w:sz w:val="24"/>
              </w:rPr>
              <w:t>14,188</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6"/>
              <w:jc w:val="right"/>
              <w:rPr>
                <w:rFonts w:ascii="Arial" w:hAnsi="Arial" w:cs="Arial" w:eastAsia="Arial" w:hint="default"/>
                <w:sz w:val="24"/>
                <w:szCs w:val="24"/>
              </w:rPr>
            </w:pPr>
            <w:r>
              <w:rPr>
                <w:rFonts w:ascii="Arial"/>
                <w:spacing w:val="-1"/>
                <w:sz w:val="24"/>
              </w:rPr>
              <w:t>14,493</w:t>
            </w:r>
          </w:p>
        </w:tc>
      </w:tr>
      <w:tr>
        <w:trPr>
          <w:trHeight w:val="391"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301" w:lineRule="exact"/>
              <w:ind w:left="411" w:right="0"/>
              <w:jc w:val="left"/>
              <w:rPr>
                <w:rFonts w:ascii="宋体" w:hAnsi="宋体" w:cs="宋体" w:eastAsia="宋体" w:hint="default"/>
                <w:sz w:val="24"/>
                <w:szCs w:val="24"/>
              </w:rPr>
            </w:pPr>
            <w:r>
              <w:rPr>
                <w:rFonts w:ascii="宋体" w:hAnsi="宋体" w:cs="宋体" w:eastAsia="宋体" w:hint="default"/>
                <w:sz w:val="24"/>
                <w:szCs w:val="24"/>
              </w:rPr>
              <w:t>中山物流基地</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8"/>
              <w:jc w:val="right"/>
              <w:rPr>
                <w:rFonts w:ascii="Arial" w:hAnsi="Arial" w:cs="Arial" w:eastAsia="Arial" w:hint="default"/>
                <w:sz w:val="24"/>
                <w:szCs w:val="24"/>
              </w:rPr>
            </w:pPr>
            <w:r>
              <w:rPr>
                <w:rFonts w:ascii="Arial"/>
                <w:spacing w:val="-1"/>
                <w:sz w:val="24"/>
              </w:rPr>
              <w:t>13,245</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6"/>
              <w:jc w:val="right"/>
              <w:rPr>
                <w:rFonts w:ascii="Arial" w:hAnsi="Arial" w:cs="Arial" w:eastAsia="Arial" w:hint="default"/>
                <w:sz w:val="24"/>
                <w:szCs w:val="24"/>
              </w:rPr>
            </w:pPr>
            <w:r>
              <w:rPr>
                <w:rFonts w:ascii="Arial"/>
                <w:spacing w:val="-1"/>
                <w:sz w:val="24"/>
              </w:rPr>
              <w:t>12,530</w:t>
            </w:r>
          </w:p>
        </w:tc>
      </w:tr>
      <w:tr>
        <w:trPr>
          <w:trHeight w:val="391"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301" w:lineRule="exact"/>
              <w:ind w:left="411" w:right="0"/>
              <w:jc w:val="left"/>
              <w:rPr>
                <w:rFonts w:ascii="宋体" w:hAnsi="宋体" w:cs="宋体" w:eastAsia="宋体" w:hint="default"/>
                <w:sz w:val="24"/>
                <w:szCs w:val="24"/>
              </w:rPr>
            </w:pPr>
            <w:r>
              <w:rPr>
                <w:rFonts w:ascii="宋体" w:hAnsi="宋体" w:cs="宋体" w:eastAsia="宋体" w:hint="default"/>
                <w:sz w:val="24"/>
                <w:szCs w:val="24"/>
              </w:rPr>
              <w:t>贵阳金阳新区物流项目</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8"/>
              <w:jc w:val="right"/>
              <w:rPr>
                <w:rFonts w:ascii="Arial" w:hAnsi="Arial" w:cs="Arial" w:eastAsia="Arial" w:hint="default"/>
                <w:sz w:val="24"/>
                <w:szCs w:val="24"/>
              </w:rPr>
            </w:pPr>
            <w:r>
              <w:rPr>
                <w:rFonts w:ascii="Arial"/>
                <w:spacing w:val="-1"/>
                <w:sz w:val="24"/>
              </w:rPr>
              <w:t>10,072</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6"/>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301" w:lineRule="exact"/>
              <w:ind w:left="411" w:right="0"/>
              <w:jc w:val="left"/>
              <w:rPr>
                <w:rFonts w:ascii="宋体" w:hAnsi="宋体" w:cs="宋体" w:eastAsia="宋体" w:hint="default"/>
                <w:sz w:val="24"/>
                <w:szCs w:val="24"/>
              </w:rPr>
            </w:pPr>
            <w:r>
              <w:rPr>
                <w:rFonts w:ascii="宋体" w:hAnsi="宋体" w:cs="宋体" w:eastAsia="宋体" w:hint="default"/>
                <w:sz w:val="24"/>
                <w:szCs w:val="24"/>
              </w:rPr>
              <w:t>江西南昌物流中心</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8"/>
              <w:jc w:val="right"/>
              <w:rPr>
                <w:rFonts w:ascii="Arial" w:hAnsi="Arial" w:cs="Arial" w:eastAsia="Arial" w:hint="default"/>
                <w:sz w:val="24"/>
                <w:szCs w:val="24"/>
              </w:rPr>
            </w:pPr>
            <w:r>
              <w:rPr>
                <w:rFonts w:ascii="Arial"/>
                <w:spacing w:val="-1"/>
                <w:sz w:val="24"/>
              </w:rPr>
              <w:t>9,717</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6"/>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301" w:lineRule="exact"/>
              <w:ind w:left="411" w:right="0"/>
              <w:jc w:val="left"/>
              <w:rPr>
                <w:rFonts w:ascii="宋体" w:hAnsi="宋体" w:cs="宋体" w:eastAsia="宋体" w:hint="default"/>
                <w:sz w:val="24"/>
                <w:szCs w:val="24"/>
              </w:rPr>
            </w:pPr>
            <w:r>
              <w:rPr>
                <w:rFonts w:ascii="宋体" w:hAnsi="宋体" w:cs="宋体" w:eastAsia="宋体" w:hint="default"/>
                <w:sz w:val="24"/>
                <w:szCs w:val="24"/>
              </w:rPr>
              <w:t>乌鲁木齐苏宁仓储中心</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1"/>
              <w:jc w:val="right"/>
              <w:rPr>
                <w:rFonts w:ascii="Arial" w:hAnsi="Arial" w:cs="Arial" w:eastAsia="Arial" w:hint="default"/>
                <w:sz w:val="24"/>
                <w:szCs w:val="24"/>
              </w:rPr>
            </w:pPr>
            <w:r>
              <w:rPr>
                <w:rFonts w:ascii="Arial"/>
                <w:spacing w:val="-1"/>
                <w:sz w:val="24"/>
              </w:rPr>
              <w:t>7,065</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6"/>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301" w:lineRule="exact"/>
              <w:ind w:left="411" w:right="0"/>
              <w:jc w:val="left"/>
              <w:rPr>
                <w:rFonts w:ascii="宋体" w:hAnsi="宋体" w:cs="宋体" w:eastAsia="宋体" w:hint="default"/>
                <w:sz w:val="24"/>
                <w:szCs w:val="24"/>
              </w:rPr>
            </w:pPr>
            <w:r>
              <w:rPr>
                <w:rFonts w:ascii="宋体" w:hAnsi="宋体" w:cs="宋体" w:eastAsia="宋体" w:hint="default"/>
                <w:sz w:val="24"/>
                <w:szCs w:val="24"/>
              </w:rPr>
              <w:t>沈阳物流中心</w:t>
            </w:r>
          </w:p>
        </w:tc>
        <w:tc>
          <w:tcPr>
            <w:tcW w:w="295"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8"/>
              <w:jc w:val="right"/>
              <w:rPr>
                <w:rFonts w:ascii="Arial" w:hAnsi="Arial" w:cs="Arial" w:eastAsia="Arial" w:hint="default"/>
                <w:sz w:val="24"/>
                <w:szCs w:val="24"/>
              </w:rPr>
            </w:pPr>
            <w:r>
              <w:rPr>
                <w:rFonts w:ascii="Arial"/>
                <w:spacing w:val="-1"/>
                <w:sz w:val="24"/>
              </w:rPr>
              <w:t>6,010</w:t>
            </w:r>
          </w:p>
        </w:tc>
        <w:tc>
          <w:tcPr>
            <w:tcW w:w="10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8"/>
              <w:jc w:val="right"/>
              <w:rPr>
                <w:rFonts w:ascii="Arial" w:hAnsi="Arial" w:cs="Arial" w:eastAsia="Arial" w:hint="default"/>
                <w:sz w:val="24"/>
                <w:szCs w:val="24"/>
              </w:rPr>
            </w:pPr>
            <w:r>
              <w:rPr>
                <w:rFonts w:ascii="Arial"/>
                <w:spacing w:val="-1"/>
                <w:sz w:val="24"/>
              </w:rPr>
              <w:t>6,146</w:t>
            </w:r>
          </w:p>
        </w:tc>
      </w:tr>
      <w:tr>
        <w:trPr>
          <w:trHeight w:val="383"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301" w:lineRule="exact"/>
              <w:ind w:left="411" w:right="0"/>
              <w:jc w:val="left"/>
              <w:rPr>
                <w:rFonts w:ascii="宋体" w:hAnsi="宋体" w:cs="宋体" w:eastAsia="宋体" w:hint="default"/>
                <w:sz w:val="24"/>
                <w:szCs w:val="24"/>
              </w:rPr>
            </w:pPr>
            <w:r>
              <w:rPr>
                <w:rFonts w:ascii="宋体" w:hAnsi="宋体" w:cs="宋体" w:eastAsia="宋体" w:hint="default"/>
                <w:sz w:val="24"/>
                <w:szCs w:val="24"/>
              </w:rPr>
              <w:t>青岛物流配送中心</w:t>
            </w:r>
          </w:p>
        </w:tc>
        <w:tc>
          <w:tcPr>
            <w:tcW w:w="295" w:type="dxa"/>
            <w:tcBorders>
              <w:top w:val="nil" w:sz="6" w:space="0" w:color="auto"/>
              <w:left w:val="nil" w:sz="6" w:space="0" w:color="auto"/>
              <w:bottom w:val="single" w:sz="4" w:space="0" w:color="000000"/>
              <w:right w:val="nil" w:sz="6" w:space="0" w:color="auto"/>
            </w:tcBorders>
          </w:tcPr>
          <w:p>
            <w:pPr/>
          </w:p>
        </w:tc>
        <w:tc>
          <w:tcPr>
            <w:tcW w:w="223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58"/>
              <w:jc w:val="right"/>
              <w:rPr>
                <w:rFonts w:ascii="Arial" w:hAnsi="Arial" w:cs="Arial" w:eastAsia="Arial" w:hint="default"/>
                <w:sz w:val="24"/>
                <w:szCs w:val="24"/>
              </w:rPr>
            </w:pPr>
            <w:r>
              <w:rPr>
                <w:rFonts w:ascii="Arial"/>
                <w:spacing w:val="-1"/>
                <w:sz w:val="24"/>
              </w:rPr>
              <w:t>2,900</w:t>
            </w:r>
          </w:p>
        </w:tc>
        <w:tc>
          <w:tcPr>
            <w:tcW w:w="106" w:type="dxa"/>
            <w:tcBorders>
              <w:top w:val="nil" w:sz="6" w:space="0" w:color="auto"/>
              <w:left w:val="nil" w:sz="6" w:space="0" w:color="auto"/>
              <w:bottom w:val="single" w:sz="4" w:space="0" w:color="000000"/>
              <w:right w:val="nil" w:sz="6" w:space="0" w:color="auto"/>
            </w:tcBorders>
          </w:tcPr>
          <w:p>
            <w:pPr/>
          </w:p>
        </w:tc>
        <w:tc>
          <w:tcPr>
            <w:tcW w:w="228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36"/>
              <w:jc w:val="right"/>
              <w:rPr>
                <w:rFonts w:ascii="Arial" w:hAnsi="Arial" w:cs="Arial" w:eastAsia="Arial" w:hint="default"/>
                <w:sz w:val="24"/>
                <w:szCs w:val="24"/>
              </w:rPr>
            </w:pPr>
            <w:r>
              <w:rPr>
                <w:rFonts w:ascii="Arial"/>
                <w:w w:val="99"/>
                <w:sz w:val="24"/>
              </w:rPr>
              <w:t>-</w:t>
            </w:r>
            <w:r>
              <w:rPr>
                <w:rFonts w:ascii="Arial"/>
                <w:sz w:val="24"/>
              </w:rPr>
            </w:r>
          </w:p>
        </w:tc>
      </w:tr>
      <w:tr>
        <w:trPr>
          <w:trHeight w:val="377" w:hRule="exact"/>
        </w:trPr>
        <w:tc>
          <w:tcPr>
            <w:tcW w:w="821"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
        </w:tc>
        <w:tc>
          <w:tcPr>
            <w:tcW w:w="295" w:type="dxa"/>
            <w:tcBorders>
              <w:top w:val="single" w:sz="4" w:space="0" w:color="000000"/>
              <w:left w:val="nil" w:sz="6" w:space="0" w:color="auto"/>
              <w:bottom w:val="single" w:sz="12" w:space="0" w:color="000000"/>
              <w:right w:val="nil" w:sz="6" w:space="0" w:color="auto"/>
            </w:tcBorders>
          </w:tcPr>
          <w:p>
            <w:pPr/>
          </w:p>
        </w:tc>
        <w:tc>
          <w:tcPr>
            <w:tcW w:w="2235"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259"/>
              <w:jc w:val="right"/>
              <w:rPr>
                <w:rFonts w:ascii="Arial" w:hAnsi="Arial" w:cs="Arial" w:eastAsia="Arial" w:hint="default"/>
                <w:sz w:val="24"/>
                <w:szCs w:val="24"/>
              </w:rPr>
            </w:pPr>
            <w:r>
              <w:rPr>
                <w:rFonts w:ascii="Arial"/>
                <w:spacing w:val="-1"/>
                <w:sz w:val="24"/>
              </w:rPr>
              <w:t>305,561</w:t>
            </w:r>
          </w:p>
        </w:tc>
        <w:tc>
          <w:tcPr>
            <w:tcW w:w="106" w:type="dxa"/>
            <w:tcBorders>
              <w:top w:val="single" w:sz="4" w:space="0" w:color="000000"/>
              <w:left w:val="nil" w:sz="6" w:space="0" w:color="auto"/>
              <w:bottom w:val="single" w:sz="12" w:space="0" w:color="000000"/>
              <w:right w:val="nil" w:sz="6" w:space="0" w:color="auto"/>
            </w:tcBorders>
          </w:tcPr>
          <w:p>
            <w:pPr/>
          </w:p>
        </w:tc>
        <w:tc>
          <w:tcPr>
            <w:tcW w:w="2283"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36"/>
              <w:jc w:val="right"/>
              <w:rPr>
                <w:rFonts w:ascii="Arial" w:hAnsi="Arial" w:cs="Arial" w:eastAsia="Arial" w:hint="default"/>
                <w:sz w:val="24"/>
                <w:szCs w:val="24"/>
              </w:rPr>
            </w:pPr>
            <w:r>
              <w:rPr>
                <w:rFonts w:ascii="Arial"/>
                <w:spacing w:val="-1"/>
                <w:sz w:val="24"/>
              </w:rPr>
              <w:t>167,803</w:t>
            </w:r>
          </w:p>
        </w:tc>
      </w:tr>
    </w:tbl>
    <w:p>
      <w:pPr>
        <w:spacing w:after="0" w:line="240" w:lineRule="auto"/>
        <w:jc w:val="right"/>
        <w:rPr>
          <w:rFonts w:ascii="Arial" w:hAnsi="Arial" w:cs="Arial" w:eastAsia="Arial" w:hint="default"/>
          <w:sz w:val="24"/>
          <w:szCs w:val="24"/>
        </w:rPr>
        <w:sectPr>
          <w:footerReference w:type="default" r:id="rId90"/>
          <w:pgSz w:w="11910" w:h="16850"/>
          <w:pgMar w:footer="708" w:header="795" w:top="2020" w:bottom="90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707.039978pt;margin-top:518.320007pt;width:135pt;height:77pt;mso-position-horizontal-relative:page;mso-position-vertical-relative:page;z-index:-1595440" type="#_x0000_t75" stroked="false">
            <v:imagedata r:id="rId10" o:title=""/>
          </v:shape>
        </w:pict>
      </w:r>
    </w:p>
    <w:p>
      <w:pPr>
        <w:spacing w:line="240" w:lineRule="auto" w:before="4"/>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877"/>
        <w:gridCol w:w="2827"/>
        <w:gridCol w:w="1988"/>
        <w:gridCol w:w="137"/>
        <w:gridCol w:w="1056"/>
        <w:gridCol w:w="144"/>
        <w:gridCol w:w="992"/>
        <w:gridCol w:w="139"/>
        <w:gridCol w:w="1560"/>
        <w:gridCol w:w="142"/>
        <w:gridCol w:w="1208"/>
        <w:gridCol w:w="144"/>
        <w:gridCol w:w="1133"/>
        <w:gridCol w:w="139"/>
        <w:gridCol w:w="2134"/>
      </w:tblGrid>
      <w:tr>
        <w:trPr>
          <w:trHeight w:val="495" w:hRule="exact"/>
        </w:trPr>
        <w:tc>
          <w:tcPr>
            <w:tcW w:w="8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2827" w:type="dxa"/>
            <w:tcBorders>
              <w:top w:val="nil" w:sz="6" w:space="0" w:color="auto"/>
              <w:left w:val="nil" w:sz="6" w:space="0" w:color="auto"/>
              <w:bottom w:val="nil" w:sz="6" w:space="0" w:color="auto"/>
              <w:right w:val="nil" w:sz="6" w:space="0" w:color="auto"/>
            </w:tcBorders>
          </w:tcPr>
          <w:p>
            <w:pPr>
              <w:pStyle w:val="TableParagraph"/>
              <w:spacing w:line="257" w:lineRule="exact"/>
              <w:ind w:left="43" w:right="-16"/>
              <w:jc w:val="left"/>
              <w:rPr>
                <w:rFonts w:ascii="Arial" w:hAnsi="Arial" w:cs="Arial" w:eastAsia="Arial" w:hint="default"/>
                <w:sz w:val="24"/>
                <w:szCs w:val="24"/>
              </w:rPr>
            </w:pPr>
            <w:r>
              <w:rPr>
                <w:rFonts w:ascii="黑体" w:hAnsi="黑体" w:cs="黑体" w:eastAsia="黑体" w:hint="default"/>
                <w:spacing w:val="-1"/>
                <w:sz w:val="24"/>
                <w:szCs w:val="24"/>
              </w:rPr>
              <w:t>合并财务报表项目附注</w:t>
            </w:r>
            <w:r>
              <w:rPr>
                <w:rFonts w:ascii="Arial" w:hAnsi="Arial" w:cs="Arial" w:eastAsia="Arial" w:hint="default"/>
                <w:spacing w:val="-1"/>
                <w:sz w:val="24"/>
                <w:szCs w:val="24"/>
              </w:rPr>
              <w:t>(</w:t>
            </w:r>
            <w:r>
              <w:rPr>
                <w:rFonts w:ascii="黑体" w:hAnsi="黑体" w:cs="黑体" w:eastAsia="黑体" w:hint="default"/>
                <w:spacing w:val="-1"/>
                <w:sz w:val="24"/>
                <w:szCs w:val="24"/>
              </w:rPr>
              <w:t>续</w:t>
            </w:r>
            <w:r>
              <w:rPr>
                <w:rFonts w:ascii="Arial" w:hAnsi="Arial" w:cs="Arial" w:eastAsia="Arial" w:hint="default"/>
                <w:spacing w:val="-1"/>
                <w:sz w:val="24"/>
                <w:szCs w:val="24"/>
              </w:rPr>
              <w:t>)</w:t>
            </w:r>
          </w:p>
        </w:tc>
        <w:tc>
          <w:tcPr>
            <w:tcW w:w="1988"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
        </w:tc>
      </w:tr>
      <w:tr>
        <w:trPr>
          <w:trHeight w:val="562" w:hRule="exact"/>
        </w:trPr>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64" w:right="0"/>
              <w:jc w:val="left"/>
              <w:rPr>
                <w:rFonts w:ascii="Arial" w:hAnsi="Arial" w:cs="Arial" w:eastAsia="Arial" w:hint="default"/>
                <w:sz w:val="24"/>
                <w:szCs w:val="24"/>
              </w:rPr>
            </w:pPr>
            <w:r>
              <w:rPr>
                <w:rFonts w:ascii="Arial"/>
                <w:sz w:val="24"/>
              </w:rPr>
              <w:t>(33)</w:t>
            </w:r>
          </w:p>
        </w:tc>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07" w:right="0"/>
              <w:jc w:val="left"/>
              <w:rPr>
                <w:rFonts w:ascii="黑体" w:hAnsi="黑体" w:cs="黑体" w:eastAsia="黑体" w:hint="default"/>
                <w:sz w:val="24"/>
                <w:szCs w:val="24"/>
              </w:rPr>
            </w:pPr>
            <w:r>
              <w:rPr>
                <w:rFonts w:ascii="黑体" w:hAnsi="黑体" w:cs="黑体" w:eastAsia="黑体" w:hint="default"/>
                <w:sz w:val="24"/>
                <w:szCs w:val="24"/>
              </w:rPr>
              <w:t>股本</w:t>
            </w:r>
          </w:p>
        </w:tc>
        <w:tc>
          <w:tcPr>
            <w:tcW w:w="1988"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
        </w:tc>
      </w:tr>
      <w:tr>
        <w:trPr>
          <w:trHeight w:val="326" w:hRule="exact"/>
        </w:trPr>
        <w:tc>
          <w:tcPr>
            <w:tcW w:w="877" w:type="dxa"/>
            <w:tcBorders>
              <w:top w:val="nil" w:sz="6" w:space="0" w:color="auto"/>
              <w:left w:val="nil" w:sz="6" w:space="0" w:color="auto"/>
              <w:bottom w:val="nil" w:sz="6" w:space="0" w:color="auto"/>
              <w:right w:val="nil" w:sz="6" w:space="0" w:color="auto"/>
            </w:tcBorders>
          </w:tcPr>
          <w:p>
            <w:pPr/>
          </w:p>
        </w:tc>
        <w:tc>
          <w:tcPr>
            <w:tcW w:w="2827"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single" w:sz="4" w:space="0" w:color="000000"/>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
        </w:tc>
        <w:tc>
          <w:tcPr>
            <w:tcW w:w="139" w:type="dxa"/>
            <w:tcBorders>
              <w:top w:val="nil" w:sz="6" w:space="0" w:color="auto"/>
              <w:left w:val="nil" w:sz="6" w:space="0" w:color="auto"/>
              <w:bottom w:val="single" w:sz="4" w:space="0" w:color="000000"/>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91"/>
              <w:jc w:val="right"/>
              <w:rPr>
                <w:rFonts w:ascii="宋体" w:hAnsi="宋体" w:cs="宋体" w:eastAsia="宋体" w:hint="default"/>
                <w:sz w:val="18"/>
                <w:szCs w:val="18"/>
              </w:rPr>
            </w:pPr>
            <w:r>
              <w:rPr>
                <w:rFonts w:ascii="宋体" w:hAnsi="宋体" w:cs="宋体" w:eastAsia="宋体" w:hint="default"/>
                <w:sz w:val="18"/>
                <w:szCs w:val="18"/>
              </w:rPr>
              <w:t>本年增减变动</w:t>
            </w:r>
          </w:p>
        </w:tc>
        <w:tc>
          <w:tcPr>
            <w:tcW w:w="142" w:type="dxa"/>
            <w:tcBorders>
              <w:top w:val="nil" w:sz="6" w:space="0" w:color="auto"/>
              <w:left w:val="nil" w:sz="6" w:space="0" w:color="auto"/>
              <w:bottom w:val="single" w:sz="4" w:space="0" w:color="000000"/>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single" w:sz="4" w:space="0" w:color="000000"/>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
        </w:tc>
      </w:tr>
      <w:tr>
        <w:trPr>
          <w:trHeight w:val="732" w:hRule="exact"/>
        </w:trPr>
        <w:tc>
          <w:tcPr>
            <w:tcW w:w="877" w:type="dxa"/>
            <w:tcBorders>
              <w:top w:val="nil" w:sz="6" w:space="0" w:color="auto"/>
              <w:left w:val="nil" w:sz="6" w:space="0" w:color="auto"/>
              <w:bottom w:val="nil" w:sz="6" w:space="0" w:color="auto"/>
              <w:right w:val="nil" w:sz="6" w:space="0" w:color="auto"/>
            </w:tcBorders>
          </w:tcPr>
          <w:p>
            <w:pPr/>
          </w:p>
        </w:tc>
        <w:tc>
          <w:tcPr>
            <w:tcW w:w="2827"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41"/>
              <w:jc w:val="righ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7" w:type="dxa"/>
            <w:tcBorders>
              <w:top w:val="nil" w:sz="6" w:space="0" w:color="auto"/>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nil" w:sz="6" w:space="0" w:color="auto"/>
              <w:right w:val="nil" w:sz="6" w:space="0" w:color="auto"/>
            </w:tcBorders>
          </w:tcPr>
          <w:p>
            <w:pPr>
              <w:pStyle w:val="TableParagraph"/>
              <w:spacing w:line="276" w:lineRule="auto" w:before="8"/>
              <w:ind w:left="583" w:right="107" w:hanging="176"/>
              <w:jc w:val="left"/>
              <w:rPr>
                <w:rFonts w:ascii="宋体" w:hAnsi="宋体" w:cs="宋体" w:eastAsia="宋体" w:hint="default"/>
                <w:sz w:val="18"/>
                <w:szCs w:val="18"/>
              </w:rPr>
            </w:pPr>
            <w:r>
              <w:rPr>
                <w:rFonts w:ascii="宋体" w:hAnsi="宋体" w:cs="宋体" w:eastAsia="宋体" w:hint="default"/>
                <w:sz w:val="18"/>
                <w:szCs w:val="18"/>
              </w:rPr>
              <w:t>限售股 增加</w:t>
            </w:r>
          </w:p>
        </w:tc>
        <w:tc>
          <w:tcPr>
            <w:tcW w:w="144" w:type="dxa"/>
            <w:tcBorders>
              <w:top w:val="single" w:sz="4" w:space="0" w:color="000000"/>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Style w:val="TableParagraph"/>
              <w:spacing w:line="276" w:lineRule="auto" w:before="8"/>
              <w:ind w:left="227" w:right="27" w:firstLine="14"/>
              <w:jc w:val="left"/>
              <w:rPr>
                <w:rFonts w:ascii="宋体" w:hAnsi="宋体" w:cs="宋体" w:eastAsia="宋体" w:hint="default"/>
                <w:sz w:val="18"/>
                <w:szCs w:val="18"/>
              </w:rPr>
            </w:pPr>
            <w:r>
              <w:rPr>
                <w:rFonts w:ascii="宋体" w:hAnsi="宋体" w:cs="宋体" w:eastAsia="宋体" w:hint="default"/>
                <w:sz w:val="18"/>
                <w:szCs w:val="18"/>
              </w:rPr>
              <w:t>资本公积 转增股本</w:t>
            </w:r>
          </w:p>
        </w:tc>
        <w:tc>
          <w:tcPr>
            <w:tcW w:w="139"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76" w:lineRule="auto" w:before="8"/>
              <w:ind w:left="1068" w:right="110" w:hanging="161"/>
              <w:jc w:val="right"/>
              <w:rPr>
                <w:rFonts w:ascii="宋体" w:hAnsi="宋体" w:cs="宋体" w:eastAsia="宋体" w:hint="default"/>
                <w:sz w:val="18"/>
                <w:szCs w:val="18"/>
              </w:rPr>
            </w:pPr>
            <w:r>
              <w:rPr>
                <w:rFonts w:ascii="宋体" w:hAnsi="宋体" w:cs="宋体" w:eastAsia="宋体" w:hint="default"/>
                <w:sz w:val="18"/>
                <w:szCs w:val="18"/>
              </w:rPr>
              <w:t>限售股 解禁</w:t>
            </w:r>
          </w:p>
        </w:tc>
        <w:tc>
          <w:tcPr>
            <w:tcW w:w="142" w:type="dxa"/>
            <w:tcBorders>
              <w:top w:val="single" w:sz="4" w:space="0" w:color="000000"/>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nil" w:sz="6" w:space="0" w:color="auto"/>
              <w:right w:val="nil" w:sz="6" w:space="0" w:color="auto"/>
            </w:tcBorders>
          </w:tcPr>
          <w:p>
            <w:pPr>
              <w:pStyle w:val="TableParagraph"/>
              <w:spacing w:line="276" w:lineRule="auto" w:before="8"/>
              <w:ind w:left="444" w:right="41" w:firstLine="180"/>
              <w:jc w:val="left"/>
              <w:rPr>
                <w:rFonts w:ascii="宋体" w:hAnsi="宋体" w:cs="宋体" w:eastAsia="宋体" w:hint="default"/>
                <w:sz w:val="18"/>
                <w:szCs w:val="18"/>
              </w:rPr>
            </w:pPr>
            <w:r>
              <w:rPr>
                <w:rFonts w:ascii="宋体" w:hAnsi="宋体" w:cs="宋体" w:eastAsia="宋体" w:hint="default"/>
                <w:sz w:val="18"/>
                <w:szCs w:val="18"/>
              </w:rPr>
              <w:t>非公开 发行股票</w:t>
            </w:r>
          </w:p>
        </w:tc>
        <w:tc>
          <w:tcPr>
            <w:tcW w:w="144" w:type="dxa"/>
            <w:tcBorders>
              <w:top w:val="single" w:sz="4" w:space="0" w:color="000000"/>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小计</w:t>
            </w:r>
          </w:p>
        </w:tc>
        <w:tc>
          <w:tcPr>
            <w:tcW w:w="139"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38"/>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60" w:hRule="exact"/>
        </w:trPr>
        <w:tc>
          <w:tcPr>
            <w:tcW w:w="877" w:type="dxa"/>
            <w:tcBorders>
              <w:top w:val="nil" w:sz="6" w:space="0" w:color="auto"/>
              <w:left w:val="nil" w:sz="6" w:space="0" w:color="auto"/>
              <w:bottom w:val="nil" w:sz="6" w:space="0" w:color="auto"/>
              <w:right w:val="nil" w:sz="6" w:space="0" w:color="auto"/>
            </w:tcBorders>
          </w:tcPr>
          <w:p>
            <w:pPr/>
          </w:p>
        </w:tc>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43" w:right="0"/>
              <w:jc w:val="left"/>
              <w:rPr>
                <w:rFonts w:ascii="Arial" w:hAnsi="Arial" w:cs="Arial" w:eastAsia="Arial" w:hint="default"/>
                <w:sz w:val="18"/>
                <w:szCs w:val="18"/>
              </w:rPr>
            </w:pPr>
            <w:r>
              <w:rPr>
                <w:rFonts w:ascii="宋体" w:hAnsi="宋体" w:cs="宋体" w:eastAsia="宋体" w:hint="default"/>
                <w:sz w:val="18"/>
                <w:szCs w:val="18"/>
              </w:rPr>
              <w:t>有限售条件股份</w:t>
            </w:r>
            <w:r>
              <w:rPr>
                <w:rFonts w:ascii="宋体" w:hAnsi="宋体" w:cs="宋体" w:eastAsia="宋体" w:hint="default"/>
                <w:spacing w:val="1"/>
                <w:sz w:val="18"/>
                <w:szCs w:val="18"/>
              </w:rPr>
              <w:t> </w:t>
            </w:r>
            <w:r>
              <w:rPr>
                <w:rFonts w:ascii="Arial" w:hAnsi="Arial" w:cs="Arial" w:eastAsia="Arial" w:hint="default"/>
                <w:sz w:val="18"/>
                <w:szCs w:val="18"/>
              </w:rPr>
              <w:t>-</w:t>
            </w:r>
          </w:p>
        </w:tc>
        <w:tc>
          <w:tcPr>
            <w:tcW w:w="1988"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
        </w:tc>
      </w:tr>
      <w:tr>
        <w:trPr>
          <w:trHeight w:val="317" w:hRule="exact"/>
        </w:trPr>
        <w:tc>
          <w:tcPr>
            <w:tcW w:w="877" w:type="dxa"/>
            <w:tcBorders>
              <w:top w:val="nil" w:sz="6" w:space="0" w:color="auto"/>
              <w:left w:val="nil" w:sz="6" w:space="0" w:color="auto"/>
              <w:bottom w:val="nil" w:sz="6" w:space="0" w:color="auto"/>
              <w:right w:val="nil" w:sz="6" w:space="0" w:color="auto"/>
            </w:tcBorders>
          </w:tcPr>
          <w:p>
            <w:pPr/>
          </w:p>
        </w:tc>
        <w:tc>
          <w:tcPr>
            <w:tcW w:w="282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218"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198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68"/>
              <w:jc w:val="right"/>
              <w:rPr>
                <w:rFonts w:ascii="Arial" w:hAnsi="Arial" w:cs="Arial" w:eastAsia="Arial" w:hint="default"/>
                <w:sz w:val="18"/>
                <w:szCs w:val="18"/>
              </w:rPr>
            </w:pPr>
            <w:r>
              <w:rPr>
                <w:rFonts w:ascii="Arial"/>
                <w:spacing w:val="-1"/>
                <w:sz w:val="18"/>
              </w:rPr>
              <w:t>1,559,085</w:t>
            </w:r>
          </w:p>
        </w:tc>
        <w:tc>
          <w:tcPr>
            <w:tcW w:w="137" w:type="dxa"/>
            <w:tcBorders>
              <w:top w:val="nil" w:sz="6" w:space="0" w:color="auto"/>
              <w:left w:val="nil" w:sz="6" w:space="0" w:color="auto"/>
              <w:bottom w:val="single" w:sz="4" w:space="0" w:color="000000"/>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12"/>
              <w:jc w:val="right"/>
              <w:rPr>
                <w:rFonts w:ascii="Arial" w:hAnsi="Arial" w:cs="Arial" w:eastAsia="Arial" w:hint="default"/>
                <w:sz w:val="18"/>
                <w:szCs w:val="18"/>
              </w:rPr>
            </w:pPr>
            <w:r>
              <w:rPr>
                <w:rFonts w:ascii="Arial"/>
                <w:spacing w:val="-1"/>
                <w:sz w:val="18"/>
              </w:rPr>
              <w:t>490,799</w:t>
            </w:r>
          </w:p>
        </w:tc>
        <w:tc>
          <w:tcPr>
            <w:tcW w:w="144" w:type="dxa"/>
            <w:tcBorders>
              <w:top w:val="nil" w:sz="6" w:space="0" w:color="auto"/>
              <w:left w:val="nil" w:sz="6" w:space="0" w:color="auto"/>
              <w:bottom w:val="single" w:sz="4" w:space="0" w:color="000000"/>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74"/>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single" w:sz="4" w:space="0" w:color="000000"/>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3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single" w:sz="4" w:space="0" w:color="000000"/>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47"/>
              <w:jc w:val="right"/>
              <w:rPr>
                <w:rFonts w:ascii="Arial" w:hAnsi="Arial" w:cs="Arial" w:eastAsia="Arial" w:hint="default"/>
                <w:sz w:val="18"/>
                <w:szCs w:val="18"/>
              </w:rPr>
            </w:pPr>
            <w:r>
              <w:rPr>
                <w:rFonts w:ascii="Arial"/>
                <w:spacing w:val="-1"/>
                <w:sz w:val="18"/>
              </w:rPr>
              <w:t>386,831</w:t>
            </w:r>
          </w:p>
        </w:tc>
        <w:tc>
          <w:tcPr>
            <w:tcW w:w="144" w:type="dxa"/>
            <w:tcBorders>
              <w:top w:val="nil" w:sz="6" w:space="0" w:color="auto"/>
              <w:left w:val="nil" w:sz="6" w:space="0" w:color="auto"/>
              <w:bottom w:val="single" w:sz="4" w:space="0" w:color="000000"/>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80"/>
              <w:jc w:val="right"/>
              <w:rPr>
                <w:rFonts w:ascii="Arial" w:hAnsi="Arial" w:cs="Arial" w:eastAsia="Arial" w:hint="default"/>
                <w:sz w:val="18"/>
                <w:szCs w:val="18"/>
              </w:rPr>
            </w:pPr>
            <w:r>
              <w:rPr>
                <w:rFonts w:ascii="Arial"/>
                <w:spacing w:val="-1"/>
                <w:sz w:val="18"/>
              </w:rPr>
              <w:t>877,630</w:t>
            </w:r>
          </w:p>
        </w:tc>
        <w:tc>
          <w:tcPr>
            <w:tcW w:w="139" w:type="dxa"/>
            <w:tcBorders>
              <w:top w:val="nil" w:sz="6" w:space="0" w:color="auto"/>
              <w:left w:val="nil" w:sz="6" w:space="0" w:color="auto"/>
              <w:bottom w:val="single" w:sz="4" w:space="0" w:color="000000"/>
              <w:right w:val="nil" w:sz="6" w:space="0" w:color="auto"/>
            </w:tcBorders>
          </w:tcPr>
          <w:p>
            <w:pPr/>
          </w:p>
        </w:tc>
        <w:tc>
          <w:tcPr>
            <w:tcW w:w="213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76"/>
              <w:jc w:val="right"/>
              <w:rPr>
                <w:rFonts w:ascii="Arial" w:hAnsi="Arial" w:cs="Arial" w:eastAsia="Arial" w:hint="default"/>
                <w:sz w:val="18"/>
                <w:szCs w:val="18"/>
              </w:rPr>
            </w:pPr>
            <w:r>
              <w:rPr>
                <w:rFonts w:ascii="Arial"/>
                <w:spacing w:val="-1"/>
                <w:sz w:val="18"/>
              </w:rPr>
              <w:t>2,436,715</w:t>
            </w:r>
          </w:p>
        </w:tc>
      </w:tr>
      <w:tr>
        <w:trPr>
          <w:trHeight w:val="327" w:hRule="exact"/>
        </w:trPr>
        <w:tc>
          <w:tcPr>
            <w:tcW w:w="877" w:type="dxa"/>
            <w:tcBorders>
              <w:top w:val="nil" w:sz="6" w:space="0" w:color="auto"/>
              <w:left w:val="nil" w:sz="6" w:space="0" w:color="auto"/>
              <w:bottom w:val="nil" w:sz="6" w:space="0" w:color="auto"/>
              <w:right w:val="single" w:sz="4" w:space="0" w:color="000000"/>
            </w:tcBorders>
          </w:tcPr>
          <w:p>
            <w:pPr/>
          </w:p>
        </w:tc>
        <w:tc>
          <w:tcPr>
            <w:tcW w:w="2827"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198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69"/>
              <w:jc w:val="right"/>
              <w:rPr>
                <w:rFonts w:ascii="Arial" w:hAnsi="Arial" w:cs="Arial" w:eastAsia="Arial" w:hint="default"/>
                <w:sz w:val="18"/>
                <w:szCs w:val="18"/>
              </w:rPr>
            </w:pPr>
            <w:r>
              <w:rPr>
                <w:rFonts w:ascii="Arial"/>
                <w:w w:val="99"/>
                <w:sz w:val="18"/>
              </w:rPr>
              <w:t>-</w:t>
            </w:r>
            <w:r>
              <w:rPr>
                <w:rFonts w:ascii="Arial"/>
                <w:sz w:val="18"/>
              </w:rPr>
            </w:r>
          </w:p>
        </w:tc>
        <w:tc>
          <w:tcPr>
            <w:tcW w:w="137" w:type="dxa"/>
            <w:tcBorders>
              <w:top w:val="single" w:sz="4" w:space="0" w:color="000000"/>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10"/>
              <w:jc w:val="right"/>
              <w:rPr>
                <w:rFonts w:ascii="Arial" w:hAnsi="Arial" w:cs="Arial" w:eastAsia="Arial" w:hint="default"/>
                <w:sz w:val="18"/>
                <w:szCs w:val="18"/>
              </w:rPr>
            </w:pPr>
            <w:r>
              <w:rPr>
                <w:rFonts w:ascii="Arial"/>
                <w:w w:val="99"/>
                <w:sz w:val="18"/>
              </w:rPr>
              <w:t>-</w:t>
            </w:r>
            <w:r>
              <w:rPr>
                <w:rFonts w:ascii="Arial"/>
                <w:sz w:val="18"/>
              </w:rPr>
            </w:r>
          </w:p>
        </w:tc>
        <w:tc>
          <w:tcPr>
            <w:tcW w:w="144" w:type="dxa"/>
            <w:tcBorders>
              <w:top w:val="single" w:sz="4" w:space="0" w:color="000000"/>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74"/>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3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single" w:sz="4" w:space="0" w:color="000000"/>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47"/>
              <w:jc w:val="right"/>
              <w:rPr>
                <w:rFonts w:ascii="Arial" w:hAnsi="Arial" w:cs="Arial" w:eastAsia="Arial" w:hint="default"/>
                <w:sz w:val="18"/>
                <w:szCs w:val="18"/>
              </w:rPr>
            </w:pPr>
            <w:r>
              <w:rPr>
                <w:rFonts w:ascii="Arial"/>
                <w:spacing w:val="-1"/>
                <w:sz w:val="18"/>
              </w:rPr>
              <w:t>386,831</w:t>
            </w:r>
          </w:p>
        </w:tc>
        <w:tc>
          <w:tcPr>
            <w:tcW w:w="144" w:type="dxa"/>
            <w:tcBorders>
              <w:top w:val="single" w:sz="4" w:space="0" w:color="000000"/>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80"/>
              <w:jc w:val="right"/>
              <w:rPr>
                <w:rFonts w:ascii="Arial" w:hAnsi="Arial" w:cs="Arial" w:eastAsia="Arial" w:hint="default"/>
                <w:sz w:val="18"/>
                <w:szCs w:val="18"/>
              </w:rPr>
            </w:pPr>
            <w:r>
              <w:rPr>
                <w:rFonts w:ascii="Arial"/>
                <w:spacing w:val="-1"/>
                <w:sz w:val="18"/>
              </w:rPr>
              <w:t>386,831</w:t>
            </w:r>
          </w:p>
        </w:tc>
        <w:tc>
          <w:tcPr>
            <w:tcW w:w="139" w:type="dxa"/>
            <w:tcBorders>
              <w:top w:val="single" w:sz="4" w:space="0" w:color="000000"/>
              <w:left w:val="nil" w:sz="6" w:space="0" w:color="auto"/>
              <w:bottom w:val="nil" w:sz="6" w:space="0" w:color="auto"/>
              <w:right w:val="nil" w:sz="6" w:space="0" w:color="auto"/>
            </w:tcBorders>
          </w:tcPr>
          <w:p>
            <w:pPr/>
          </w:p>
        </w:tc>
        <w:tc>
          <w:tcPr>
            <w:tcW w:w="2134" w:type="dxa"/>
            <w:tcBorders>
              <w:top w:val="single" w:sz="4" w:space="0" w:color="000000"/>
              <w:left w:val="nil" w:sz="6" w:space="0" w:color="auto"/>
              <w:bottom w:val="nil" w:sz="6" w:space="0" w:color="auto"/>
              <w:right w:val="single" w:sz="4" w:space="0" w:color="000000"/>
            </w:tcBorders>
          </w:tcPr>
          <w:p>
            <w:pPr>
              <w:pStyle w:val="TableParagraph"/>
              <w:spacing w:line="240" w:lineRule="auto" w:before="64"/>
              <w:ind w:right="71"/>
              <w:jc w:val="right"/>
              <w:rPr>
                <w:rFonts w:ascii="Arial" w:hAnsi="Arial" w:cs="Arial" w:eastAsia="Arial" w:hint="default"/>
                <w:sz w:val="18"/>
                <w:szCs w:val="18"/>
              </w:rPr>
            </w:pPr>
            <w:r>
              <w:rPr>
                <w:rFonts w:ascii="Arial"/>
                <w:spacing w:val="-1"/>
                <w:sz w:val="18"/>
              </w:rPr>
              <w:t>386,831</w:t>
            </w:r>
          </w:p>
        </w:tc>
      </w:tr>
      <w:tr>
        <w:trPr>
          <w:trHeight w:val="309" w:hRule="exact"/>
        </w:trPr>
        <w:tc>
          <w:tcPr>
            <w:tcW w:w="877" w:type="dxa"/>
            <w:tcBorders>
              <w:top w:val="nil" w:sz="6" w:space="0" w:color="auto"/>
              <w:left w:val="nil" w:sz="6" w:space="0" w:color="auto"/>
              <w:bottom w:val="nil" w:sz="6" w:space="0" w:color="auto"/>
              <w:right w:val="single" w:sz="4" w:space="0" w:color="000000"/>
            </w:tcBorders>
          </w:tcPr>
          <w:p>
            <w:pPr/>
          </w:p>
        </w:tc>
        <w:tc>
          <w:tcPr>
            <w:tcW w:w="2827" w:type="dxa"/>
            <w:tcBorders>
              <w:top w:val="nil" w:sz="6" w:space="0" w:color="auto"/>
              <w:left w:val="single" w:sz="4" w:space="0" w:color="000000"/>
              <w:bottom w:val="single" w:sz="4" w:space="0" w:color="000000"/>
              <w:right w:val="nil" w:sz="6" w:space="0" w:color="auto"/>
            </w:tcBorders>
          </w:tcPr>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988"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68"/>
              <w:jc w:val="right"/>
              <w:rPr>
                <w:rFonts w:ascii="Arial" w:hAnsi="Arial" w:cs="Arial" w:eastAsia="Arial" w:hint="default"/>
                <w:sz w:val="18"/>
                <w:szCs w:val="18"/>
              </w:rPr>
            </w:pPr>
            <w:r>
              <w:rPr>
                <w:rFonts w:ascii="Arial"/>
                <w:spacing w:val="-1"/>
                <w:sz w:val="18"/>
              </w:rPr>
              <w:t>1,559,085</w:t>
            </w:r>
          </w:p>
        </w:tc>
        <w:tc>
          <w:tcPr>
            <w:tcW w:w="137" w:type="dxa"/>
            <w:tcBorders>
              <w:top w:val="nil" w:sz="6" w:space="0" w:color="auto"/>
              <w:left w:val="nil" w:sz="6" w:space="0" w:color="auto"/>
              <w:bottom w:val="single" w:sz="4" w:space="0" w:color="000000"/>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12"/>
              <w:jc w:val="right"/>
              <w:rPr>
                <w:rFonts w:ascii="Arial" w:hAnsi="Arial" w:cs="Arial" w:eastAsia="Arial" w:hint="default"/>
                <w:sz w:val="18"/>
                <w:szCs w:val="18"/>
              </w:rPr>
            </w:pPr>
            <w:r>
              <w:rPr>
                <w:rFonts w:ascii="Arial"/>
                <w:spacing w:val="-1"/>
                <w:sz w:val="18"/>
              </w:rPr>
              <w:t>490,799</w:t>
            </w:r>
          </w:p>
        </w:tc>
        <w:tc>
          <w:tcPr>
            <w:tcW w:w="144" w:type="dxa"/>
            <w:tcBorders>
              <w:top w:val="nil" w:sz="6" w:space="0" w:color="auto"/>
              <w:left w:val="nil" w:sz="6" w:space="0" w:color="auto"/>
              <w:bottom w:val="single" w:sz="4" w:space="0" w:color="000000"/>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74"/>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single" w:sz="4" w:space="0" w:color="000000"/>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3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single" w:sz="4" w:space="0" w:color="000000"/>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48"/>
              <w:jc w:val="right"/>
              <w:rPr>
                <w:rFonts w:ascii="Arial" w:hAnsi="Arial" w:cs="Arial" w:eastAsia="Arial" w:hint="default"/>
                <w:sz w:val="18"/>
                <w:szCs w:val="18"/>
              </w:rPr>
            </w:pPr>
            <w:r>
              <w:rPr>
                <w:rFonts w:ascii="Arial"/>
                <w:w w:val="99"/>
                <w:sz w:val="18"/>
              </w:rPr>
              <w:t>-</w:t>
            </w:r>
            <w:r>
              <w:rPr>
                <w:rFonts w:ascii="Arial"/>
                <w:sz w:val="18"/>
              </w:rPr>
            </w:r>
          </w:p>
        </w:tc>
        <w:tc>
          <w:tcPr>
            <w:tcW w:w="144" w:type="dxa"/>
            <w:tcBorders>
              <w:top w:val="nil" w:sz="6" w:space="0" w:color="auto"/>
              <w:left w:val="nil" w:sz="6" w:space="0" w:color="auto"/>
              <w:bottom w:val="single" w:sz="4" w:space="0" w:color="000000"/>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83"/>
              <w:jc w:val="right"/>
              <w:rPr>
                <w:rFonts w:ascii="Arial" w:hAnsi="Arial" w:cs="Arial" w:eastAsia="Arial" w:hint="default"/>
                <w:sz w:val="18"/>
                <w:szCs w:val="18"/>
              </w:rPr>
            </w:pPr>
            <w:r>
              <w:rPr>
                <w:rFonts w:ascii="Arial"/>
                <w:spacing w:val="-1"/>
                <w:sz w:val="18"/>
              </w:rPr>
              <w:t>490,799</w:t>
            </w:r>
          </w:p>
        </w:tc>
        <w:tc>
          <w:tcPr>
            <w:tcW w:w="139" w:type="dxa"/>
            <w:tcBorders>
              <w:top w:val="nil" w:sz="6" w:space="0" w:color="auto"/>
              <w:left w:val="nil" w:sz="6" w:space="0" w:color="auto"/>
              <w:bottom w:val="single" w:sz="4" w:space="0" w:color="000000"/>
              <w:right w:val="nil" w:sz="6" w:space="0" w:color="auto"/>
            </w:tcBorders>
          </w:tcPr>
          <w:p>
            <w:pPr/>
          </w:p>
        </w:tc>
        <w:tc>
          <w:tcPr>
            <w:tcW w:w="2134" w:type="dxa"/>
            <w:tcBorders>
              <w:top w:val="nil" w:sz="6" w:space="0" w:color="auto"/>
              <w:left w:val="nil" w:sz="6" w:space="0" w:color="auto"/>
              <w:bottom w:val="single" w:sz="4" w:space="0" w:color="000000"/>
              <w:right w:val="single" w:sz="4" w:space="0" w:color="000000"/>
            </w:tcBorders>
          </w:tcPr>
          <w:p>
            <w:pPr>
              <w:pStyle w:val="TableParagraph"/>
              <w:spacing w:line="240" w:lineRule="auto" w:before="56"/>
              <w:ind w:right="72"/>
              <w:jc w:val="right"/>
              <w:rPr>
                <w:rFonts w:ascii="Arial" w:hAnsi="Arial" w:cs="Arial" w:eastAsia="Arial" w:hint="default"/>
                <w:sz w:val="18"/>
                <w:szCs w:val="18"/>
              </w:rPr>
            </w:pPr>
            <w:r>
              <w:rPr>
                <w:rFonts w:ascii="Arial"/>
                <w:spacing w:val="-1"/>
                <w:sz w:val="18"/>
              </w:rPr>
              <w:t>2,049,884</w:t>
            </w:r>
          </w:p>
        </w:tc>
      </w:tr>
      <w:tr>
        <w:trPr>
          <w:trHeight w:val="324" w:hRule="exact"/>
        </w:trPr>
        <w:tc>
          <w:tcPr>
            <w:tcW w:w="877" w:type="dxa"/>
            <w:tcBorders>
              <w:top w:val="nil" w:sz="6" w:space="0" w:color="auto"/>
              <w:left w:val="nil" w:sz="6" w:space="0" w:color="auto"/>
              <w:bottom w:val="nil" w:sz="6" w:space="0" w:color="auto"/>
              <w:right w:val="nil" w:sz="6" w:space="0" w:color="auto"/>
            </w:tcBorders>
          </w:tcPr>
          <w:p>
            <w:pPr/>
          </w:p>
        </w:tc>
        <w:tc>
          <w:tcPr>
            <w:tcW w:w="282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13" w:right="0"/>
              <w:jc w:val="left"/>
              <w:rPr>
                <w:rFonts w:ascii="宋体" w:hAnsi="宋体" w:cs="宋体" w:eastAsia="宋体" w:hint="default"/>
                <w:sz w:val="18"/>
                <w:szCs w:val="18"/>
              </w:rPr>
            </w:pPr>
            <w:r>
              <w:rPr>
                <w:rFonts w:ascii="宋体" w:hAnsi="宋体" w:cs="宋体" w:eastAsia="宋体" w:hint="default"/>
                <w:sz w:val="18"/>
                <w:szCs w:val="18"/>
              </w:rPr>
              <w:t>外资持股</w:t>
            </w:r>
          </w:p>
        </w:tc>
        <w:tc>
          <w:tcPr>
            <w:tcW w:w="1988"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69"/>
              <w:jc w:val="right"/>
              <w:rPr>
                <w:rFonts w:ascii="Arial" w:hAnsi="Arial" w:cs="Arial" w:eastAsia="Arial" w:hint="default"/>
                <w:sz w:val="18"/>
                <w:szCs w:val="18"/>
              </w:rPr>
            </w:pPr>
            <w:r>
              <w:rPr>
                <w:rFonts w:ascii="Arial"/>
                <w:w w:val="99"/>
                <w:sz w:val="18"/>
              </w:rPr>
              <w:t>-</w:t>
            </w:r>
            <w:r>
              <w:rPr>
                <w:rFonts w:ascii="Arial"/>
                <w:sz w:val="18"/>
              </w:rPr>
            </w:r>
          </w:p>
        </w:tc>
        <w:tc>
          <w:tcPr>
            <w:tcW w:w="137" w:type="dxa"/>
            <w:tcBorders>
              <w:top w:val="single" w:sz="4" w:space="0" w:color="000000"/>
              <w:left w:val="nil" w:sz="6" w:space="0" w:color="auto"/>
              <w:bottom w:val="single" w:sz="4" w:space="0" w:color="000000"/>
              <w:right w:val="nil" w:sz="6" w:space="0" w:color="auto"/>
            </w:tcBorders>
          </w:tcPr>
          <w:p>
            <w:pPr/>
          </w:p>
        </w:tc>
        <w:tc>
          <w:tcPr>
            <w:tcW w:w="1056"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w w:val="99"/>
                <w:sz w:val="18"/>
              </w:rPr>
              <w:t>-</w:t>
            </w:r>
            <w:r>
              <w:rPr>
                <w:rFonts w:ascii="Arial"/>
                <w:sz w:val="18"/>
              </w:rPr>
            </w:r>
          </w:p>
        </w:tc>
        <w:tc>
          <w:tcPr>
            <w:tcW w:w="144"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74"/>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single" w:sz="4" w:space="0" w:color="000000"/>
              <w:left w:val="nil" w:sz="6" w:space="0" w:color="auto"/>
              <w:bottom w:val="single" w:sz="4" w:space="0" w:color="000000"/>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13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single" w:sz="4" w:space="0" w:color="000000"/>
              <w:left w:val="nil" w:sz="6" w:space="0" w:color="auto"/>
              <w:bottom w:val="single" w:sz="4" w:space="0" w:color="000000"/>
              <w:right w:val="nil" w:sz="6" w:space="0" w:color="auto"/>
            </w:tcBorders>
          </w:tcPr>
          <w:p>
            <w:pPr/>
          </w:p>
        </w:tc>
        <w:tc>
          <w:tcPr>
            <w:tcW w:w="1208"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48"/>
              <w:jc w:val="right"/>
              <w:rPr>
                <w:rFonts w:ascii="Arial" w:hAnsi="Arial" w:cs="Arial" w:eastAsia="Arial" w:hint="default"/>
                <w:sz w:val="18"/>
                <w:szCs w:val="18"/>
              </w:rPr>
            </w:pPr>
            <w:r>
              <w:rPr>
                <w:rFonts w:ascii="Arial"/>
                <w:w w:val="99"/>
                <w:sz w:val="18"/>
              </w:rPr>
              <w:t>-</w:t>
            </w:r>
            <w:r>
              <w:rPr>
                <w:rFonts w:ascii="Arial"/>
                <w:sz w:val="18"/>
              </w:rPr>
            </w:r>
          </w:p>
        </w:tc>
        <w:tc>
          <w:tcPr>
            <w:tcW w:w="144" w:type="dxa"/>
            <w:tcBorders>
              <w:top w:val="single" w:sz="4" w:space="0" w:color="000000"/>
              <w:left w:val="nil" w:sz="6" w:space="0" w:color="auto"/>
              <w:bottom w:val="single" w:sz="4" w:space="0" w:color="000000"/>
              <w:right w:val="nil" w:sz="6" w:space="0" w:color="auto"/>
            </w:tcBorders>
          </w:tcPr>
          <w:p>
            <w:pP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82"/>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single" w:sz="4" w:space="0" w:color="000000"/>
              <w:left w:val="nil" w:sz="6" w:space="0" w:color="auto"/>
              <w:bottom w:val="single" w:sz="4" w:space="0" w:color="000000"/>
              <w:right w:val="nil" w:sz="6" w:space="0" w:color="auto"/>
            </w:tcBorders>
          </w:tcPr>
          <w:p>
            <w:pPr/>
          </w:p>
        </w:tc>
        <w:tc>
          <w:tcPr>
            <w:tcW w:w="2134"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122"/>
              <w:jc w:val="right"/>
              <w:rPr>
                <w:rFonts w:ascii="Arial" w:hAnsi="Arial" w:cs="Arial" w:eastAsia="Arial" w:hint="default"/>
                <w:sz w:val="18"/>
                <w:szCs w:val="18"/>
              </w:rPr>
            </w:pPr>
            <w:r>
              <w:rPr>
                <w:rFonts w:ascii="Arial"/>
                <w:w w:val="99"/>
                <w:sz w:val="18"/>
              </w:rPr>
              <w:t>-</w:t>
            </w:r>
            <w:r>
              <w:rPr>
                <w:rFonts w:ascii="Arial"/>
                <w:sz w:val="18"/>
              </w:rPr>
            </w:r>
          </w:p>
        </w:tc>
      </w:tr>
      <w:tr>
        <w:trPr>
          <w:trHeight w:val="327" w:hRule="exact"/>
        </w:trPr>
        <w:tc>
          <w:tcPr>
            <w:tcW w:w="877" w:type="dxa"/>
            <w:tcBorders>
              <w:top w:val="nil" w:sz="6" w:space="0" w:color="auto"/>
              <w:left w:val="nil" w:sz="6" w:space="0" w:color="auto"/>
              <w:bottom w:val="nil" w:sz="6" w:space="0" w:color="auto"/>
              <w:right w:val="single" w:sz="4" w:space="0" w:color="000000"/>
            </w:tcBorders>
          </w:tcPr>
          <w:p>
            <w:pPr/>
          </w:p>
        </w:tc>
        <w:tc>
          <w:tcPr>
            <w:tcW w:w="2827"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98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69"/>
              <w:jc w:val="right"/>
              <w:rPr>
                <w:rFonts w:ascii="Arial" w:hAnsi="Arial" w:cs="Arial" w:eastAsia="Arial" w:hint="default"/>
                <w:sz w:val="18"/>
                <w:szCs w:val="18"/>
              </w:rPr>
            </w:pPr>
            <w:r>
              <w:rPr>
                <w:rFonts w:ascii="Arial"/>
                <w:w w:val="99"/>
                <w:sz w:val="18"/>
              </w:rPr>
              <w:t>-</w:t>
            </w:r>
            <w:r>
              <w:rPr>
                <w:rFonts w:ascii="Arial"/>
                <w:sz w:val="18"/>
              </w:rPr>
            </w:r>
          </w:p>
        </w:tc>
        <w:tc>
          <w:tcPr>
            <w:tcW w:w="137" w:type="dxa"/>
            <w:tcBorders>
              <w:top w:val="single" w:sz="4" w:space="0" w:color="000000"/>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10"/>
              <w:jc w:val="right"/>
              <w:rPr>
                <w:rFonts w:ascii="Arial" w:hAnsi="Arial" w:cs="Arial" w:eastAsia="Arial" w:hint="default"/>
                <w:sz w:val="18"/>
                <w:szCs w:val="18"/>
              </w:rPr>
            </w:pPr>
            <w:r>
              <w:rPr>
                <w:rFonts w:ascii="Arial"/>
                <w:w w:val="99"/>
                <w:sz w:val="18"/>
              </w:rPr>
              <w:t>-</w:t>
            </w:r>
            <w:r>
              <w:rPr>
                <w:rFonts w:ascii="Arial"/>
                <w:sz w:val="18"/>
              </w:rPr>
            </w:r>
          </w:p>
        </w:tc>
        <w:tc>
          <w:tcPr>
            <w:tcW w:w="144" w:type="dxa"/>
            <w:tcBorders>
              <w:top w:val="single" w:sz="4" w:space="0" w:color="000000"/>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74"/>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3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single" w:sz="4" w:space="0" w:color="000000"/>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48"/>
              <w:jc w:val="right"/>
              <w:rPr>
                <w:rFonts w:ascii="Arial" w:hAnsi="Arial" w:cs="Arial" w:eastAsia="Arial" w:hint="default"/>
                <w:sz w:val="18"/>
                <w:szCs w:val="18"/>
              </w:rPr>
            </w:pPr>
            <w:r>
              <w:rPr>
                <w:rFonts w:ascii="Arial"/>
                <w:w w:val="99"/>
                <w:sz w:val="18"/>
              </w:rPr>
              <w:t>-</w:t>
            </w:r>
            <w:r>
              <w:rPr>
                <w:rFonts w:ascii="Arial"/>
                <w:sz w:val="18"/>
              </w:rPr>
            </w:r>
          </w:p>
        </w:tc>
        <w:tc>
          <w:tcPr>
            <w:tcW w:w="144" w:type="dxa"/>
            <w:tcBorders>
              <w:top w:val="single" w:sz="4" w:space="0" w:color="000000"/>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82"/>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single" w:sz="4" w:space="0" w:color="000000"/>
              <w:left w:val="nil" w:sz="6" w:space="0" w:color="auto"/>
              <w:bottom w:val="nil" w:sz="6" w:space="0" w:color="auto"/>
              <w:right w:val="nil" w:sz="6" w:space="0" w:color="auto"/>
            </w:tcBorders>
          </w:tcPr>
          <w:p>
            <w:pPr/>
          </w:p>
        </w:tc>
        <w:tc>
          <w:tcPr>
            <w:tcW w:w="2134" w:type="dxa"/>
            <w:tcBorders>
              <w:top w:val="single" w:sz="4" w:space="0" w:color="000000"/>
              <w:left w:val="nil" w:sz="6" w:space="0" w:color="auto"/>
              <w:bottom w:val="nil" w:sz="6" w:space="0" w:color="auto"/>
              <w:right w:val="single" w:sz="4" w:space="0" w:color="000000"/>
            </w:tcBorders>
          </w:tcPr>
          <w:p>
            <w:pPr>
              <w:pStyle w:val="TableParagraph"/>
              <w:spacing w:line="240" w:lineRule="auto" w:before="64"/>
              <w:ind w:right="118"/>
              <w:jc w:val="right"/>
              <w:rPr>
                <w:rFonts w:ascii="Arial" w:hAnsi="Arial" w:cs="Arial" w:eastAsia="Arial" w:hint="default"/>
                <w:sz w:val="18"/>
                <w:szCs w:val="18"/>
              </w:rPr>
            </w:pPr>
            <w:r>
              <w:rPr>
                <w:rFonts w:ascii="Arial"/>
                <w:w w:val="99"/>
                <w:sz w:val="18"/>
              </w:rPr>
              <w:t>-</w:t>
            </w:r>
            <w:r>
              <w:rPr>
                <w:rFonts w:ascii="Arial"/>
                <w:sz w:val="18"/>
              </w:rPr>
            </w:r>
          </w:p>
        </w:tc>
      </w:tr>
      <w:tr>
        <w:trPr>
          <w:trHeight w:val="311" w:hRule="exact"/>
        </w:trPr>
        <w:tc>
          <w:tcPr>
            <w:tcW w:w="877" w:type="dxa"/>
            <w:tcBorders>
              <w:top w:val="nil" w:sz="6" w:space="0" w:color="auto"/>
              <w:left w:val="nil" w:sz="6" w:space="0" w:color="auto"/>
              <w:bottom w:val="nil" w:sz="6" w:space="0" w:color="auto"/>
              <w:right w:val="single" w:sz="4" w:space="0" w:color="000000"/>
            </w:tcBorders>
          </w:tcPr>
          <w:p>
            <w:pPr/>
          </w:p>
        </w:tc>
        <w:tc>
          <w:tcPr>
            <w:tcW w:w="2827" w:type="dxa"/>
            <w:tcBorders>
              <w:top w:val="nil" w:sz="6" w:space="0" w:color="auto"/>
              <w:left w:val="single" w:sz="4" w:space="0" w:color="000000"/>
              <w:bottom w:val="single" w:sz="4" w:space="0" w:color="000000"/>
              <w:right w:val="nil" w:sz="6" w:space="0" w:color="auto"/>
            </w:tcBorders>
          </w:tcPr>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988"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69"/>
              <w:jc w:val="right"/>
              <w:rPr>
                <w:rFonts w:ascii="Arial" w:hAnsi="Arial" w:cs="Arial" w:eastAsia="Arial" w:hint="default"/>
                <w:sz w:val="18"/>
                <w:szCs w:val="18"/>
              </w:rPr>
            </w:pPr>
            <w:r>
              <w:rPr>
                <w:rFonts w:ascii="Arial"/>
                <w:w w:val="99"/>
                <w:sz w:val="18"/>
              </w:rPr>
              <w:t>-</w:t>
            </w:r>
            <w:r>
              <w:rPr>
                <w:rFonts w:ascii="Arial"/>
                <w:sz w:val="18"/>
              </w:rPr>
            </w:r>
          </w:p>
        </w:tc>
        <w:tc>
          <w:tcPr>
            <w:tcW w:w="137" w:type="dxa"/>
            <w:tcBorders>
              <w:top w:val="nil" w:sz="6" w:space="0" w:color="auto"/>
              <w:left w:val="nil" w:sz="6" w:space="0" w:color="auto"/>
              <w:bottom w:val="single" w:sz="4" w:space="0" w:color="000000"/>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10"/>
              <w:jc w:val="right"/>
              <w:rPr>
                <w:rFonts w:ascii="Arial" w:hAnsi="Arial" w:cs="Arial" w:eastAsia="Arial" w:hint="default"/>
                <w:sz w:val="18"/>
                <w:szCs w:val="18"/>
              </w:rPr>
            </w:pPr>
            <w:r>
              <w:rPr>
                <w:rFonts w:ascii="Arial"/>
                <w:w w:val="99"/>
                <w:sz w:val="18"/>
              </w:rPr>
              <w:t>-</w:t>
            </w:r>
            <w:r>
              <w:rPr>
                <w:rFonts w:ascii="Arial"/>
                <w:sz w:val="18"/>
              </w:rPr>
            </w:r>
          </w:p>
        </w:tc>
        <w:tc>
          <w:tcPr>
            <w:tcW w:w="144" w:type="dxa"/>
            <w:tcBorders>
              <w:top w:val="nil" w:sz="6" w:space="0" w:color="auto"/>
              <w:left w:val="nil" w:sz="6" w:space="0" w:color="auto"/>
              <w:bottom w:val="single" w:sz="4" w:space="0" w:color="000000"/>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74"/>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single" w:sz="4" w:space="0" w:color="000000"/>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3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single" w:sz="4" w:space="0" w:color="000000"/>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48"/>
              <w:jc w:val="right"/>
              <w:rPr>
                <w:rFonts w:ascii="Arial" w:hAnsi="Arial" w:cs="Arial" w:eastAsia="Arial" w:hint="default"/>
                <w:sz w:val="18"/>
                <w:szCs w:val="18"/>
              </w:rPr>
            </w:pPr>
            <w:r>
              <w:rPr>
                <w:rFonts w:ascii="Arial"/>
                <w:w w:val="99"/>
                <w:sz w:val="18"/>
              </w:rPr>
              <w:t>-</w:t>
            </w:r>
            <w:r>
              <w:rPr>
                <w:rFonts w:ascii="Arial"/>
                <w:sz w:val="18"/>
              </w:rPr>
            </w:r>
          </w:p>
        </w:tc>
        <w:tc>
          <w:tcPr>
            <w:tcW w:w="144" w:type="dxa"/>
            <w:tcBorders>
              <w:top w:val="nil" w:sz="6" w:space="0" w:color="auto"/>
              <w:left w:val="nil" w:sz="6" w:space="0" w:color="auto"/>
              <w:bottom w:val="single" w:sz="4" w:space="0" w:color="000000"/>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82"/>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single" w:sz="4" w:space="0" w:color="000000"/>
              <w:right w:val="nil" w:sz="6" w:space="0" w:color="auto"/>
            </w:tcBorders>
          </w:tcPr>
          <w:p>
            <w:pPr/>
          </w:p>
        </w:tc>
        <w:tc>
          <w:tcPr>
            <w:tcW w:w="2134" w:type="dxa"/>
            <w:tcBorders>
              <w:top w:val="nil" w:sz="6" w:space="0" w:color="auto"/>
              <w:left w:val="nil" w:sz="6" w:space="0" w:color="auto"/>
              <w:bottom w:val="single" w:sz="4" w:space="0" w:color="000000"/>
              <w:right w:val="single" w:sz="4" w:space="0" w:color="000000"/>
            </w:tcBorders>
          </w:tcPr>
          <w:p>
            <w:pPr>
              <w:pStyle w:val="TableParagraph"/>
              <w:spacing w:line="240" w:lineRule="auto" w:before="56"/>
              <w:ind w:right="118"/>
              <w:jc w:val="right"/>
              <w:rPr>
                <w:rFonts w:ascii="Arial" w:hAnsi="Arial" w:cs="Arial" w:eastAsia="Arial" w:hint="default"/>
                <w:sz w:val="18"/>
                <w:szCs w:val="18"/>
              </w:rPr>
            </w:pPr>
            <w:r>
              <w:rPr>
                <w:rFonts w:ascii="Arial"/>
                <w:w w:val="99"/>
                <w:sz w:val="18"/>
              </w:rPr>
              <w:t>-</w:t>
            </w:r>
            <w:r>
              <w:rPr>
                <w:rFonts w:ascii="Arial"/>
                <w:sz w:val="18"/>
              </w:rPr>
            </w:r>
          </w:p>
        </w:tc>
      </w:tr>
      <w:tr>
        <w:trPr>
          <w:trHeight w:val="295" w:hRule="exact"/>
        </w:trPr>
        <w:tc>
          <w:tcPr>
            <w:tcW w:w="877" w:type="dxa"/>
            <w:tcBorders>
              <w:top w:val="nil" w:sz="6" w:space="0" w:color="auto"/>
              <w:left w:val="nil" w:sz="6" w:space="0" w:color="auto"/>
              <w:bottom w:val="nil" w:sz="6" w:space="0" w:color="auto"/>
              <w:right w:val="nil" w:sz="6" w:space="0" w:color="auto"/>
            </w:tcBorders>
          </w:tcPr>
          <w:p>
            <w:pPr/>
          </w:p>
        </w:tc>
        <w:tc>
          <w:tcPr>
            <w:tcW w:w="2827" w:type="dxa"/>
            <w:tcBorders>
              <w:top w:val="single" w:sz="4" w:space="0" w:color="000000"/>
              <w:left w:val="nil" w:sz="6" w:space="0" w:color="auto"/>
              <w:bottom w:val="nil" w:sz="6" w:space="0" w:color="auto"/>
              <w:right w:val="nil" w:sz="6" w:space="0" w:color="auto"/>
            </w:tcBorders>
          </w:tcPr>
          <w:p>
            <w:pPr/>
          </w:p>
        </w:tc>
        <w:tc>
          <w:tcPr>
            <w:tcW w:w="1988" w:type="dxa"/>
            <w:tcBorders>
              <w:top w:val="single" w:sz="4" w:space="0" w:color="000000"/>
              <w:left w:val="nil" w:sz="6" w:space="0" w:color="auto"/>
              <w:bottom w:val="single" w:sz="4" w:space="0" w:color="000000"/>
              <w:right w:val="nil" w:sz="6" w:space="0" w:color="auto"/>
            </w:tcBorders>
          </w:tcPr>
          <w:p>
            <w:pPr/>
          </w:p>
        </w:tc>
        <w:tc>
          <w:tcPr>
            <w:tcW w:w="137" w:type="dxa"/>
            <w:tcBorders>
              <w:top w:val="single" w:sz="4" w:space="0" w:color="000000"/>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single" w:sz="4" w:space="0" w:color="000000"/>
              <w:right w:val="nil" w:sz="6" w:space="0" w:color="auto"/>
            </w:tcBorders>
          </w:tcPr>
          <w:p>
            <w:pPr/>
          </w:p>
        </w:tc>
        <w:tc>
          <w:tcPr>
            <w:tcW w:w="144" w:type="dxa"/>
            <w:tcBorders>
              <w:top w:val="single" w:sz="4" w:space="0" w:color="000000"/>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139"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
        </w:tc>
        <w:tc>
          <w:tcPr>
            <w:tcW w:w="142" w:type="dxa"/>
            <w:tcBorders>
              <w:top w:val="single" w:sz="4" w:space="0" w:color="000000"/>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4" w:space="0" w:color="000000"/>
              <w:right w:val="nil" w:sz="6" w:space="0" w:color="auto"/>
            </w:tcBorders>
          </w:tcPr>
          <w:p>
            <w:pPr/>
          </w:p>
        </w:tc>
        <w:tc>
          <w:tcPr>
            <w:tcW w:w="144" w:type="dxa"/>
            <w:tcBorders>
              <w:top w:val="single" w:sz="4" w:space="0" w:color="000000"/>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4" w:space="0" w:color="000000"/>
              <w:right w:val="nil" w:sz="6" w:space="0" w:color="auto"/>
            </w:tcBorders>
          </w:tcPr>
          <w:p>
            <w:pPr/>
          </w:p>
        </w:tc>
        <w:tc>
          <w:tcPr>
            <w:tcW w:w="139" w:type="dxa"/>
            <w:tcBorders>
              <w:top w:val="single" w:sz="4" w:space="0" w:color="000000"/>
              <w:left w:val="nil" w:sz="6" w:space="0" w:color="auto"/>
              <w:bottom w:val="nil" w:sz="6" w:space="0" w:color="auto"/>
              <w:right w:val="nil" w:sz="6" w:space="0" w:color="auto"/>
            </w:tcBorders>
          </w:tcPr>
          <w:p>
            <w:pPr/>
          </w:p>
        </w:tc>
        <w:tc>
          <w:tcPr>
            <w:tcW w:w="2134" w:type="dxa"/>
            <w:tcBorders>
              <w:top w:val="single" w:sz="4" w:space="0" w:color="000000"/>
              <w:left w:val="nil" w:sz="6" w:space="0" w:color="auto"/>
              <w:bottom w:val="single" w:sz="4" w:space="0" w:color="000000"/>
              <w:right w:val="nil" w:sz="6" w:space="0" w:color="auto"/>
            </w:tcBorders>
          </w:tcPr>
          <w:p>
            <w:pPr/>
          </w:p>
        </w:tc>
      </w:tr>
      <w:tr>
        <w:trPr>
          <w:trHeight w:val="298" w:hRule="exact"/>
        </w:trPr>
        <w:tc>
          <w:tcPr>
            <w:tcW w:w="877" w:type="dxa"/>
            <w:tcBorders>
              <w:top w:val="nil" w:sz="6" w:space="0" w:color="auto"/>
              <w:left w:val="nil" w:sz="6" w:space="0" w:color="auto"/>
              <w:bottom w:val="nil" w:sz="6" w:space="0" w:color="auto"/>
              <w:right w:val="nil" w:sz="6" w:space="0" w:color="auto"/>
            </w:tcBorders>
          </w:tcPr>
          <w:p>
            <w:pPr/>
          </w:p>
        </w:tc>
        <w:tc>
          <w:tcPr>
            <w:tcW w:w="2827" w:type="dxa"/>
            <w:tcBorders>
              <w:top w:val="nil" w:sz="6" w:space="0" w:color="auto"/>
              <w:left w:val="nil" w:sz="6" w:space="0" w:color="auto"/>
              <w:bottom w:val="nil" w:sz="6" w:space="0" w:color="auto"/>
              <w:right w:val="nil" w:sz="6" w:space="0" w:color="auto"/>
            </w:tcBorders>
          </w:tcPr>
          <w:p>
            <w:pPr/>
          </w:p>
        </w:tc>
        <w:tc>
          <w:tcPr>
            <w:tcW w:w="1988"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68"/>
              <w:jc w:val="right"/>
              <w:rPr>
                <w:rFonts w:ascii="Arial" w:hAnsi="Arial" w:cs="Arial" w:eastAsia="Arial" w:hint="default"/>
                <w:sz w:val="18"/>
                <w:szCs w:val="18"/>
              </w:rPr>
            </w:pPr>
            <w:r>
              <w:rPr>
                <w:rFonts w:ascii="Arial"/>
                <w:spacing w:val="-1"/>
                <w:sz w:val="18"/>
              </w:rPr>
              <w:t>1,559,085</w:t>
            </w:r>
          </w:p>
        </w:tc>
        <w:tc>
          <w:tcPr>
            <w:tcW w:w="137" w:type="dxa"/>
            <w:tcBorders>
              <w:top w:val="nil" w:sz="6" w:space="0" w:color="auto"/>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112"/>
              <w:jc w:val="right"/>
              <w:rPr>
                <w:rFonts w:ascii="Arial" w:hAnsi="Arial" w:cs="Arial" w:eastAsia="Arial" w:hint="default"/>
                <w:sz w:val="18"/>
                <w:szCs w:val="18"/>
              </w:rPr>
            </w:pPr>
            <w:r>
              <w:rPr>
                <w:rFonts w:ascii="Arial"/>
                <w:spacing w:val="-1"/>
                <w:sz w:val="18"/>
              </w:rPr>
              <w:t>490,799</w:t>
            </w:r>
          </w:p>
        </w:tc>
        <w:tc>
          <w:tcPr>
            <w:tcW w:w="144" w:type="dxa"/>
            <w:tcBorders>
              <w:top w:val="nil" w:sz="6" w:space="0" w:color="auto"/>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74"/>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13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47"/>
              <w:jc w:val="right"/>
              <w:rPr>
                <w:rFonts w:ascii="Arial" w:hAnsi="Arial" w:cs="Arial" w:eastAsia="Arial" w:hint="default"/>
                <w:sz w:val="18"/>
                <w:szCs w:val="18"/>
              </w:rPr>
            </w:pPr>
            <w:r>
              <w:rPr>
                <w:rFonts w:ascii="Arial"/>
                <w:spacing w:val="-1"/>
                <w:sz w:val="18"/>
              </w:rPr>
              <w:t>386,831</w:t>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80"/>
              <w:jc w:val="right"/>
              <w:rPr>
                <w:rFonts w:ascii="Arial" w:hAnsi="Arial" w:cs="Arial" w:eastAsia="Arial" w:hint="default"/>
                <w:sz w:val="18"/>
                <w:szCs w:val="18"/>
              </w:rPr>
            </w:pPr>
            <w:r>
              <w:rPr>
                <w:rFonts w:ascii="Arial"/>
                <w:spacing w:val="-1"/>
                <w:sz w:val="18"/>
              </w:rPr>
              <w:t>877,630</w:t>
            </w:r>
          </w:p>
        </w:tc>
        <w:tc>
          <w:tcPr>
            <w:tcW w:w="139" w:type="dxa"/>
            <w:tcBorders>
              <w:top w:val="nil" w:sz="6" w:space="0" w:color="auto"/>
              <w:left w:val="nil" w:sz="6" w:space="0" w:color="auto"/>
              <w:bottom w:val="nil" w:sz="6" w:space="0" w:color="auto"/>
              <w:right w:val="nil" w:sz="6" w:space="0" w:color="auto"/>
            </w:tcBorders>
          </w:tcPr>
          <w:p>
            <w:pPr/>
          </w:p>
        </w:tc>
        <w:tc>
          <w:tcPr>
            <w:tcW w:w="2134"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76"/>
              <w:jc w:val="right"/>
              <w:rPr>
                <w:rFonts w:ascii="Arial" w:hAnsi="Arial" w:cs="Arial" w:eastAsia="Arial" w:hint="default"/>
                <w:sz w:val="18"/>
                <w:szCs w:val="18"/>
              </w:rPr>
            </w:pPr>
            <w:r>
              <w:rPr>
                <w:rFonts w:ascii="Arial"/>
                <w:spacing w:val="-1"/>
                <w:sz w:val="18"/>
              </w:rPr>
              <w:t>2,436,715</w:t>
            </w:r>
          </w:p>
        </w:tc>
      </w:tr>
      <w:tr>
        <w:trPr>
          <w:trHeight w:val="607" w:hRule="exact"/>
        </w:trPr>
        <w:tc>
          <w:tcPr>
            <w:tcW w:w="877" w:type="dxa"/>
            <w:tcBorders>
              <w:top w:val="nil" w:sz="6" w:space="0" w:color="auto"/>
              <w:left w:val="nil" w:sz="6" w:space="0" w:color="auto"/>
              <w:bottom w:val="nil" w:sz="6" w:space="0" w:color="auto"/>
              <w:right w:val="nil" w:sz="6" w:space="0" w:color="auto"/>
            </w:tcBorders>
          </w:tcPr>
          <w:p>
            <w:pPr/>
          </w:p>
        </w:tc>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3" w:right="0"/>
              <w:jc w:val="left"/>
              <w:rPr>
                <w:rFonts w:ascii="Arial" w:hAnsi="Arial" w:cs="Arial" w:eastAsia="Arial" w:hint="default"/>
                <w:sz w:val="18"/>
                <w:szCs w:val="18"/>
              </w:rPr>
            </w:pPr>
            <w:r>
              <w:rPr>
                <w:rFonts w:ascii="宋体" w:hAnsi="宋体" w:cs="宋体" w:eastAsia="宋体" w:hint="default"/>
                <w:sz w:val="18"/>
                <w:szCs w:val="18"/>
              </w:rPr>
              <w:t>无限售条件股份</w:t>
            </w:r>
            <w:r>
              <w:rPr>
                <w:rFonts w:ascii="宋体" w:hAnsi="宋体" w:cs="宋体" w:eastAsia="宋体" w:hint="default"/>
                <w:spacing w:val="1"/>
                <w:sz w:val="18"/>
                <w:szCs w:val="18"/>
              </w:rPr>
              <w:t> </w:t>
            </w:r>
            <w:r>
              <w:rPr>
                <w:rFonts w:ascii="Arial" w:hAnsi="Arial" w:cs="Arial" w:eastAsia="Arial" w:hint="default"/>
                <w:sz w:val="18"/>
                <w:szCs w:val="18"/>
              </w:rPr>
              <w:t>-</w:t>
            </w:r>
          </w:p>
        </w:tc>
        <w:tc>
          <w:tcPr>
            <w:tcW w:w="1988" w:type="dxa"/>
            <w:tcBorders>
              <w:top w:val="single" w:sz="4" w:space="0" w:color="000000"/>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34" w:type="dxa"/>
            <w:tcBorders>
              <w:top w:val="single" w:sz="4" w:space="0" w:color="000000"/>
              <w:left w:val="nil" w:sz="6" w:space="0" w:color="auto"/>
              <w:bottom w:val="nil" w:sz="6" w:space="0" w:color="auto"/>
              <w:right w:val="nil" w:sz="6" w:space="0" w:color="auto"/>
            </w:tcBorders>
          </w:tcPr>
          <w:p>
            <w:pPr/>
          </w:p>
        </w:tc>
      </w:tr>
      <w:tr>
        <w:trPr>
          <w:trHeight w:val="318" w:hRule="exact"/>
        </w:trPr>
        <w:tc>
          <w:tcPr>
            <w:tcW w:w="877" w:type="dxa"/>
            <w:tcBorders>
              <w:top w:val="nil" w:sz="6" w:space="0" w:color="auto"/>
              <w:left w:val="nil" w:sz="6" w:space="0" w:color="auto"/>
              <w:bottom w:val="nil" w:sz="6" w:space="0" w:color="auto"/>
              <w:right w:val="nil" w:sz="6" w:space="0" w:color="auto"/>
            </w:tcBorders>
          </w:tcPr>
          <w:p>
            <w:pPr/>
          </w:p>
        </w:tc>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
              <w:ind w:left="4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8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68"/>
              <w:jc w:val="right"/>
              <w:rPr>
                <w:rFonts w:ascii="Arial" w:hAnsi="Arial" w:cs="Arial" w:eastAsia="Arial" w:hint="default"/>
                <w:sz w:val="18"/>
                <w:szCs w:val="18"/>
              </w:rPr>
            </w:pPr>
            <w:r>
              <w:rPr>
                <w:rFonts w:ascii="Arial"/>
                <w:spacing w:val="-1"/>
                <w:sz w:val="18"/>
              </w:rPr>
              <w:t>5,437,127</w:t>
            </w:r>
          </w:p>
        </w:tc>
        <w:tc>
          <w:tcPr>
            <w:tcW w:w="137"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63"/>
              <w:jc w:val="right"/>
              <w:rPr>
                <w:rFonts w:ascii="Arial" w:hAnsi="Arial" w:cs="Arial" w:eastAsia="Arial" w:hint="default"/>
                <w:sz w:val="18"/>
                <w:szCs w:val="18"/>
              </w:rPr>
            </w:pPr>
            <w:r>
              <w:rPr>
                <w:rFonts w:ascii="Arial"/>
                <w:spacing w:val="-1"/>
                <w:sz w:val="18"/>
              </w:rPr>
              <w:t>(490,799)</w:t>
            </w:r>
          </w:p>
        </w:tc>
        <w:tc>
          <w:tcPr>
            <w:tcW w:w="144"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74"/>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3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48"/>
              <w:jc w:val="right"/>
              <w:rPr>
                <w:rFonts w:ascii="Arial" w:hAnsi="Arial" w:cs="Arial" w:eastAsia="Arial" w:hint="default"/>
                <w:sz w:val="18"/>
                <w:szCs w:val="18"/>
              </w:rPr>
            </w:pPr>
            <w:r>
              <w:rPr>
                <w:rFonts w:ascii="Arial"/>
                <w:w w:val="99"/>
                <w:sz w:val="18"/>
              </w:rPr>
              <w:t>-</w:t>
            </w:r>
            <w:r>
              <w:rPr>
                <w:rFonts w:ascii="Arial"/>
                <w:sz w:val="18"/>
              </w:rPr>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8"/>
              <w:jc w:val="right"/>
              <w:rPr>
                <w:rFonts w:ascii="Arial" w:hAnsi="Arial" w:cs="Arial" w:eastAsia="Arial" w:hint="default"/>
                <w:sz w:val="18"/>
                <w:szCs w:val="18"/>
              </w:rPr>
            </w:pPr>
            <w:r>
              <w:rPr>
                <w:rFonts w:ascii="Arial"/>
                <w:spacing w:val="-1"/>
                <w:sz w:val="18"/>
              </w:rPr>
              <w:t>(490,799)</w:t>
            </w:r>
          </w:p>
        </w:tc>
        <w:tc>
          <w:tcPr>
            <w:tcW w:w="139"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76"/>
              <w:jc w:val="right"/>
              <w:rPr>
                <w:rFonts w:ascii="Arial" w:hAnsi="Arial" w:cs="Arial" w:eastAsia="Arial" w:hint="default"/>
                <w:sz w:val="18"/>
                <w:szCs w:val="18"/>
              </w:rPr>
            </w:pPr>
            <w:r>
              <w:rPr>
                <w:rFonts w:ascii="Arial"/>
                <w:spacing w:val="-1"/>
                <w:sz w:val="18"/>
              </w:rPr>
              <w:t>4,946,328</w:t>
            </w:r>
          </w:p>
        </w:tc>
      </w:tr>
      <w:tr>
        <w:trPr>
          <w:trHeight w:val="307" w:hRule="exact"/>
        </w:trPr>
        <w:tc>
          <w:tcPr>
            <w:tcW w:w="877" w:type="dxa"/>
            <w:tcBorders>
              <w:top w:val="nil" w:sz="6" w:space="0" w:color="auto"/>
              <w:left w:val="nil" w:sz="6" w:space="0" w:color="auto"/>
              <w:bottom w:val="nil" w:sz="6" w:space="0" w:color="auto"/>
              <w:right w:val="nil" w:sz="6" w:space="0" w:color="auto"/>
            </w:tcBorders>
          </w:tcPr>
          <w:p>
            <w:pPr/>
          </w:p>
        </w:tc>
        <w:tc>
          <w:tcPr>
            <w:tcW w:w="2827" w:type="dxa"/>
            <w:tcBorders>
              <w:top w:val="nil" w:sz="6" w:space="0" w:color="auto"/>
              <w:left w:val="nil" w:sz="6" w:space="0" w:color="auto"/>
              <w:bottom w:val="nil" w:sz="6" w:space="0" w:color="auto"/>
              <w:right w:val="nil" w:sz="6" w:space="0" w:color="auto"/>
            </w:tcBorders>
          </w:tcPr>
          <w:p>
            <w:pPr/>
          </w:p>
        </w:tc>
        <w:tc>
          <w:tcPr>
            <w:tcW w:w="1988"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69"/>
              <w:jc w:val="right"/>
              <w:rPr>
                <w:rFonts w:ascii="Arial" w:hAnsi="Arial" w:cs="Arial" w:eastAsia="Arial" w:hint="default"/>
                <w:sz w:val="18"/>
                <w:szCs w:val="18"/>
              </w:rPr>
            </w:pPr>
            <w:r>
              <w:rPr>
                <w:rFonts w:ascii="Arial"/>
                <w:spacing w:val="-1"/>
                <w:sz w:val="18"/>
              </w:rPr>
              <w:t>6,996,212</w:t>
            </w:r>
          </w:p>
        </w:tc>
        <w:tc>
          <w:tcPr>
            <w:tcW w:w="137" w:type="dxa"/>
            <w:tcBorders>
              <w:top w:val="nil" w:sz="6" w:space="0" w:color="auto"/>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10"/>
              <w:jc w:val="right"/>
              <w:rPr>
                <w:rFonts w:ascii="Arial" w:hAnsi="Arial" w:cs="Arial" w:eastAsia="Arial" w:hint="default"/>
                <w:sz w:val="18"/>
                <w:szCs w:val="18"/>
              </w:rPr>
            </w:pPr>
            <w:r>
              <w:rPr>
                <w:rFonts w:ascii="Arial"/>
                <w:w w:val="99"/>
                <w:sz w:val="18"/>
              </w:rPr>
              <w:t>-</w:t>
            </w:r>
            <w:r>
              <w:rPr>
                <w:rFonts w:ascii="Arial"/>
                <w:sz w:val="18"/>
              </w:rPr>
            </w:r>
          </w:p>
        </w:tc>
        <w:tc>
          <w:tcPr>
            <w:tcW w:w="144" w:type="dxa"/>
            <w:tcBorders>
              <w:top w:val="nil" w:sz="6" w:space="0" w:color="auto"/>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74"/>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3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47"/>
              <w:jc w:val="right"/>
              <w:rPr>
                <w:rFonts w:ascii="Arial" w:hAnsi="Arial" w:cs="Arial" w:eastAsia="Arial" w:hint="default"/>
                <w:sz w:val="18"/>
                <w:szCs w:val="18"/>
              </w:rPr>
            </w:pPr>
            <w:r>
              <w:rPr>
                <w:rFonts w:ascii="Arial"/>
                <w:spacing w:val="-1"/>
                <w:sz w:val="18"/>
              </w:rPr>
              <w:t>386,831</w:t>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80"/>
              <w:jc w:val="right"/>
              <w:rPr>
                <w:rFonts w:ascii="Arial" w:hAnsi="Arial" w:cs="Arial" w:eastAsia="Arial" w:hint="default"/>
                <w:sz w:val="18"/>
                <w:szCs w:val="18"/>
              </w:rPr>
            </w:pPr>
            <w:r>
              <w:rPr>
                <w:rFonts w:ascii="Arial"/>
                <w:spacing w:val="-1"/>
                <w:sz w:val="18"/>
              </w:rPr>
              <w:t>386,831</w:t>
            </w:r>
          </w:p>
        </w:tc>
        <w:tc>
          <w:tcPr>
            <w:tcW w:w="139" w:type="dxa"/>
            <w:tcBorders>
              <w:top w:val="nil" w:sz="6" w:space="0" w:color="auto"/>
              <w:left w:val="nil" w:sz="6" w:space="0" w:color="auto"/>
              <w:bottom w:val="nil" w:sz="6" w:space="0" w:color="auto"/>
              <w:right w:val="nil" w:sz="6" w:space="0" w:color="auto"/>
            </w:tcBorders>
          </w:tcPr>
          <w:p>
            <w:pPr/>
          </w:p>
        </w:tc>
        <w:tc>
          <w:tcPr>
            <w:tcW w:w="2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76"/>
              <w:jc w:val="right"/>
              <w:rPr>
                <w:rFonts w:ascii="Arial" w:hAnsi="Arial" w:cs="Arial" w:eastAsia="Arial" w:hint="default"/>
                <w:sz w:val="18"/>
                <w:szCs w:val="18"/>
              </w:rPr>
            </w:pPr>
            <w:r>
              <w:rPr>
                <w:rFonts w:ascii="Arial"/>
                <w:spacing w:val="-1"/>
                <w:sz w:val="18"/>
              </w:rPr>
              <w:t>7,383,043</w:t>
            </w:r>
          </w:p>
        </w:tc>
      </w:tr>
      <w:tr>
        <w:trPr>
          <w:trHeight w:val="1560" w:hRule="exact"/>
        </w:trPr>
        <w:tc>
          <w:tcPr>
            <w:tcW w:w="877" w:type="dxa"/>
            <w:tcBorders>
              <w:top w:val="nil" w:sz="6" w:space="0" w:color="auto"/>
              <w:left w:val="nil" w:sz="6" w:space="0" w:color="auto"/>
              <w:bottom w:val="nil" w:sz="6" w:space="0" w:color="auto"/>
              <w:right w:val="nil" w:sz="6" w:space="0" w:color="auto"/>
            </w:tcBorders>
          </w:tcPr>
          <w:p>
            <w:pPr/>
          </w:p>
        </w:tc>
        <w:tc>
          <w:tcPr>
            <w:tcW w:w="13742" w:type="dxa"/>
            <w:gridSpan w:val="1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20" w:lineRule="exact"/>
              <w:ind w:left="43" w:right="0"/>
              <w:jc w:val="left"/>
              <w:rPr>
                <w:rFonts w:ascii="宋体" w:hAnsi="宋体" w:cs="宋体" w:eastAsia="宋体" w:hint="default"/>
                <w:sz w:val="24"/>
                <w:szCs w:val="24"/>
              </w:rPr>
            </w:pPr>
            <w:r>
              <w:rPr>
                <w:rFonts w:ascii="宋体" w:hAnsi="宋体" w:cs="宋体" w:eastAsia="宋体" w:hint="default"/>
                <w:sz w:val="24"/>
                <w:szCs w:val="24"/>
              </w:rPr>
              <w:t>经中国证券监督管理委员会于</w:t>
            </w:r>
            <w:r>
              <w:rPr>
                <w:rFonts w:ascii="宋体" w:hAnsi="宋体" w:cs="宋体" w:eastAsia="宋体" w:hint="default"/>
                <w:spacing w:val="-61"/>
                <w:sz w:val="24"/>
                <w:szCs w:val="24"/>
              </w:rPr>
              <w:t> </w:t>
            </w: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4</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日签发的证监许可字</w:t>
            </w:r>
            <w:r>
              <w:rPr>
                <w:rFonts w:ascii="Arial" w:hAnsi="Arial" w:cs="Arial" w:eastAsia="Arial" w:hint="default"/>
                <w:sz w:val="24"/>
                <w:szCs w:val="24"/>
              </w:rPr>
              <w:t>[2012]477</w:t>
            </w:r>
            <w:r>
              <w:rPr>
                <w:rFonts w:ascii="Arial" w:hAnsi="Arial" w:cs="Arial" w:eastAsia="Arial" w:hint="default"/>
                <w:spacing w:val="-7"/>
                <w:sz w:val="24"/>
                <w:szCs w:val="24"/>
              </w:rPr>
              <w:t> </w:t>
            </w:r>
            <w:r>
              <w:rPr>
                <w:rFonts w:ascii="宋体" w:hAnsi="宋体" w:cs="宋体" w:eastAsia="宋体" w:hint="default"/>
                <w:spacing w:val="-3"/>
                <w:sz w:val="24"/>
                <w:szCs w:val="24"/>
              </w:rPr>
              <w:t>号《关于核准苏宁电器股份有限公司非公开发行股票</w:t>
            </w:r>
          </w:p>
          <w:p>
            <w:pPr>
              <w:pStyle w:val="TableParagraph"/>
              <w:spacing w:line="311" w:lineRule="exact"/>
              <w:ind w:left="43" w:right="0"/>
              <w:jc w:val="left"/>
              <w:rPr>
                <w:rFonts w:ascii="宋体" w:hAnsi="宋体" w:cs="宋体" w:eastAsia="宋体" w:hint="default"/>
                <w:sz w:val="24"/>
                <w:szCs w:val="24"/>
              </w:rPr>
            </w:pPr>
            <w:r>
              <w:rPr>
                <w:rFonts w:ascii="宋体" w:hAnsi="宋体" w:cs="宋体" w:eastAsia="宋体" w:hint="default"/>
                <w:sz w:val="24"/>
                <w:szCs w:val="24"/>
              </w:rPr>
              <w:t>的批复》批准，本公司于</w:t>
            </w:r>
            <w:r>
              <w:rPr>
                <w:rFonts w:ascii="宋体" w:hAnsi="宋体" w:cs="宋体" w:eastAsia="宋体" w:hint="default"/>
                <w:spacing w:val="-55"/>
                <w:sz w:val="24"/>
                <w:szCs w:val="24"/>
              </w:rPr>
              <w:t> </w:t>
            </w:r>
            <w:r>
              <w:rPr>
                <w:rFonts w:ascii="Arial" w:hAnsi="Arial" w:cs="Arial" w:eastAsia="Arial" w:hint="default"/>
                <w:sz w:val="24"/>
                <w:szCs w:val="24"/>
              </w:rPr>
              <w:t>2012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7</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sz w:val="24"/>
                <w:szCs w:val="24"/>
              </w:rPr>
              <w:t>2</w:t>
            </w:r>
            <w:r>
              <w:rPr>
                <w:rFonts w:ascii="Arial" w:hAnsi="Arial" w:cs="Arial" w:eastAsia="Arial" w:hint="default"/>
                <w:spacing w:val="-1"/>
                <w:sz w:val="24"/>
                <w:szCs w:val="24"/>
              </w:rPr>
              <w:t> </w:t>
            </w:r>
            <w:r>
              <w:rPr>
                <w:rFonts w:ascii="宋体" w:hAnsi="宋体" w:cs="宋体" w:eastAsia="宋体" w:hint="default"/>
                <w:sz w:val="24"/>
                <w:szCs w:val="24"/>
              </w:rPr>
              <w:t>日以非公开发行股票的方式向特定投资者发行人民币普通股</w:t>
            </w:r>
            <w:r>
              <w:rPr>
                <w:rFonts w:ascii="Arial" w:hAnsi="Arial" w:cs="Arial" w:eastAsia="Arial" w:hint="default"/>
                <w:sz w:val="24"/>
                <w:szCs w:val="24"/>
              </w:rPr>
              <w:t>(A</w:t>
            </w:r>
            <w:r>
              <w:rPr>
                <w:rFonts w:ascii="Arial" w:hAnsi="Arial" w:cs="Arial" w:eastAsia="Arial" w:hint="default"/>
                <w:spacing w:val="-1"/>
                <w:sz w:val="24"/>
                <w:szCs w:val="24"/>
              </w:rPr>
              <w:t> </w:t>
            </w:r>
            <w:r>
              <w:rPr>
                <w:rFonts w:ascii="宋体" w:hAnsi="宋体" w:cs="宋体" w:eastAsia="宋体" w:hint="default"/>
                <w:sz w:val="24"/>
                <w:szCs w:val="24"/>
              </w:rPr>
              <w:t>股</w:t>
            </w:r>
            <w:r>
              <w:rPr>
                <w:rFonts w:ascii="Arial" w:hAnsi="Arial" w:cs="Arial" w:eastAsia="Arial" w:hint="default"/>
                <w:sz w:val="24"/>
                <w:szCs w:val="24"/>
              </w:rPr>
              <w:t>)</w:t>
            </w:r>
            <w:r>
              <w:rPr>
                <w:rFonts w:ascii="Arial" w:hAnsi="Arial" w:cs="Arial" w:eastAsia="Arial" w:hint="default"/>
                <w:spacing w:val="21"/>
                <w:sz w:val="24"/>
                <w:szCs w:val="24"/>
              </w:rPr>
              <w:t> </w:t>
            </w:r>
            <w:r>
              <w:rPr>
                <w:rFonts w:ascii="Arial" w:hAnsi="Arial" w:cs="Arial" w:eastAsia="Arial" w:hint="default"/>
                <w:sz w:val="24"/>
                <w:szCs w:val="24"/>
              </w:rPr>
              <w:t>386,831,284 </w:t>
            </w:r>
            <w:r>
              <w:rPr>
                <w:rFonts w:ascii="宋体" w:hAnsi="宋体" w:cs="宋体" w:eastAsia="宋体" w:hint="default"/>
                <w:sz w:val="24"/>
                <w:szCs w:val="24"/>
              </w:rPr>
              <w:t>股，每股</w:t>
            </w:r>
          </w:p>
          <w:p>
            <w:pPr>
              <w:pStyle w:val="TableParagraph"/>
              <w:spacing w:line="311" w:lineRule="exact"/>
              <w:ind w:left="43" w:right="0"/>
              <w:jc w:val="left"/>
              <w:rPr>
                <w:rFonts w:ascii="宋体" w:hAnsi="宋体" w:cs="宋体" w:eastAsia="宋体" w:hint="default"/>
                <w:sz w:val="24"/>
                <w:szCs w:val="24"/>
              </w:rPr>
            </w:pPr>
            <w:r>
              <w:rPr>
                <w:rFonts w:ascii="宋体" w:hAnsi="宋体" w:cs="宋体" w:eastAsia="宋体" w:hint="default"/>
                <w:sz w:val="24"/>
                <w:szCs w:val="24"/>
              </w:rPr>
              <w:t>面值人民币</w:t>
            </w:r>
            <w:r>
              <w:rPr>
                <w:rFonts w:ascii="宋体" w:hAnsi="宋体" w:cs="宋体" w:eastAsia="宋体" w:hint="default"/>
                <w:spacing w:val="-63"/>
                <w:sz w:val="24"/>
                <w:szCs w:val="24"/>
              </w:rPr>
              <w:t> </w:t>
            </w:r>
            <w:r>
              <w:rPr>
                <w:rFonts w:ascii="Arial" w:hAnsi="Arial" w:cs="Arial" w:eastAsia="Arial" w:hint="default"/>
                <w:sz w:val="24"/>
                <w:szCs w:val="24"/>
              </w:rPr>
              <w:t>1</w:t>
            </w:r>
            <w:r>
              <w:rPr>
                <w:rFonts w:ascii="Arial" w:hAnsi="Arial" w:cs="Arial" w:eastAsia="Arial" w:hint="default"/>
                <w:spacing w:val="-9"/>
                <w:sz w:val="24"/>
                <w:szCs w:val="24"/>
              </w:rPr>
              <w:t> </w:t>
            </w:r>
            <w:r>
              <w:rPr>
                <w:rFonts w:ascii="宋体" w:hAnsi="宋体" w:cs="宋体" w:eastAsia="宋体" w:hint="default"/>
                <w:sz w:val="24"/>
                <w:szCs w:val="24"/>
              </w:rPr>
              <w:t>元，每股发行价为人民币</w:t>
            </w:r>
            <w:r>
              <w:rPr>
                <w:rFonts w:ascii="宋体" w:hAnsi="宋体" w:cs="宋体" w:eastAsia="宋体" w:hint="default"/>
                <w:spacing w:val="-63"/>
                <w:sz w:val="24"/>
                <w:szCs w:val="24"/>
              </w:rPr>
              <w:t> </w:t>
            </w:r>
            <w:r>
              <w:rPr>
                <w:rFonts w:ascii="Arial" w:hAnsi="Arial" w:cs="Arial" w:eastAsia="Arial" w:hint="default"/>
                <w:sz w:val="24"/>
                <w:szCs w:val="24"/>
              </w:rPr>
              <w:t>12.15</w:t>
            </w:r>
            <w:r>
              <w:rPr>
                <w:rFonts w:ascii="Arial" w:hAnsi="Arial" w:cs="Arial" w:eastAsia="Arial" w:hint="default"/>
                <w:spacing w:val="-11"/>
                <w:sz w:val="24"/>
                <w:szCs w:val="24"/>
              </w:rPr>
              <w:t> </w:t>
            </w:r>
            <w:r>
              <w:rPr>
                <w:rFonts w:ascii="宋体" w:hAnsi="宋体" w:cs="宋体" w:eastAsia="宋体" w:hint="default"/>
                <w:sz w:val="24"/>
                <w:szCs w:val="24"/>
              </w:rPr>
              <w:t>元。上述资金于</w:t>
            </w:r>
            <w:r>
              <w:rPr>
                <w:rFonts w:ascii="宋体" w:hAnsi="宋体" w:cs="宋体" w:eastAsia="宋体" w:hint="default"/>
                <w:spacing w:val="-63"/>
                <w:sz w:val="24"/>
                <w:szCs w:val="24"/>
              </w:rPr>
              <w:t> </w:t>
            </w:r>
            <w:r>
              <w:rPr>
                <w:rFonts w:ascii="Arial" w:hAnsi="Arial" w:cs="Arial" w:eastAsia="Arial" w:hint="default"/>
                <w:sz w:val="24"/>
                <w:szCs w:val="24"/>
              </w:rPr>
              <w:t>2012</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7</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3</w:t>
            </w:r>
            <w:r>
              <w:rPr>
                <w:rFonts w:ascii="Arial" w:hAnsi="Arial" w:cs="Arial" w:eastAsia="Arial" w:hint="default"/>
                <w:spacing w:val="-9"/>
                <w:sz w:val="24"/>
                <w:szCs w:val="24"/>
              </w:rPr>
              <w:t> </w:t>
            </w:r>
            <w:r>
              <w:rPr>
                <w:rFonts w:ascii="宋体" w:hAnsi="宋体" w:cs="宋体" w:eastAsia="宋体" w:hint="default"/>
                <w:sz w:val="24"/>
                <w:szCs w:val="24"/>
              </w:rPr>
              <w:t>日到位，业经普华永道中天会计师事务所有限公司予</w:t>
            </w:r>
          </w:p>
          <w:p>
            <w:pPr>
              <w:pStyle w:val="TableParagraph"/>
              <w:spacing w:line="320" w:lineRule="exact"/>
              <w:ind w:left="43" w:right="0"/>
              <w:jc w:val="left"/>
              <w:rPr>
                <w:rFonts w:ascii="宋体" w:hAnsi="宋体" w:cs="宋体" w:eastAsia="宋体" w:hint="default"/>
                <w:sz w:val="24"/>
                <w:szCs w:val="24"/>
              </w:rPr>
            </w:pPr>
            <w:r>
              <w:rPr>
                <w:rFonts w:ascii="宋体" w:hAnsi="宋体" w:cs="宋体" w:eastAsia="宋体" w:hint="default"/>
                <w:sz w:val="24"/>
                <w:szCs w:val="24"/>
              </w:rPr>
              <w:t>以验证并出具</w:t>
            </w:r>
            <w:r>
              <w:rPr>
                <w:rFonts w:ascii="Arial" w:hAnsi="Arial" w:cs="Arial" w:eastAsia="Arial" w:hint="default"/>
                <w:sz w:val="24"/>
                <w:szCs w:val="24"/>
              </w:rPr>
              <w:t>(2012)</w:t>
            </w:r>
            <w:r>
              <w:rPr>
                <w:rFonts w:ascii="宋体" w:hAnsi="宋体" w:cs="宋体" w:eastAsia="宋体" w:hint="default"/>
                <w:sz w:val="24"/>
                <w:szCs w:val="24"/>
              </w:rPr>
              <w:t>第</w:t>
            </w:r>
            <w:r>
              <w:rPr>
                <w:rFonts w:ascii="宋体" w:hAnsi="宋体" w:cs="宋体" w:eastAsia="宋体" w:hint="default"/>
                <w:spacing w:val="-65"/>
                <w:sz w:val="24"/>
                <w:szCs w:val="24"/>
              </w:rPr>
              <w:t> </w:t>
            </w:r>
            <w:r>
              <w:rPr>
                <w:rFonts w:ascii="Arial" w:hAnsi="Arial" w:cs="Arial" w:eastAsia="Arial" w:hint="default"/>
                <w:sz w:val="24"/>
                <w:szCs w:val="24"/>
              </w:rPr>
              <w:t>248</w:t>
            </w:r>
            <w:r>
              <w:rPr>
                <w:rFonts w:ascii="Arial" w:hAnsi="Arial" w:cs="Arial" w:eastAsia="Arial" w:hint="default"/>
                <w:spacing w:val="-8"/>
                <w:sz w:val="24"/>
                <w:szCs w:val="24"/>
              </w:rPr>
              <w:t> </w:t>
            </w:r>
            <w:r>
              <w:rPr>
                <w:rFonts w:ascii="宋体" w:hAnsi="宋体" w:cs="宋体" w:eastAsia="宋体" w:hint="default"/>
                <w:sz w:val="24"/>
                <w:szCs w:val="24"/>
              </w:rPr>
              <w:t>号验资报告。</w:t>
            </w:r>
          </w:p>
        </w:tc>
      </w:tr>
    </w:tbl>
    <w:p>
      <w:pPr>
        <w:spacing w:after="0" w:line="320" w:lineRule="exact"/>
        <w:jc w:val="left"/>
        <w:rPr>
          <w:rFonts w:ascii="宋体" w:hAnsi="宋体" w:cs="宋体" w:eastAsia="宋体" w:hint="default"/>
          <w:sz w:val="24"/>
          <w:szCs w:val="24"/>
        </w:rPr>
        <w:sectPr>
          <w:headerReference w:type="default" r:id="rId91"/>
          <w:footerReference w:type="default" r:id="rId92"/>
          <w:pgSz w:w="16850" w:h="11910" w:orient="landscape"/>
          <w:pgMar w:header="1227" w:footer="706" w:top="2440" w:bottom="900" w:left="980" w:right="0"/>
          <w:pgNumType w:start="177"/>
        </w:sectPr>
      </w:pPr>
    </w:p>
    <w:p>
      <w:pPr>
        <w:spacing w:line="240" w:lineRule="auto" w:before="0"/>
        <w:rPr>
          <w:rFonts w:ascii="Times New Roman" w:hAnsi="Times New Roman" w:cs="Times New Roman" w:eastAsia="Times New Roman" w:hint="default"/>
          <w:sz w:val="20"/>
          <w:szCs w:val="20"/>
        </w:rPr>
      </w:pPr>
      <w:r>
        <w:rPr/>
        <w:pict>
          <v:shape style="position:absolute;margin-left:707.039978pt;margin-top:518.320007pt;width:135pt;height:77pt;mso-position-horizontal-relative:page;mso-position-vertical-relative:page;z-index:3760" type="#_x0000_t75" stroked="false">
            <v:imagedata r:id="rId10" o:title=""/>
          </v:shape>
        </w:pict>
      </w:r>
    </w:p>
    <w:p>
      <w:pPr>
        <w:spacing w:line="240" w:lineRule="auto" w:before="8"/>
        <w:rPr>
          <w:rFonts w:ascii="Times New Roman" w:hAnsi="Times New Roman" w:cs="Times New Roman" w:eastAsia="Times New Roman"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872"/>
        <w:gridCol w:w="2827"/>
        <w:gridCol w:w="1985"/>
        <w:gridCol w:w="142"/>
        <w:gridCol w:w="1058"/>
        <w:gridCol w:w="144"/>
        <w:gridCol w:w="992"/>
        <w:gridCol w:w="142"/>
        <w:gridCol w:w="1560"/>
        <w:gridCol w:w="139"/>
        <w:gridCol w:w="1212"/>
        <w:gridCol w:w="142"/>
        <w:gridCol w:w="1133"/>
        <w:gridCol w:w="142"/>
        <w:gridCol w:w="2127"/>
      </w:tblGrid>
      <w:tr>
        <w:trPr>
          <w:trHeight w:val="497" w:hRule="exact"/>
        </w:trPr>
        <w:tc>
          <w:tcPr>
            <w:tcW w:w="87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2827" w:type="dxa"/>
            <w:tcBorders>
              <w:top w:val="nil" w:sz="6" w:space="0" w:color="auto"/>
              <w:left w:val="nil" w:sz="6" w:space="0" w:color="auto"/>
              <w:bottom w:val="nil" w:sz="6" w:space="0" w:color="auto"/>
              <w:right w:val="nil" w:sz="6" w:space="0" w:color="auto"/>
            </w:tcBorders>
          </w:tcPr>
          <w:p>
            <w:pPr>
              <w:pStyle w:val="TableParagraph"/>
              <w:spacing w:line="257" w:lineRule="exact"/>
              <w:ind w:left="33" w:right="-6"/>
              <w:jc w:val="left"/>
              <w:rPr>
                <w:rFonts w:ascii="Arial" w:hAnsi="Arial" w:cs="Arial" w:eastAsia="Arial" w:hint="default"/>
                <w:sz w:val="24"/>
                <w:szCs w:val="24"/>
              </w:rPr>
            </w:pPr>
            <w:r>
              <w:rPr>
                <w:rFonts w:ascii="黑体" w:hAnsi="黑体" w:cs="黑体" w:eastAsia="黑体" w:hint="default"/>
                <w:spacing w:val="-1"/>
                <w:sz w:val="24"/>
                <w:szCs w:val="24"/>
              </w:rPr>
              <w:t>合并财务报表项目附注</w:t>
            </w:r>
            <w:r>
              <w:rPr>
                <w:rFonts w:ascii="Arial" w:hAnsi="Arial" w:cs="Arial" w:eastAsia="Arial" w:hint="default"/>
                <w:spacing w:val="-1"/>
                <w:sz w:val="24"/>
                <w:szCs w:val="24"/>
              </w:rPr>
              <w:t>(</w:t>
            </w:r>
            <w:r>
              <w:rPr>
                <w:rFonts w:ascii="黑体" w:hAnsi="黑体" w:cs="黑体" w:eastAsia="黑体" w:hint="default"/>
                <w:spacing w:val="-1"/>
                <w:sz w:val="24"/>
                <w:szCs w:val="24"/>
              </w:rPr>
              <w:t>续</w:t>
            </w:r>
            <w:r>
              <w:rPr>
                <w:rFonts w:ascii="Arial" w:hAnsi="Arial" w:cs="Arial" w:eastAsia="Arial" w:hint="default"/>
                <w:spacing w:val="-1"/>
                <w:sz w:val="24"/>
                <w:szCs w:val="24"/>
              </w:rPr>
              <w:t>)</w:t>
            </w:r>
          </w:p>
        </w:tc>
        <w:tc>
          <w:tcPr>
            <w:tcW w:w="198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746" w:hRule="exact"/>
        </w:trPr>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64" w:right="0"/>
              <w:jc w:val="left"/>
              <w:rPr>
                <w:rFonts w:ascii="Arial" w:hAnsi="Arial" w:cs="Arial" w:eastAsia="Arial" w:hint="default"/>
                <w:sz w:val="24"/>
                <w:szCs w:val="24"/>
              </w:rPr>
            </w:pPr>
            <w:r>
              <w:rPr>
                <w:rFonts w:ascii="Arial"/>
                <w:sz w:val="24"/>
              </w:rPr>
              <w:t>(33)</w:t>
            </w:r>
          </w:p>
        </w:tc>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07" w:right="0"/>
              <w:jc w:val="left"/>
              <w:rPr>
                <w:rFonts w:ascii="Arial" w:hAnsi="Arial" w:cs="Arial" w:eastAsia="Arial" w:hint="default"/>
                <w:sz w:val="24"/>
                <w:szCs w:val="24"/>
              </w:rPr>
            </w:pPr>
            <w:r>
              <w:rPr>
                <w:rFonts w:ascii="黑体" w:hAnsi="黑体" w:cs="黑体" w:eastAsia="黑体" w:hint="default"/>
                <w:sz w:val="24"/>
                <w:szCs w:val="24"/>
              </w:rPr>
              <w:t>股本</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98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497" w:hRule="exact"/>
        </w:trPr>
        <w:tc>
          <w:tcPr>
            <w:tcW w:w="872" w:type="dxa"/>
            <w:tcBorders>
              <w:top w:val="nil" w:sz="6" w:space="0" w:color="auto"/>
              <w:left w:val="nil" w:sz="6" w:space="0" w:color="auto"/>
              <w:bottom w:val="nil" w:sz="6" w:space="0" w:color="auto"/>
              <w:right w:val="nil" w:sz="6" w:space="0" w:color="auto"/>
            </w:tcBorders>
          </w:tcPr>
          <w:p>
            <w:pPr/>
          </w:p>
        </w:tc>
        <w:tc>
          <w:tcPr>
            <w:tcW w:w="2827"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single" w:sz="4" w:space="0" w:color="000000"/>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本年增减变动</w:t>
            </w:r>
          </w:p>
        </w:tc>
        <w:tc>
          <w:tcPr>
            <w:tcW w:w="139" w:type="dxa"/>
            <w:tcBorders>
              <w:top w:val="nil" w:sz="6" w:space="0" w:color="auto"/>
              <w:left w:val="nil" w:sz="6" w:space="0" w:color="auto"/>
              <w:bottom w:val="single" w:sz="4" w:space="0" w:color="000000"/>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737" w:hRule="exact"/>
        </w:trPr>
        <w:tc>
          <w:tcPr>
            <w:tcW w:w="872" w:type="dxa"/>
            <w:tcBorders>
              <w:top w:val="nil" w:sz="6" w:space="0" w:color="auto"/>
              <w:left w:val="nil" w:sz="6" w:space="0" w:color="auto"/>
              <w:bottom w:val="nil" w:sz="6" w:space="0" w:color="auto"/>
              <w:right w:val="nil" w:sz="6" w:space="0" w:color="auto"/>
            </w:tcBorders>
          </w:tcPr>
          <w:p>
            <w:pPr/>
          </w:p>
        </w:tc>
        <w:tc>
          <w:tcPr>
            <w:tcW w:w="2827"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8"/>
              <w:jc w:val="righ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single" w:sz="4" w:space="0" w:color="000000"/>
              <w:left w:val="nil" w:sz="6" w:space="0" w:color="auto"/>
              <w:bottom w:val="nil" w:sz="6" w:space="0" w:color="auto"/>
              <w:right w:val="nil" w:sz="6" w:space="0" w:color="auto"/>
            </w:tcBorders>
          </w:tcPr>
          <w:p>
            <w:pPr>
              <w:pStyle w:val="TableParagraph"/>
              <w:spacing w:line="276" w:lineRule="auto" w:before="8"/>
              <w:ind w:left="573" w:right="108" w:hanging="166"/>
              <w:jc w:val="left"/>
              <w:rPr>
                <w:rFonts w:ascii="宋体" w:hAnsi="宋体" w:cs="宋体" w:eastAsia="宋体" w:hint="default"/>
                <w:sz w:val="18"/>
                <w:szCs w:val="18"/>
              </w:rPr>
            </w:pPr>
            <w:r>
              <w:rPr>
                <w:rFonts w:ascii="宋体" w:hAnsi="宋体" w:cs="宋体" w:eastAsia="宋体" w:hint="default"/>
                <w:sz w:val="18"/>
                <w:szCs w:val="18"/>
              </w:rPr>
              <w:t>限售股 增加</w:t>
            </w:r>
          </w:p>
        </w:tc>
        <w:tc>
          <w:tcPr>
            <w:tcW w:w="144" w:type="dxa"/>
            <w:tcBorders>
              <w:top w:val="single" w:sz="4" w:space="0" w:color="000000"/>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Style w:val="TableParagraph"/>
              <w:spacing w:line="276" w:lineRule="auto" w:before="8"/>
              <w:ind w:left="228" w:right="29" w:firstLine="12"/>
              <w:jc w:val="left"/>
              <w:rPr>
                <w:rFonts w:ascii="宋体" w:hAnsi="宋体" w:cs="宋体" w:eastAsia="宋体" w:hint="default"/>
                <w:sz w:val="18"/>
                <w:szCs w:val="18"/>
              </w:rPr>
            </w:pPr>
            <w:r>
              <w:rPr>
                <w:rFonts w:ascii="宋体" w:hAnsi="宋体" w:cs="宋体" w:eastAsia="宋体" w:hint="default"/>
                <w:sz w:val="18"/>
                <w:szCs w:val="18"/>
              </w:rPr>
              <w:t>资本公积 转增股本</w:t>
            </w:r>
          </w:p>
        </w:tc>
        <w:tc>
          <w:tcPr>
            <w:tcW w:w="142"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76" w:lineRule="auto" w:before="8"/>
              <w:ind w:left="1091" w:right="107" w:hanging="185"/>
              <w:jc w:val="right"/>
              <w:rPr>
                <w:rFonts w:ascii="宋体" w:hAnsi="宋体" w:cs="宋体" w:eastAsia="宋体" w:hint="default"/>
                <w:sz w:val="18"/>
                <w:szCs w:val="18"/>
              </w:rPr>
            </w:pPr>
            <w:r>
              <w:rPr>
                <w:rFonts w:ascii="宋体" w:hAnsi="宋体" w:cs="宋体" w:eastAsia="宋体" w:hint="default"/>
                <w:sz w:val="18"/>
                <w:szCs w:val="18"/>
              </w:rPr>
              <w:t>限售股 解禁</w:t>
            </w:r>
          </w:p>
        </w:tc>
        <w:tc>
          <w:tcPr>
            <w:tcW w:w="139"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76" w:lineRule="auto" w:before="8"/>
              <w:ind w:left="446" w:right="44" w:firstLine="180"/>
              <w:jc w:val="left"/>
              <w:rPr>
                <w:rFonts w:ascii="宋体" w:hAnsi="宋体" w:cs="宋体" w:eastAsia="宋体" w:hint="default"/>
                <w:sz w:val="18"/>
                <w:szCs w:val="18"/>
              </w:rPr>
            </w:pPr>
            <w:r>
              <w:rPr>
                <w:rFonts w:ascii="宋体" w:hAnsi="宋体" w:cs="宋体" w:eastAsia="宋体" w:hint="default"/>
                <w:sz w:val="18"/>
                <w:szCs w:val="18"/>
              </w:rPr>
              <w:t>非公开 发行股票</w:t>
            </w:r>
          </w:p>
        </w:tc>
        <w:tc>
          <w:tcPr>
            <w:tcW w:w="142" w:type="dxa"/>
            <w:tcBorders>
              <w:top w:val="single" w:sz="4" w:space="0" w:color="000000"/>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小计</w:t>
            </w:r>
          </w:p>
        </w:tc>
        <w:tc>
          <w:tcPr>
            <w:tcW w:w="14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8"/>
              <w:jc w:val="righ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56" w:hRule="exact"/>
        </w:trPr>
        <w:tc>
          <w:tcPr>
            <w:tcW w:w="872" w:type="dxa"/>
            <w:tcBorders>
              <w:top w:val="nil" w:sz="6" w:space="0" w:color="auto"/>
              <w:left w:val="nil" w:sz="6" w:space="0" w:color="auto"/>
              <w:bottom w:val="nil" w:sz="6" w:space="0" w:color="auto"/>
              <w:right w:val="nil" w:sz="6" w:space="0" w:color="auto"/>
            </w:tcBorders>
          </w:tcPr>
          <w:p>
            <w:pPr/>
          </w:p>
        </w:tc>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40" w:right="0"/>
              <w:jc w:val="left"/>
              <w:rPr>
                <w:rFonts w:ascii="Arial" w:hAnsi="Arial" w:cs="Arial" w:eastAsia="Arial" w:hint="default"/>
                <w:sz w:val="18"/>
                <w:szCs w:val="18"/>
              </w:rPr>
            </w:pPr>
            <w:r>
              <w:rPr>
                <w:rFonts w:ascii="宋体" w:hAnsi="宋体" w:cs="宋体" w:eastAsia="宋体" w:hint="default"/>
                <w:sz w:val="18"/>
                <w:szCs w:val="18"/>
              </w:rPr>
              <w:t>有限售条件股份</w:t>
            </w:r>
            <w:r>
              <w:rPr>
                <w:rFonts w:ascii="宋体" w:hAnsi="宋体" w:cs="宋体" w:eastAsia="宋体" w:hint="default"/>
                <w:spacing w:val="1"/>
                <w:sz w:val="18"/>
                <w:szCs w:val="18"/>
              </w:rPr>
              <w:t> </w:t>
            </w:r>
            <w:r>
              <w:rPr>
                <w:rFonts w:ascii="Arial" w:hAnsi="Arial" w:cs="Arial" w:eastAsia="Arial" w:hint="default"/>
                <w:sz w:val="18"/>
                <w:szCs w:val="18"/>
              </w:rPr>
              <w:t>-</w:t>
            </w:r>
          </w:p>
        </w:tc>
        <w:tc>
          <w:tcPr>
            <w:tcW w:w="198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317" w:hRule="exact"/>
        </w:trPr>
        <w:tc>
          <w:tcPr>
            <w:tcW w:w="872" w:type="dxa"/>
            <w:tcBorders>
              <w:top w:val="nil" w:sz="6" w:space="0" w:color="auto"/>
              <w:left w:val="nil" w:sz="6" w:space="0" w:color="auto"/>
              <w:bottom w:val="nil" w:sz="6" w:space="0" w:color="auto"/>
              <w:right w:val="nil" w:sz="6" w:space="0" w:color="auto"/>
            </w:tcBorders>
          </w:tcPr>
          <w:p>
            <w:pPr/>
          </w:p>
        </w:tc>
        <w:tc>
          <w:tcPr>
            <w:tcW w:w="282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215"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66"/>
              <w:jc w:val="right"/>
              <w:rPr>
                <w:rFonts w:ascii="Arial" w:hAnsi="Arial" w:cs="Arial" w:eastAsia="Arial" w:hint="default"/>
                <w:sz w:val="18"/>
                <w:szCs w:val="18"/>
              </w:rPr>
            </w:pPr>
            <w:r>
              <w:rPr>
                <w:rFonts w:ascii="Arial"/>
                <w:spacing w:val="-1"/>
                <w:sz w:val="18"/>
              </w:rPr>
              <w:t>1,554,123</w:t>
            </w:r>
          </w:p>
        </w:tc>
        <w:tc>
          <w:tcPr>
            <w:tcW w:w="142" w:type="dxa"/>
            <w:tcBorders>
              <w:top w:val="nil" w:sz="6" w:space="0" w:color="auto"/>
              <w:left w:val="nil" w:sz="6" w:space="0" w:color="auto"/>
              <w:bottom w:val="single" w:sz="4" w:space="0" w:color="000000"/>
              <w:right w:val="nil" w:sz="6" w:space="0" w:color="auto"/>
            </w:tcBorders>
          </w:tcPr>
          <w:p>
            <w:pPr/>
          </w:p>
        </w:tc>
        <w:tc>
          <w:tcPr>
            <w:tcW w:w="105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95"/>
              <w:jc w:val="right"/>
              <w:rPr>
                <w:rFonts w:ascii="Arial" w:hAnsi="Arial" w:cs="Arial" w:eastAsia="Arial" w:hint="default"/>
                <w:sz w:val="18"/>
                <w:szCs w:val="18"/>
              </w:rPr>
            </w:pPr>
            <w:r>
              <w:rPr>
                <w:rFonts w:ascii="Arial"/>
                <w:w w:val="95"/>
                <w:sz w:val="18"/>
              </w:rPr>
              <w:t>4,962</w:t>
            </w:r>
            <w:r>
              <w:rPr>
                <w:rFonts w:ascii="Arial"/>
                <w:sz w:val="18"/>
              </w:rPr>
            </w:r>
          </w:p>
        </w:tc>
        <w:tc>
          <w:tcPr>
            <w:tcW w:w="144" w:type="dxa"/>
            <w:tcBorders>
              <w:top w:val="nil" w:sz="6" w:space="0" w:color="auto"/>
              <w:left w:val="nil" w:sz="6" w:space="0" w:color="auto"/>
              <w:bottom w:val="single" w:sz="4" w:space="0" w:color="000000"/>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70"/>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single" w:sz="4" w:space="0" w:color="000000"/>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70"/>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single" w:sz="4" w:space="0" w:color="000000"/>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6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single" w:sz="4" w:space="0" w:color="000000"/>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76"/>
              <w:jc w:val="right"/>
              <w:rPr>
                <w:rFonts w:ascii="Arial" w:hAnsi="Arial" w:cs="Arial" w:eastAsia="Arial" w:hint="default"/>
                <w:sz w:val="18"/>
                <w:szCs w:val="18"/>
              </w:rPr>
            </w:pPr>
            <w:r>
              <w:rPr>
                <w:rFonts w:ascii="Arial"/>
                <w:w w:val="95"/>
                <w:sz w:val="18"/>
              </w:rPr>
              <w:t>4,962</w:t>
            </w:r>
            <w:r>
              <w:rPr>
                <w:rFonts w:ascii="Arial"/>
                <w:sz w:val="18"/>
              </w:rPr>
            </w:r>
          </w:p>
        </w:tc>
        <w:tc>
          <w:tcPr>
            <w:tcW w:w="142" w:type="dxa"/>
            <w:tcBorders>
              <w:top w:val="nil" w:sz="6" w:space="0" w:color="auto"/>
              <w:left w:val="nil" w:sz="6" w:space="0" w:color="auto"/>
              <w:bottom w:val="single" w:sz="4" w:space="0" w:color="000000"/>
              <w:right w:val="nil" w:sz="6" w:space="0" w:color="auto"/>
            </w:tcBorders>
          </w:tcPr>
          <w:p>
            <w:pPr/>
          </w:p>
        </w:tc>
        <w:tc>
          <w:tcPr>
            <w:tcW w:w="212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68"/>
              <w:jc w:val="right"/>
              <w:rPr>
                <w:rFonts w:ascii="Arial" w:hAnsi="Arial" w:cs="Arial" w:eastAsia="Arial" w:hint="default"/>
                <w:sz w:val="18"/>
                <w:szCs w:val="18"/>
              </w:rPr>
            </w:pPr>
            <w:r>
              <w:rPr>
                <w:rFonts w:ascii="Arial"/>
                <w:spacing w:val="-1"/>
                <w:sz w:val="18"/>
              </w:rPr>
              <w:t>1,559,085</w:t>
            </w:r>
          </w:p>
        </w:tc>
      </w:tr>
      <w:tr>
        <w:trPr>
          <w:trHeight w:val="328" w:hRule="exact"/>
        </w:trPr>
        <w:tc>
          <w:tcPr>
            <w:tcW w:w="872" w:type="dxa"/>
            <w:tcBorders>
              <w:top w:val="nil" w:sz="6" w:space="0" w:color="auto"/>
              <w:left w:val="nil" w:sz="6" w:space="0" w:color="auto"/>
              <w:bottom w:val="nil" w:sz="6" w:space="0" w:color="auto"/>
              <w:right w:val="single" w:sz="4" w:space="0" w:color="000000"/>
            </w:tcBorders>
          </w:tcPr>
          <w:p>
            <w:pPr/>
          </w:p>
        </w:tc>
        <w:tc>
          <w:tcPr>
            <w:tcW w:w="2827"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1985"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67"/>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single" w:sz="4" w:space="0" w:color="000000"/>
              <w:left w:val="nil" w:sz="6" w:space="0" w:color="auto"/>
              <w:bottom w:val="nil" w:sz="6" w:space="0" w:color="auto"/>
              <w:right w:val="nil" w:sz="6" w:space="0" w:color="auto"/>
            </w:tcBorders>
          </w:tcPr>
          <w:p>
            <w:pPr/>
          </w:p>
        </w:tc>
        <w:tc>
          <w:tcPr>
            <w:tcW w:w="105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96"/>
              <w:jc w:val="right"/>
              <w:rPr>
                <w:rFonts w:ascii="Arial" w:hAnsi="Arial" w:cs="Arial" w:eastAsia="Arial" w:hint="default"/>
                <w:sz w:val="18"/>
                <w:szCs w:val="18"/>
              </w:rPr>
            </w:pPr>
            <w:r>
              <w:rPr>
                <w:rFonts w:ascii="Arial"/>
                <w:w w:val="99"/>
                <w:sz w:val="18"/>
              </w:rPr>
              <w:t>-</w:t>
            </w:r>
            <w:r>
              <w:rPr>
                <w:rFonts w:ascii="Arial"/>
                <w:sz w:val="18"/>
              </w:rPr>
            </w:r>
          </w:p>
        </w:tc>
        <w:tc>
          <w:tcPr>
            <w:tcW w:w="144" w:type="dxa"/>
            <w:tcBorders>
              <w:top w:val="single" w:sz="4" w:space="0" w:color="000000"/>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70"/>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70"/>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6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single" w:sz="4" w:space="0" w:color="000000"/>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77"/>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single" w:sz="4" w:space="0" w:color="000000"/>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nil" w:sz="6" w:space="0" w:color="auto"/>
              <w:right w:val="single" w:sz="4" w:space="0" w:color="000000"/>
            </w:tcBorders>
          </w:tcPr>
          <w:p>
            <w:pPr>
              <w:pStyle w:val="TableParagraph"/>
              <w:spacing w:line="240" w:lineRule="auto" w:before="64"/>
              <w:ind w:right="65"/>
              <w:jc w:val="right"/>
              <w:rPr>
                <w:rFonts w:ascii="Arial" w:hAnsi="Arial" w:cs="Arial" w:eastAsia="Arial" w:hint="default"/>
                <w:sz w:val="18"/>
                <w:szCs w:val="18"/>
              </w:rPr>
            </w:pPr>
            <w:r>
              <w:rPr>
                <w:rFonts w:ascii="Arial"/>
                <w:w w:val="99"/>
                <w:sz w:val="18"/>
              </w:rPr>
              <w:t>-</w:t>
            </w:r>
            <w:r>
              <w:rPr>
                <w:rFonts w:ascii="Arial"/>
                <w:sz w:val="18"/>
              </w:rPr>
            </w:r>
          </w:p>
        </w:tc>
      </w:tr>
      <w:tr>
        <w:trPr>
          <w:trHeight w:val="309" w:hRule="exact"/>
        </w:trPr>
        <w:tc>
          <w:tcPr>
            <w:tcW w:w="872" w:type="dxa"/>
            <w:tcBorders>
              <w:top w:val="nil" w:sz="6" w:space="0" w:color="auto"/>
              <w:left w:val="nil" w:sz="6" w:space="0" w:color="auto"/>
              <w:bottom w:val="nil" w:sz="6" w:space="0" w:color="auto"/>
              <w:right w:val="single" w:sz="4" w:space="0" w:color="000000"/>
            </w:tcBorders>
          </w:tcPr>
          <w:p>
            <w:pPr/>
          </w:p>
        </w:tc>
        <w:tc>
          <w:tcPr>
            <w:tcW w:w="2827" w:type="dxa"/>
            <w:tcBorders>
              <w:top w:val="nil" w:sz="6" w:space="0" w:color="auto"/>
              <w:left w:val="single" w:sz="4" w:space="0" w:color="000000"/>
              <w:bottom w:val="single" w:sz="4" w:space="0" w:color="000000"/>
              <w:right w:val="nil" w:sz="6" w:space="0" w:color="auto"/>
            </w:tcBorders>
          </w:tcPr>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66"/>
              <w:jc w:val="right"/>
              <w:rPr>
                <w:rFonts w:ascii="Arial" w:hAnsi="Arial" w:cs="Arial" w:eastAsia="Arial" w:hint="default"/>
                <w:sz w:val="18"/>
                <w:szCs w:val="18"/>
              </w:rPr>
            </w:pPr>
            <w:r>
              <w:rPr>
                <w:rFonts w:ascii="Arial"/>
                <w:spacing w:val="-1"/>
                <w:sz w:val="18"/>
              </w:rPr>
              <w:t>1,554,123</w:t>
            </w:r>
          </w:p>
        </w:tc>
        <w:tc>
          <w:tcPr>
            <w:tcW w:w="142" w:type="dxa"/>
            <w:tcBorders>
              <w:top w:val="nil" w:sz="6" w:space="0" w:color="auto"/>
              <w:left w:val="nil" w:sz="6" w:space="0" w:color="auto"/>
              <w:bottom w:val="single" w:sz="4" w:space="0" w:color="000000"/>
              <w:right w:val="nil" w:sz="6" w:space="0" w:color="auto"/>
            </w:tcBorders>
          </w:tcPr>
          <w:p>
            <w:pPr/>
          </w:p>
        </w:tc>
        <w:tc>
          <w:tcPr>
            <w:tcW w:w="1058"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95"/>
              <w:jc w:val="right"/>
              <w:rPr>
                <w:rFonts w:ascii="Arial" w:hAnsi="Arial" w:cs="Arial" w:eastAsia="Arial" w:hint="default"/>
                <w:sz w:val="18"/>
                <w:szCs w:val="18"/>
              </w:rPr>
            </w:pPr>
            <w:r>
              <w:rPr>
                <w:rFonts w:ascii="Arial"/>
                <w:w w:val="95"/>
                <w:sz w:val="18"/>
              </w:rPr>
              <w:t>4,962</w:t>
            </w:r>
            <w:r>
              <w:rPr>
                <w:rFonts w:ascii="Arial"/>
                <w:sz w:val="18"/>
              </w:rPr>
            </w:r>
          </w:p>
        </w:tc>
        <w:tc>
          <w:tcPr>
            <w:tcW w:w="144" w:type="dxa"/>
            <w:tcBorders>
              <w:top w:val="nil" w:sz="6" w:space="0" w:color="auto"/>
              <w:left w:val="nil" w:sz="6" w:space="0" w:color="auto"/>
              <w:bottom w:val="single" w:sz="4" w:space="0" w:color="000000"/>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70"/>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single" w:sz="4" w:space="0" w:color="000000"/>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70"/>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single" w:sz="4" w:space="0" w:color="000000"/>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6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single" w:sz="4" w:space="0" w:color="000000"/>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76"/>
              <w:jc w:val="right"/>
              <w:rPr>
                <w:rFonts w:ascii="Arial" w:hAnsi="Arial" w:cs="Arial" w:eastAsia="Arial" w:hint="default"/>
                <w:sz w:val="18"/>
                <w:szCs w:val="18"/>
              </w:rPr>
            </w:pPr>
            <w:r>
              <w:rPr>
                <w:rFonts w:ascii="Arial"/>
                <w:w w:val="95"/>
                <w:sz w:val="18"/>
              </w:rPr>
              <w:t>4,962</w:t>
            </w:r>
            <w:r>
              <w:rPr>
                <w:rFonts w:ascii="Arial"/>
                <w:sz w:val="18"/>
              </w:rPr>
            </w:r>
          </w:p>
        </w:tc>
        <w:tc>
          <w:tcPr>
            <w:tcW w:w="142" w:type="dxa"/>
            <w:tcBorders>
              <w:top w:val="nil" w:sz="6" w:space="0" w:color="auto"/>
              <w:left w:val="nil" w:sz="6" w:space="0" w:color="auto"/>
              <w:bottom w:val="single" w:sz="4" w:space="0" w:color="000000"/>
              <w:right w:val="nil" w:sz="6" w:space="0" w:color="auto"/>
            </w:tcBorders>
          </w:tcPr>
          <w:p>
            <w:pPr/>
          </w:p>
        </w:tc>
        <w:tc>
          <w:tcPr>
            <w:tcW w:w="2127" w:type="dxa"/>
            <w:tcBorders>
              <w:top w:val="nil" w:sz="6" w:space="0" w:color="auto"/>
              <w:left w:val="nil" w:sz="6" w:space="0" w:color="auto"/>
              <w:bottom w:val="single" w:sz="4" w:space="0" w:color="000000"/>
              <w:right w:val="single" w:sz="4" w:space="0" w:color="000000"/>
            </w:tcBorders>
          </w:tcPr>
          <w:p>
            <w:pPr>
              <w:pStyle w:val="TableParagraph"/>
              <w:spacing w:line="240" w:lineRule="auto" w:before="56"/>
              <w:ind w:right="63"/>
              <w:jc w:val="right"/>
              <w:rPr>
                <w:rFonts w:ascii="Arial" w:hAnsi="Arial" w:cs="Arial" w:eastAsia="Arial" w:hint="default"/>
                <w:sz w:val="18"/>
                <w:szCs w:val="18"/>
              </w:rPr>
            </w:pPr>
            <w:r>
              <w:rPr>
                <w:rFonts w:ascii="Arial"/>
                <w:spacing w:val="-1"/>
                <w:sz w:val="18"/>
              </w:rPr>
              <w:t>1,559,085</w:t>
            </w:r>
          </w:p>
        </w:tc>
      </w:tr>
      <w:tr>
        <w:trPr>
          <w:trHeight w:val="324" w:hRule="exact"/>
        </w:trPr>
        <w:tc>
          <w:tcPr>
            <w:tcW w:w="872" w:type="dxa"/>
            <w:tcBorders>
              <w:top w:val="nil" w:sz="6" w:space="0" w:color="auto"/>
              <w:left w:val="nil" w:sz="6" w:space="0" w:color="auto"/>
              <w:bottom w:val="nil" w:sz="6" w:space="0" w:color="auto"/>
              <w:right w:val="nil" w:sz="6" w:space="0" w:color="auto"/>
            </w:tcBorders>
          </w:tcPr>
          <w:p>
            <w:pPr/>
          </w:p>
        </w:tc>
        <w:tc>
          <w:tcPr>
            <w:tcW w:w="282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11" w:right="0"/>
              <w:jc w:val="left"/>
              <w:rPr>
                <w:rFonts w:ascii="宋体" w:hAnsi="宋体" w:cs="宋体" w:eastAsia="宋体" w:hint="default"/>
                <w:sz w:val="18"/>
                <w:szCs w:val="18"/>
              </w:rPr>
            </w:pPr>
            <w:r>
              <w:rPr>
                <w:rFonts w:ascii="宋体" w:hAnsi="宋体" w:cs="宋体" w:eastAsia="宋体" w:hint="default"/>
                <w:sz w:val="18"/>
                <w:szCs w:val="18"/>
              </w:rPr>
              <w:t>外资持股</w:t>
            </w:r>
          </w:p>
        </w:tc>
        <w:tc>
          <w:tcPr>
            <w:tcW w:w="1985"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67"/>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single" w:sz="4" w:space="0" w:color="000000"/>
              <w:left w:val="nil" w:sz="6" w:space="0" w:color="auto"/>
              <w:bottom w:val="single" w:sz="4" w:space="0" w:color="000000"/>
              <w:right w:val="nil" w:sz="6" w:space="0" w:color="auto"/>
            </w:tcBorders>
          </w:tcPr>
          <w:p>
            <w:pPr/>
          </w:p>
        </w:tc>
        <w:tc>
          <w:tcPr>
            <w:tcW w:w="1058"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67"/>
              <w:jc w:val="right"/>
              <w:rPr>
                <w:rFonts w:ascii="Arial" w:hAnsi="Arial" w:cs="Arial" w:eastAsia="Arial" w:hint="default"/>
                <w:sz w:val="18"/>
                <w:szCs w:val="18"/>
              </w:rPr>
            </w:pPr>
            <w:r>
              <w:rPr>
                <w:rFonts w:ascii="Arial"/>
                <w:w w:val="99"/>
                <w:sz w:val="18"/>
              </w:rPr>
              <w:t>-</w:t>
            </w:r>
            <w:r>
              <w:rPr>
                <w:rFonts w:ascii="Arial"/>
                <w:sz w:val="18"/>
              </w:rPr>
            </w:r>
          </w:p>
        </w:tc>
        <w:tc>
          <w:tcPr>
            <w:tcW w:w="144"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70"/>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single" w:sz="4" w:space="0" w:color="000000"/>
              <w:left w:val="nil" w:sz="6" w:space="0" w:color="auto"/>
              <w:bottom w:val="single" w:sz="4" w:space="0" w:color="000000"/>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70"/>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single" w:sz="4" w:space="0" w:color="000000"/>
              <w:left w:val="nil" w:sz="6" w:space="0" w:color="auto"/>
              <w:bottom w:val="single" w:sz="4" w:space="0" w:color="000000"/>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6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single" w:sz="4" w:space="0" w:color="000000"/>
              <w:left w:val="nil" w:sz="6" w:space="0" w:color="auto"/>
              <w:bottom w:val="single" w:sz="4" w:space="0" w:color="000000"/>
              <w:right w:val="nil" w:sz="6" w:space="0" w:color="auto"/>
            </w:tcBorders>
          </w:tcPr>
          <w:p>
            <w:pP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77"/>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single" w:sz="4" w:space="0" w:color="000000"/>
              <w:left w:val="nil" w:sz="6" w:space="0" w:color="auto"/>
              <w:bottom w:val="single" w:sz="4" w:space="0" w:color="000000"/>
              <w:right w:val="nil" w:sz="6" w:space="0" w:color="auto"/>
            </w:tcBorders>
          </w:tcPr>
          <w:p>
            <w:pPr/>
          </w:p>
        </w:tc>
        <w:tc>
          <w:tcPr>
            <w:tcW w:w="2127"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70"/>
              <w:jc w:val="right"/>
              <w:rPr>
                <w:rFonts w:ascii="Arial" w:hAnsi="Arial" w:cs="Arial" w:eastAsia="Arial" w:hint="default"/>
                <w:sz w:val="18"/>
                <w:szCs w:val="18"/>
              </w:rPr>
            </w:pPr>
            <w:r>
              <w:rPr>
                <w:rFonts w:ascii="Arial"/>
                <w:w w:val="99"/>
                <w:sz w:val="18"/>
              </w:rPr>
              <w:t>-</w:t>
            </w:r>
            <w:r>
              <w:rPr>
                <w:rFonts w:ascii="Arial"/>
                <w:sz w:val="18"/>
              </w:rPr>
            </w:r>
          </w:p>
        </w:tc>
      </w:tr>
      <w:tr>
        <w:trPr>
          <w:trHeight w:val="327" w:hRule="exact"/>
        </w:trPr>
        <w:tc>
          <w:tcPr>
            <w:tcW w:w="872" w:type="dxa"/>
            <w:tcBorders>
              <w:top w:val="nil" w:sz="6" w:space="0" w:color="auto"/>
              <w:left w:val="nil" w:sz="6" w:space="0" w:color="auto"/>
              <w:bottom w:val="nil" w:sz="6" w:space="0" w:color="auto"/>
              <w:right w:val="single" w:sz="4" w:space="0" w:color="000000"/>
            </w:tcBorders>
          </w:tcPr>
          <w:p>
            <w:pPr/>
          </w:p>
        </w:tc>
        <w:tc>
          <w:tcPr>
            <w:tcW w:w="2827"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left="815"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985"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67"/>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single" w:sz="4" w:space="0" w:color="000000"/>
              <w:left w:val="nil" w:sz="6" w:space="0" w:color="auto"/>
              <w:bottom w:val="nil" w:sz="6" w:space="0" w:color="auto"/>
              <w:right w:val="nil" w:sz="6" w:space="0" w:color="auto"/>
            </w:tcBorders>
          </w:tcPr>
          <w:p>
            <w:pPr/>
          </w:p>
        </w:tc>
        <w:tc>
          <w:tcPr>
            <w:tcW w:w="105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67"/>
              <w:jc w:val="right"/>
              <w:rPr>
                <w:rFonts w:ascii="Arial" w:hAnsi="Arial" w:cs="Arial" w:eastAsia="Arial" w:hint="default"/>
                <w:sz w:val="18"/>
                <w:szCs w:val="18"/>
              </w:rPr>
            </w:pPr>
            <w:r>
              <w:rPr>
                <w:rFonts w:ascii="Arial"/>
                <w:w w:val="99"/>
                <w:sz w:val="18"/>
              </w:rPr>
              <w:t>-</w:t>
            </w:r>
            <w:r>
              <w:rPr>
                <w:rFonts w:ascii="Arial"/>
                <w:sz w:val="18"/>
              </w:rPr>
            </w:r>
          </w:p>
        </w:tc>
        <w:tc>
          <w:tcPr>
            <w:tcW w:w="144" w:type="dxa"/>
            <w:tcBorders>
              <w:top w:val="single" w:sz="4" w:space="0" w:color="000000"/>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70"/>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70"/>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6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single" w:sz="4" w:space="0" w:color="000000"/>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77"/>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single" w:sz="4" w:space="0" w:color="000000"/>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nil" w:sz="6" w:space="0" w:color="auto"/>
              <w:right w:val="single" w:sz="4" w:space="0" w:color="000000"/>
            </w:tcBorders>
          </w:tcPr>
          <w:p>
            <w:pPr>
              <w:pStyle w:val="TableParagraph"/>
              <w:spacing w:line="240" w:lineRule="auto" w:before="64"/>
              <w:ind w:right="65"/>
              <w:jc w:val="right"/>
              <w:rPr>
                <w:rFonts w:ascii="Arial" w:hAnsi="Arial" w:cs="Arial" w:eastAsia="Arial" w:hint="default"/>
                <w:sz w:val="18"/>
                <w:szCs w:val="18"/>
              </w:rPr>
            </w:pPr>
            <w:r>
              <w:rPr>
                <w:rFonts w:ascii="Arial"/>
                <w:w w:val="99"/>
                <w:sz w:val="18"/>
              </w:rPr>
              <w:t>-</w:t>
            </w:r>
            <w:r>
              <w:rPr>
                <w:rFonts w:ascii="Arial"/>
                <w:sz w:val="18"/>
              </w:rPr>
            </w:r>
          </w:p>
        </w:tc>
      </w:tr>
      <w:tr>
        <w:trPr>
          <w:trHeight w:val="309" w:hRule="exact"/>
        </w:trPr>
        <w:tc>
          <w:tcPr>
            <w:tcW w:w="872" w:type="dxa"/>
            <w:tcBorders>
              <w:top w:val="nil" w:sz="6" w:space="0" w:color="auto"/>
              <w:left w:val="nil" w:sz="6" w:space="0" w:color="auto"/>
              <w:bottom w:val="nil" w:sz="6" w:space="0" w:color="auto"/>
              <w:right w:val="single" w:sz="4" w:space="0" w:color="000000"/>
            </w:tcBorders>
          </w:tcPr>
          <w:p>
            <w:pPr/>
          </w:p>
        </w:tc>
        <w:tc>
          <w:tcPr>
            <w:tcW w:w="2827" w:type="dxa"/>
            <w:tcBorders>
              <w:top w:val="nil" w:sz="6" w:space="0" w:color="auto"/>
              <w:left w:val="single" w:sz="4" w:space="0" w:color="000000"/>
              <w:bottom w:val="single" w:sz="4" w:space="0" w:color="000000"/>
              <w:right w:val="nil" w:sz="6" w:space="0" w:color="auto"/>
            </w:tcBorders>
          </w:tcPr>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67"/>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single" w:sz="4" w:space="0" w:color="000000"/>
              <w:right w:val="nil" w:sz="6" w:space="0" w:color="auto"/>
            </w:tcBorders>
          </w:tcPr>
          <w:p>
            <w:pPr/>
          </w:p>
        </w:tc>
        <w:tc>
          <w:tcPr>
            <w:tcW w:w="1058"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67"/>
              <w:jc w:val="right"/>
              <w:rPr>
                <w:rFonts w:ascii="Arial" w:hAnsi="Arial" w:cs="Arial" w:eastAsia="Arial" w:hint="default"/>
                <w:sz w:val="18"/>
                <w:szCs w:val="18"/>
              </w:rPr>
            </w:pPr>
            <w:r>
              <w:rPr>
                <w:rFonts w:ascii="Arial"/>
                <w:w w:val="99"/>
                <w:sz w:val="18"/>
              </w:rPr>
              <w:t>-</w:t>
            </w:r>
            <w:r>
              <w:rPr>
                <w:rFonts w:ascii="Arial"/>
                <w:sz w:val="18"/>
              </w:rPr>
            </w:r>
          </w:p>
        </w:tc>
        <w:tc>
          <w:tcPr>
            <w:tcW w:w="144" w:type="dxa"/>
            <w:tcBorders>
              <w:top w:val="nil" w:sz="6" w:space="0" w:color="auto"/>
              <w:left w:val="nil" w:sz="6" w:space="0" w:color="auto"/>
              <w:bottom w:val="single" w:sz="4" w:space="0" w:color="000000"/>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70"/>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single" w:sz="4" w:space="0" w:color="000000"/>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70"/>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single" w:sz="4" w:space="0" w:color="000000"/>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6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single" w:sz="4" w:space="0" w:color="000000"/>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77"/>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single" w:sz="4" w:space="0" w:color="000000"/>
              <w:right w:val="nil" w:sz="6" w:space="0" w:color="auto"/>
            </w:tcBorders>
          </w:tcPr>
          <w:p>
            <w:pPr/>
          </w:p>
        </w:tc>
        <w:tc>
          <w:tcPr>
            <w:tcW w:w="2127" w:type="dxa"/>
            <w:tcBorders>
              <w:top w:val="nil" w:sz="6" w:space="0" w:color="auto"/>
              <w:left w:val="nil" w:sz="6" w:space="0" w:color="auto"/>
              <w:bottom w:val="single" w:sz="4" w:space="0" w:color="000000"/>
              <w:right w:val="single" w:sz="4" w:space="0" w:color="000000"/>
            </w:tcBorders>
          </w:tcPr>
          <w:p>
            <w:pPr>
              <w:pStyle w:val="TableParagraph"/>
              <w:spacing w:line="240" w:lineRule="auto" w:before="56"/>
              <w:ind w:right="65"/>
              <w:jc w:val="right"/>
              <w:rPr>
                <w:rFonts w:ascii="Arial" w:hAnsi="Arial" w:cs="Arial" w:eastAsia="Arial" w:hint="default"/>
                <w:sz w:val="18"/>
                <w:szCs w:val="18"/>
              </w:rPr>
            </w:pPr>
            <w:r>
              <w:rPr>
                <w:rFonts w:ascii="Arial"/>
                <w:w w:val="99"/>
                <w:sz w:val="18"/>
              </w:rPr>
              <w:t>-</w:t>
            </w:r>
            <w:r>
              <w:rPr>
                <w:rFonts w:ascii="Arial"/>
                <w:sz w:val="18"/>
              </w:rPr>
            </w:r>
          </w:p>
        </w:tc>
      </w:tr>
      <w:tr>
        <w:trPr>
          <w:trHeight w:val="298" w:hRule="exact"/>
        </w:trPr>
        <w:tc>
          <w:tcPr>
            <w:tcW w:w="872" w:type="dxa"/>
            <w:tcBorders>
              <w:top w:val="nil" w:sz="6" w:space="0" w:color="auto"/>
              <w:left w:val="nil" w:sz="6" w:space="0" w:color="auto"/>
              <w:bottom w:val="nil" w:sz="6" w:space="0" w:color="auto"/>
              <w:right w:val="nil" w:sz="6" w:space="0" w:color="auto"/>
            </w:tcBorders>
          </w:tcPr>
          <w:p>
            <w:pPr/>
          </w:p>
        </w:tc>
        <w:tc>
          <w:tcPr>
            <w:tcW w:w="2827" w:type="dxa"/>
            <w:tcBorders>
              <w:top w:val="single" w:sz="4" w:space="0" w:color="000000"/>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single" w:sz="4" w:space="0" w:color="000000"/>
              <w:right w:val="nil" w:sz="6" w:space="0" w:color="auto"/>
            </w:tcBorders>
          </w:tcPr>
          <w:p>
            <w:pPr/>
          </w:p>
        </w:tc>
        <w:tc>
          <w:tcPr>
            <w:tcW w:w="142" w:type="dxa"/>
            <w:tcBorders>
              <w:top w:val="single" w:sz="4" w:space="0" w:color="000000"/>
              <w:left w:val="nil" w:sz="6" w:space="0" w:color="auto"/>
              <w:bottom w:val="nil" w:sz="6" w:space="0" w:color="auto"/>
              <w:right w:val="nil" w:sz="6" w:space="0" w:color="auto"/>
            </w:tcBorders>
          </w:tcPr>
          <w:p>
            <w:pPr/>
          </w:p>
        </w:tc>
        <w:tc>
          <w:tcPr>
            <w:tcW w:w="1058" w:type="dxa"/>
            <w:tcBorders>
              <w:top w:val="single" w:sz="4" w:space="0" w:color="000000"/>
              <w:left w:val="nil" w:sz="6" w:space="0" w:color="auto"/>
              <w:bottom w:val="single" w:sz="4" w:space="0" w:color="000000"/>
              <w:right w:val="nil" w:sz="6" w:space="0" w:color="auto"/>
            </w:tcBorders>
          </w:tcPr>
          <w:p>
            <w:pPr/>
          </w:p>
        </w:tc>
        <w:tc>
          <w:tcPr>
            <w:tcW w:w="144" w:type="dxa"/>
            <w:tcBorders>
              <w:top w:val="single" w:sz="4" w:space="0" w:color="000000"/>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142"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
        </w:tc>
        <w:tc>
          <w:tcPr>
            <w:tcW w:w="139"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
        </w:tc>
        <w:tc>
          <w:tcPr>
            <w:tcW w:w="142" w:type="dxa"/>
            <w:tcBorders>
              <w:top w:val="single" w:sz="4" w:space="0" w:color="000000"/>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4" w:space="0" w:color="000000"/>
              <w:right w:val="nil" w:sz="6" w:space="0" w:color="auto"/>
            </w:tcBorders>
          </w:tcPr>
          <w:p>
            <w:pPr/>
          </w:p>
        </w:tc>
        <w:tc>
          <w:tcPr>
            <w:tcW w:w="142" w:type="dxa"/>
            <w:tcBorders>
              <w:top w:val="single" w:sz="4" w:space="0" w:color="000000"/>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single" w:sz="4" w:space="0" w:color="000000"/>
              <w:right w:val="nil" w:sz="6" w:space="0" w:color="auto"/>
            </w:tcBorders>
          </w:tcPr>
          <w:p>
            <w:pPr/>
          </w:p>
        </w:tc>
      </w:tr>
      <w:tr>
        <w:trPr>
          <w:trHeight w:val="298" w:hRule="exact"/>
        </w:trPr>
        <w:tc>
          <w:tcPr>
            <w:tcW w:w="872" w:type="dxa"/>
            <w:tcBorders>
              <w:top w:val="nil" w:sz="6" w:space="0" w:color="auto"/>
              <w:left w:val="nil" w:sz="6" w:space="0" w:color="auto"/>
              <w:bottom w:val="nil" w:sz="6" w:space="0" w:color="auto"/>
              <w:right w:val="nil" w:sz="6" w:space="0" w:color="auto"/>
            </w:tcBorders>
          </w:tcPr>
          <w:p>
            <w:pPr/>
          </w:p>
        </w:tc>
        <w:tc>
          <w:tcPr>
            <w:tcW w:w="2827"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66"/>
              <w:jc w:val="right"/>
              <w:rPr>
                <w:rFonts w:ascii="Arial" w:hAnsi="Arial" w:cs="Arial" w:eastAsia="Arial" w:hint="default"/>
                <w:sz w:val="18"/>
                <w:szCs w:val="18"/>
              </w:rPr>
            </w:pPr>
            <w:r>
              <w:rPr>
                <w:rFonts w:ascii="Arial"/>
                <w:spacing w:val="-1"/>
                <w:sz w:val="18"/>
              </w:rPr>
              <w:t>1,554,123</w:t>
            </w: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95"/>
              <w:jc w:val="right"/>
              <w:rPr>
                <w:rFonts w:ascii="Arial" w:hAnsi="Arial" w:cs="Arial" w:eastAsia="Arial" w:hint="default"/>
                <w:sz w:val="18"/>
                <w:szCs w:val="18"/>
              </w:rPr>
            </w:pPr>
            <w:r>
              <w:rPr>
                <w:rFonts w:ascii="Arial"/>
                <w:w w:val="95"/>
                <w:sz w:val="18"/>
              </w:rPr>
              <w:t>4,962</w:t>
            </w:r>
            <w:r>
              <w:rPr>
                <w:rFonts w:ascii="Arial"/>
                <w:sz w:val="18"/>
              </w:rPr>
            </w:r>
          </w:p>
        </w:tc>
        <w:tc>
          <w:tcPr>
            <w:tcW w:w="144" w:type="dxa"/>
            <w:tcBorders>
              <w:top w:val="nil" w:sz="6" w:space="0" w:color="auto"/>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70"/>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70"/>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6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76"/>
              <w:jc w:val="right"/>
              <w:rPr>
                <w:rFonts w:ascii="Arial" w:hAnsi="Arial" w:cs="Arial" w:eastAsia="Arial" w:hint="default"/>
                <w:sz w:val="18"/>
                <w:szCs w:val="18"/>
              </w:rPr>
            </w:pPr>
            <w:r>
              <w:rPr>
                <w:rFonts w:ascii="Arial"/>
                <w:w w:val="95"/>
                <w:sz w:val="18"/>
              </w:rPr>
              <w:t>4,962</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68"/>
              <w:jc w:val="right"/>
              <w:rPr>
                <w:rFonts w:ascii="Arial" w:hAnsi="Arial" w:cs="Arial" w:eastAsia="Arial" w:hint="default"/>
                <w:sz w:val="18"/>
                <w:szCs w:val="18"/>
              </w:rPr>
            </w:pPr>
            <w:r>
              <w:rPr>
                <w:rFonts w:ascii="Arial"/>
                <w:spacing w:val="-1"/>
                <w:sz w:val="18"/>
              </w:rPr>
              <w:t>1,559,085</w:t>
            </w:r>
          </w:p>
        </w:tc>
      </w:tr>
      <w:tr>
        <w:trPr>
          <w:trHeight w:val="608" w:hRule="exact"/>
        </w:trPr>
        <w:tc>
          <w:tcPr>
            <w:tcW w:w="872" w:type="dxa"/>
            <w:tcBorders>
              <w:top w:val="nil" w:sz="6" w:space="0" w:color="auto"/>
              <w:left w:val="nil" w:sz="6" w:space="0" w:color="auto"/>
              <w:bottom w:val="nil" w:sz="6" w:space="0" w:color="auto"/>
              <w:right w:val="nil" w:sz="6" w:space="0" w:color="auto"/>
            </w:tcBorders>
          </w:tcPr>
          <w:p>
            <w:pPr/>
          </w:p>
        </w:tc>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40" w:right="0"/>
              <w:jc w:val="left"/>
              <w:rPr>
                <w:rFonts w:ascii="Arial" w:hAnsi="Arial" w:cs="Arial" w:eastAsia="Arial" w:hint="default"/>
                <w:sz w:val="18"/>
                <w:szCs w:val="18"/>
              </w:rPr>
            </w:pPr>
            <w:r>
              <w:rPr>
                <w:rFonts w:ascii="宋体" w:hAnsi="宋体" w:cs="宋体" w:eastAsia="宋体" w:hint="default"/>
                <w:sz w:val="18"/>
                <w:szCs w:val="18"/>
              </w:rPr>
              <w:t>无限售条件股份</w:t>
            </w:r>
            <w:r>
              <w:rPr>
                <w:rFonts w:ascii="宋体" w:hAnsi="宋体" w:cs="宋体" w:eastAsia="宋体" w:hint="default"/>
                <w:spacing w:val="1"/>
                <w:sz w:val="18"/>
                <w:szCs w:val="18"/>
              </w:rPr>
              <w:t> </w:t>
            </w:r>
            <w:r>
              <w:rPr>
                <w:rFonts w:ascii="Arial" w:hAnsi="Arial" w:cs="Arial" w:eastAsia="Arial" w:hint="default"/>
                <w:sz w:val="18"/>
                <w:szCs w:val="18"/>
              </w:rPr>
              <w:t>-</w:t>
            </w:r>
          </w:p>
        </w:tc>
        <w:tc>
          <w:tcPr>
            <w:tcW w:w="1985"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single" w:sz="4" w:space="0" w:color="000000"/>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nil" w:sz="6" w:space="0" w:color="auto"/>
              <w:right w:val="nil" w:sz="6" w:space="0" w:color="auto"/>
            </w:tcBorders>
          </w:tcPr>
          <w:p>
            <w:pPr/>
          </w:p>
        </w:tc>
      </w:tr>
      <w:tr>
        <w:trPr>
          <w:trHeight w:val="317" w:hRule="exact"/>
        </w:trPr>
        <w:tc>
          <w:tcPr>
            <w:tcW w:w="872" w:type="dxa"/>
            <w:tcBorders>
              <w:top w:val="nil" w:sz="6" w:space="0" w:color="auto"/>
              <w:left w:val="nil" w:sz="6" w:space="0" w:color="auto"/>
              <w:bottom w:val="nil" w:sz="6" w:space="0" w:color="auto"/>
              <w:right w:val="nil" w:sz="6" w:space="0" w:color="auto"/>
            </w:tcBorders>
          </w:tcPr>
          <w:p>
            <w:pPr/>
          </w:p>
        </w:tc>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
              <w:ind w:left="4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66"/>
              <w:jc w:val="right"/>
              <w:rPr>
                <w:rFonts w:ascii="Arial" w:hAnsi="Arial" w:cs="Arial" w:eastAsia="Arial" w:hint="default"/>
                <w:sz w:val="18"/>
                <w:szCs w:val="18"/>
              </w:rPr>
            </w:pPr>
            <w:r>
              <w:rPr>
                <w:rFonts w:ascii="Arial"/>
                <w:spacing w:val="-1"/>
                <w:sz w:val="18"/>
              </w:rPr>
              <w:t>5,442,089</w:t>
            </w: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31"/>
              <w:jc w:val="right"/>
              <w:rPr>
                <w:rFonts w:ascii="Arial" w:hAnsi="Arial" w:cs="Arial" w:eastAsia="Arial" w:hint="default"/>
                <w:sz w:val="18"/>
                <w:szCs w:val="18"/>
              </w:rPr>
            </w:pPr>
            <w:r>
              <w:rPr>
                <w:rFonts w:ascii="Arial"/>
                <w:sz w:val="18"/>
              </w:rPr>
              <w:t>(4,962)</w:t>
            </w:r>
          </w:p>
        </w:tc>
        <w:tc>
          <w:tcPr>
            <w:tcW w:w="144"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70"/>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70"/>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6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9"/>
              <w:jc w:val="right"/>
              <w:rPr>
                <w:rFonts w:ascii="Arial" w:hAnsi="Arial" w:cs="Arial" w:eastAsia="Arial" w:hint="default"/>
                <w:sz w:val="18"/>
                <w:szCs w:val="18"/>
              </w:rPr>
            </w:pPr>
            <w:r>
              <w:rPr>
                <w:rFonts w:ascii="Arial"/>
                <w:sz w:val="18"/>
              </w:rPr>
              <w:t>(4,962)</w:t>
            </w:r>
          </w:p>
        </w:tc>
        <w:tc>
          <w:tcPr>
            <w:tcW w:w="14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68"/>
              <w:jc w:val="right"/>
              <w:rPr>
                <w:rFonts w:ascii="Arial" w:hAnsi="Arial" w:cs="Arial" w:eastAsia="Arial" w:hint="default"/>
                <w:sz w:val="18"/>
                <w:szCs w:val="18"/>
              </w:rPr>
            </w:pPr>
            <w:r>
              <w:rPr>
                <w:rFonts w:ascii="Arial"/>
                <w:w w:val="95"/>
                <w:sz w:val="18"/>
              </w:rPr>
              <w:t>5,437,127</w:t>
            </w:r>
            <w:r>
              <w:rPr>
                <w:rFonts w:ascii="Arial"/>
                <w:sz w:val="18"/>
              </w:rPr>
            </w:r>
          </w:p>
        </w:tc>
      </w:tr>
      <w:tr>
        <w:trPr>
          <w:trHeight w:val="307" w:hRule="exact"/>
        </w:trPr>
        <w:tc>
          <w:tcPr>
            <w:tcW w:w="872" w:type="dxa"/>
            <w:tcBorders>
              <w:top w:val="nil" w:sz="6" w:space="0" w:color="auto"/>
              <w:left w:val="nil" w:sz="6" w:space="0" w:color="auto"/>
              <w:bottom w:val="nil" w:sz="6" w:space="0" w:color="auto"/>
              <w:right w:val="nil" w:sz="6" w:space="0" w:color="auto"/>
            </w:tcBorders>
          </w:tcPr>
          <w:p>
            <w:pPr/>
          </w:p>
        </w:tc>
        <w:tc>
          <w:tcPr>
            <w:tcW w:w="2827"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66"/>
              <w:jc w:val="right"/>
              <w:rPr>
                <w:rFonts w:ascii="Arial" w:hAnsi="Arial" w:cs="Arial" w:eastAsia="Arial" w:hint="default"/>
                <w:sz w:val="18"/>
                <w:szCs w:val="18"/>
              </w:rPr>
            </w:pPr>
            <w:r>
              <w:rPr>
                <w:rFonts w:ascii="Arial"/>
                <w:spacing w:val="-1"/>
                <w:sz w:val="18"/>
              </w:rPr>
              <w:t>6,996,212</w:t>
            </w: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67"/>
              <w:jc w:val="right"/>
              <w:rPr>
                <w:rFonts w:ascii="Arial" w:hAnsi="Arial" w:cs="Arial" w:eastAsia="Arial" w:hint="default"/>
                <w:sz w:val="18"/>
                <w:szCs w:val="18"/>
              </w:rPr>
            </w:pPr>
            <w:r>
              <w:rPr>
                <w:rFonts w:ascii="Arial"/>
                <w:w w:val="99"/>
                <w:sz w:val="18"/>
              </w:rPr>
              <w:t>-</w:t>
            </w:r>
            <w:r>
              <w:rPr>
                <w:rFonts w:ascii="Arial"/>
                <w:sz w:val="18"/>
              </w:rPr>
            </w:r>
          </w:p>
        </w:tc>
        <w:tc>
          <w:tcPr>
            <w:tcW w:w="144" w:type="dxa"/>
            <w:tcBorders>
              <w:top w:val="nil" w:sz="6" w:space="0" w:color="auto"/>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70"/>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70"/>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69"/>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77"/>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69"/>
              <w:jc w:val="right"/>
              <w:rPr>
                <w:rFonts w:ascii="Arial" w:hAnsi="Arial" w:cs="Arial" w:eastAsia="Arial" w:hint="default"/>
                <w:sz w:val="18"/>
                <w:szCs w:val="18"/>
              </w:rPr>
            </w:pPr>
            <w:r>
              <w:rPr>
                <w:rFonts w:ascii="Arial"/>
                <w:spacing w:val="-1"/>
                <w:sz w:val="18"/>
              </w:rPr>
              <w:t>6,996,212</w:t>
            </w:r>
          </w:p>
        </w:tc>
      </w:tr>
    </w:tbl>
    <w:p>
      <w:pPr>
        <w:spacing w:after="0" w:line="240" w:lineRule="auto"/>
        <w:jc w:val="right"/>
        <w:rPr>
          <w:rFonts w:ascii="Arial" w:hAnsi="Arial" w:cs="Arial" w:eastAsia="Arial" w:hint="default"/>
          <w:sz w:val="18"/>
          <w:szCs w:val="18"/>
        </w:rPr>
        <w:sectPr>
          <w:pgSz w:w="16850" w:h="11910" w:orient="landscape"/>
          <w:pgMar w:header="1227" w:footer="706" w:top="2440" w:bottom="900" w:left="1040" w:right="0"/>
        </w:sectPr>
      </w:pPr>
    </w:p>
    <w:p>
      <w:pPr>
        <w:spacing w:line="240" w:lineRule="auto" w:before="9"/>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806"/>
        <w:gridCol w:w="3109"/>
        <w:gridCol w:w="847"/>
        <w:gridCol w:w="284"/>
        <w:gridCol w:w="1126"/>
        <w:gridCol w:w="265"/>
        <w:gridCol w:w="1137"/>
        <w:gridCol w:w="265"/>
        <w:gridCol w:w="1249"/>
      </w:tblGrid>
      <w:tr>
        <w:trPr>
          <w:trHeight w:val="415"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109" w:type="dxa"/>
            <w:tcBorders>
              <w:top w:val="nil" w:sz="6" w:space="0" w:color="auto"/>
              <w:left w:val="nil" w:sz="6" w:space="0" w:color="auto"/>
              <w:bottom w:val="nil" w:sz="6" w:space="0" w:color="auto"/>
              <w:right w:val="nil" w:sz="6" w:space="0" w:color="auto"/>
            </w:tcBorders>
          </w:tcPr>
          <w:p>
            <w:pPr>
              <w:pStyle w:val="TableParagraph"/>
              <w:spacing w:line="257" w:lineRule="exact"/>
              <w:ind w:left="11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847"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
        </w:tc>
      </w:tr>
      <w:tr>
        <w:trPr>
          <w:trHeight w:val="580"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64" w:right="0"/>
              <w:jc w:val="left"/>
              <w:rPr>
                <w:rFonts w:ascii="Arial" w:hAnsi="Arial" w:cs="Arial" w:eastAsia="Arial" w:hint="default"/>
                <w:sz w:val="24"/>
                <w:szCs w:val="24"/>
              </w:rPr>
            </w:pPr>
            <w:r>
              <w:rPr>
                <w:rFonts w:ascii="Arial"/>
                <w:sz w:val="24"/>
              </w:rPr>
              <w:t>(34)</w:t>
            </w:r>
          </w:p>
        </w:tc>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78" w:right="0"/>
              <w:jc w:val="left"/>
              <w:rPr>
                <w:rFonts w:ascii="黑体" w:hAnsi="黑体" w:cs="黑体" w:eastAsia="黑体" w:hint="default"/>
                <w:sz w:val="24"/>
                <w:szCs w:val="24"/>
              </w:rPr>
            </w:pPr>
            <w:r>
              <w:rPr>
                <w:rFonts w:ascii="黑体" w:hAnsi="黑体" w:cs="黑体" w:eastAsia="黑体" w:hint="default"/>
                <w:sz w:val="24"/>
                <w:szCs w:val="24"/>
              </w:rPr>
              <w:t>资本公积</w:t>
            </w:r>
          </w:p>
        </w:tc>
        <w:tc>
          <w:tcPr>
            <w:tcW w:w="847"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
        </w:tc>
      </w:tr>
      <w:tr>
        <w:trPr>
          <w:trHeight w:val="771" w:hRule="exact"/>
        </w:trPr>
        <w:tc>
          <w:tcPr>
            <w:tcW w:w="806" w:type="dxa"/>
            <w:tcBorders>
              <w:top w:val="nil" w:sz="6" w:space="0" w:color="auto"/>
              <w:left w:val="nil" w:sz="6" w:space="0" w:color="auto"/>
              <w:bottom w:val="nil" w:sz="6" w:space="0" w:color="auto"/>
              <w:right w:val="nil" w:sz="6" w:space="0" w:color="auto"/>
            </w:tcBorders>
          </w:tcPr>
          <w:p>
            <w:pPr/>
          </w:p>
        </w:tc>
        <w:tc>
          <w:tcPr>
            <w:tcW w:w="3957" w:type="dxa"/>
            <w:gridSpan w:val="2"/>
            <w:tcBorders>
              <w:top w:val="nil" w:sz="6" w:space="0" w:color="auto"/>
              <w:left w:val="nil" w:sz="6" w:space="0" w:color="auto"/>
              <w:bottom w:val="nil" w:sz="6" w:space="0" w:color="auto"/>
              <w:right w:val="nil" w:sz="6" w:space="0" w:color="auto"/>
            </w:tcBorders>
          </w:tcPr>
          <w:p>
            <w:pPr>
              <w:pStyle w:val="TableParagraph"/>
              <w:spacing w:line="241" w:lineRule="exact" w:before="114"/>
              <w:ind w:right="103"/>
              <w:jc w:val="righ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1" w:lineRule="exact"/>
              <w:ind w:right="103"/>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8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300"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65"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308"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6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1" w:lineRule="exact" w:before="114"/>
              <w:ind w:left="514"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1" w:lineRule="exact"/>
              <w:ind w:left="246"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60" w:hRule="exact"/>
        </w:trPr>
        <w:tc>
          <w:tcPr>
            <w:tcW w:w="806" w:type="dxa"/>
            <w:tcBorders>
              <w:top w:val="nil" w:sz="6" w:space="0" w:color="auto"/>
              <w:left w:val="nil" w:sz="6" w:space="0" w:color="auto"/>
              <w:bottom w:val="nil" w:sz="6" w:space="0" w:color="auto"/>
              <w:right w:val="nil" w:sz="6" w:space="0" w:color="auto"/>
            </w:tcBorders>
          </w:tcPr>
          <w:p>
            <w:pPr/>
          </w:p>
        </w:tc>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股本溢价</w:t>
            </w:r>
            <w:r>
              <w:rPr>
                <w:rFonts w:ascii="Times New Roman" w:hAnsi="Times New Roman" w:cs="Times New Roman" w:eastAsia="Times New Roman" w:hint="default"/>
                <w:sz w:val="18"/>
                <w:szCs w:val="18"/>
              </w:rPr>
              <w:t>(a)</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7"/>
              <w:jc w:val="right"/>
              <w:rPr>
                <w:rFonts w:ascii="Arial" w:hAnsi="Arial" w:cs="Arial" w:eastAsia="Arial" w:hint="default"/>
                <w:sz w:val="18"/>
                <w:szCs w:val="18"/>
              </w:rPr>
            </w:pPr>
            <w:r>
              <w:rPr>
                <w:rFonts w:ascii="Arial"/>
                <w:spacing w:val="-1"/>
                <w:sz w:val="18"/>
              </w:rPr>
              <w:t>329,874</w:t>
            </w:r>
          </w:p>
        </w:tc>
        <w:tc>
          <w:tcPr>
            <w:tcW w:w="28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9"/>
              <w:jc w:val="right"/>
              <w:rPr>
                <w:rFonts w:ascii="Arial" w:hAnsi="Arial" w:cs="Arial" w:eastAsia="Arial" w:hint="default"/>
                <w:sz w:val="18"/>
                <w:szCs w:val="18"/>
              </w:rPr>
            </w:pPr>
            <w:r>
              <w:rPr>
                <w:rFonts w:ascii="Arial"/>
                <w:spacing w:val="-1"/>
                <w:sz w:val="18"/>
              </w:rPr>
              <w:t>4,246,261</w:t>
            </w:r>
          </w:p>
        </w:tc>
        <w:tc>
          <w:tcPr>
            <w:tcW w:w="265"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40"/>
              <w:jc w:val="right"/>
              <w:rPr>
                <w:rFonts w:ascii="Arial" w:hAnsi="Arial" w:cs="Arial" w:eastAsia="Arial" w:hint="default"/>
                <w:sz w:val="18"/>
                <w:szCs w:val="18"/>
              </w:rPr>
            </w:pPr>
            <w:r>
              <w:rPr>
                <w:rFonts w:ascii="Arial"/>
                <w:spacing w:val="-1"/>
                <w:sz w:val="18"/>
              </w:rPr>
              <w:t>(39,185)</w:t>
            </w:r>
          </w:p>
        </w:tc>
        <w:tc>
          <w:tcPr>
            <w:tcW w:w="26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40"/>
              <w:jc w:val="right"/>
              <w:rPr>
                <w:rFonts w:ascii="Arial" w:hAnsi="Arial" w:cs="Arial" w:eastAsia="Arial" w:hint="default"/>
                <w:sz w:val="18"/>
                <w:szCs w:val="18"/>
              </w:rPr>
            </w:pPr>
            <w:r>
              <w:rPr>
                <w:rFonts w:ascii="Arial"/>
                <w:spacing w:val="-1"/>
                <w:sz w:val="18"/>
              </w:rPr>
              <w:t>4,536,950</w:t>
            </w:r>
          </w:p>
        </w:tc>
      </w:tr>
      <w:tr>
        <w:trPr>
          <w:trHeight w:val="286" w:hRule="exact"/>
        </w:trPr>
        <w:tc>
          <w:tcPr>
            <w:tcW w:w="806" w:type="dxa"/>
            <w:tcBorders>
              <w:top w:val="nil" w:sz="6" w:space="0" w:color="auto"/>
              <w:left w:val="nil" w:sz="6" w:space="0" w:color="auto"/>
              <w:bottom w:val="nil" w:sz="6" w:space="0" w:color="auto"/>
              <w:right w:val="nil" w:sz="6" w:space="0" w:color="auto"/>
            </w:tcBorders>
          </w:tcPr>
          <w:p>
            <w:pPr/>
          </w:p>
        </w:tc>
        <w:tc>
          <w:tcPr>
            <w:tcW w:w="3109" w:type="dxa"/>
            <w:tcBorders>
              <w:top w:val="nil" w:sz="6" w:space="0" w:color="auto"/>
              <w:left w:val="nil" w:sz="6" w:space="0" w:color="auto"/>
              <w:bottom w:val="nil" w:sz="6" w:space="0" w:color="auto"/>
              <w:right w:val="nil" w:sz="6" w:space="0" w:color="auto"/>
            </w:tcBorders>
          </w:tcPr>
          <w:p>
            <w:pPr>
              <w:pStyle w:val="TableParagraph"/>
              <w:spacing w:line="228" w:lineRule="exact"/>
              <w:ind w:left="1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其他资本公积</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p>
        </w:tc>
        <w:tc>
          <w:tcPr>
            <w:tcW w:w="847"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
        </w:tc>
      </w:tr>
      <w:tr>
        <w:trPr>
          <w:trHeight w:val="575" w:hRule="exact"/>
        </w:trPr>
        <w:tc>
          <w:tcPr>
            <w:tcW w:w="806" w:type="dxa"/>
            <w:tcBorders>
              <w:top w:val="nil" w:sz="6" w:space="0" w:color="auto"/>
              <w:left w:val="nil" w:sz="6" w:space="0" w:color="auto"/>
              <w:bottom w:val="nil" w:sz="6" w:space="0" w:color="auto"/>
              <w:right w:val="nil" w:sz="6" w:space="0" w:color="auto"/>
            </w:tcBorders>
          </w:tcPr>
          <w:p>
            <w:pPr/>
          </w:p>
        </w:tc>
        <w:tc>
          <w:tcPr>
            <w:tcW w:w="3109" w:type="dxa"/>
            <w:tcBorders>
              <w:top w:val="nil" w:sz="6" w:space="0" w:color="auto"/>
              <w:left w:val="nil" w:sz="6" w:space="0" w:color="auto"/>
              <w:bottom w:val="nil" w:sz="6" w:space="0" w:color="auto"/>
              <w:right w:val="nil" w:sz="6" w:space="0" w:color="auto"/>
            </w:tcBorders>
          </w:tcPr>
          <w:p>
            <w:pPr>
              <w:pStyle w:val="TableParagraph"/>
              <w:spacing w:line="232" w:lineRule="exact" w:before="31"/>
              <w:ind w:left="113" w:right="504"/>
              <w:jc w:val="left"/>
              <w:rPr>
                <w:rFonts w:ascii="宋体" w:hAnsi="宋体" w:cs="宋体" w:eastAsia="宋体" w:hint="default"/>
                <w:sz w:val="18"/>
                <w:szCs w:val="18"/>
              </w:rPr>
            </w:pPr>
            <w:r>
              <w:rPr>
                <w:rFonts w:ascii="宋体" w:hAnsi="宋体" w:cs="宋体" w:eastAsia="宋体" w:hint="default"/>
                <w:spacing w:val="10"/>
                <w:sz w:val="18"/>
                <w:szCs w:val="18"/>
              </w:rPr>
              <w:t>可供出售金融资产公允价值变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动</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36"/>
              <w:jc w:val="right"/>
              <w:rPr>
                <w:rFonts w:ascii="Arial" w:hAnsi="Arial" w:cs="Arial" w:eastAsia="Arial" w:hint="default"/>
                <w:sz w:val="18"/>
                <w:szCs w:val="18"/>
              </w:rPr>
            </w:pPr>
            <w:r>
              <w:rPr>
                <w:rFonts w:ascii="Arial"/>
                <w:w w:val="95"/>
                <w:sz w:val="18"/>
              </w:rPr>
              <w:t>387</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41"/>
              <w:jc w:val="right"/>
              <w:rPr>
                <w:rFonts w:ascii="Arial" w:hAnsi="Arial" w:cs="Arial" w:eastAsia="Arial" w:hint="default"/>
                <w:sz w:val="18"/>
                <w:szCs w:val="18"/>
              </w:rPr>
            </w:pPr>
            <w:r>
              <w:rPr>
                <w:rFonts w:ascii="Arial"/>
                <w:w w:val="99"/>
                <w:sz w:val="18"/>
              </w:rPr>
              <w:t>-</w:t>
            </w:r>
            <w:r>
              <w:rPr>
                <w:rFonts w:ascii="Arial"/>
                <w:sz w:val="18"/>
              </w:rPr>
            </w:r>
          </w:p>
        </w:tc>
        <w:tc>
          <w:tcPr>
            <w:tcW w:w="265"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39"/>
              <w:jc w:val="right"/>
              <w:rPr>
                <w:rFonts w:ascii="Arial" w:hAnsi="Arial" w:cs="Arial" w:eastAsia="Arial" w:hint="default"/>
                <w:sz w:val="18"/>
                <w:szCs w:val="18"/>
              </w:rPr>
            </w:pPr>
            <w:r>
              <w:rPr>
                <w:rFonts w:ascii="Arial"/>
                <w:w w:val="95"/>
                <w:sz w:val="18"/>
              </w:rPr>
              <w:t>(229)</w:t>
            </w:r>
            <w:r>
              <w:rPr>
                <w:rFonts w:ascii="Arial"/>
                <w:sz w:val="18"/>
              </w:rPr>
            </w:r>
          </w:p>
        </w:tc>
        <w:tc>
          <w:tcPr>
            <w:tcW w:w="26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38"/>
              <w:jc w:val="right"/>
              <w:rPr>
                <w:rFonts w:ascii="Arial" w:hAnsi="Arial" w:cs="Arial" w:eastAsia="Arial" w:hint="default"/>
                <w:sz w:val="18"/>
                <w:szCs w:val="18"/>
              </w:rPr>
            </w:pPr>
            <w:r>
              <w:rPr>
                <w:rFonts w:ascii="Arial"/>
                <w:w w:val="95"/>
                <w:sz w:val="18"/>
              </w:rPr>
              <w:t>158</w:t>
            </w:r>
            <w:r>
              <w:rPr>
                <w:rFonts w:ascii="Arial"/>
                <w:sz w:val="18"/>
              </w:rPr>
            </w:r>
          </w:p>
        </w:tc>
      </w:tr>
      <w:tr>
        <w:trPr>
          <w:trHeight w:val="338" w:hRule="exact"/>
        </w:trPr>
        <w:tc>
          <w:tcPr>
            <w:tcW w:w="806" w:type="dxa"/>
            <w:tcBorders>
              <w:top w:val="nil" w:sz="6" w:space="0" w:color="auto"/>
              <w:left w:val="nil" w:sz="6" w:space="0" w:color="auto"/>
              <w:bottom w:val="nil" w:sz="6" w:space="0" w:color="auto"/>
              <w:right w:val="nil" w:sz="6" w:space="0" w:color="auto"/>
            </w:tcBorders>
          </w:tcPr>
          <w:p>
            <w:pPr/>
          </w:p>
        </w:tc>
        <w:tc>
          <w:tcPr>
            <w:tcW w:w="3109" w:type="dxa"/>
            <w:tcBorders>
              <w:top w:val="nil" w:sz="6" w:space="0" w:color="auto"/>
              <w:left w:val="nil" w:sz="6" w:space="0" w:color="auto"/>
              <w:bottom w:val="nil" w:sz="6" w:space="0" w:color="auto"/>
              <w:right w:val="nil" w:sz="6" w:space="0" w:color="auto"/>
            </w:tcBorders>
          </w:tcPr>
          <w:p>
            <w:pPr>
              <w:pStyle w:val="TableParagraph"/>
              <w:tabs>
                <w:tab w:pos="2646" w:val="left" w:leader="none"/>
                <w:tab w:pos="3265" w:val="left" w:leader="none"/>
              </w:tabs>
              <w:spacing w:line="229" w:lineRule="exact"/>
              <w:ind w:left="113" w:right="-156"/>
              <w:jc w:val="left"/>
              <w:rPr>
                <w:rFonts w:ascii="Arial" w:hAnsi="Arial" w:cs="Arial" w:eastAsia="Arial"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(c)</w:t>
              <w:tab/>
            </w:r>
            <w:r>
              <w:rPr>
                <w:rFonts w:ascii="Arial" w:hAnsi="Arial" w:cs="Arial" w:eastAsia="Arial" w:hint="default"/>
                <w:w w:val="100"/>
                <w:position w:val="-5"/>
                <w:sz w:val="18"/>
                <w:szCs w:val="18"/>
              </w:rPr>
            </w:r>
            <w:r>
              <w:rPr>
                <w:rFonts w:ascii="Arial" w:hAnsi="Arial" w:cs="Arial" w:eastAsia="Arial" w:hint="default"/>
                <w:w w:val="100"/>
                <w:position w:val="-5"/>
                <w:sz w:val="18"/>
                <w:szCs w:val="18"/>
                <w:u w:val="single" w:color="000000"/>
              </w:rPr>
              <w:t> </w:t>
            </w:r>
            <w:r>
              <w:rPr>
                <w:rFonts w:ascii="Arial" w:hAnsi="Arial" w:cs="Arial" w:eastAsia="Arial" w:hint="default"/>
                <w:position w:val="-5"/>
                <w:sz w:val="18"/>
                <w:szCs w:val="18"/>
                <w:u w:val="single" w:color="000000"/>
              </w:rPr>
              <w:tab/>
            </w:r>
            <w:r>
              <w:rPr>
                <w:rFonts w:ascii="Arial" w:hAnsi="Arial" w:cs="Arial" w:eastAsia="Arial" w:hint="default"/>
                <w:sz w:val="18"/>
                <w:szCs w:val="18"/>
              </w:rPr>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7"/>
              <w:jc w:val="right"/>
              <w:rPr>
                <w:rFonts w:ascii="Arial" w:hAnsi="Arial" w:cs="Arial" w:eastAsia="Arial" w:hint="default"/>
                <w:sz w:val="18"/>
                <w:szCs w:val="18"/>
              </w:rPr>
            </w:pPr>
            <w:r>
              <w:rPr>
                <w:rFonts w:ascii="Arial"/>
                <w:w w:val="99"/>
                <w:sz w:val="18"/>
              </w:rPr>
            </w:r>
            <w:r>
              <w:rPr>
                <w:rFonts w:ascii="Arial"/>
                <w:spacing w:val="-1"/>
                <w:sz w:val="18"/>
                <w:u w:val="single" w:color="000000"/>
              </w:rPr>
              <w:t>186,813</w:t>
            </w:r>
            <w:r>
              <w:rPr>
                <w:rFonts w:ascii="Arial"/>
                <w:spacing w:val="-1"/>
                <w:sz w:val="18"/>
              </w:rPr>
            </w:r>
          </w:p>
        </w:tc>
        <w:tc>
          <w:tcPr>
            <w:tcW w:w="28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tabs>
                <w:tab w:pos="1022" w:val="left" w:leader="none"/>
              </w:tabs>
              <w:spacing w:line="240" w:lineRule="auto" w:before="76"/>
              <w:ind w:right="4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65"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Style w:val="TableParagraph"/>
              <w:tabs>
                <w:tab w:pos="423" w:val="left" w:leader="none"/>
              </w:tabs>
              <w:spacing w:line="240" w:lineRule="auto" w:before="76"/>
              <w:ind w:left="-18" w:right="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(44,450)</w:t>
            </w:r>
            <w:r>
              <w:rPr>
                <w:rFonts w:ascii="Arial"/>
                <w:spacing w:val="-1"/>
                <w:sz w:val="18"/>
              </w:rPr>
            </w:r>
          </w:p>
        </w:tc>
        <w:tc>
          <w:tcPr>
            <w:tcW w:w="26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tabs>
                <w:tab w:pos="555" w:val="left" w:leader="none"/>
              </w:tabs>
              <w:spacing w:line="240" w:lineRule="auto" w:before="76"/>
              <w:ind w:left="-28" w:right="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142,363</w:t>
            </w:r>
            <w:r>
              <w:rPr>
                <w:rFonts w:ascii="Arial"/>
                <w:spacing w:val="-1"/>
                <w:sz w:val="18"/>
              </w:rPr>
            </w:r>
          </w:p>
        </w:tc>
      </w:tr>
      <w:tr>
        <w:trPr>
          <w:trHeight w:val="257" w:hRule="exact"/>
        </w:trPr>
        <w:tc>
          <w:tcPr>
            <w:tcW w:w="806" w:type="dxa"/>
            <w:tcBorders>
              <w:top w:val="nil" w:sz="6" w:space="0" w:color="auto"/>
              <w:left w:val="nil" w:sz="6" w:space="0" w:color="auto"/>
              <w:bottom w:val="nil" w:sz="6" w:space="0" w:color="auto"/>
              <w:right w:val="nil" w:sz="6" w:space="0" w:color="auto"/>
            </w:tcBorders>
          </w:tcPr>
          <w:p>
            <w:pPr/>
          </w:p>
        </w:tc>
        <w:tc>
          <w:tcPr>
            <w:tcW w:w="3109" w:type="dxa"/>
            <w:tcBorders>
              <w:top w:val="nil" w:sz="6" w:space="0" w:color="auto"/>
              <w:left w:val="nil" w:sz="6" w:space="0" w:color="auto"/>
              <w:bottom w:val="single" w:sz="12" w:space="0" w:color="000000"/>
              <w:right w:val="nil" w:sz="6" w:space="0" w:color="auto"/>
            </w:tcBorders>
          </w:tcPr>
          <w:p>
            <w:pPr/>
          </w:p>
        </w:tc>
        <w:tc>
          <w:tcPr>
            <w:tcW w:w="847" w:type="dxa"/>
            <w:tcBorders>
              <w:top w:val="nil" w:sz="6" w:space="0" w:color="auto"/>
              <w:left w:val="nil" w:sz="6" w:space="0" w:color="auto"/>
              <w:bottom w:val="single" w:sz="12" w:space="0" w:color="000000"/>
              <w:right w:val="nil" w:sz="6" w:space="0" w:color="auto"/>
            </w:tcBorders>
          </w:tcPr>
          <w:p>
            <w:pPr>
              <w:pStyle w:val="TableParagraph"/>
              <w:spacing w:line="240" w:lineRule="auto" w:before="36"/>
              <w:ind w:right="37"/>
              <w:jc w:val="right"/>
              <w:rPr>
                <w:rFonts w:ascii="Arial" w:hAnsi="Arial" w:cs="Arial" w:eastAsia="Arial" w:hint="default"/>
                <w:sz w:val="18"/>
                <w:szCs w:val="18"/>
              </w:rPr>
            </w:pPr>
            <w:r>
              <w:rPr>
                <w:rFonts w:ascii="Arial"/>
                <w:spacing w:val="-1"/>
                <w:sz w:val="18"/>
              </w:rPr>
              <w:t>517,074</w:t>
            </w:r>
          </w:p>
        </w:tc>
        <w:tc>
          <w:tcPr>
            <w:tcW w:w="28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single" w:sz="12" w:space="0" w:color="000000"/>
              <w:right w:val="nil" w:sz="6" w:space="0" w:color="auto"/>
            </w:tcBorders>
          </w:tcPr>
          <w:p>
            <w:pPr>
              <w:pStyle w:val="TableParagraph"/>
              <w:spacing w:line="240" w:lineRule="auto" w:before="36"/>
              <w:ind w:right="39"/>
              <w:jc w:val="right"/>
              <w:rPr>
                <w:rFonts w:ascii="Arial" w:hAnsi="Arial" w:cs="Arial" w:eastAsia="Arial" w:hint="default"/>
                <w:sz w:val="18"/>
                <w:szCs w:val="18"/>
              </w:rPr>
            </w:pPr>
            <w:r>
              <w:rPr>
                <w:rFonts w:ascii="Arial"/>
                <w:spacing w:val="-1"/>
                <w:sz w:val="18"/>
              </w:rPr>
              <w:t>4,246,261</w:t>
            </w:r>
          </w:p>
        </w:tc>
        <w:tc>
          <w:tcPr>
            <w:tcW w:w="265"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single" w:sz="12" w:space="0" w:color="000000"/>
              <w:right w:val="nil" w:sz="6" w:space="0" w:color="auto"/>
            </w:tcBorders>
          </w:tcPr>
          <w:p>
            <w:pPr>
              <w:pStyle w:val="TableParagraph"/>
              <w:spacing w:line="240" w:lineRule="auto" w:before="36"/>
              <w:ind w:right="40"/>
              <w:jc w:val="right"/>
              <w:rPr>
                <w:rFonts w:ascii="Arial" w:hAnsi="Arial" w:cs="Arial" w:eastAsia="Arial" w:hint="default"/>
                <w:sz w:val="18"/>
                <w:szCs w:val="18"/>
              </w:rPr>
            </w:pPr>
            <w:r>
              <w:rPr>
                <w:rFonts w:ascii="Arial"/>
                <w:spacing w:val="-1"/>
                <w:sz w:val="18"/>
              </w:rPr>
              <w:t>(83,864)</w:t>
            </w:r>
          </w:p>
        </w:tc>
        <w:tc>
          <w:tcPr>
            <w:tcW w:w="26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single" w:sz="12" w:space="0" w:color="000000"/>
              <w:right w:val="nil" w:sz="6" w:space="0" w:color="auto"/>
            </w:tcBorders>
          </w:tcPr>
          <w:p>
            <w:pPr>
              <w:pStyle w:val="TableParagraph"/>
              <w:spacing w:line="240" w:lineRule="auto" w:before="36"/>
              <w:ind w:right="40"/>
              <w:jc w:val="right"/>
              <w:rPr>
                <w:rFonts w:ascii="Arial" w:hAnsi="Arial" w:cs="Arial" w:eastAsia="Arial" w:hint="default"/>
                <w:sz w:val="18"/>
                <w:szCs w:val="18"/>
              </w:rPr>
            </w:pPr>
            <w:r>
              <w:rPr>
                <w:rFonts w:ascii="Arial"/>
                <w:spacing w:val="-1"/>
                <w:sz w:val="18"/>
              </w:rPr>
              <w:t>4,679,471</w:t>
            </w:r>
          </w:p>
        </w:tc>
      </w:tr>
      <w:tr>
        <w:trPr>
          <w:trHeight w:val="791" w:hRule="exact"/>
        </w:trPr>
        <w:tc>
          <w:tcPr>
            <w:tcW w:w="806" w:type="dxa"/>
            <w:tcBorders>
              <w:top w:val="nil" w:sz="6" w:space="0" w:color="auto"/>
              <w:left w:val="nil" w:sz="6" w:space="0" w:color="auto"/>
              <w:bottom w:val="nil" w:sz="6" w:space="0" w:color="auto"/>
              <w:right w:val="nil" w:sz="6" w:space="0" w:color="auto"/>
            </w:tcBorders>
          </w:tcPr>
          <w:p>
            <w:pPr/>
          </w:p>
        </w:tc>
        <w:tc>
          <w:tcPr>
            <w:tcW w:w="39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1" w:lineRule="exact"/>
              <w:ind w:right="36"/>
              <w:jc w:val="righ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1" w:lineRule="exact"/>
              <w:ind w:right="36"/>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84" w:type="dxa"/>
            <w:tcBorders>
              <w:top w:val="nil" w:sz="6" w:space="0" w:color="auto"/>
              <w:left w:val="nil" w:sz="6" w:space="0" w:color="auto"/>
              <w:bottom w:val="nil" w:sz="6" w:space="0" w:color="auto"/>
              <w:right w:val="nil" w:sz="6" w:space="0" w:color="auto"/>
            </w:tcBorders>
          </w:tcPr>
          <w:p>
            <w:pPr/>
          </w:p>
        </w:tc>
        <w:tc>
          <w:tcPr>
            <w:tcW w:w="1126"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265" w:type="dxa"/>
            <w:tcBorders>
              <w:top w:val="nil" w:sz="6" w:space="0" w:color="auto"/>
              <w:left w:val="nil" w:sz="6" w:space="0" w:color="auto"/>
              <w:bottom w:val="nil" w:sz="6" w:space="0" w:color="auto"/>
              <w:right w:val="nil" w:sz="6" w:space="0" w:color="auto"/>
            </w:tcBorders>
          </w:tcPr>
          <w:p>
            <w:pPr/>
          </w:p>
        </w:tc>
        <w:tc>
          <w:tcPr>
            <w:tcW w:w="1137"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265" w:type="dxa"/>
            <w:tcBorders>
              <w:top w:val="nil" w:sz="6" w:space="0" w:color="auto"/>
              <w:left w:val="nil" w:sz="6" w:space="0" w:color="auto"/>
              <w:bottom w:val="nil" w:sz="6" w:space="0" w:color="auto"/>
              <w:right w:val="nil" w:sz="6" w:space="0" w:color="auto"/>
            </w:tcBorders>
          </w:tcPr>
          <w:p>
            <w:pPr/>
          </w:p>
        </w:tc>
        <w:tc>
          <w:tcPr>
            <w:tcW w:w="1249" w:type="dxa"/>
            <w:tcBorders>
              <w:top w:val="single" w:sz="12"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1" w:lineRule="exact"/>
              <w:ind w:left="594"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1" w:lineRule="exact"/>
              <w:ind w:left="31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22" w:hRule="exact"/>
        </w:trPr>
        <w:tc>
          <w:tcPr>
            <w:tcW w:w="806" w:type="dxa"/>
            <w:tcBorders>
              <w:top w:val="nil" w:sz="6" w:space="0" w:color="auto"/>
              <w:left w:val="nil" w:sz="6" w:space="0" w:color="auto"/>
              <w:bottom w:val="nil" w:sz="6" w:space="0" w:color="auto"/>
              <w:right w:val="nil" w:sz="6" w:space="0" w:color="auto"/>
            </w:tcBorders>
          </w:tcPr>
          <w:p>
            <w:pPr/>
          </w:p>
        </w:tc>
        <w:tc>
          <w:tcPr>
            <w:tcW w:w="3109" w:type="dxa"/>
            <w:tcBorders>
              <w:top w:val="nil" w:sz="6" w:space="0" w:color="auto"/>
              <w:left w:val="nil" w:sz="6" w:space="0" w:color="auto"/>
              <w:bottom w:val="nil" w:sz="6" w:space="0" w:color="auto"/>
              <w:right w:val="nil" w:sz="6" w:space="0" w:color="auto"/>
            </w:tcBorders>
          </w:tcPr>
          <w:p>
            <w:pPr>
              <w:pStyle w:val="TableParagraph"/>
              <w:spacing w:line="235" w:lineRule="exact"/>
              <w:ind w:left="1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股本溢价</w:t>
            </w:r>
            <w:r>
              <w:rPr>
                <w:rFonts w:ascii="Times New Roman" w:hAnsi="Times New Roman" w:cs="Times New Roman" w:eastAsia="Times New Roman" w:hint="default"/>
                <w:sz w:val="18"/>
                <w:szCs w:val="18"/>
              </w:rPr>
              <w:t>(b)</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7"/>
              <w:jc w:val="right"/>
              <w:rPr>
                <w:rFonts w:ascii="Arial" w:hAnsi="Arial" w:cs="Arial" w:eastAsia="Arial" w:hint="default"/>
                <w:sz w:val="18"/>
                <w:szCs w:val="18"/>
              </w:rPr>
            </w:pPr>
            <w:r>
              <w:rPr>
                <w:rFonts w:ascii="Arial"/>
                <w:spacing w:val="-1"/>
                <w:sz w:val="18"/>
              </w:rPr>
              <w:t>638,140</w:t>
            </w:r>
          </w:p>
        </w:tc>
        <w:tc>
          <w:tcPr>
            <w:tcW w:w="28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1"/>
              <w:jc w:val="right"/>
              <w:rPr>
                <w:rFonts w:ascii="Arial" w:hAnsi="Arial" w:cs="Arial" w:eastAsia="Arial" w:hint="default"/>
                <w:sz w:val="18"/>
                <w:szCs w:val="18"/>
              </w:rPr>
            </w:pPr>
            <w:r>
              <w:rPr>
                <w:rFonts w:ascii="Arial"/>
                <w:w w:val="99"/>
                <w:sz w:val="18"/>
              </w:rPr>
              <w:t>-</w:t>
            </w:r>
            <w:r>
              <w:rPr>
                <w:rFonts w:ascii="Arial"/>
                <w:sz w:val="18"/>
              </w:rPr>
            </w:r>
          </w:p>
        </w:tc>
        <w:tc>
          <w:tcPr>
            <w:tcW w:w="265"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Arial" w:hAnsi="Arial" w:cs="Arial" w:eastAsia="Arial" w:hint="default"/>
                <w:sz w:val="18"/>
                <w:szCs w:val="18"/>
              </w:rPr>
            </w:pPr>
            <w:r>
              <w:rPr>
                <w:rFonts w:ascii="Arial"/>
                <w:spacing w:val="-1"/>
                <w:sz w:val="18"/>
              </w:rPr>
              <w:t>(308,266)</w:t>
            </w:r>
          </w:p>
        </w:tc>
        <w:tc>
          <w:tcPr>
            <w:tcW w:w="26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0"/>
              <w:jc w:val="right"/>
              <w:rPr>
                <w:rFonts w:ascii="Arial" w:hAnsi="Arial" w:cs="Arial" w:eastAsia="Arial" w:hint="default"/>
                <w:sz w:val="18"/>
                <w:szCs w:val="18"/>
              </w:rPr>
            </w:pPr>
            <w:r>
              <w:rPr>
                <w:rFonts w:ascii="Arial"/>
                <w:spacing w:val="-1"/>
                <w:sz w:val="18"/>
              </w:rPr>
              <w:t>329,874</w:t>
            </w:r>
          </w:p>
        </w:tc>
      </w:tr>
      <w:tr>
        <w:trPr>
          <w:trHeight w:val="286" w:hRule="exact"/>
        </w:trPr>
        <w:tc>
          <w:tcPr>
            <w:tcW w:w="806" w:type="dxa"/>
            <w:tcBorders>
              <w:top w:val="nil" w:sz="6" w:space="0" w:color="auto"/>
              <w:left w:val="nil" w:sz="6" w:space="0" w:color="auto"/>
              <w:bottom w:val="nil" w:sz="6" w:space="0" w:color="auto"/>
              <w:right w:val="nil" w:sz="6" w:space="0" w:color="auto"/>
            </w:tcBorders>
          </w:tcPr>
          <w:p>
            <w:pPr/>
          </w:p>
        </w:tc>
        <w:tc>
          <w:tcPr>
            <w:tcW w:w="3109" w:type="dxa"/>
            <w:tcBorders>
              <w:top w:val="nil" w:sz="6" w:space="0" w:color="auto"/>
              <w:left w:val="nil" w:sz="6" w:space="0" w:color="auto"/>
              <w:bottom w:val="nil" w:sz="6" w:space="0" w:color="auto"/>
              <w:right w:val="nil" w:sz="6" w:space="0" w:color="auto"/>
            </w:tcBorders>
          </w:tcPr>
          <w:p>
            <w:pPr>
              <w:pStyle w:val="TableParagraph"/>
              <w:spacing w:line="228" w:lineRule="exact"/>
              <w:ind w:left="1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其他资本公积</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p>
        </w:tc>
        <w:tc>
          <w:tcPr>
            <w:tcW w:w="847"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
        </w:tc>
      </w:tr>
      <w:tr>
        <w:trPr>
          <w:trHeight w:val="340" w:hRule="exact"/>
        </w:trPr>
        <w:tc>
          <w:tcPr>
            <w:tcW w:w="806" w:type="dxa"/>
            <w:tcBorders>
              <w:top w:val="nil" w:sz="6" w:space="0" w:color="auto"/>
              <w:left w:val="nil" w:sz="6" w:space="0" w:color="auto"/>
              <w:bottom w:val="nil" w:sz="6" w:space="0" w:color="auto"/>
              <w:right w:val="nil" w:sz="6" w:space="0" w:color="auto"/>
            </w:tcBorders>
          </w:tcPr>
          <w:p>
            <w:pPr/>
          </w:p>
        </w:tc>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13"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8"/>
              <w:jc w:val="right"/>
              <w:rPr>
                <w:rFonts w:ascii="Arial" w:hAnsi="Arial" w:cs="Arial" w:eastAsia="Arial" w:hint="default"/>
                <w:sz w:val="18"/>
                <w:szCs w:val="18"/>
              </w:rPr>
            </w:pPr>
            <w:r>
              <w:rPr>
                <w:rFonts w:ascii="Arial"/>
                <w:w w:val="99"/>
                <w:sz w:val="18"/>
              </w:rPr>
              <w:t>-</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8"/>
              <w:jc w:val="right"/>
              <w:rPr>
                <w:rFonts w:ascii="Arial" w:hAnsi="Arial" w:cs="Arial" w:eastAsia="Arial" w:hint="default"/>
                <w:sz w:val="18"/>
                <w:szCs w:val="18"/>
              </w:rPr>
            </w:pPr>
            <w:r>
              <w:rPr>
                <w:rFonts w:ascii="Arial"/>
                <w:w w:val="95"/>
                <w:sz w:val="18"/>
              </w:rPr>
              <w:t>387</w:t>
            </w:r>
            <w:r>
              <w:rPr>
                <w:rFonts w:ascii="Arial"/>
                <w:sz w:val="18"/>
              </w:rPr>
            </w:r>
          </w:p>
        </w:tc>
        <w:tc>
          <w:tcPr>
            <w:tcW w:w="265"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6"/>
              <w:jc w:val="right"/>
              <w:rPr>
                <w:rFonts w:ascii="Arial" w:hAnsi="Arial" w:cs="Arial" w:eastAsia="Arial" w:hint="default"/>
                <w:sz w:val="18"/>
                <w:szCs w:val="18"/>
              </w:rPr>
            </w:pPr>
            <w:r>
              <w:rPr>
                <w:rFonts w:ascii="Arial"/>
                <w:w w:val="99"/>
                <w:sz w:val="18"/>
              </w:rPr>
              <w:t>-</w:t>
            </w:r>
            <w:r>
              <w:rPr>
                <w:rFonts w:ascii="Arial"/>
                <w:sz w:val="18"/>
              </w:rPr>
            </w:r>
          </w:p>
        </w:tc>
        <w:tc>
          <w:tcPr>
            <w:tcW w:w="26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8"/>
              <w:jc w:val="right"/>
              <w:rPr>
                <w:rFonts w:ascii="Arial" w:hAnsi="Arial" w:cs="Arial" w:eastAsia="Arial" w:hint="default"/>
                <w:sz w:val="18"/>
                <w:szCs w:val="18"/>
              </w:rPr>
            </w:pPr>
            <w:r>
              <w:rPr>
                <w:rFonts w:ascii="Arial"/>
                <w:w w:val="95"/>
                <w:sz w:val="18"/>
              </w:rPr>
              <w:t>387</w:t>
            </w:r>
            <w:r>
              <w:rPr>
                <w:rFonts w:ascii="Arial"/>
                <w:sz w:val="18"/>
              </w:rPr>
            </w:r>
          </w:p>
        </w:tc>
      </w:tr>
      <w:tr>
        <w:trPr>
          <w:trHeight w:val="338" w:hRule="exact"/>
        </w:trPr>
        <w:tc>
          <w:tcPr>
            <w:tcW w:w="806" w:type="dxa"/>
            <w:tcBorders>
              <w:top w:val="nil" w:sz="6" w:space="0" w:color="auto"/>
              <w:left w:val="nil" w:sz="6" w:space="0" w:color="auto"/>
              <w:bottom w:val="nil" w:sz="6" w:space="0" w:color="auto"/>
              <w:right w:val="nil" w:sz="6" w:space="0" w:color="auto"/>
            </w:tcBorders>
          </w:tcPr>
          <w:p>
            <w:pPr/>
          </w:p>
        </w:tc>
        <w:tc>
          <w:tcPr>
            <w:tcW w:w="3109" w:type="dxa"/>
            <w:tcBorders>
              <w:top w:val="nil" w:sz="6" w:space="0" w:color="auto"/>
              <w:left w:val="nil" w:sz="6" w:space="0" w:color="auto"/>
              <w:bottom w:val="nil" w:sz="6" w:space="0" w:color="auto"/>
              <w:right w:val="nil" w:sz="6" w:space="0" w:color="auto"/>
            </w:tcBorders>
          </w:tcPr>
          <w:p>
            <w:pPr>
              <w:pStyle w:val="TableParagraph"/>
              <w:tabs>
                <w:tab w:pos="2689" w:val="left" w:leader="none"/>
                <w:tab w:pos="3366" w:val="left" w:leader="none"/>
              </w:tabs>
              <w:spacing w:line="228" w:lineRule="exact"/>
              <w:ind w:left="113" w:right="-257"/>
              <w:jc w:val="left"/>
              <w:rPr>
                <w:rFonts w:ascii="Arial" w:hAnsi="Arial" w:cs="Arial" w:eastAsia="Arial"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(c)</w:t>
              <w:tab/>
            </w:r>
            <w:r>
              <w:rPr>
                <w:rFonts w:ascii="Arial" w:hAnsi="Arial" w:cs="Arial" w:eastAsia="Arial" w:hint="default"/>
                <w:w w:val="100"/>
                <w:position w:val="-5"/>
                <w:sz w:val="18"/>
                <w:szCs w:val="18"/>
              </w:rPr>
            </w:r>
            <w:r>
              <w:rPr>
                <w:rFonts w:ascii="Arial" w:hAnsi="Arial" w:cs="Arial" w:eastAsia="Arial" w:hint="default"/>
                <w:w w:val="100"/>
                <w:position w:val="-5"/>
                <w:sz w:val="18"/>
                <w:szCs w:val="18"/>
                <w:u w:val="single" w:color="000000"/>
              </w:rPr>
              <w:t> </w:t>
            </w:r>
            <w:r>
              <w:rPr>
                <w:rFonts w:ascii="Arial" w:hAnsi="Arial" w:cs="Arial" w:eastAsia="Arial" w:hint="default"/>
                <w:position w:val="-5"/>
                <w:sz w:val="18"/>
                <w:szCs w:val="18"/>
                <w:u w:val="single" w:color="000000"/>
              </w:rPr>
              <w:tab/>
            </w:r>
            <w:r>
              <w:rPr>
                <w:rFonts w:ascii="Arial" w:hAnsi="Arial" w:cs="Arial" w:eastAsia="Arial" w:hint="default"/>
                <w:sz w:val="18"/>
                <w:szCs w:val="18"/>
              </w:rPr>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7"/>
              <w:jc w:val="right"/>
              <w:rPr>
                <w:rFonts w:ascii="Arial" w:hAnsi="Arial" w:cs="Arial" w:eastAsia="Arial" w:hint="default"/>
                <w:sz w:val="18"/>
                <w:szCs w:val="18"/>
              </w:rPr>
            </w:pPr>
            <w:r>
              <w:rPr>
                <w:rFonts w:ascii="Arial"/>
                <w:w w:val="99"/>
                <w:sz w:val="18"/>
              </w:rPr>
            </w:r>
            <w:r>
              <w:rPr>
                <w:rFonts w:ascii="Arial"/>
                <w:spacing w:val="-1"/>
                <w:sz w:val="18"/>
                <w:u w:val="single" w:color="000000"/>
              </w:rPr>
              <w:t>17,148</w:t>
            </w:r>
            <w:r>
              <w:rPr>
                <w:rFonts w:ascii="Arial"/>
                <w:spacing w:val="-1"/>
                <w:sz w:val="18"/>
              </w:rPr>
            </w:r>
          </w:p>
        </w:tc>
        <w:tc>
          <w:tcPr>
            <w:tcW w:w="28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tabs>
                <w:tab w:pos="431" w:val="left" w:leader="none"/>
              </w:tabs>
              <w:spacing w:line="240" w:lineRule="auto" w:before="77"/>
              <w:ind w:right="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169,665</w:t>
            </w:r>
            <w:r>
              <w:rPr>
                <w:rFonts w:ascii="Arial"/>
                <w:spacing w:val="-1"/>
                <w:sz w:val="18"/>
              </w:rPr>
            </w:r>
          </w:p>
        </w:tc>
        <w:tc>
          <w:tcPr>
            <w:tcW w:w="265"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Style w:val="TableParagraph"/>
              <w:tabs>
                <w:tab w:pos="960" w:val="left" w:leader="none"/>
                <w:tab w:pos="1126" w:val="left" w:leader="none"/>
              </w:tabs>
              <w:spacing w:line="240" w:lineRule="auto" w:before="77"/>
              <w:ind w:right="-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6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tabs>
                <w:tab w:pos="527" w:val="left" w:leader="none"/>
              </w:tabs>
              <w:spacing w:line="240" w:lineRule="auto" w:before="77"/>
              <w:ind w:right="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186,813</w:t>
            </w:r>
            <w:r>
              <w:rPr>
                <w:rFonts w:ascii="Arial"/>
                <w:spacing w:val="-1"/>
                <w:sz w:val="18"/>
              </w:rPr>
            </w:r>
          </w:p>
        </w:tc>
      </w:tr>
      <w:tr>
        <w:trPr>
          <w:trHeight w:val="259" w:hRule="exact"/>
        </w:trPr>
        <w:tc>
          <w:tcPr>
            <w:tcW w:w="806" w:type="dxa"/>
            <w:tcBorders>
              <w:top w:val="nil" w:sz="6" w:space="0" w:color="auto"/>
              <w:left w:val="nil" w:sz="6" w:space="0" w:color="auto"/>
              <w:bottom w:val="nil" w:sz="6" w:space="0" w:color="auto"/>
              <w:right w:val="nil" w:sz="6" w:space="0" w:color="auto"/>
            </w:tcBorders>
          </w:tcPr>
          <w:p>
            <w:pPr/>
          </w:p>
        </w:tc>
        <w:tc>
          <w:tcPr>
            <w:tcW w:w="3109" w:type="dxa"/>
            <w:tcBorders>
              <w:top w:val="nil" w:sz="6" w:space="0" w:color="auto"/>
              <w:left w:val="nil" w:sz="6" w:space="0" w:color="auto"/>
              <w:bottom w:val="single" w:sz="12" w:space="0" w:color="000000"/>
              <w:right w:val="nil" w:sz="6" w:space="0" w:color="auto"/>
            </w:tcBorders>
          </w:tcPr>
          <w:p>
            <w:pPr/>
          </w:p>
        </w:tc>
        <w:tc>
          <w:tcPr>
            <w:tcW w:w="847" w:type="dxa"/>
            <w:tcBorders>
              <w:top w:val="nil" w:sz="6" w:space="0" w:color="auto"/>
              <w:left w:val="nil" w:sz="6" w:space="0" w:color="auto"/>
              <w:bottom w:val="single" w:sz="12" w:space="0" w:color="000000"/>
              <w:right w:val="nil" w:sz="6" w:space="0" w:color="auto"/>
            </w:tcBorders>
          </w:tcPr>
          <w:p>
            <w:pPr>
              <w:pStyle w:val="TableParagraph"/>
              <w:spacing w:line="240" w:lineRule="auto" w:before="34"/>
              <w:ind w:right="37"/>
              <w:jc w:val="right"/>
              <w:rPr>
                <w:rFonts w:ascii="Arial" w:hAnsi="Arial" w:cs="Arial" w:eastAsia="Arial" w:hint="default"/>
                <w:sz w:val="18"/>
                <w:szCs w:val="18"/>
              </w:rPr>
            </w:pPr>
            <w:r>
              <w:rPr>
                <w:rFonts w:ascii="Arial"/>
                <w:spacing w:val="-1"/>
                <w:sz w:val="18"/>
              </w:rPr>
              <w:t>655,288</w:t>
            </w:r>
          </w:p>
        </w:tc>
        <w:tc>
          <w:tcPr>
            <w:tcW w:w="28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single" w:sz="12" w:space="0" w:color="000000"/>
              <w:right w:val="nil" w:sz="6" w:space="0" w:color="auto"/>
            </w:tcBorders>
          </w:tcPr>
          <w:p>
            <w:pPr>
              <w:pStyle w:val="TableParagraph"/>
              <w:spacing w:line="240" w:lineRule="auto" w:before="34"/>
              <w:ind w:right="40"/>
              <w:jc w:val="right"/>
              <w:rPr>
                <w:rFonts w:ascii="Arial" w:hAnsi="Arial" w:cs="Arial" w:eastAsia="Arial" w:hint="default"/>
                <w:sz w:val="18"/>
                <w:szCs w:val="18"/>
              </w:rPr>
            </w:pPr>
            <w:r>
              <w:rPr>
                <w:rFonts w:ascii="Arial"/>
                <w:spacing w:val="-1"/>
                <w:sz w:val="18"/>
              </w:rPr>
              <w:t>170,052</w:t>
            </w:r>
          </w:p>
        </w:tc>
        <w:tc>
          <w:tcPr>
            <w:tcW w:w="265"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single" w:sz="12" w:space="0" w:color="000000"/>
              <w:right w:val="nil" w:sz="6" w:space="0" w:color="auto"/>
            </w:tcBorders>
          </w:tcPr>
          <w:p>
            <w:pPr>
              <w:pStyle w:val="TableParagraph"/>
              <w:spacing w:line="240" w:lineRule="auto" w:before="34"/>
              <w:ind w:right="13"/>
              <w:jc w:val="right"/>
              <w:rPr>
                <w:rFonts w:ascii="Arial" w:hAnsi="Arial" w:cs="Arial" w:eastAsia="Arial" w:hint="default"/>
                <w:sz w:val="18"/>
                <w:szCs w:val="18"/>
              </w:rPr>
            </w:pPr>
            <w:r>
              <w:rPr>
                <w:rFonts w:ascii="Arial"/>
                <w:spacing w:val="-1"/>
                <w:sz w:val="18"/>
              </w:rPr>
              <w:t>(308,266)</w:t>
            </w:r>
          </w:p>
        </w:tc>
        <w:tc>
          <w:tcPr>
            <w:tcW w:w="26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single" w:sz="12" w:space="0" w:color="000000"/>
              <w:right w:val="nil" w:sz="6" w:space="0" w:color="auto"/>
            </w:tcBorders>
          </w:tcPr>
          <w:p>
            <w:pPr>
              <w:pStyle w:val="TableParagraph"/>
              <w:spacing w:line="240" w:lineRule="auto" w:before="34"/>
              <w:ind w:right="40"/>
              <w:jc w:val="right"/>
              <w:rPr>
                <w:rFonts w:ascii="Arial" w:hAnsi="Arial" w:cs="Arial" w:eastAsia="Arial" w:hint="default"/>
                <w:sz w:val="18"/>
                <w:szCs w:val="18"/>
              </w:rPr>
            </w:pPr>
            <w:r>
              <w:rPr>
                <w:rFonts w:ascii="Arial"/>
                <w:spacing w:val="-1"/>
                <w:sz w:val="18"/>
              </w:rPr>
              <w:t>517,074</w:t>
            </w:r>
          </w:p>
        </w:tc>
      </w:tr>
      <w:tr>
        <w:trPr>
          <w:trHeight w:val="3834"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64" w:right="0"/>
              <w:jc w:val="left"/>
              <w:rPr>
                <w:rFonts w:ascii="Arial" w:hAnsi="Arial" w:cs="Arial" w:eastAsia="Arial" w:hint="default"/>
                <w:sz w:val="24"/>
                <w:szCs w:val="24"/>
              </w:rPr>
            </w:pPr>
            <w:r>
              <w:rPr>
                <w:rFonts w:ascii="Arial"/>
                <w:sz w:val="24"/>
              </w:rPr>
              <w:t>(a)</w:t>
            </w:r>
          </w:p>
        </w:tc>
        <w:tc>
          <w:tcPr>
            <w:tcW w:w="828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20" w:lineRule="exact"/>
              <w:ind w:left="178" w:right="0"/>
              <w:jc w:val="both"/>
              <w:rPr>
                <w:rFonts w:ascii="宋体" w:hAnsi="宋体" w:cs="宋体" w:eastAsia="宋体" w:hint="default"/>
                <w:sz w:val="24"/>
                <w:szCs w:val="24"/>
              </w:rPr>
            </w:pPr>
            <w:r>
              <w:rPr>
                <w:rFonts w:ascii="宋体" w:hAnsi="宋体" w:cs="宋体" w:eastAsia="宋体" w:hint="default"/>
                <w:sz w:val="24"/>
                <w:szCs w:val="24"/>
              </w:rPr>
              <w:t>于 </w:t>
            </w:r>
            <w:r>
              <w:rPr>
                <w:rFonts w:ascii="Arial" w:hAnsi="Arial" w:cs="Arial" w:eastAsia="Arial" w:hint="default"/>
                <w:sz w:val="24"/>
                <w:szCs w:val="24"/>
              </w:rPr>
              <w:t>2012 </w:t>
            </w:r>
            <w:r>
              <w:rPr>
                <w:rFonts w:ascii="宋体" w:hAnsi="宋体" w:cs="宋体" w:eastAsia="宋体" w:hint="default"/>
                <w:sz w:val="24"/>
                <w:szCs w:val="24"/>
              </w:rPr>
              <w:t>年 </w:t>
            </w:r>
            <w:r>
              <w:rPr>
                <w:rFonts w:ascii="Arial" w:hAnsi="Arial" w:cs="Arial" w:eastAsia="Arial" w:hint="default"/>
                <w:sz w:val="24"/>
                <w:szCs w:val="24"/>
              </w:rPr>
              <w:t>7 </w:t>
            </w:r>
            <w:r>
              <w:rPr>
                <w:rFonts w:ascii="宋体" w:hAnsi="宋体" w:cs="宋体" w:eastAsia="宋体" w:hint="default"/>
                <w:sz w:val="24"/>
                <w:szCs w:val="24"/>
              </w:rPr>
              <w:t>月，本公司非公开发行人民币普通股</w:t>
            </w:r>
            <w:r>
              <w:rPr>
                <w:rFonts w:ascii="Arial" w:hAnsi="Arial" w:cs="Arial" w:eastAsia="Arial" w:hint="default"/>
                <w:sz w:val="24"/>
                <w:szCs w:val="24"/>
              </w:rPr>
              <w:t>(A </w:t>
            </w:r>
            <w:r>
              <w:rPr>
                <w:rFonts w:ascii="宋体" w:hAnsi="宋体" w:cs="宋体" w:eastAsia="宋体" w:hint="default"/>
                <w:sz w:val="24"/>
                <w:szCs w:val="24"/>
              </w:rPr>
              <w:t>股</w:t>
            </w:r>
            <w:r>
              <w:rPr>
                <w:rFonts w:ascii="Arial" w:hAnsi="Arial" w:cs="Arial" w:eastAsia="Arial" w:hint="default"/>
                <w:sz w:val="24"/>
                <w:szCs w:val="24"/>
              </w:rPr>
              <w:t>) 386,831,284</w:t>
            </w:r>
            <w:r>
              <w:rPr>
                <w:rFonts w:ascii="Arial" w:hAnsi="Arial" w:cs="Arial" w:eastAsia="Arial" w:hint="default"/>
                <w:spacing w:val="54"/>
                <w:sz w:val="24"/>
                <w:szCs w:val="24"/>
              </w:rPr>
              <w:t> </w:t>
            </w:r>
            <w:r>
              <w:rPr>
                <w:rFonts w:ascii="宋体" w:hAnsi="宋体" w:cs="宋体" w:eastAsia="宋体" w:hint="default"/>
                <w:sz w:val="24"/>
                <w:szCs w:val="24"/>
              </w:rPr>
              <w:t>股，</w:t>
            </w:r>
          </w:p>
          <w:p>
            <w:pPr>
              <w:pStyle w:val="TableParagraph"/>
              <w:spacing w:line="311" w:lineRule="exact"/>
              <w:ind w:left="178" w:right="0"/>
              <w:jc w:val="both"/>
              <w:rPr>
                <w:rFonts w:ascii="宋体" w:hAnsi="宋体" w:cs="宋体" w:eastAsia="宋体" w:hint="default"/>
                <w:sz w:val="24"/>
                <w:szCs w:val="24"/>
              </w:rPr>
            </w:pPr>
            <w:r>
              <w:rPr>
                <w:rFonts w:ascii="宋体" w:hAnsi="宋体" w:cs="宋体" w:eastAsia="宋体" w:hint="default"/>
                <w:sz w:val="24"/>
                <w:szCs w:val="24"/>
              </w:rPr>
              <w:t>每股面值人民币 </w:t>
            </w:r>
            <w:r>
              <w:rPr>
                <w:rFonts w:ascii="Arial" w:hAnsi="Arial" w:cs="Arial" w:eastAsia="Arial" w:hint="default"/>
                <w:sz w:val="24"/>
                <w:szCs w:val="24"/>
              </w:rPr>
              <w:t>1 </w:t>
            </w:r>
            <w:r>
              <w:rPr>
                <w:rFonts w:ascii="宋体" w:hAnsi="宋体" w:cs="宋体" w:eastAsia="宋体" w:hint="default"/>
                <w:spacing w:val="-3"/>
                <w:sz w:val="24"/>
                <w:szCs w:val="24"/>
              </w:rPr>
              <w:t>元，发行价格为每股人民币 </w:t>
            </w:r>
            <w:r>
              <w:rPr>
                <w:rFonts w:ascii="Arial" w:hAnsi="Arial" w:cs="Arial" w:eastAsia="Arial" w:hint="default"/>
                <w:sz w:val="24"/>
                <w:szCs w:val="24"/>
              </w:rPr>
              <w:t>12.15</w:t>
            </w:r>
            <w:r>
              <w:rPr>
                <w:rFonts w:ascii="Arial" w:hAnsi="Arial" w:cs="Arial" w:eastAsia="Arial" w:hint="default"/>
                <w:spacing w:val="3"/>
                <w:sz w:val="24"/>
                <w:szCs w:val="24"/>
              </w:rPr>
              <w:t> </w:t>
            </w:r>
            <w:r>
              <w:rPr>
                <w:rFonts w:ascii="宋体" w:hAnsi="宋体" w:cs="宋体" w:eastAsia="宋体" w:hint="default"/>
                <w:spacing w:val="-4"/>
                <w:sz w:val="24"/>
                <w:szCs w:val="24"/>
              </w:rPr>
              <w:t>元，扣除发行费用后增</w:t>
            </w:r>
          </w:p>
          <w:p>
            <w:pPr>
              <w:pStyle w:val="TableParagraph"/>
              <w:spacing w:line="322" w:lineRule="exact"/>
              <w:ind w:left="178" w:right="0"/>
              <w:jc w:val="both"/>
              <w:rPr>
                <w:rFonts w:ascii="宋体" w:hAnsi="宋体" w:cs="宋体" w:eastAsia="宋体" w:hint="default"/>
                <w:sz w:val="24"/>
                <w:szCs w:val="24"/>
              </w:rPr>
            </w:pPr>
            <w:r>
              <w:rPr>
                <w:rFonts w:ascii="宋体" w:hAnsi="宋体" w:cs="宋体" w:eastAsia="宋体" w:hint="default"/>
                <w:sz w:val="24"/>
                <w:szCs w:val="24"/>
              </w:rPr>
              <w:t>加资本公积约人民币</w:t>
            </w:r>
            <w:r>
              <w:rPr>
                <w:rFonts w:ascii="宋体" w:hAnsi="宋体" w:cs="宋体" w:eastAsia="宋体" w:hint="default"/>
                <w:spacing w:val="-60"/>
                <w:sz w:val="24"/>
                <w:szCs w:val="24"/>
              </w:rPr>
              <w:t> </w:t>
            </w:r>
            <w:r>
              <w:rPr>
                <w:rFonts w:ascii="Arial" w:hAnsi="Arial" w:cs="Arial" w:eastAsia="Arial" w:hint="default"/>
                <w:sz w:val="24"/>
                <w:szCs w:val="24"/>
              </w:rPr>
              <w:t>42.46</w:t>
            </w:r>
            <w:r>
              <w:rPr>
                <w:rFonts w:ascii="Arial" w:hAnsi="Arial" w:cs="Arial" w:eastAsia="Arial" w:hint="default"/>
                <w:spacing w:val="-5"/>
                <w:sz w:val="24"/>
                <w:szCs w:val="24"/>
              </w:rPr>
              <w:t> </w:t>
            </w:r>
            <w:r>
              <w:rPr>
                <w:rFonts w:ascii="宋体" w:hAnsi="宋体" w:cs="宋体" w:eastAsia="宋体" w:hint="default"/>
                <w:sz w:val="24"/>
                <w:szCs w:val="24"/>
              </w:rPr>
              <w:t>亿元。</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20" w:lineRule="exact"/>
              <w:ind w:left="178" w:right="0"/>
              <w:jc w:val="both"/>
              <w:rPr>
                <w:rFonts w:ascii="宋体" w:hAnsi="宋体" w:cs="宋体" w:eastAsia="宋体" w:hint="default"/>
                <w:sz w:val="24"/>
                <w:szCs w:val="24"/>
              </w:rPr>
            </w:pPr>
            <w:r>
              <w:rPr>
                <w:rFonts w:ascii="宋体" w:hAnsi="宋体" w:cs="宋体" w:eastAsia="宋体" w:hint="default"/>
                <w:sz w:val="24"/>
                <w:szCs w:val="24"/>
              </w:rPr>
              <w:t>江苏苏宁易购有限公司原注册资本为人民币 </w:t>
            </w:r>
            <w:r>
              <w:rPr>
                <w:rFonts w:ascii="Arial" w:hAnsi="Arial" w:cs="Arial" w:eastAsia="Arial" w:hint="default"/>
                <w:sz w:val="24"/>
                <w:szCs w:val="24"/>
              </w:rPr>
              <w:t>5,000</w:t>
            </w:r>
            <w:r>
              <w:rPr>
                <w:rFonts w:ascii="Arial" w:hAnsi="Arial" w:cs="Arial" w:eastAsia="Arial" w:hint="default"/>
                <w:spacing w:val="4"/>
                <w:sz w:val="24"/>
                <w:szCs w:val="24"/>
              </w:rPr>
              <w:t> </w:t>
            </w:r>
            <w:r>
              <w:rPr>
                <w:rFonts w:ascii="宋体" w:hAnsi="宋体" w:cs="宋体" w:eastAsia="宋体" w:hint="default"/>
                <w:sz w:val="24"/>
                <w:szCs w:val="24"/>
              </w:rPr>
              <w:t>万元，本公司出资人民币</w:t>
            </w:r>
          </w:p>
          <w:p>
            <w:pPr>
              <w:pStyle w:val="TableParagraph"/>
              <w:spacing w:line="311" w:lineRule="exact"/>
              <w:ind w:left="178" w:right="0"/>
              <w:jc w:val="both"/>
              <w:rPr>
                <w:rFonts w:ascii="宋体" w:hAnsi="宋体" w:cs="宋体" w:eastAsia="宋体" w:hint="default"/>
                <w:sz w:val="24"/>
                <w:szCs w:val="24"/>
              </w:rPr>
            </w:pPr>
            <w:r>
              <w:rPr>
                <w:rFonts w:ascii="Arial" w:hAnsi="Arial" w:cs="Arial" w:eastAsia="Arial" w:hint="default"/>
                <w:sz w:val="24"/>
                <w:szCs w:val="24"/>
              </w:rPr>
              <w:t>3,000</w:t>
            </w:r>
            <w:r>
              <w:rPr>
                <w:rFonts w:ascii="Arial" w:hAnsi="Arial" w:cs="Arial" w:eastAsia="Arial" w:hint="default"/>
                <w:spacing w:val="10"/>
                <w:sz w:val="24"/>
                <w:szCs w:val="24"/>
              </w:rPr>
              <w:t> </w:t>
            </w:r>
            <w:r>
              <w:rPr>
                <w:rFonts w:ascii="宋体" w:hAnsi="宋体" w:cs="宋体" w:eastAsia="宋体" w:hint="default"/>
                <w:sz w:val="24"/>
                <w:szCs w:val="24"/>
              </w:rPr>
              <w:t>万元，持股比例为</w:t>
            </w:r>
            <w:r>
              <w:rPr>
                <w:rFonts w:ascii="宋体" w:hAnsi="宋体" w:cs="宋体" w:eastAsia="宋体" w:hint="default"/>
                <w:spacing w:val="-44"/>
                <w:sz w:val="24"/>
                <w:szCs w:val="24"/>
              </w:rPr>
              <w:t> </w:t>
            </w:r>
            <w:r>
              <w:rPr>
                <w:rFonts w:ascii="Arial" w:hAnsi="Arial" w:cs="Arial" w:eastAsia="Arial" w:hint="default"/>
                <w:sz w:val="24"/>
                <w:szCs w:val="24"/>
              </w:rPr>
              <w:t>60%</w:t>
            </w:r>
            <w:r>
              <w:rPr>
                <w:rFonts w:ascii="宋体" w:hAnsi="宋体" w:cs="宋体" w:eastAsia="宋体" w:hint="default"/>
                <w:sz w:val="24"/>
                <w:szCs w:val="24"/>
              </w:rPr>
              <w:t>，少数股东出资人民币</w:t>
            </w:r>
            <w:r>
              <w:rPr>
                <w:rFonts w:ascii="宋体" w:hAnsi="宋体" w:cs="宋体" w:eastAsia="宋体" w:hint="default"/>
                <w:spacing w:val="-44"/>
                <w:sz w:val="24"/>
                <w:szCs w:val="24"/>
              </w:rPr>
              <w:t> </w:t>
            </w:r>
            <w:r>
              <w:rPr>
                <w:rFonts w:ascii="Arial" w:hAnsi="Arial" w:cs="Arial" w:eastAsia="Arial" w:hint="default"/>
                <w:sz w:val="24"/>
                <w:szCs w:val="24"/>
              </w:rPr>
              <w:t>2,000</w:t>
            </w:r>
            <w:r>
              <w:rPr>
                <w:rFonts w:ascii="Arial" w:hAnsi="Arial" w:cs="Arial" w:eastAsia="Arial" w:hint="default"/>
                <w:spacing w:val="11"/>
                <w:sz w:val="24"/>
                <w:szCs w:val="24"/>
              </w:rPr>
              <w:t> </w:t>
            </w:r>
            <w:r>
              <w:rPr>
                <w:rFonts w:ascii="宋体" w:hAnsi="宋体" w:cs="宋体" w:eastAsia="宋体" w:hint="default"/>
                <w:sz w:val="24"/>
                <w:szCs w:val="24"/>
              </w:rPr>
              <w:t>万元，持股比例</w:t>
            </w:r>
          </w:p>
          <w:p>
            <w:pPr>
              <w:pStyle w:val="TableParagraph"/>
              <w:spacing w:line="312" w:lineRule="exact"/>
              <w:ind w:left="178" w:right="0"/>
              <w:jc w:val="both"/>
              <w:rPr>
                <w:rFonts w:ascii="宋体" w:hAnsi="宋体" w:cs="宋体" w:eastAsia="宋体" w:hint="default"/>
                <w:sz w:val="24"/>
                <w:szCs w:val="24"/>
              </w:rPr>
            </w:pPr>
            <w:r>
              <w:rPr>
                <w:rFonts w:ascii="宋体" w:hAnsi="宋体" w:cs="宋体" w:eastAsia="宋体" w:hint="default"/>
                <w:sz w:val="24"/>
                <w:szCs w:val="24"/>
              </w:rPr>
              <w:t>为</w:t>
            </w:r>
            <w:r>
              <w:rPr>
                <w:rFonts w:ascii="宋体" w:hAnsi="宋体" w:cs="宋体" w:eastAsia="宋体" w:hint="default"/>
                <w:spacing w:val="-48"/>
                <w:sz w:val="24"/>
                <w:szCs w:val="24"/>
              </w:rPr>
              <w:t> </w:t>
            </w:r>
            <w:r>
              <w:rPr>
                <w:rFonts w:ascii="Arial" w:hAnsi="Arial" w:cs="Arial" w:eastAsia="Arial" w:hint="default"/>
                <w:sz w:val="24"/>
                <w:szCs w:val="24"/>
              </w:rPr>
              <w:t>40%</w:t>
            </w:r>
            <w:r>
              <w:rPr>
                <w:rFonts w:ascii="宋体" w:hAnsi="宋体" w:cs="宋体" w:eastAsia="宋体" w:hint="default"/>
                <w:sz w:val="24"/>
                <w:szCs w:val="24"/>
              </w:rPr>
              <w:t>。于</w:t>
            </w:r>
            <w:r>
              <w:rPr>
                <w:rFonts w:ascii="宋体" w:hAnsi="宋体" w:cs="宋体" w:eastAsia="宋体" w:hint="default"/>
                <w:spacing w:val="-50"/>
                <w:sz w:val="24"/>
                <w:szCs w:val="24"/>
              </w:rPr>
              <w:t> </w:t>
            </w:r>
            <w:r>
              <w:rPr>
                <w:rFonts w:ascii="Arial" w:hAnsi="Arial" w:cs="Arial" w:eastAsia="Arial" w:hint="default"/>
                <w:sz w:val="24"/>
                <w:szCs w:val="24"/>
              </w:rPr>
              <w:t>2012</w:t>
            </w:r>
            <w:r>
              <w:rPr>
                <w:rFonts w:ascii="Arial" w:hAnsi="Arial" w:cs="Arial" w:eastAsia="Arial"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Arial" w:hAnsi="Arial" w:cs="Arial" w:eastAsia="Arial" w:hint="default"/>
                <w:sz w:val="24"/>
                <w:szCs w:val="24"/>
              </w:rPr>
              <w:t>8</w:t>
            </w:r>
            <w:r>
              <w:rPr>
                <w:rFonts w:ascii="Arial" w:hAnsi="Arial" w:cs="Arial" w:eastAsia="Arial" w:hint="default"/>
                <w:spacing w:val="6"/>
                <w:sz w:val="24"/>
                <w:szCs w:val="24"/>
              </w:rPr>
              <w:t> </w:t>
            </w:r>
            <w:r>
              <w:rPr>
                <w:rFonts w:ascii="宋体" w:hAnsi="宋体" w:cs="宋体" w:eastAsia="宋体" w:hint="default"/>
                <w:sz w:val="24"/>
                <w:szCs w:val="24"/>
              </w:rPr>
              <w:t>月，本公司向子公司江苏苏宁易购有限公司以货币资</w:t>
            </w:r>
          </w:p>
          <w:p>
            <w:pPr>
              <w:pStyle w:val="TableParagraph"/>
              <w:spacing w:line="311" w:lineRule="exact"/>
              <w:ind w:left="178" w:right="0"/>
              <w:jc w:val="both"/>
              <w:rPr>
                <w:rFonts w:ascii="宋体" w:hAnsi="宋体" w:cs="宋体" w:eastAsia="宋体" w:hint="default"/>
                <w:sz w:val="24"/>
                <w:szCs w:val="24"/>
              </w:rPr>
            </w:pPr>
            <w:r>
              <w:rPr>
                <w:rFonts w:ascii="宋体" w:hAnsi="宋体" w:cs="宋体" w:eastAsia="宋体" w:hint="default"/>
                <w:sz w:val="24"/>
                <w:szCs w:val="24"/>
              </w:rPr>
              <w:t>金增资人民币</w:t>
            </w:r>
            <w:r>
              <w:rPr>
                <w:rFonts w:ascii="宋体" w:hAnsi="宋体" w:cs="宋体" w:eastAsia="宋体" w:hint="default"/>
                <w:spacing w:val="-82"/>
                <w:sz w:val="24"/>
                <w:szCs w:val="24"/>
              </w:rPr>
              <w:t> </w:t>
            </w:r>
            <w:r>
              <w:rPr>
                <w:rFonts w:ascii="Arial" w:hAnsi="Arial" w:cs="Arial" w:eastAsia="Arial" w:hint="default"/>
                <w:spacing w:val="-3"/>
                <w:sz w:val="24"/>
                <w:szCs w:val="24"/>
              </w:rPr>
              <w:t>11,000</w:t>
            </w:r>
            <w:r>
              <w:rPr>
                <w:rFonts w:ascii="Arial" w:hAnsi="Arial" w:cs="Arial" w:eastAsia="Arial" w:hint="default"/>
                <w:spacing w:val="-30"/>
                <w:sz w:val="24"/>
                <w:szCs w:val="24"/>
              </w:rPr>
              <w:t> </w:t>
            </w:r>
            <w:r>
              <w:rPr>
                <w:rFonts w:ascii="宋体" w:hAnsi="宋体" w:cs="宋体" w:eastAsia="宋体" w:hint="default"/>
                <w:sz w:val="24"/>
                <w:szCs w:val="24"/>
              </w:rPr>
              <w:t>万元，同时，江苏苏宁易购有限公司少数股东也以货币</w:t>
            </w:r>
          </w:p>
          <w:p>
            <w:pPr>
              <w:pStyle w:val="TableParagraph"/>
              <w:spacing w:line="225" w:lineRule="auto" w:before="6"/>
              <w:ind w:left="178" w:right="101"/>
              <w:jc w:val="both"/>
              <w:rPr>
                <w:rFonts w:ascii="宋体" w:hAnsi="宋体" w:cs="宋体" w:eastAsia="宋体" w:hint="default"/>
                <w:sz w:val="24"/>
                <w:szCs w:val="24"/>
              </w:rPr>
            </w:pPr>
            <w:r>
              <w:rPr>
                <w:rFonts w:ascii="宋体" w:hAnsi="宋体" w:cs="宋体" w:eastAsia="宋体" w:hint="default"/>
                <w:sz w:val="24"/>
                <w:szCs w:val="24"/>
              </w:rPr>
              <w:t>资金增资人民币 </w:t>
            </w:r>
            <w:r>
              <w:rPr>
                <w:rFonts w:ascii="Arial" w:hAnsi="Arial" w:cs="Arial" w:eastAsia="Arial" w:hint="default"/>
                <w:sz w:val="24"/>
                <w:szCs w:val="24"/>
              </w:rPr>
              <w:t>4,000</w:t>
            </w:r>
            <w:r>
              <w:rPr>
                <w:rFonts w:ascii="Arial" w:hAnsi="Arial" w:cs="Arial" w:eastAsia="Arial" w:hint="default"/>
                <w:spacing w:val="5"/>
                <w:sz w:val="24"/>
                <w:szCs w:val="24"/>
              </w:rPr>
              <w:t> </w:t>
            </w:r>
            <w:r>
              <w:rPr>
                <w:rFonts w:ascii="宋体" w:hAnsi="宋体" w:cs="宋体" w:eastAsia="宋体" w:hint="default"/>
                <w:sz w:val="24"/>
                <w:szCs w:val="24"/>
              </w:rPr>
              <w:t>万元。本次增资完成后，江苏苏宁易购有限公司注册 资本增加至人民币</w:t>
            </w:r>
            <w:r>
              <w:rPr>
                <w:rFonts w:ascii="宋体" w:hAnsi="宋体" w:cs="宋体" w:eastAsia="宋体" w:hint="default"/>
                <w:spacing w:val="-59"/>
                <w:sz w:val="24"/>
                <w:szCs w:val="24"/>
              </w:rPr>
              <w:t> </w:t>
            </w:r>
            <w:r>
              <w:rPr>
                <w:rFonts w:ascii="Arial" w:hAnsi="Arial" w:cs="Arial" w:eastAsia="Arial" w:hint="default"/>
                <w:sz w:val="24"/>
                <w:szCs w:val="24"/>
              </w:rPr>
              <w:t>20,000</w:t>
            </w:r>
            <w:r>
              <w:rPr>
                <w:rFonts w:ascii="Arial" w:hAnsi="Arial" w:cs="Arial" w:eastAsia="Arial" w:hint="default"/>
                <w:spacing w:val="-4"/>
                <w:sz w:val="24"/>
                <w:szCs w:val="24"/>
              </w:rPr>
              <w:t> </w:t>
            </w:r>
            <w:r>
              <w:rPr>
                <w:rFonts w:ascii="宋体" w:hAnsi="宋体" w:cs="宋体" w:eastAsia="宋体" w:hint="default"/>
                <w:spacing w:val="-6"/>
                <w:sz w:val="24"/>
                <w:szCs w:val="24"/>
              </w:rPr>
              <w:t>万元，本公司出资比例为</w:t>
            </w:r>
            <w:r>
              <w:rPr>
                <w:rFonts w:ascii="宋体" w:hAnsi="宋体" w:cs="宋体" w:eastAsia="宋体" w:hint="default"/>
                <w:spacing w:val="-59"/>
                <w:sz w:val="24"/>
                <w:szCs w:val="24"/>
              </w:rPr>
              <w:t> </w:t>
            </w:r>
            <w:r>
              <w:rPr>
                <w:rFonts w:ascii="Arial" w:hAnsi="Arial" w:cs="Arial" w:eastAsia="Arial" w:hint="default"/>
                <w:spacing w:val="-5"/>
                <w:sz w:val="24"/>
                <w:szCs w:val="24"/>
              </w:rPr>
              <w:t>70%</w:t>
            </w:r>
            <w:r>
              <w:rPr>
                <w:rFonts w:ascii="宋体" w:hAnsi="宋体" w:cs="宋体" w:eastAsia="宋体" w:hint="default"/>
                <w:spacing w:val="-5"/>
                <w:sz w:val="24"/>
                <w:szCs w:val="24"/>
              </w:rPr>
              <w:t>，少数股东出资比例</w:t>
            </w:r>
            <w:r>
              <w:rPr>
                <w:rFonts w:ascii="宋体" w:hAnsi="宋体" w:cs="宋体" w:eastAsia="宋体" w:hint="default"/>
                <w:sz w:val="24"/>
                <w:szCs w:val="24"/>
              </w:rPr>
              <w:t> 为</w:t>
            </w:r>
            <w:r>
              <w:rPr>
                <w:rFonts w:ascii="宋体" w:hAnsi="宋体" w:cs="宋体" w:eastAsia="宋体" w:hint="default"/>
                <w:spacing w:val="-64"/>
                <w:sz w:val="24"/>
                <w:szCs w:val="24"/>
              </w:rPr>
              <w:t> </w:t>
            </w:r>
            <w:r>
              <w:rPr>
                <w:rFonts w:ascii="Arial" w:hAnsi="Arial" w:cs="Arial" w:eastAsia="Arial" w:hint="default"/>
                <w:sz w:val="24"/>
                <w:szCs w:val="24"/>
              </w:rPr>
              <w:t>30%</w:t>
            </w:r>
            <w:r>
              <w:rPr>
                <w:rFonts w:ascii="宋体" w:hAnsi="宋体" w:cs="宋体" w:eastAsia="宋体" w:hint="default"/>
                <w:sz w:val="24"/>
                <w:szCs w:val="24"/>
              </w:rPr>
              <w:t>。该增资产生的对资本公积的调整情况如下：</w:t>
            </w:r>
          </w:p>
        </w:tc>
      </w:tr>
      <w:tr>
        <w:trPr>
          <w:trHeight w:val="773" w:hRule="exact"/>
        </w:trPr>
        <w:tc>
          <w:tcPr>
            <w:tcW w:w="806" w:type="dxa"/>
            <w:tcBorders>
              <w:top w:val="nil" w:sz="6" w:space="0" w:color="auto"/>
              <w:left w:val="nil" w:sz="6" w:space="0" w:color="auto"/>
              <w:bottom w:val="nil" w:sz="6" w:space="0" w:color="auto"/>
              <w:right w:val="nil" w:sz="6" w:space="0" w:color="auto"/>
            </w:tcBorders>
          </w:tcPr>
          <w:p>
            <w:pPr/>
          </w:p>
        </w:tc>
        <w:tc>
          <w:tcPr>
            <w:tcW w:w="5366" w:type="dxa"/>
            <w:gridSpan w:val="4"/>
            <w:tcBorders>
              <w:top w:val="nil" w:sz="6" w:space="0" w:color="auto"/>
              <w:left w:val="nil" w:sz="6" w:space="0" w:color="auto"/>
              <w:bottom w:val="nil" w:sz="6" w:space="0" w:color="auto"/>
              <w:right w:val="nil" w:sz="6" w:space="0" w:color="auto"/>
            </w:tcBorders>
          </w:tcPr>
          <w:p>
            <w:pPr>
              <w:pStyle w:val="TableParagraph"/>
              <w:spacing w:line="310" w:lineRule="exact" w:before="126"/>
              <w:ind w:left="430" w:right="136" w:hanging="252"/>
              <w:jc w:val="left"/>
              <w:rPr>
                <w:rFonts w:ascii="宋体" w:hAnsi="宋体" w:cs="宋体" w:eastAsia="宋体" w:hint="default"/>
                <w:sz w:val="24"/>
                <w:szCs w:val="24"/>
              </w:rPr>
            </w:pPr>
            <w:r>
              <w:rPr>
                <w:rFonts w:ascii="宋体" w:hAnsi="宋体" w:cs="宋体" w:eastAsia="宋体" w:hint="default"/>
                <w:sz w:val="24"/>
                <w:szCs w:val="24"/>
              </w:rPr>
              <w:t>增资日取得的按新增持股比例计算确定应享有子</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公司自合并日开始持续计算的累计亏损份额</w:t>
            </w:r>
          </w:p>
        </w:tc>
        <w:tc>
          <w:tcPr>
            <w:tcW w:w="2917" w:type="dxa"/>
            <w:gridSpan w:val="4"/>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tabs>
                <w:tab w:pos="1358" w:val="left" w:leader="none"/>
                <w:tab w:pos="2201" w:val="left" w:leader="none"/>
              </w:tabs>
              <w:spacing w:line="240" w:lineRule="auto" w:before="199"/>
              <w:ind w:left="-3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39,185</w:t>
              <w:tab/>
            </w:r>
            <w:r>
              <w:rPr>
                <w:rFonts w:ascii="Arial"/>
                <w:sz w:val="24"/>
              </w:rPr>
            </w:r>
          </w:p>
        </w:tc>
      </w:tr>
      <w:tr>
        <w:trPr>
          <w:trHeight w:val="465" w:hRule="exact"/>
        </w:trPr>
        <w:tc>
          <w:tcPr>
            <w:tcW w:w="806" w:type="dxa"/>
            <w:tcBorders>
              <w:top w:val="nil" w:sz="6" w:space="0" w:color="auto"/>
              <w:left w:val="nil" w:sz="6" w:space="0" w:color="auto"/>
              <w:bottom w:val="nil" w:sz="6" w:space="0" w:color="auto"/>
              <w:right w:val="nil" w:sz="6" w:space="0" w:color="auto"/>
            </w:tcBorders>
          </w:tcPr>
          <w:p>
            <w:pPr/>
          </w:p>
        </w:tc>
        <w:tc>
          <w:tcPr>
            <w:tcW w:w="3109" w:type="dxa"/>
            <w:tcBorders>
              <w:top w:val="nil" w:sz="6" w:space="0" w:color="auto"/>
              <w:left w:val="nil" w:sz="6" w:space="0" w:color="auto"/>
              <w:bottom w:val="nil" w:sz="6" w:space="0" w:color="auto"/>
              <w:right w:val="nil" w:sz="6" w:space="0" w:color="auto"/>
            </w:tcBorders>
          </w:tcPr>
          <w:p>
            <w:pPr>
              <w:pStyle w:val="TableParagraph"/>
              <w:spacing w:line="284" w:lineRule="exact"/>
              <w:ind w:left="178" w:right="0"/>
              <w:jc w:val="left"/>
              <w:rPr>
                <w:rFonts w:ascii="宋体" w:hAnsi="宋体" w:cs="宋体" w:eastAsia="宋体" w:hint="default"/>
                <w:sz w:val="24"/>
                <w:szCs w:val="24"/>
              </w:rPr>
            </w:pPr>
            <w:r>
              <w:rPr>
                <w:rFonts w:ascii="宋体" w:hAnsi="宋体" w:cs="宋体" w:eastAsia="宋体" w:hint="default"/>
                <w:sz w:val="24"/>
                <w:szCs w:val="24"/>
              </w:rPr>
              <w:t>调整资本公积 </w:t>
            </w:r>
            <w:r>
              <w:rPr>
                <w:rFonts w:ascii="Arial" w:hAnsi="Arial" w:cs="Arial" w:eastAsia="Arial" w:hint="default"/>
                <w:sz w:val="24"/>
                <w:szCs w:val="24"/>
              </w:rPr>
              <w:t>–</w:t>
            </w:r>
            <w:r>
              <w:rPr>
                <w:rFonts w:ascii="Arial" w:hAnsi="Arial" w:cs="Arial" w:eastAsia="Arial" w:hint="default"/>
                <w:spacing w:val="53"/>
                <w:sz w:val="24"/>
                <w:szCs w:val="24"/>
              </w:rPr>
              <w:t> </w:t>
            </w:r>
            <w:r>
              <w:rPr>
                <w:rFonts w:ascii="宋体" w:hAnsi="宋体" w:cs="宋体" w:eastAsia="宋体" w:hint="default"/>
                <w:sz w:val="24"/>
                <w:szCs w:val="24"/>
              </w:rPr>
              <w:t>股本溢价</w:t>
            </w:r>
          </w:p>
        </w:tc>
        <w:tc>
          <w:tcPr>
            <w:tcW w:w="847" w:type="dxa"/>
            <w:tcBorders>
              <w:top w:val="nil" w:sz="6" w:space="0" w:color="auto"/>
              <w:left w:val="nil" w:sz="6" w:space="0" w:color="auto"/>
              <w:bottom w:val="nil" w:sz="6" w:space="0" w:color="auto"/>
              <w:right w:val="nil" w:sz="6" w:space="0" w:color="auto"/>
            </w:tcBorders>
          </w:tcPr>
          <w:p>
            <w:pPr/>
          </w:p>
        </w:tc>
        <w:tc>
          <w:tcPr>
            <w:tcW w:w="4326" w:type="dxa"/>
            <w:gridSpan w:val="6"/>
            <w:tcBorders>
              <w:top w:val="nil" w:sz="6" w:space="0" w:color="auto"/>
              <w:left w:val="nil" w:sz="6" w:space="0" w:color="auto"/>
              <w:bottom w:val="nil" w:sz="6" w:space="0" w:color="auto"/>
              <w:right w:val="nil" w:sz="6" w:space="0" w:color="auto"/>
            </w:tcBorders>
          </w:tcPr>
          <w:p>
            <w:pPr>
              <w:pStyle w:val="TableParagraph"/>
              <w:tabs>
                <w:tab w:pos="2768" w:val="left" w:leader="none"/>
                <w:tab w:pos="3610" w:val="left" w:leader="none"/>
              </w:tabs>
              <w:spacing w:line="240" w:lineRule="auto" w:before="24"/>
              <w:ind w:left="137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39,185</w:t>
              <w:tab/>
            </w:r>
            <w:r>
              <w:rPr>
                <w:rFonts w:ascii="Arial"/>
                <w:sz w:val="24"/>
              </w:rPr>
            </w:r>
          </w:p>
        </w:tc>
      </w:tr>
      <w:tr>
        <w:trPr>
          <w:trHeight w:val="1351"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64" w:right="0"/>
              <w:jc w:val="left"/>
              <w:rPr>
                <w:rFonts w:ascii="Arial" w:hAnsi="Arial" w:cs="Arial" w:eastAsia="Arial" w:hint="default"/>
                <w:sz w:val="24"/>
                <w:szCs w:val="24"/>
              </w:rPr>
            </w:pPr>
            <w:r>
              <w:rPr>
                <w:rFonts w:ascii="Arial"/>
                <w:sz w:val="24"/>
              </w:rPr>
              <w:t>(b)</w:t>
            </w:r>
          </w:p>
        </w:tc>
        <w:tc>
          <w:tcPr>
            <w:tcW w:w="8282" w:type="dxa"/>
            <w:gridSpan w:val="8"/>
            <w:tcBorders>
              <w:top w:val="nil" w:sz="6" w:space="0" w:color="auto"/>
              <w:left w:val="nil" w:sz="6" w:space="0" w:color="auto"/>
              <w:bottom w:val="nil" w:sz="6" w:space="0" w:color="auto"/>
              <w:right w:val="nil" w:sz="6" w:space="0" w:color="auto"/>
            </w:tcBorders>
          </w:tcPr>
          <w:p>
            <w:pPr>
              <w:pStyle w:val="TableParagraph"/>
              <w:spacing w:line="232" w:lineRule="auto" w:before="112"/>
              <w:ind w:left="178" w:right="102"/>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pacing w:val="-4"/>
                <w:sz w:val="24"/>
                <w:szCs w:val="24"/>
              </w:rPr>
              <w:t>2011 </w:t>
            </w:r>
            <w:r>
              <w:rPr>
                <w:rFonts w:ascii="宋体" w:hAnsi="宋体" w:cs="宋体" w:eastAsia="宋体" w:hint="default"/>
                <w:sz w:val="24"/>
                <w:szCs w:val="24"/>
              </w:rPr>
              <w:t>年度，本集团向上海苏宁电器有限责任公司等</w:t>
            </w:r>
            <w:r>
              <w:rPr>
                <w:rFonts w:ascii="宋体" w:hAnsi="宋体" w:cs="宋体" w:eastAsia="宋体" w:hint="default"/>
                <w:spacing w:val="-58"/>
                <w:sz w:val="24"/>
                <w:szCs w:val="24"/>
              </w:rPr>
              <w:t> </w:t>
            </w:r>
            <w:r>
              <w:rPr>
                <w:rFonts w:ascii="Arial" w:hAnsi="Arial" w:cs="Arial" w:eastAsia="Arial" w:hint="default"/>
                <w:sz w:val="24"/>
                <w:szCs w:val="24"/>
              </w:rPr>
              <w:t>16</w:t>
            </w:r>
            <w:r>
              <w:rPr>
                <w:rFonts w:ascii="Arial" w:hAnsi="Arial" w:cs="Arial" w:eastAsia="Arial" w:hint="default"/>
                <w:spacing w:val="-5"/>
                <w:sz w:val="24"/>
                <w:szCs w:val="24"/>
              </w:rPr>
              <w:t> </w:t>
            </w:r>
            <w:r>
              <w:rPr>
                <w:rFonts w:ascii="宋体" w:hAnsi="宋体" w:cs="宋体" w:eastAsia="宋体" w:hint="default"/>
                <w:sz w:val="24"/>
                <w:szCs w:val="24"/>
              </w:rPr>
              <w:t>家子公司的少数股 东购买了其拥有的前述子公司的股权。支付对价高于交易日取得的按新增持</w:t>
            </w:r>
            <w:r>
              <w:rPr>
                <w:rFonts w:ascii="宋体" w:hAnsi="宋体" w:cs="宋体" w:eastAsia="宋体" w:hint="default"/>
                <w:spacing w:val="-55"/>
                <w:sz w:val="24"/>
                <w:szCs w:val="24"/>
              </w:rPr>
              <w:t> </w:t>
            </w:r>
            <w:r>
              <w:rPr>
                <w:rFonts w:ascii="宋体" w:hAnsi="宋体" w:cs="宋体" w:eastAsia="宋体" w:hint="default"/>
                <w:spacing w:val="-55"/>
                <w:sz w:val="24"/>
                <w:szCs w:val="24"/>
              </w:rPr>
            </w:r>
            <w:r>
              <w:rPr>
                <w:rFonts w:ascii="宋体" w:hAnsi="宋体" w:cs="宋体" w:eastAsia="宋体" w:hint="default"/>
                <w:sz w:val="24"/>
                <w:szCs w:val="24"/>
              </w:rPr>
              <w:t>股比例计算确定应享有子公司自合并日开始持续计算的净资产份额的部分调</w:t>
            </w:r>
            <w:r>
              <w:rPr>
                <w:rFonts w:ascii="宋体" w:hAnsi="宋体" w:cs="宋体" w:eastAsia="宋体" w:hint="default"/>
                <w:spacing w:val="-55"/>
                <w:sz w:val="24"/>
                <w:szCs w:val="24"/>
              </w:rPr>
              <w:t> </w:t>
            </w:r>
            <w:r>
              <w:rPr>
                <w:rFonts w:ascii="宋体" w:hAnsi="宋体" w:cs="宋体" w:eastAsia="宋体" w:hint="default"/>
                <w:sz w:val="24"/>
                <w:szCs w:val="24"/>
              </w:rPr>
              <w:t>整了当期的资本公积。</w:t>
            </w:r>
          </w:p>
        </w:tc>
      </w:tr>
    </w:tbl>
    <w:p>
      <w:pPr>
        <w:spacing w:after="0" w:line="232" w:lineRule="auto"/>
        <w:jc w:val="both"/>
        <w:rPr>
          <w:rFonts w:ascii="宋体" w:hAnsi="宋体" w:cs="宋体" w:eastAsia="宋体" w:hint="default"/>
          <w:sz w:val="24"/>
          <w:szCs w:val="24"/>
        </w:rPr>
        <w:sectPr>
          <w:headerReference w:type="default" r:id="rId93"/>
          <w:footerReference w:type="default" r:id="rId94"/>
          <w:pgSz w:w="11910" w:h="16850"/>
          <w:pgMar w:header="795" w:footer="1340" w:top="2020" w:bottom="1540" w:left="1420" w:right="0"/>
          <w:pgNumType w:start="179"/>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71"/>
        <w:gridCol w:w="5327"/>
        <w:gridCol w:w="3019"/>
      </w:tblGrid>
      <w:tr>
        <w:trPr>
          <w:trHeight w:val="515"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81"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5327" w:type="dxa"/>
            <w:tcBorders>
              <w:top w:val="nil" w:sz="6" w:space="0" w:color="auto"/>
              <w:left w:val="nil" w:sz="6" w:space="0" w:color="auto"/>
              <w:bottom w:val="nil" w:sz="6" w:space="0" w:color="auto"/>
              <w:right w:val="nil" w:sz="6" w:space="0" w:color="auto"/>
            </w:tcBorders>
          </w:tcPr>
          <w:p>
            <w:pPr>
              <w:pStyle w:val="TableParagraph"/>
              <w:spacing w:line="257" w:lineRule="exact"/>
              <w:ind w:left="14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019" w:type="dxa"/>
            <w:tcBorders>
              <w:top w:val="nil" w:sz="6" w:space="0" w:color="auto"/>
              <w:left w:val="nil" w:sz="6" w:space="0" w:color="auto"/>
              <w:bottom w:val="nil" w:sz="6" w:space="0" w:color="auto"/>
              <w:right w:val="nil" w:sz="6" w:space="0" w:color="auto"/>
            </w:tcBorders>
          </w:tcPr>
          <w:p>
            <w:pPr/>
          </w:p>
        </w:tc>
      </w:tr>
      <w:tr>
        <w:trPr>
          <w:trHeight w:val="743"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(34)</w:t>
            </w:r>
          </w:p>
        </w:tc>
        <w:tc>
          <w:tcPr>
            <w:tcW w:w="5327"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143" w:right="0"/>
              <w:jc w:val="left"/>
              <w:rPr>
                <w:rFonts w:ascii="Arial" w:hAnsi="Arial" w:cs="Arial" w:eastAsia="Arial" w:hint="default"/>
                <w:sz w:val="24"/>
                <w:szCs w:val="24"/>
              </w:rPr>
            </w:pPr>
            <w:r>
              <w:rPr>
                <w:rFonts w:ascii="黑体" w:hAnsi="黑体" w:cs="黑体" w:eastAsia="黑体" w:hint="default"/>
                <w:sz w:val="24"/>
                <w:szCs w:val="24"/>
              </w:rPr>
              <w:t>资本公积</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019" w:type="dxa"/>
            <w:tcBorders>
              <w:top w:val="nil" w:sz="6" w:space="0" w:color="auto"/>
              <w:left w:val="nil" w:sz="6" w:space="0" w:color="auto"/>
              <w:bottom w:val="nil" w:sz="6" w:space="0" w:color="auto"/>
              <w:right w:val="nil" w:sz="6" w:space="0" w:color="auto"/>
            </w:tcBorders>
          </w:tcPr>
          <w:p>
            <w:pPr/>
          </w:p>
        </w:tc>
      </w:tr>
      <w:tr>
        <w:trPr>
          <w:trHeight w:val="1677"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204"/>
              <w:ind w:left="200" w:right="0"/>
              <w:jc w:val="left"/>
              <w:rPr>
                <w:rFonts w:ascii="Arial" w:hAnsi="Arial" w:cs="Arial" w:eastAsia="Arial" w:hint="default"/>
                <w:sz w:val="24"/>
                <w:szCs w:val="24"/>
              </w:rPr>
            </w:pPr>
            <w:r>
              <w:rPr>
                <w:rFonts w:ascii="Arial"/>
                <w:sz w:val="24"/>
              </w:rPr>
              <w:t>(c)</w:t>
            </w:r>
          </w:p>
        </w:tc>
        <w:tc>
          <w:tcPr>
            <w:tcW w:w="8346" w:type="dxa"/>
            <w:gridSpan w:val="2"/>
            <w:tcBorders>
              <w:top w:val="nil" w:sz="6" w:space="0" w:color="auto"/>
              <w:left w:val="nil" w:sz="6" w:space="0" w:color="auto"/>
              <w:bottom w:val="nil" w:sz="6" w:space="0" w:color="auto"/>
              <w:right w:val="nil" w:sz="6" w:space="0" w:color="auto"/>
            </w:tcBorders>
          </w:tcPr>
          <w:p>
            <w:pPr>
              <w:pStyle w:val="TableParagraph"/>
              <w:spacing w:line="322" w:lineRule="exact" w:before="168"/>
              <w:ind w:left="143" w:right="0"/>
              <w:jc w:val="left"/>
              <w:rPr>
                <w:rFonts w:ascii="宋体" w:hAnsi="宋体" w:cs="宋体" w:eastAsia="宋体" w:hint="default"/>
                <w:sz w:val="24"/>
                <w:szCs w:val="24"/>
              </w:rPr>
            </w:pPr>
            <w:r>
              <w:rPr>
                <w:rFonts w:ascii="宋体" w:hAnsi="宋体" w:cs="宋体" w:eastAsia="宋体" w:hint="default"/>
                <w:sz w:val="24"/>
                <w:szCs w:val="24"/>
              </w:rPr>
              <w:t>经</w:t>
            </w:r>
            <w:r>
              <w:rPr>
                <w:rFonts w:ascii="宋体" w:hAnsi="宋体" w:cs="宋体" w:eastAsia="宋体" w:hint="default"/>
                <w:spacing w:val="-61"/>
                <w:sz w:val="24"/>
                <w:szCs w:val="24"/>
              </w:rPr>
              <w:t> </w:t>
            </w:r>
            <w:r>
              <w:rPr>
                <w:rFonts w:ascii="Arial" w:hAnsi="Arial" w:cs="Arial" w:eastAsia="Arial" w:hint="default"/>
                <w:spacing w:val="-4"/>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4</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29</w:t>
            </w:r>
            <w:r>
              <w:rPr>
                <w:rFonts w:ascii="Arial" w:hAnsi="Arial" w:cs="Arial" w:eastAsia="Arial" w:hint="default"/>
                <w:spacing w:val="-7"/>
                <w:sz w:val="24"/>
                <w:szCs w:val="24"/>
              </w:rPr>
              <w:t> </w:t>
            </w:r>
            <w:r>
              <w:rPr>
                <w:rFonts w:ascii="宋体" w:hAnsi="宋体" w:cs="宋体" w:eastAsia="宋体" w:hint="default"/>
                <w:sz w:val="24"/>
                <w:szCs w:val="24"/>
              </w:rPr>
              <w:t>日召开的第四届董事会第十二次会议审议通过，本公司对</w:t>
            </w:r>
          </w:p>
          <w:p>
            <w:pPr>
              <w:pStyle w:val="TableParagraph"/>
              <w:spacing w:line="310" w:lineRule="exact" w:before="22"/>
              <w:ind w:left="143" w:right="198"/>
              <w:jc w:val="left"/>
              <w:rPr>
                <w:rFonts w:ascii="Arial" w:hAnsi="Arial" w:cs="Arial" w:eastAsia="Arial" w:hint="default"/>
                <w:sz w:val="24"/>
                <w:szCs w:val="24"/>
              </w:rPr>
            </w:pPr>
            <w:r>
              <w:rPr>
                <w:rFonts w:ascii="宋体" w:hAnsi="宋体" w:cs="宋体" w:eastAsia="宋体" w:hint="default"/>
                <w:sz w:val="24"/>
                <w:szCs w:val="24"/>
              </w:rPr>
              <w:t>《</w:t>
            </w:r>
            <w:r>
              <w:rPr>
                <w:rFonts w:ascii="Arial" w:hAnsi="Arial" w:cs="Arial" w:eastAsia="Arial" w:hint="default"/>
                <w:sz w:val="24"/>
                <w:szCs w:val="24"/>
              </w:rPr>
              <w:t>2010</w:t>
            </w:r>
            <w:r>
              <w:rPr>
                <w:rFonts w:ascii="Arial" w:hAnsi="Arial" w:cs="Arial" w:eastAsia="Arial" w:hint="default"/>
                <w:spacing w:val="-39"/>
                <w:sz w:val="24"/>
                <w:szCs w:val="24"/>
              </w:rPr>
              <w:t> </w:t>
            </w:r>
            <w:r>
              <w:rPr>
                <w:rFonts w:ascii="宋体" w:hAnsi="宋体" w:cs="宋体" w:eastAsia="宋体" w:hint="default"/>
                <w:sz w:val="24"/>
                <w:szCs w:val="24"/>
              </w:rPr>
              <w:t>年股票期权激励计划》行权价格进行调整，调整后的股票行权价格为 人民币</w:t>
            </w:r>
            <w:r>
              <w:rPr>
                <w:rFonts w:ascii="宋体" w:hAnsi="宋体" w:cs="宋体" w:eastAsia="宋体" w:hint="default"/>
                <w:spacing w:val="-62"/>
                <w:sz w:val="24"/>
                <w:szCs w:val="24"/>
              </w:rPr>
              <w:t> </w:t>
            </w:r>
            <w:r>
              <w:rPr>
                <w:rFonts w:ascii="Arial" w:hAnsi="Arial" w:cs="Arial" w:eastAsia="Arial" w:hint="default"/>
                <w:spacing w:val="-1"/>
                <w:w w:val="99"/>
                <w:sz w:val="24"/>
                <w:szCs w:val="24"/>
              </w:rPr>
              <w:t>14.40</w:t>
            </w:r>
            <w:r>
              <w:rPr>
                <w:rFonts w:ascii="Arial" w:hAnsi="Arial" w:cs="Arial" w:eastAsia="Arial" w:hint="default"/>
                <w:spacing w:val="-7"/>
                <w:w w:val="99"/>
                <w:sz w:val="24"/>
                <w:szCs w:val="24"/>
              </w:rPr>
              <w:t> </w:t>
            </w:r>
            <w:r>
              <w:rPr>
                <w:rFonts w:ascii="宋体" w:hAnsi="宋体" w:cs="宋体" w:eastAsia="宋体" w:hint="default"/>
                <w:spacing w:val="-30"/>
                <w:sz w:val="24"/>
                <w:szCs w:val="24"/>
              </w:rPr>
              <w:t>元。截至</w:t>
            </w:r>
            <w:r>
              <w:rPr>
                <w:rFonts w:ascii="宋体" w:hAnsi="宋体" w:cs="宋体" w:eastAsia="宋体" w:hint="default"/>
                <w:spacing w:val="-64"/>
                <w:sz w:val="24"/>
                <w:szCs w:val="24"/>
              </w:rPr>
              <w:t> </w:t>
            </w:r>
            <w:r>
              <w:rPr>
                <w:rFonts w:ascii="Arial" w:hAnsi="Arial" w:cs="Arial" w:eastAsia="Arial" w:hint="default"/>
                <w:spacing w:val="-1"/>
                <w:w w:val="99"/>
                <w:sz w:val="24"/>
                <w:szCs w:val="24"/>
              </w:rPr>
              <w:t>2012</w:t>
            </w:r>
            <w:r>
              <w:rPr>
                <w:rFonts w:ascii="Arial" w:hAnsi="Arial" w:cs="Arial" w:eastAsia="Arial" w:hint="default"/>
                <w:spacing w:val="-7"/>
                <w:w w:val="9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w w:val="99"/>
                <w:sz w:val="24"/>
                <w:szCs w:val="24"/>
              </w:rPr>
              <w:t>12</w:t>
            </w:r>
            <w:r>
              <w:rPr>
                <w:rFonts w:ascii="Arial" w:hAnsi="Arial" w:cs="Arial" w:eastAsia="Arial" w:hint="default"/>
                <w:spacing w:val="-8"/>
                <w:w w:val="99"/>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w w:val="99"/>
                <w:sz w:val="24"/>
                <w:szCs w:val="24"/>
              </w:rPr>
              <w:t>31</w:t>
            </w:r>
            <w:r>
              <w:rPr>
                <w:rFonts w:ascii="Arial" w:hAnsi="Arial" w:cs="Arial" w:eastAsia="Arial" w:hint="default"/>
                <w:spacing w:val="-7"/>
                <w:w w:val="99"/>
                <w:sz w:val="24"/>
                <w:szCs w:val="24"/>
              </w:rPr>
              <w:t> </w:t>
            </w:r>
            <w:r>
              <w:rPr>
                <w:rFonts w:ascii="宋体" w:hAnsi="宋体" w:cs="宋体" w:eastAsia="宋体" w:hint="default"/>
                <w:spacing w:val="-9"/>
                <w:sz w:val="24"/>
                <w:szCs w:val="24"/>
              </w:rPr>
              <w:t>日止，股票期权合同剩余期限至</w:t>
            </w:r>
            <w:r>
              <w:rPr>
                <w:rFonts w:ascii="宋体" w:hAnsi="宋体" w:cs="宋体" w:eastAsia="宋体" w:hint="default"/>
                <w:spacing w:val="-61"/>
                <w:sz w:val="24"/>
                <w:szCs w:val="24"/>
              </w:rPr>
              <w:t> </w:t>
            </w:r>
            <w:r>
              <w:rPr>
                <w:rFonts w:ascii="Arial" w:hAnsi="Arial" w:cs="Arial" w:eastAsia="Arial" w:hint="default"/>
                <w:spacing w:val="-1"/>
                <w:w w:val="99"/>
                <w:sz w:val="24"/>
                <w:szCs w:val="24"/>
              </w:rPr>
              <w:t>2015</w:t>
            </w:r>
            <w:r>
              <w:rPr>
                <w:rFonts w:ascii="Arial" w:hAnsi="Arial" w:cs="Arial" w:eastAsia="Arial" w:hint="default"/>
                <w:spacing w:val="-1"/>
                <w:sz w:val="24"/>
                <w:szCs w:val="24"/>
              </w:rPr>
            </w:r>
          </w:p>
          <w:p>
            <w:pPr>
              <w:pStyle w:val="TableParagraph"/>
              <w:spacing w:line="301" w:lineRule="exact"/>
              <w:ind w:left="143"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pacing w:val="-8"/>
                <w:sz w:val="24"/>
                <w:szCs w:val="24"/>
              </w:rPr>
              <w:t>11</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26</w:t>
            </w:r>
            <w:r>
              <w:rPr>
                <w:rFonts w:ascii="Arial" w:hAnsi="Arial" w:cs="Arial" w:eastAsia="Arial" w:hint="default"/>
                <w:spacing w:val="-7"/>
                <w:sz w:val="24"/>
                <w:szCs w:val="24"/>
              </w:rPr>
              <w:t> </w:t>
            </w:r>
            <w:r>
              <w:rPr>
                <w:rFonts w:ascii="宋体" w:hAnsi="宋体" w:cs="宋体" w:eastAsia="宋体" w:hint="default"/>
                <w:sz w:val="24"/>
                <w:szCs w:val="24"/>
              </w:rPr>
              <w:t>日，约为</w:t>
            </w:r>
            <w:r>
              <w:rPr>
                <w:rFonts w:ascii="宋体" w:hAnsi="宋体" w:cs="宋体" w:eastAsia="宋体" w:hint="default"/>
                <w:spacing w:val="-61"/>
                <w:sz w:val="24"/>
                <w:szCs w:val="24"/>
              </w:rPr>
              <w:t> </w:t>
            </w:r>
            <w:r>
              <w:rPr>
                <w:rFonts w:ascii="Arial" w:hAnsi="Arial" w:cs="Arial" w:eastAsia="Arial" w:hint="default"/>
                <w:sz w:val="24"/>
                <w:szCs w:val="24"/>
              </w:rPr>
              <w:t>2.9</w:t>
            </w:r>
            <w:r>
              <w:rPr>
                <w:rFonts w:ascii="Arial" w:hAnsi="Arial" w:cs="Arial" w:eastAsia="Arial" w:hint="default"/>
                <w:spacing w:val="-7"/>
                <w:sz w:val="24"/>
                <w:szCs w:val="24"/>
              </w:rPr>
              <w:t> </w:t>
            </w:r>
            <w:r>
              <w:rPr>
                <w:rFonts w:ascii="宋体" w:hAnsi="宋体" w:cs="宋体" w:eastAsia="宋体" w:hint="default"/>
                <w:sz w:val="24"/>
                <w:szCs w:val="24"/>
              </w:rPr>
              <w:t>年。</w:t>
            </w:r>
          </w:p>
        </w:tc>
      </w:tr>
      <w:tr>
        <w:trPr>
          <w:trHeight w:val="742" w:hRule="exact"/>
        </w:trPr>
        <w:tc>
          <w:tcPr>
            <w:tcW w:w="771" w:type="dxa"/>
            <w:tcBorders>
              <w:top w:val="nil" w:sz="6" w:space="0" w:color="auto"/>
              <w:left w:val="nil" w:sz="6" w:space="0" w:color="auto"/>
              <w:bottom w:val="nil" w:sz="6" w:space="0" w:color="auto"/>
              <w:right w:val="nil" w:sz="6" w:space="0" w:color="auto"/>
            </w:tcBorders>
          </w:tcPr>
          <w:p>
            <w:pPr/>
          </w:p>
        </w:tc>
        <w:tc>
          <w:tcPr>
            <w:tcW w:w="5327"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43" w:right="0"/>
              <w:jc w:val="left"/>
              <w:rPr>
                <w:rFonts w:ascii="宋体" w:hAnsi="宋体" w:cs="宋体" w:eastAsia="宋体" w:hint="default"/>
                <w:sz w:val="24"/>
                <w:szCs w:val="24"/>
              </w:rPr>
            </w:pPr>
            <w:r>
              <w:rPr>
                <w:rFonts w:ascii="宋体" w:hAnsi="宋体" w:cs="宋体" w:eastAsia="宋体" w:hint="default"/>
                <w:sz w:val="24"/>
                <w:szCs w:val="24"/>
              </w:rPr>
              <w:t>授予日股票期权公允价值的确定方法</w:t>
            </w:r>
          </w:p>
        </w:tc>
        <w:tc>
          <w:tcPr>
            <w:tcW w:w="3019" w:type="dxa"/>
            <w:tcBorders>
              <w:top w:val="nil" w:sz="6" w:space="0" w:color="auto"/>
              <w:left w:val="nil" w:sz="6" w:space="0" w:color="auto"/>
              <w:bottom w:val="nil" w:sz="6" w:space="0" w:color="auto"/>
              <w:right w:val="nil" w:sz="6" w:space="0" w:color="auto"/>
            </w:tcBorders>
          </w:tcPr>
          <w:p>
            <w:pPr/>
          </w:p>
        </w:tc>
      </w:tr>
      <w:tr>
        <w:trPr>
          <w:trHeight w:val="746" w:hRule="exact"/>
        </w:trPr>
        <w:tc>
          <w:tcPr>
            <w:tcW w:w="771" w:type="dxa"/>
            <w:tcBorders>
              <w:top w:val="nil" w:sz="6" w:space="0" w:color="auto"/>
              <w:left w:val="nil" w:sz="6" w:space="0" w:color="auto"/>
              <w:bottom w:val="nil" w:sz="6" w:space="0" w:color="auto"/>
              <w:right w:val="nil" w:sz="6" w:space="0" w:color="auto"/>
            </w:tcBorders>
          </w:tcPr>
          <w:p>
            <w:pPr/>
          </w:p>
        </w:tc>
        <w:tc>
          <w:tcPr>
            <w:tcW w:w="83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143" w:right="0"/>
              <w:jc w:val="left"/>
              <w:rPr>
                <w:rFonts w:ascii="宋体" w:hAnsi="宋体" w:cs="宋体" w:eastAsia="宋体" w:hint="default"/>
                <w:sz w:val="24"/>
                <w:szCs w:val="24"/>
              </w:rPr>
            </w:pPr>
            <w:r>
              <w:rPr>
                <w:rFonts w:ascii="宋体" w:hAnsi="宋体" w:cs="宋体" w:eastAsia="宋体" w:hint="default"/>
                <w:sz w:val="24"/>
                <w:szCs w:val="24"/>
              </w:rPr>
              <w:t>本集团采用期权定价模型确定股票期权的公允价值。主要参数列示如下：</w:t>
            </w:r>
          </w:p>
        </w:tc>
      </w:tr>
      <w:tr>
        <w:trPr>
          <w:trHeight w:val="1787" w:hRule="exact"/>
        </w:trPr>
        <w:tc>
          <w:tcPr>
            <w:tcW w:w="771" w:type="dxa"/>
            <w:tcBorders>
              <w:top w:val="nil" w:sz="6" w:space="0" w:color="auto"/>
              <w:left w:val="nil" w:sz="6" w:space="0" w:color="auto"/>
              <w:bottom w:val="nil" w:sz="6" w:space="0" w:color="auto"/>
              <w:right w:val="nil" w:sz="6" w:space="0" w:color="auto"/>
            </w:tcBorders>
          </w:tcPr>
          <w:p>
            <w:pPr/>
          </w:p>
        </w:tc>
        <w:tc>
          <w:tcPr>
            <w:tcW w:w="8346" w:type="dxa"/>
            <w:gridSpan w:val="2"/>
            <w:tcBorders>
              <w:top w:val="nil" w:sz="6" w:space="0" w:color="auto"/>
              <w:left w:val="nil" w:sz="6" w:space="0" w:color="auto"/>
              <w:bottom w:val="nil" w:sz="6" w:space="0" w:color="auto"/>
              <w:right w:val="nil" w:sz="6" w:space="0" w:color="auto"/>
            </w:tcBorders>
          </w:tcPr>
          <w:p>
            <w:pPr>
              <w:pStyle w:val="TableParagraph"/>
              <w:tabs>
                <w:tab w:pos="4344" w:val="left" w:leader="none"/>
                <w:tab w:pos="4704" w:val="left" w:leader="none"/>
              </w:tabs>
              <w:spacing w:line="254" w:lineRule="auto" w:before="179"/>
              <w:ind w:left="143" w:right="744"/>
              <w:jc w:val="left"/>
              <w:rPr>
                <w:rFonts w:ascii="宋体" w:hAnsi="宋体" w:cs="宋体" w:eastAsia="宋体" w:hint="default"/>
                <w:sz w:val="24"/>
                <w:szCs w:val="24"/>
              </w:rPr>
            </w:pPr>
            <w:r>
              <w:rPr>
                <w:rFonts w:ascii="宋体" w:hAnsi="宋体" w:cs="宋体" w:eastAsia="宋体" w:hint="default"/>
                <w:sz w:val="24"/>
                <w:szCs w:val="24"/>
              </w:rPr>
              <w:t>期权行权价格：</w:t>
              <w:tab/>
              <w:tab/>
              <w:t>人民币</w:t>
            </w:r>
            <w:r>
              <w:rPr>
                <w:rFonts w:ascii="宋体" w:hAnsi="宋体" w:cs="宋体" w:eastAsia="宋体" w:hint="default"/>
                <w:spacing w:val="-61"/>
                <w:sz w:val="24"/>
                <w:szCs w:val="24"/>
              </w:rPr>
              <w:t> </w:t>
            </w:r>
            <w:r>
              <w:rPr>
                <w:rFonts w:ascii="Arial" w:hAnsi="Arial" w:cs="Arial" w:eastAsia="Arial" w:hint="default"/>
                <w:sz w:val="24"/>
                <w:szCs w:val="24"/>
              </w:rPr>
              <w:t>14.50</w:t>
            </w:r>
            <w:r>
              <w:rPr>
                <w:rFonts w:ascii="Arial" w:hAnsi="Arial" w:cs="Arial" w:eastAsia="Arial" w:hint="default"/>
                <w:spacing w:val="-7"/>
                <w:sz w:val="24"/>
                <w:szCs w:val="24"/>
              </w:rPr>
              <w:t> </w:t>
            </w:r>
            <w:r>
              <w:rPr>
                <w:rFonts w:ascii="宋体" w:hAnsi="宋体" w:cs="宋体" w:eastAsia="宋体" w:hint="default"/>
                <w:sz w:val="24"/>
                <w:szCs w:val="24"/>
              </w:rPr>
              <w:t>元 各期期权的有效期：</w:t>
              <w:tab/>
            </w:r>
            <w:r>
              <w:rPr>
                <w:rFonts w:ascii="Arial" w:hAnsi="Arial" w:cs="Arial" w:eastAsia="Arial" w:hint="default"/>
                <w:sz w:val="24"/>
                <w:szCs w:val="24"/>
              </w:rPr>
              <w:t>1.5 </w:t>
            </w:r>
            <w:r>
              <w:rPr>
                <w:rFonts w:ascii="宋体" w:hAnsi="宋体" w:cs="宋体" w:eastAsia="宋体" w:hint="default"/>
                <w:sz w:val="24"/>
                <w:szCs w:val="24"/>
              </w:rPr>
              <w:t>年、</w:t>
            </w:r>
            <w:r>
              <w:rPr>
                <w:rFonts w:ascii="Arial" w:hAnsi="Arial" w:cs="Arial" w:eastAsia="Arial" w:hint="default"/>
                <w:sz w:val="24"/>
                <w:szCs w:val="24"/>
              </w:rPr>
              <w:t>2.5 </w:t>
            </w:r>
            <w:r>
              <w:rPr>
                <w:rFonts w:ascii="宋体" w:hAnsi="宋体" w:cs="宋体" w:eastAsia="宋体" w:hint="default"/>
                <w:sz w:val="24"/>
                <w:szCs w:val="24"/>
              </w:rPr>
              <w:t>年、</w:t>
            </w:r>
            <w:r>
              <w:rPr>
                <w:rFonts w:ascii="Arial" w:hAnsi="Arial" w:cs="Arial" w:eastAsia="Arial" w:hint="default"/>
                <w:sz w:val="24"/>
                <w:szCs w:val="24"/>
              </w:rPr>
              <w:t>3.5 </w:t>
            </w:r>
            <w:r>
              <w:rPr>
                <w:rFonts w:ascii="宋体" w:hAnsi="宋体" w:cs="宋体" w:eastAsia="宋体" w:hint="default"/>
                <w:sz w:val="24"/>
                <w:szCs w:val="24"/>
              </w:rPr>
              <w:t>年、</w:t>
            </w:r>
            <w:r>
              <w:rPr>
                <w:rFonts w:ascii="Arial" w:hAnsi="Arial" w:cs="Arial" w:eastAsia="Arial" w:hint="default"/>
                <w:sz w:val="24"/>
                <w:szCs w:val="24"/>
              </w:rPr>
              <w:t>4.5</w:t>
            </w:r>
            <w:r>
              <w:rPr>
                <w:rFonts w:ascii="Arial" w:hAnsi="Arial" w:cs="Arial" w:eastAsia="Arial" w:hint="default"/>
                <w:spacing w:val="-32"/>
                <w:sz w:val="24"/>
                <w:szCs w:val="24"/>
              </w:rPr>
              <w:t> </w:t>
            </w:r>
            <w:r>
              <w:rPr>
                <w:rFonts w:ascii="宋体" w:hAnsi="宋体" w:cs="宋体" w:eastAsia="宋体" w:hint="default"/>
                <w:sz w:val="24"/>
                <w:szCs w:val="24"/>
              </w:rPr>
              <w:t>年</w:t>
            </w:r>
          </w:p>
          <w:p>
            <w:pPr>
              <w:pStyle w:val="TableParagraph"/>
              <w:tabs>
                <w:tab w:pos="4224" w:val="left" w:leader="none"/>
              </w:tabs>
              <w:spacing w:line="240" w:lineRule="auto" w:before="5"/>
              <w:ind w:left="143" w:right="0"/>
              <w:jc w:val="left"/>
              <w:rPr>
                <w:rFonts w:ascii="Arial" w:hAnsi="Arial" w:cs="Arial" w:eastAsia="Arial" w:hint="default"/>
                <w:sz w:val="24"/>
                <w:szCs w:val="24"/>
              </w:rPr>
            </w:pPr>
            <w:r>
              <w:rPr>
                <w:rFonts w:ascii="宋体" w:hAnsi="宋体" w:cs="宋体" w:eastAsia="宋体" w:hint="default"/>
                <w:sz w:val="24"/>
                <w:szCs w:val="24"/>
              </w:rPr>
              <w:t>各期股价预计波动率：</w:t>
              <w:tab/>
            </w:r>
            <w:r>
              <w:rPr>
                <w:rFonts w:ascii="Arial" w:hAnsi="Arial" w:cs="Arial" w:eastAsia="Arial" w:hint="default"/>
                <w:sz w:val="24"/>
                <w:szCs w:val="24"/>
              </w:rPr>
              <w:t>37.3%</w:t>
            </w:r>
            <w:r>
              <w:rPr>
                <w:rFonts w:ascii="宋体" w:hAnsi="宋体" w:cs="宋体" w:eastAsia="宋体" w:hint="default"/>
                <w:sz w:val="24"/>
                <w:szCs w:val="24"/>
              </w:rPr>
              <w:t>、</w:t>
            </w:r>
            <w:r>
              <w:rPr>
                <w:rFonts w:ascii="Arial" w:hAnsi="Arial" w:cs="Arial" w:eastAsia="Arial" w:hint="default"/>
                <w:sz w:val="24"/>
                <w:szCs w:val="24"/>
              </w:rPr>
              <w:t>45.1%</w:t>
            </w:r>
            <w:r>
              <w:rPr>
                <w:rFonts w:ascii="宋体" w:hAnsi="宋体" w:cs="宋体" w:eastAsia="宋体" w:hint="default"/>
                <w:sz w:val="24"/>
                <w:szCs w:val="24"/>
              </w:rPr>
              <w:t>、</w:t>
            </w:r>
            <w:r>
              <w:rPr>
                <w:rFonts w:ascii="Arial" w:hAnsi="Arial" w:cs="Arial" w:eastAsia="Arial" w:hint="default"/>
                <w:sz w:val="24"/>
                <w:szCs w:val="24"/>
              </w:rPr>
              <w:t>46.8%</w:t>
            </w:r>
            <w:r>
              <w:rPr>
                <w:rFonts w:ascii="宋体" w:hAnsi="宋体" w:cs="宋体" w:eastAsia="宋体" w:hint="default"/>
                <w:sz w:val="24"/>
                <w:szCs w:val="24"/>
              </w:rPr>
              <w:t>、</w:t>
            </w:r>
            <w:r>
              <w:rPr>
                <w:rFonts w:ascii="Arial" w:hAnsi="Arial" w:cs="Arial" w:eastAsia="Arial" w:hint="default"/>
                <w:sz w:val="24"/>
                <w:szCs w:val="24"/>
              </w:rPr>
              <w:t>48.3%</w:t>
            </w:r>
          </w:p>
          <w:p>
            <w:pPr>
              <w:pStyle w:val="TableParagraph"/>
              <w:tabs>
                <w:tab w:pos="4224" w:val="left" w:leader="none"/>
              </w:tabs>
              <w:spacing w:line="240" w:lineRule="auto" w:before="19"/>
              <w:ind w:left="143" w:right="0"/>
              <w:jc w:val="left"/>
              <w:rPr>
                <w:rFonts w:ascii="Arial" w:hAnsi="Arial" w:cs="Arial" w:eastAsia="Arial" w:hint="default"/>
                <w:sz w:val="24"/>
                <w:szCs w:val="24"/>
              </w:rPr>
            </w:pPr>
            <w:r>
              <w:rPr>
                <w:rFonts w:ascii="宋体" w:hAnsi="宋体" w:cs="宋体" w:eastAsia="宋体" w:hint="default"/>
                <w:sz w:val="24"/>
                <w:szCs w:val="24"/>
              </w:rPr>
              <w:t>期权有效期内的无风险利率：</w:t>
              <w:tab/>
            </w:r>
            <w:r>
              <w:rPr>
                <w:rFonts w:ascii="Arial" w:hAnsi="Arial" w:cs="Arial" w:eastAsia="Arial" w:hint="default"/>
                <w:sz w:val="24"/>
                <w:szCs w:val="24"/>
              </w:rPr>
              <w:t>2.53%</w:t>
            </w:r>
            <w:r>
              <w:rPr>
                <w:rFonts w:ascii="宋体" w:hAnsi="宋体" w:cs="宋体" w:eastAsia="宋体" w:hint="default"/>
                <w:sz w:val="24"/>
                <w:szCs w:val="24"/>
              </w:rPr>
              <w:t>、</w:t>
            </w:r>
            <w:r>
              <w:rPr>
                <w:rFonts w:ascii="Arial" w:hAnsi="Arial" w:cs="Arial" w:eastAsia="Arial" w:hint="default"/>
                <w:sz w:val="24"/>
                <w:szCs w:val="24"/>
              </w:rPr>
              <w:t>2.92%</w:t>
            </w:r>
            <w:r>
              <w:rPr>
                <w:rFonts w:ascii="宋体" w:hAnsi="宋体" w:cs="宋体" w:eastAsia="宋体" w:hint="default"/>
                <w:sz w:val="24"/>
                <w:szCs w:val="24"/>
              </w:rPr>
              <w:t>、</w:t>
            </w:r>
            <w:r>
              <w:rPr>
                <w:rFonts w:ascii="Arial" w:hAnsi="Arial" w:cs="Arial" w:eastAsia="Arial" w:hint="default"/>
                <w:sz w:val="24"/>
                <w:szCs w:val="24"/>
              </w:rPr>
              <w:t>3.20%</w:t>
            </w:r>
            <w:r>
              <w:rPr>
                <w:rFonts w:ascii="宋体" w:hAnsi="宋体" w:cs="宋体" w:eastAsia="宋体" w:hint="default"/>
                <w:sz w:val="24"/>
                <w:szCs w:val="24"/>
              </w:rPr>
              <w:t>、</w:t>
            </w:r>
            <w:r>
              <w:rPr>
                <w:rFonts w:ascii="Arial" w:hAnsi="Arial" w:cs="Arial" w:eastAsia="Arial" w:hint="default"/>
                <w:sz w:val="24"/>
                <w:szCs w:val="24"/>
              </w:rPr>
              <w:t>3.49%</w:t>
            </w:r>
          </w:p>
        </w:tc>
      </w:tr>
      <w:tr>
        <w:trPr>
          <w:trHeight w:val="727" w:hRule="exact"/>
        </w:trPr>
        <w:tc>
          <w:tcPr>
            <w:tcW w:w="771" w:type="dxa"/>
            <w:tcBorders>
              <w:top w:val="nil" w:sz="6" w:space="0" w:color="auto"/>
              <w:left w:val="nil" w:sz="6" w:space="0" w:color="auto"/>
              <w:bottom w:val="nil" w:sz="6" w:space="0" w:color="auto"/>
              <w:right w:val="nil" w:sz="6" w:space="0" w:color="auto"/>
            </w:tcBorders>
          </w:tcPr>
          <w:p>
            <w:pPr/>
          </w:p>
        </w:tc>
        <w:tc>
          <w:tcPr>
            <w:tcW w:w="83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4"/>
              <w:ind w:left="143" w:right="0"/>
              <w:jc w:val="left"/>
              <w:rPr>
                <w:rFonts w:ascii="宋体" w:hAnsi="宋体" w:cs="宋体" w:eastAsia="宋体" w:hint="default"/>
                <w:sz w:val="24"/>
                <w:szCs w:val="24"/>
              </w:rPr>
            </w:pPr>
            <w:r>
              <w:rPr>
                <w:rFonts w:ascii="宋体" w:hAnsi="宋体" w:cs="宋体" w:eastAsia="宋体" w:hint="default"/>
                <w:sz w:val="24"/>
                <w:szCs w:val="24"/>
              </w:rPr>
              <w:t>根据以上参数计算得出的股票期权的公允价值为：约人民币</w:t>
            </w:r>
            <w:r>
              <w:rPr>
                <w:rFonts w:ascii="宋体" w:hAnsi="宋体" w:cs="宋体" w:eastAsia="宋体" w:hint="default"/>
                <w:spacing w:val="-61"/>
                <w:sz w:val="24"/>
                <w:szCs w:val="24"/>
              </w:rPr>
              <w:t> </w:t>
            </w:r>
            <w:r>
              <w:rPr>
                <w:rFonts w:ascii="Arial" w:hAnsi="Arial" w:cs="Arial" w:eastAsia="Arial" w:hint="default"/>
                <w:sz w:val="24"/>
                <w:szCs w:val="24"/>
              </w:rPr>
              <w:t>3.95</w:t>
            </w:r>
            <w:r>
              <w:rPr>
                <w:rFonts w:ascii="Arial" w:hAnsi="Arial" w:cs="Arial" w:eastAsia="Arial" w:hint="default"/>
                <w:spacing w:val="-6"/>
                <w:sz w:val="24"/>
                <w:szCs w:val="24"/>
              </w:rPr>
              <w:t> </w:t>
            </w:r>
            <w:r>
              <w:rPr>
                <w:rFonts w:ascii="宋体" w:hAnsi="宋体" w:cs="宋体" w:eastAsia="宋体" w:hint="default"/>
                <w:sz w:val="24"/>
                <w:szCs w:val="24"/>
              </w:rPr>
              <w:t>亿元。</w:t>
            </w:r>
          </w:p>
        </w:tc>
      </w:tr>
      <w:tr>
        <w:trPr>
          <w:trHeight w:val="742" w:hRule="exact"/>
        </w:trPr>
        <w:tc>
          <w:tcPr>
            <w:tcW w:w="771" w:type="dxa"/>
            <w:tcBorders>
              <w:top w:val="nil" w:sz="6" w:space="0" w:color="auto"/>
              <w:left w:val="nil" w:sz="6" w:space="0" w:color="auto"/>
              <w:bottom w:val="nil" w:sz="6" w:space="0" w:color="auto"/>
              <w:right w:val="nil" w:sz="6" w:space="0" w:color="auto"/>
            </w:tcBorders>
          </w:tcPr>
          <w:p>
            <w:pPr/>
          </w:p>
        </w:tc>
        <w:tc>
          <w:tcPr>
            <w:tcW w:w="5327"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43" w:right="0"/>
              <w:jc w:val="left"/>
              <w:rPr>
                <w:rFonts w:ascii="宋体" w:hAnsi="宋体" w:cs="宋体" w:eastAsia="宋体" w:hint="default"/>
                <w:sz w:val="24"/>
                <w:szCs w:val="24"/>
              </w:rPr>
            </w:pPr>
            <w:r>
              <w:rPr>
                <w:rFonts w:ascii="宋体" w:hAnsi="宋体" w:cs="宋体" w:eastAsia="宋体" w:hint="default"/>
                <w:sz w:val="24"/>
                <w:szCs w:val="24"/>
              </w:rPr>
              <w:t>股份支付交易对财务状况和经营成果的影响</w:t>
            </w:r>
          </w:p>
        </w:tc>
        <w:tc>
          <w:tcPr>
            <w:tcW w:w="3019" w:type="dxa"/>
            <w:tcBorders>
              <w:top w:val="nil" w:sz="6" w:space="0" w:color="auto"/>
              <w:left w:val="nil" w:sz="6" w:space="0" w:color="auto"/>
              <w:bottom w:val="nil" w:sz="6" w:space="0" w:color="auto"/>
              <w:right w:val="nil" w:sz="6" w:space="0" w:color="auto"/>
            </w:tcBorders>
          </w:tcPr>
          <w:p>
            <w:pPr/>
          </w:p>
        </w:tc>
      </w:tr>
      <w:tr>
        <w:trPr>
          <w:trHeight w:val="753" w:hRule="exact"/>
        </w:trPr>
        <w:tc>
          <w:tcPr>
            <w:tcW w:w="771" w:type="dxa"/>
            <w:tcBorders>
              <w:top w:val="nil" w:sz="6" w:space="0" w:color="auto"/>
              <w:left w:val="nil" w:sz="6" w:space="0" w:color="auto"/>
              <w:bottom w:val="nil" w:sz="6" w:space="0" w:color="auto"/>
              <w:right w:val="nil" w:sz="6" w:space="0" w:color="auto"/>
            </w:tcBorders>
          </w:tcPr>
          <w:p>
            <w:pPr/>
          </w:p>
        </w:tc>
        <w:tc>
          <w:tcPr>
            <w:tcW w:w="5327" w:type="dxa"/>
            <w:tcBorders>
              <w:top w:val="nil" w:sz="6" w:space="0" w:color="auto"/>
              <w:left w:val="nil" w:sz="6" w:space="0" w:color="auto"/>
              <w:bottom w:val="nil" w:sz="6" w:space="0" w:color="auto"/>
              <w:right w:val="nil" w:sz="6" w:space="0" w:color="auto"/>
            </w:tcBorders>
          </w:tcPr>
          <w:p>
            <w:pPr/>
          </w:p>
        </w:tc>
        <w:tc>
          <w:tcPr>
            <w:tcW w:w="3019"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262"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569" w:hRule="exact"/>
        </w:trPr>
        <w:tc>
          <w:tcPr>
            <w:tcW w:w="771" w:type="dxa"/>
            <w:tcBorders>
              <w:top w:val="nil" w:sz="6" w:space="0" w:color="auto"/>
              <w:left w:val="nil" w:sz="6" w:space="0" w:color="auto"/>
              <w:bottom w:val="nil" w:sz="6" w:space="0" w:color="auto"/>
              <w:right w:val="nil" w:sz="6" w:space="0" w:color="auto"/>
            </w:tcBorders>
          </w:tcPr>
          <w:p>
            <w:pPr/>
          </w:p>
        </w:tc>
        <w:tc>
          <w:tcPr>
            <w:tcW w:w="5327"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262"/>
              <w:jc w:val="right"/>
              <w:rPr>
                <w:rFonts w:ascii="宋体" w:hAnsi="宋体" w:cs="宋体" w:eastAsia="宋体" w:hint="default"/>
                <w:sz w:val="24"/>
                <w:szCs w:val="24"/>
              </w:rPr>
            </w:pPr>
            <w:r>
              <w:rPr>
                <w:rFonts w:ascii="宋体" w:hAnsi="宋体" w:cs="宋体" w:eastAsia="宋体" w:hint="default"/>
                <w:sz w:val="24"/>
                <w:szCs w:val="24"/>
              </w:rPr>
              <w:t>当期因权益结算的股份支付而转回的费用总额</w:t>
            </w:r>
          </w:p>
        </w:tc>
        <w:tc>
          <w:tcPr>
            <w:tcW w:w="3019"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62" w:right="0"/>
              <w:jc w:val="left"/>
              <w:rPr>
                <w:rFonts w:ascii="宋体" w:hAnsi="宋体" w:cs="宋体" w:eastAsia="宋体" w:hint="default"/>
                <w:sz w:val="24"/>
                <w:szCs w:val="24"/>
              </w:rPr>
            </w:pPr>
            <w:r>
              <w:rPr>
                <w:rFonts w:ascii="宋体" w:hAnsi="宋体" w:cs="宋体" w:eastAsia="宋体" w:hint="default"/>
                <w:sz w:val="24"/>
                <w:szCs w:val="24"/>
              </w:rPr>
              <w:t>约人民币</w:t>
            </w:r>
            <w:r>
              <w:rPr>
                <w:rFonts w:ascii="宋体" w:hAnsi="宋体" w:cs="宋体" w:eastAsia="宋体" w:hint="default"/>
                <w:spacing w:val="-62"/>
                <w:sz w:val="24"/>
                <w:szCs w:val="24"/>
              </w:rPr>
              <w:t> </w:t>
            </w:r>
            <w:r>
              <w:rPr>
                <w:rFonts w:ascii="Arial" w:hAnsi="Arial" w:cs="Arial" w:eastAsia="Arial" w:hint="default"/>
                <w:sz w:val="24"/>
                <w:szCs w:val="24"/>
              </w:rPr>
              <w:t>4,445</w:t>
            </w:r>
            <w:r>
              <w:rPr>
                <w:rFonts w:ascii="Arial" w:hAnsi="Arial" w:cs="Arial" w:eastAsia="Arial" w:hint="default"/>
                <w:spacing w:val="-8"/>
                <w:sz w:val="24"/>
                <w:szCs w:val="24"/>
              </w:rPr>
              <w:t> </w:t>
            </w:r>
            <w:r>
              <w:rPr>
                <w:rFonts w:ascii="宋体" w:hAnsi="宋体" w:cs="宋体" w:eastAsia="宋体" w:hint="default"/>
                <w:sz w:val="24"/>
                <w:szCs w:val="24"/>
              </w:rPr>
              <w:t>万元</w:t>
            </w:r>
          </w:p>
        </w:tc>
      </w:tr>
      <w:tr>
        <w:trPr>
          <w:trHeight w:val="569" w:hRule="exact"/>
        </w:trPr>
        <w:tc>
          <w:tcPr>
            <w:tcW w:w="771" w:type="dxa"/>
            <w:tcBorders>
              <w:top w:val="nil" w:sz="6" w:space="0" w:color="auto"/>
              <w:left w:val="nil" w:sz="6" w:space="0" w:color="auto"/>
              <w:bottom w:val="nil" w:sz="6" w:space="0" w:color="auto"/>
              <w:right w:val="nil" w:sz="6" w:space="0" w:color="auto"/>
            </w:tcBorders>
          </w:tcPr>
          <w:p>
            <w:pPr/>
          </w:p>
        </w:tc>
        <w:tc>
          <w:tcPr>
            <w:tcW w:w="5327" w:type="dxa"/>
            <w:tcBorders>
              <w:top w:val="nil" w:sz="6" w:space="0" w:color="auto"/>
              <w:left w:val="nil" w:sz="6" w:space="0" w:color="auto"/>
              <w:bottom w:val="nil" w:sz="6" w:space="0" w:color="auto"/>
              <w:right w:val="nil" w:sz="6" w:space="0" w:color="auto"/>
            </w:tcBorders>
          </w:tcPr>
          <w:p>
            <w:pPr>
              <w:pStyle w:val="TableParagraph"/>
              <w:spacing w:line="310" w:lineRule="exact"/>
              <w:ind w:right="261"/>
              <w:jc w:val="right"/>
              <w:rPr>
                <w:rFonts w:ascii="宋体" w:hAnsi="宋体" w:cs="宋体" w:eastAsia="宋体" w:hint="default"/>
                <w:sz w:val="24"/>
                <w:szCs w:val="24"/>
              </w:rPr>
            </w:pPr>
            <w:r>
              <w:rPr>
                <w:rFonts w:ascii="宋体" w:hAnsi="宋体" w:cs="宋体" w:eastAsia="宋体" w:hint="default"/>
                <w:sz w:val="24"/>
                <w:szCs w:val="24"/>
              </w:rPr>
              <w:t>资本公积中以权益结算的股份支付的累计金额</w:t>
            </w:r>
          </w:p>
        </w:tc>
        <w:tc>
          <w:tcPr>
            <w:tcW w:w="3019" w:type="dxa"/>
            <w:tcBorders>
              <w:top w:val="nil" w:sz="6" w:space="0" w:color="auto"/>
              <w:left w:val="nil" w:sz="6" w:space="0" w:color="auto"/>
              <w:bottom w:val="nil" w:sz="6" w:space="0" w:color="auto"/>
              <w:right w:val="nil" w:sz="6" w:space="0" w:color="auto"/>
            </w:tcBorders>
          </w:tcPr>
          <w:p>
            <w:pPr>
              <w:pStyle w:val="TableParagraph"/>
              <w:spacing w:line="327" w:lineRule="exact"/>
              <w:ind w:left="262" w:right="0"/>
              <w:jc w:val="left"/>
              <w:rPr>
                <w:rFonts w:ascii="宋体" w:hAnsi="宋体" w:cs="宋体" w:eastAsia="宋体" w:hint="default"/>
                <w:sz w:val="24"/>
                <w:szCs w:val="24"/>
              </w:rPr>
            </w:pPr>
            <w:r>
              <w:rPr>
                <w:rFonts w:ascii="宋体" w:hAnsi="宋体" w:cs="宋体" w:eastAsia="宋体" w:hint="default"/>
                <w:sz w:val="24"/>
                <w:szCs w:val="24"/>
              </w:rPr>
              <w:t>约人民币</w:t>
            </w:r>
            <w:r>
              <w:rPr>
                <w:rFonts w:ascii="宋体" w:hAnsi="宋体" w:cs="宋体" w:eastAsia="宋体" w:hint="default"/>
                <w:spacing w:val="-61"/>
                <w:sz w:val="24"/>
                <w:szCs w:val="24"/>
              </w:rPr>
              <w:t> </w:t>
            </w:r>
            <w:r>
              <w:rPr>
                <w:rFonts w:ascii="Arial" w:hAnsi="Arial" w:cs="Arial" w:eastAsia="Arial" w:hint="default"/>
                <w:sz w:val="24"/>
                <w:szCs w:val="24"/>
              </w:rPr>
              <w:t>13,976</w:t>
            </w:r>
            <w:r>
              <w:rPr>
                <w:rFonts w:ascii="Arial" w:hAnsi="Arial" w:cs="Arial" w:eastAsia="Arial" w:hint="default"/>
                <w:spacing w:val="-7"/>
                <w:sz w:val="24"/>
                <w:szCs w:val="24"/>
              </w:rPr>
              <w:t> </w:t>
            </w:r>
            <w:r>
              <w:rPr>
                <w:rFonts w:ascii="宋体" w:hAnsi="宋体" w:cs="宋体" w:eastAsia="宋体" w:hint="default"/>
                <w:sz w:val="24"/>
                <w:szCs w:val="24"/>
              </w:rPr>
              <w:t>万元</w:t>
            </w:r>
          </w:p>
        </w:tc>
      </w:tr>
      <w:tr>
        <w:trPr>
          <w:trHeight w:val="1112" w:hRule="exact"/>
        </w:trPr>
        <w:tc>
          <w:tcPr>
            <w:tcW w:w="771" w:type="dxa"/>
            <w:tcBorders>
              <w:top w:val="nil" w:sz="6" w:space="0" w:color="auto"/>
              <w:left w:val="nil" w:sz="6" w:space="0" w:color="auto"/>
              <w:bottom w:val="nil" w:sz="6" w:space="0" w:color="auto"/>
              <w:right w:val="nil" w:sz="6" w:space="0" w:color="auto"/>
            </w:tcBorders>
          </w:tcPr>
          <w:p>
            <w:pPr/>
          </w:p>
        </w:tc>
        <w:tc>
          <w:tcPr>
            <w:tcW w:w="8346" w:type="dxa"/>
            <w:gridSpan w:val="2"/>
            <w:tcBorders>
              <w:top w:val="nil" w:sz="6" w:space="0" w:color="auto"/>
              <w:left w:val="nil" w:sz="6" w:space="0" w:color="auto"/>
              <w:bottom w:val="nil" w:sz="6" w:space="0" w:color="auto"/>
              <w:right w:val="nil" w:sz="6" w:space="0" w:color="auto"/>
            </w:tcBorders>
          </w:tcPr>
          <w:p>
            <w:pPr>
              <w:pStyle w:val="TableParagraph"/>
              <w:spacing w:line="312" w:lineRule="exact" w:before="204"/>
              <w:ind w:left="143" w:right="198"/>
              <w:jc w:val="both"/>
              <w:rPr>
                <w:rFonts w:ascii="宋体" w:hAnsi="宋体" w:cs="宋体" w:eastAsia="宋体" w:hint="default"/>
                <w:sz w:val="24"/>
                <w:szCs w:val="24"/>
              </w:rPr>
            </w:pPr>
            <w:r>
              <w:rPr>
                <w:rFonts w:ascii="宋体" w:hAnsi="宋体" w:cs="宋体" w:eastAsia="宋体" w:hint="default"/>
                <w:sz w:val="24"/>
                <w:szCs w:val="24"/>
              </w:rPr>
              <w:t>于行权价格调整日，根据调整后的股票行权价格重新计算得出的股票期权公</w:t>
            </w:r>
            <w:r>
              <w:rPr>
                <w:rFonts w:ascii="宋体" w:hAnsi="宋体" w:cs="宋体" w:eastAsia="宋体" w:hint="default"/>
                <w:spacing w:val="-55"/>
                <w:sz w:val="24"/>
                <w:szCs w:val="24"/>
              </w:rPr>
              <w:t> </w:t>
            </w:r>
            <w:r>
              <w:rPr>
                <w:rFonts w:ascii="宋体" w:hAnsi="宋体" w:cs="宋体" w:eastAsia="宋体" w:hint="default"/>
                <w:spacing w:val="-3"/>
                <w:sz w:val="24"/>
                <w:szCs w:val="24"/>
              </w:rPr>
              <w:t>允价值接近根据原行权价格计算的公允价值。于</w:t>
            </w:r>
            <w:r>
              <w:rPr>
                <w:rFonts w:ascii="宋体" w:hAnsi="宋体" w:cs="宋体" w:eastAsia="宋体" w:hint="default"/>
                <w:spacing w:val="-51"/>
                <w:sz w:val="24"/>
                <w:szCs w:val="24"/>
              </w:rPr>
              <w:t> </w:t>
            </w:r>
            <w:r>
              <w:rPr>
                <w:rFonts w:ascii="Arial" w:hAnsi="Arial" w:cs="Arial" w:eastAsia="Arial" w:hint="default"/>
                <w:sz w:val="24"/>
                <w:szCs w:val="24"/>
              </w:rPr>
              <w:t>2012</w:t>
            </w:r>
            <w:r>
              <w:rPr>
                <w:rFonts w:ascii="Arial" w:hAnsi="Arial" w:cs="Arial" w:eastAsia="Arial" w:hint="default"/>
                <w:spacing w:val="2"/>
                <w:sz w:val="24"/>
                <w:szCs w:val="24"/>
              </w:rPr>
              <w:t> </w:t>
            </w:r>
            <w:r>
              <w:rPr>
                <w:rFonts w:ascii="宋体" w:hAnsi="宋体" w:cs="宋体" w:eastAsia="宋体" w:hint="default"/>
                <w:spacing w:val="-5"/>
                <w:sz w:val="24"/>
                <w:szCs w:val="24"/>
              </w:rPr>
              <w:t>年度，无实际行权的股</w:t>
            </w:r>
            <w:r>
              <w:rPr>
                <w:rFonts w:ascii="宋体" w:hAnsi="宋体" w:cs="宋体" w:eastAsia="宋体" w:hint="default"/>
                <w:sz w:val="24"/>
                <w:szCs w:val="24"/>
              </w:rPr>
              <w:t> 票期权。</w:t>
            </w:r>
          </w:p>
        </w:tc>
      </w:tr>
    </w:tbl>
    <w:p>
      <w:pPr>
        <w:spacing w:after="0" w:line="312" w:lineRule="exact"/>
        <w:jc w:val="both"/>
        <w:rPr>
          <w:rFonts w:ascii="宋体" w:hAnsi="宋体" w:cs="宋体" w:eastAsia="宋体"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809"/>
        <w:gridCol w:w="1897"/>
        <w:gridCol w:w="1512"/>
        <w:gridCol w:w="166"/>
        <w:gridCol w:w="1356"/>
        <w:gridCol w:w="281"/>
        <w:gridCol w:w="1347"/>
        <w:gridCol w:w="269"/>
        <w:gridCol w:w="1464"/>
      </w:tblGrid>
      <w:tr>
        <w:trPr>
          <w:trHeight w:val="497"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409"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1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6"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r>
      <w:tr>
        <w:trPr>
          <w:trHeight w:val="745"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64" w:right="0"/>
              <w:jc w:val="left"/>
              <w:rPr>
                <w:rFonts w:ascii="Arial" w:hAnsi="Arial" w:cs="Arial" w:eastAsia="Arial" w:hint="default"/>
                <w:sz w:val="24"/>
                <w:szCs w:val="24"/>
              </w:rPr>
            </w:pPr>
            <w:r>
              <w:rPr>
                <w:rFonts w:ascii="Arial"/>
                <w:sz w:val="24"/>
              </w:rPr>
              <w:t>(35)</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80" w:right="0"/>
              <w:jc w:val="left"/>
              <w:rPr>
                <w:rFonts w:ascii="黑体" w:hAnsi="黑体" w:cs="黑体" w:eastAsia="黑体" w:hint="default"/>
                <w:sz w:val="24"/>
                <w:szCs w:val="24"/>
              </w:rPr>
            </w:pPr>
            <w:r>
              <w:rPr>
                <w:rFonts w:ascii="黑体" w:hAnsi="黑体" w:cs="黑体" w:eastAsia="黑体" w:hint="default"/>
                <w:sz w:val="24"/>
                <w:szCs w:val="24"/>
              </w:rPr>
              <w:t>盈余公积</w:t>
            </w:r>
          </w:p>
        </w:tc>
        <w:tc>
          <w:tcPr>
            <w:tcW w:w="1512"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r>
      <w:tr>
        <w:trPr>
          <w:trHeight w:val="1104" w:hRule="exact"/>
        </w:trPr>
        <w:tc>
          <w:tcPr>
            <w:tcW w:w="809"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626"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240" w:lineRule="auto" w:before="19"/>
              <w:ind w:left="249"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66"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68"/>
              <w:jc w:val="right"/>
              <w:rPr>
                <w:rFonts w:ascii="宋体" w:hAnsi="宋体" w:cs="宋体" w:eastAsia="宋体" w:hint="default"/>
                <w:sz w:val="24"/>
                <w:szCs w:val="24"/>
              </w:rPr>
            </w:pPr>
            <w:r>
              <w:rPr>
                <w:rFonts w:ascii="宋体" w:hAnsi="宋体" w:cs="宋体" w:eastAsia="宋体" w:hint="default"/>
                <w:sz w:val="24"/>
                <w:szCs w:val="24"/>
              </w:rPr>
              <w:t>本年提取</w:t>
            </w:r>
          </w:p>
        </w:tc>
        <w:tc>
          <w:tcPr>
            <w:tcW w:w="281"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68"/>
              <w:jc w:val="right"/>
              <w:rPr>
                <w:rFonts w:ascii="宋体" w:hAnsi="宋体" w:cs="宋体" w:eastAsia="宋体" w:hint="default"/>
                <w:sz w:val="24"/>
                <w:szCs w:val="24"/>
              </w:rPr>
            </w:pPr>
            <w:r>
              <w:rPr>
                <w:rFonts w:ascii="宋体" w:hAnsi="宋体" w:cs="宋体" w:eastAsia="宋体" w:hint="default"/>
                <w:sz w:val="24"/>
                <w:szCs w:val="24"/>
              </w:rPr>
              <w:t>本年减少</w:t>
            </w:r>
          </w:p>
        </w:tc>
        <w:tc>
          <w:tcPr>
            <w:tcW w:w="269"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549"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240" w:lineRule="auto" w:before="19"/>
              <w:ind w:left="189"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80" w:hRule="exact"/>
        </w:trPr>
        <w:tc>
          <w:tcPr>
            <w:tcW w:w="809"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44" w:right="0"/>
              <w:jc w:val="left"/>
              <w:rPr>
                <w:rFonts w:ascii="宋体" w:hAnsi="宋体" w:cs="宋体" w:eastAsia="宋体" w:hint="default"/>
                <w:sz w:val="24"/>
                <w:szCs w:val="24"/>
              </w:rPr>
            </w:pPr>
            <w:r>
              <w:rPr>
                <w:rFonts w:ascii="宋体" w:hAnsi="宋体" w:cs="宋体" w:eastAsia="宋体" w:hint="default"/>
                <w:sz w:val="24"/>
                <w:szCs w:val="24"/>
              </w:rPr>
              <w:t>法定盈余公积金</w:t>
            </w:r>
          </w:p>
        </w:tc>
        <w:tc>
          <w:tcPr>
            <w:tcW w:w="1512"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67"/>
              <w:jc w:val="right"/>
              <w:rPr>
                <w:rFonts w:ascii="Arial" w:hAnsi="Arial" w:cs="Arial" w:eastAsia="Arial" w:hint="default"/>
                <w:sz w:val="24"/>
                <w:szCs w:val="24"/>
              </w:rPr>
            </w:pPr>
            <w:r>
              <w:rPr>
                <w:rFonts w:ascii="Arial"/>
                <w:spacing w:val="-1"/>
                <w:sz w:val="24"/>
              </w:rPr>
              <w:t>1,007,130</w:t>
            </w:r>
          </w:p>
        </w:tc>
        <w:tc>
          <w:tcPr>
            <w:tcW w:w="166"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67"/>
              <w:jc w:val="right"/>
              <w:rPr>
                <w:rFonts w:ascii="Arial" w:hAnsi="Arial" w:cs="Arial" w:eastAsia="Arial" w:hint="default"/>
                <w:sz w:val="24"/>
                <w:szCs w:val="24"/>
              </w:rPr>
            </w:pPr>
            <w:r>
              <w:rPr>
                <w:rFonts w:ascii="Arial"/>
                <w:spacing w:val="-1"/>
                <w:sz w:val="24"/>
              </w:rPr>
              <w:t>147,736</w:t>
            </w:r>
          </w:p>
        </w:tc>
        <w:tc>
          <w:tcPr>
            <w:tcW w:w="281"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67"/>
              <w:jc w:val="right"/>
              <w:rPr>
                <w:rFonts w:ascii="Arial" w:hAnsi="Arial" w:cs="Arial" w:eastAsia="Arial" w:hint="default"/>
                <w:sz w:val="24"/>
                <w:szCs w:val="24"/>
              </w:rPr>
            </w:pPr>
            <w:r>
              <w:rPr>
                <w:rFonts w:ascii="Arial"/>
                <w:w w:val="99"/>
                <w:sz w:val="24"/>
              </w:rPr>
              <w:t>-</w:t>
            </w:r>
            <w:r>
              <w:rPr>
                <w:rFonts w:ascii="Arial"/>
                <w:sz w:val="24"/>
              </w:rPr>
            </w:r>
          </w:p>
        </w:tc>
        <w:tc>
          <w:tcPr>
            <w:tcW w:w="269"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78"/>
              <w:jc w:val="right"/>
              <w:rPr>
                <w:rFonts w:ascii="Arial" w:hAnsi="Arial" w:cs="Arial" w:eastAsia="Arial" w:hint="default"/>
                <w:sz w:val="24"/>
                <w:szCs w:val="24"/>
              </w:rPr>
            </w:pPr>
            <w:r>
              <w:rPr>
                <w:rFonts w:ascii="Arial"/>
                <w:spacing w:val="-1"/>
                <w:sz w:val="24"/>
              </w:rPr>
              <w:t>1,154,866</w:t>
            </w:r>
          </w:p>
        </w:tc>
      </w:tr>
      <w:tr>
        <w:trPr>
          <w:trHeight w:val="1295" w:hRule="exact"/>
        </w:trPr>
        <w:tc>
          <w:tcPr>
            <w:tcW w:w="809"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c>
          <w:tcPr>
            <w:tcW w:w="1512"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30"/>
                <w:szCs w:val="30"/>
              </w:rPr>
            </w:pPr>
          </w:p>
          <w:p>
            <w:pPr>
              <w:pStyle w:val="TableParagraph"/>
              <w:spacing w:line="240" w:lineRule="auto"/>
              <w:ind w:left="609"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240" w:lineRule="auto" w:before="19"/>
              <w:ind w:left="249"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66" w:type="dxa"/>
            <w:tcBorders>
              <w:top w:val="nil" w:sz="6" w:space="0" w:color="auto"/>
              <w:left w:val="nil" w:sz="6" w:space="0" w:color="auto"/>
              <w:bottom w:val="nil" w:sz="6" w:space="0" w:color="auto"/>
              <w:right w:val="nil" w:sz="6" w:space="0" w:color="auto"/>
            </w:tcBorders>
          </w:tcPr>
          <w:p>
            <w:pPr/>
          </w:p>
        </w:tc>
        <w:tc>
          <w:tcPr>
            <w:tcW w:w="1356"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6"/>
              <w:ind w:right="68"/>
              <w:jc w:val="right"/>
              <w:rPr>
                <w:rFonts w:ascii="宋体" w:hAnsi="宋体" w:cs="宋体" w:eastAsia="宋体" w:hint="default"/>
                <w:sz w:val="24"/>
                <w:szCs w:val="24"/>
              </w:rPr>
            </w:pPr>
            <w:r>
              <w:rPr>
                <w:rFonts w:ascii="宋体" w:hAnsi="宋体" w:cs="宋体" w:eastAsia="宋体" w:hint="default"/>
                <w:sz w:val="24"/>
                <w:szCs w:val="24"/>
              </w:rPr>
              <w:t>本年提取</w:t>
            </w:r>
          </w:p>
        </w:tc>
        <w:tc>
          <w:tcPr>
            <w:tcW w:w="281" w:type="dxa"/>
            <w:tcBorders>
              <w:top w:val="nil" w:sz="6" w:space="0" w:color="auto"/>
              <w:left w:val="nil" w:sz="6" w:space="0" w:color="auto"/>
              <w:bottom w:val="nil" w:sz="6" w:space="0" w:color="auto"/>
              <w:right w:val="nil" w:sz="6" w:space="0" w:color="auto"/>
            </w:tcBorders>
          </w:tcPr>
          <w:p>
            <w:pPr/>
          </w:p>
        </w:tc>
        <w:tc>
          <w:tcPr>
            <w:tcW w:w="1347"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6"/>
              <w:ind w:right="68"/>
              <w:jc w:val="right"/>
              <w:rPr>
                <w:rFonts w:ascii="宋体" w:hAnsi="宋体" w:cs="宋体" w:eastAsia="宋体" w:hint="default"/>
                <w:sz w:val="24"/>
                <w:szCs w:val="24"/>
              </w:rPr>
            </w:pPr>
            <w:r>
              <w:rPr>
                <w:rFonts w:ascii="宋体" w:hAnsi="宋体" w:cs="宋体" w:eastAsia="宋体" w:hint="default"/>
                <w:sz w:val="24"/>
                <w:szCs w:val="24"/>
              </w:rPr>
              <w:t>本年减少</w:t>
            </w:r>
          </w:p>
        </w:tc>
        <w:tc>
          <w:tcPr>
            <w:tcW w:w="269" w:type="dxa"/>
            <w:tcBorders>
              <w:top w:val="nil" w:sz="6" w:space="0" w:color="auto"/>
              <w:left w:val="nil" w:sz="6" w:space="0" w:color="auto"/>
              <w:bottom w:val="nil" w:sz="6" w:space="0" w:color="auto"/>
              <w:right w:val="nil" w:sz="6" w:space="0" w:color="auto"/>
            </w:tcBorders>
          </w:tcPr>
          <w:p>
            <w:pPr/>
          </w:p>
        </w:tc>
        <w:tc>
          <w:tcPr>
            <w:tcW w:w="1464"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30"/>
                <w:szCs w:val="30"/>
              </w:rPr>
            </w:pPr>
          </w:p>
          <w:p>
            <w:pPr>
              <w:pStyle w:val="TableParagraph"/>
              <w:spacing w:line="240" w:lineRule="auto"/>
              <w:ind w:left="566"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240" w:lineRule="auto" w:before="19"/>
              <w:ind w:left="189"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80" w:hRule="exact"/>
        </w:trPr>
        <w:tc>
          <w:tcPr>
            <w:tcW w:w="809"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44" w:right="0"/>
              <w:jc w:val="left"/>
              <w:rPr>
                <w:rFonts w:ascii="宋体" w:hAnsi="宋体" w:cs="宋体" w:eastAsia="宋体" w:hint="default"/>
                <w:sz w:val="24"/>
                <w:szCs w:val="24"/>
              </w:rPr>
            </w:pPr>
            <w:r>
              <w:rPr>
                <w:rFonts w:ascii="宋体" w:hAnsi="宋体" w:cs="宋体" w:eastAsia="宋体" w:hint="default"/>
                <w:sz w:val="24"/>
                <w:szCs w:val="24"/>
              </w:rPr>
              <w:t>法定盈余公积金</w:t>
            </w:r>
          </w:p>
        </w:tc>
        <w:tc>
          <w:tcPr>
            <w:tcW w:w="1512"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81"/>
              <w:jc w:val="right"/>
              <w:rPr>
                <w:rFonts w:ascii="Arial" w:hAnsi="Arial" w:cs="Arial" w:eastAsia="Arial" w:hint="default"/>
                <w:sz w:val="24"/>
                <w:szCs w:val="24"/>
              </w:rPr>
            </w:pPr>
            <w:r>
              <w:rPr>
                <w:rFonts w:ascii="Arial"/>
                <w:spacing w:val="-1"/>
                <w:sz w:val="24"/>
              </w:rPr>
              <w:t>746,529</w:t>
            </w:r>
          </w:p>
        </w:tc>
        <w:tc>
          <w:tcPr>
            <w:tcW w:w="166"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67"/>
              <w:jc w:val="right"/>
              <w:rPr>
                <w:rFonts w:ascii="Arial" w:hAnsi="Arial" w:cs="Arial" w:eastAsia="Arial" w:hint="default"/>
                <w:sz w:val="24"/>
                <w:szCs w:val="24"/>
              </w:rPr>
            </w:pPr>
            <w:r>
              <w:rPr>
                <w:rFonts w:ascii="Arial"/>
                <w:spacing w:val="-1"/>
                <w:sz w:val="24"/>
              </w:rPr>
              <w:t>260,601</w:t>
            </w:r>
          </w:p>
        </w:tc>
        <w:tc>
          <w:tcPr>
            <w:tcW w:w="281"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Arial" w:hAnsi="Arial" w:cs="Arial" w:eastAsia="Arial" w:hint="default"/>
                <w:sz w:val="24"/>
                <w:szCs w:val="24"/>
              </w:rPr>
            </w:pPr>
            <w:r>
              <w:rPr>
                <w:rFonts w:ascii="Arial"/>
                <w:w w:val="99"/>
                <w:sz w:val="24"/>
              </w:rPr>
              <w:t>-</w:t>
            </w:r>
            <w:r>
              <w:rPr>
                <w:rFonts w:ascii="Arial"/>
                <w:sz w:val="24"/>
              </w:rPr>
            </w:r>
          </w:p>
        </w:tc>
        <w:tc>
          <w:tcPr>
            <w:tcW w:w="269"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19"/>
              <w:jc w:val="right"/>
              <w:rPr>
                <w:rFonts w:ascii="Arial" w:hAnsi="Arial" w:cs="Arial" w:eastAsia="Arial" w:hint="default"/>
                <w:sz w:val="24"/>
                <w:szCs w:val="24"/>
              </w:rPr>
            </w:pPr>
            <w:r>
              <w:rPr>
                <w:rFonts w:ascii="Arial"/>
                <w:spacing w:val="-1"/>
                <w:sz w:val="24"/>
              </w:rPr>
              <w:t>1,007,130</w:t>
            </w:r>
          </w:p>
        </w:tc>
      </w:tr>
      <w:tr>
        <w:trPr>
          <w:trHeight w:val="2259" w:hRule="exact"/>
        </w:trPr>
        <w:tc>
          <w:tcPr>
            <w:tcW w:w="809" w:type="dxa"/>
            <w:tcBorders>
              <w:top w:val="nil" w:sz="6" w:space="0" w:color="auto"/>
              <w:left w:val="nil" w:sz="6" w:space="0" w:color="auto"/>
              <w:bottom w:val="nil" w:sz="6" w:space="0" w:color="auto"/>
              <w:right w:val="nil" w:sz="6" w:space="0" w:color="auto"/>
            </w:tcBorders>
          </w:tcPr>
          <w:p>
            <w:pPr/>
          </w:p>
        </w:tc>
        <w:tc>
          <w:tcPr>
            <w:tcW w:w="8292" w:type="dxa"/>
            <w:gridSpan w:val="8"/>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28" w:lineRule="auto" w:before="151"/>
              <w:ind w:left="180" w:right="0"/>
              <w:jc w:val="left"/>
              <w:rPr>
                <w:rFonts w:ascii="宋体" w:hAnsi="宋体" w:cs="宋体" w:eastAsia="宋体" w:hint="default"/>
                <w:sz w:val="24"/>
                <w:szCs w:val="24"/>
              </w:rPr>
            </w:pPr>
            <w:r>
              <w:rPr>
                <w:rFonts w:ascii="宋体" w:hAnsi="宋体" w:cs="宋体" w:eastAsia="宋体" w:hint="default"/>
                <w:sz w:val="24"/>
                <w:szCs w:val="24"/>
              </w:rPr>
              <w:t>根据《中华人民共和国公司法》及本公司章程，本公司按年度净利润的</w:t>
            </w:r>
            <w:r>
              <w:rPr>
                <w:rFonts w:ascii="宋体" w:hAnsi="宋体" w:cs="宋体" w:eastAsia="宋体" w:hint="default"/>
                <w:spacing w:val="-51"/>
                <w:sz w:val="24"/>
                <w:szCs w:val="24"/>
              </w:rPr>
              <w:t> </w:t>
            </w:r>
            <w:r>
              <w:rPr>
                <w:rFonts w:ascii="Arial" w:hAnsi="Arial" w:cs="Arial" w:eastAsia="Arial" w:hint="default"/>
                <w:sz w:val="24"/>
                <w:szCs w:val="24"/>
              </w:rPr>
              <w:t>10%</w:t>
            </w:r>
            <w:r>
              <w:rPr>
                <w:rFonts w:ascii="Arial" w:hAnsi="Arial" w:cs="Arial" w:eastAsia="Arial" w:hint="default"/>
                <w:w w:val="99"/>
                <w:sz w:val="24"/>
                <w:szCs w:val="24"/>
              </w:rPr>
              <w:t> </w:t>
            </w:r>
            <w:r>
              <w:rPr>
                <w:rFonts w:ascii="宋体" w:hAnsi="宋体" w:cs="宋体" w:eastAsia="宋体" w:hint="default"/>
                <w:spacing w:val="-4"/>
                <w:sz w:val="24"/>
                <w:szCs w:val="24"/>
              </w:rPr>
              <w:t>提取法定盈余公积金，当法定盈余公积金累计额达到注册资本的</w:t>
            </w:r>
            <w:r>
              <w:rPr>
                <w:rFonts w:ascii="宋体" w:hAnsi="宋体" w:cs="宋体" w:eastAsia="宋体" w:hint="default"/>
                <w:spacing w:val="-55"/>
                <w:sz w:val="24"/>
                <w:szCs w:val="24"/>
              </w:rPr>
              <w:t> </w:t>
            </w:r>
            <w:r>
              <w:rPr>
                <w:rFonts w:ascii="Arial" w:hAnsi="Arial" w:cs="Arial" w:eastAsia="Arial" w:hint="default"/>
                <w:spacing w:val="-1"/>
                <w:w w:val="99"/>
                <w:sz w:val="24"/>
                <w:szCs w:val="24"/>
              </w:rPr>
              <w:t>50%</w:t>
            </w:r>
            <w:r>
              <w:rPr>
                <w:rFonts w:ascii="宋体" w:hAnsi="宋体" w:cs="宋体" w:eastAsia="宋体" w:hint="default"/>
                <w:spacing w:val="-1"/>
                <w:w w:val="99"/>
                <w:sz w:val="24"/>
                <w:szCs w:val="24"/>
              </w:rPr>
              <w:t>以上时，</w:t>
            </w:r>
            <w:r>
              <w:rPr>
                <w:rFonts w:ascii="宋体" w:hAnsi="宋体" w:cs="宋体" w:eastAsia="宋体" w:hint="default"/>
                <w:sz w:val="24"/>
                <w:szCs w:val="24"/>
              </w:rPr>
              <w:t> 可不再提取。法定盈余公积金经批准后可用于弥补亏损，或者增加股本。经</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董事会决议，本公司 </w:t>
            </w:r>
            <w:r>
              <w:rPr>
                <w:rFonts w:ascii="Arial" w:hAnsi="Arial" w:cs="Arial" w:eastAsia="Arial" w:hint="default"/>
                <w:sz w:val="24"/>
                <w:szCs w:val="24"/>
              </w:rPr>
              <w:t>2012 </w:t>
            </w:r>
            <w:r>
              <w:rPr>
                <w:rFonts w:ascii="宋体" w:hAnsi="宋体" w:cs="宋体" w:eastAsia="宋体" w:hint="default"/>
                <w:sz w:val="24"/>
                <w:szCs w:val="24"/>
              </w:rPr>
              <w:t>年按净利润的</w:t>
            </w:r>
            <w:r>
              <w:rPr>
                <w:rFonts w:ascii="宋体" w:hAnsi="宋体" w:cs="宋体" w:eastAsia="宋体" w:hint="default"/>
                <w:spacing w:val="-53"/>
                <w:sz w:val="24"/>
                <w:szCs w:val="24"/>
              </w:rPr>
              <w:t> </w:t>
            </w:r>
            <w:r>
              <w:rPr>
                <w:rFonts w:ascii="Arial" w:hAnsi="Arial" w:cs="Arial" w:eastAsia="Arial" w:hint="default"/>
                <w:sz w:val="24"/>
                <w:szCs w:val="24"/>
              </w:rPr>
              <w:t>10%</w:t>
            </w:r>
            <w:r>
              <w:rPr>
                <w:rFonts w:ascii="宋体" w:hAnsi="宋体" w:cs="宋体" w:eastAsia="宋体" w:hint="default"/>
                <w:sz w:val="24"/>
                <w:szCs w:val="24"/>
              </w:rPr>
              <w:t>提取法定盈余公积金约人民币 </w:t>
            </w:r>
            <w:r>
              <w:rPr>
                <w:rFonts w:ascii="Arial" w:hAnsi="Arial" w:cs="Arial" w:eastAsia="Arial" w:hint="default"/>
                <w:sz w:val="24"/>
                <w:szCs w:val="24"/>
              </w:rPr>
              <w:t>1.48</w:t>
            </w:r>
            <w:r>
              <w:rPr>
                <w:rFonts w:ascii="Arial" w:hAnsi="Arial" w:cs="Arial" w:eastAsia="Arial" w:hint="default"/>
                <w:spacing w:val="-8"/>
                <w:sz w:val="24"/>
                <w:szCs w:val="24"/>
              </w:rPr>
              <w:t> </w:t>
            </w:r>
            <w:r>
              <w:rPr>
                <w:rFonts w:ascii="宋体" w:hAnsi="宋体" w:cs="宋体" w:eastAsia="宋体" w:hint="default"/>
                <w:spacing w:val="-3"/>
                <w:sz w:val="24"/>
                <w:szCs w:val="24"/>
              </w:rPr>
              <w:t>亿元</w:t>
            </w:r>
            <w:r>
              <w:rPr>
                <w:rFonts w:ascii="Arial" w:hAnsi="Arial" w:cs="Arial" w:eastAsia="Arial" w:hint="default"/>
                <w:spacing w:val="-3"/>
                <w:sz w:val="24"/>
                <w:szCs w:val="24"/>
              </w:rPr>
              <w:t>(2011</w:t>
            </w:r>
            <w:r>
              <w:rPr>
                <w:rFonts w:ascii="Arial" w:hAnsi="Arial" w:cs="Arial" w:eastAsia="Arial" w:hint="default"/>
                <w:spacing w:val="-8"/>
                <w:sz w:val="24"/>
                <w:szCs w:val="24"/>
              </w:rPr>
              <w:t> </w:t>
            </w:r>
            <w:r>
              <w:rPr>
                <w:rFonts w:ascii="宋体" w:hAnsi="宋体" w:cs="宋体" w:eastAsia="宋体" w:hint="default"/>
                <w:sz w:val="24"/>
                <w:szCs w:val="24"/>
              </w:rPr>
              <w:t>年：按净利润的</w:t>
            </w:r>
            <w:r>
              <w:rPr>
                <w:rFonts w:ascii="宋体" w:hAnsi="宋体" w:cs="宋体" w:eastAsia="宋体" w:hint="default"/>
                <w:spacing w:val="-62"/>
                <w:sz w:val="24"/>
                <w:szCs w:val="24"/>
              </w:rPr>
              <w:t> </w:t>
            </w:r>
            <w:r>
              <w:rPr>
                <w:rFonts w:ascii="Arial" w:hAnsi="Arial" w:cs="Arial" w:eastAsia="Arial" w:hint="default"/>
                <w:sz w:val="24"/>
                <w:szCs w:val="24"/>
              </w:rPr>
              <w:t>10%</w:t>
            </w:r>
            <w:r>
              <w:rPr>
                <w:rFonts w:ascii="宋体" w:hAnsi="宋体" w:cs="宋体" w:eastAsia="宋体" w:hint="default"/>
                <w:sz w:val="24"/>
                <w:szCs w:val="24"/>
              </w:rPr>
              <w:t>提取，约人民币</w:t>
            </w:r>
            <w:r>
              <w:rPr>
                <w:rFonts w:ascii="宋体" w:hAnsi="宋体" w:cs="宋体" w:eastAsia="宋体" w:hint="default"/>
                <w:spacing w:val="-62"/>
                <w:sz w:val="24"/>
                <w:szCs w:val="24"/>
              </w:rPr>
              <w:t> </w:t>
            </w:r>
            <w:r>
              <w:rPr>
                <w:rFonts w:ascii="Arial" w:hAnsi="Arial" w:cs="Arial" w:eastAsia="Arial" w:hint="default"/>
                <w:sz w:val="24"/>
                <w:szCs w:val="24"/>
              </w:rPr>
              <w:t>2.61</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228" w:lineRule="auto"/>
        <w:jc w:val="left"/>
        <w:rPr>
          <w:rFonts w:ascii="宋体" w:hAnsi="宋体" w:cs="宋体" w:eastAsia="宋体"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804"/>
        <w:gridCol w:w="2728"/>
        <w:gridCol w:w="1484"/>
        <w:gridCol w:w="1548"/>
        <w:gridCol w:w="1604"/>
        <w:gridCol w:w="1434"/>
      </w:tblGrid>
      <w:tr>
        <w:trPr>
          <w:trHeight w:val="497" w:hRule="exact"/>
        </w:trPr>
        <w:tc>
          <w:tcPr>
            <w:tcW w:w="80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4212"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1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48"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r>
      <w:tr>
        <w:trPr>
          <w:trHeight w:val="745" w:hRule="exact"/>
        </w:trPr>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64" w:right="0"/>
              <w:jc w:val="left"/>
              <w:rPr>
                <w:rFonts w:ascii="Arial" w:hAnsi="Arial" w:cs="Arial" w:eastAsia="Arial" w:hint="default"/>
                <w:sz w:val="24"/>
                <w:szCs w:val="24"/>
              </w:rPr>
            </w:pPr>
            <w:r>
              <w:rPr>
                <w:rFonts w:ascii="Arial"/>
                <w:sz w:val="24"/>
              </w:rPr>
              <w:t>(36)</w:t>
            </w:r>
          </w:p>
        </w:tc>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61" w:right="0"/>
              <w:jc w:val="left"/>
              <w:rPr>
                <w:rFonts w:ascii="黑体" w:hAnsi="黑体" w:cs="黑体" w:eastAsia="黑体" w:hint="default"/>
                <w:sz w:val="24"/>
                <w:szCs w:val="24"/>
              </w:rPr>
            </w:pPr>
            <w:r>
              <w:rPr>
                <w:rFonts w:ascii="黑体" w:hAnsi="黑体" w:cs="黑体" w:eastAsia="黑体" w:hint="default"/>
                <w:sz w:val="24"/>
                <w:szCs w:val="24"/>
              </w:rPr>
              <w:t>未分配利润</w:t>
            </w:r>
          </w:p>
        </w:tc>
        <w:tc>
          <w:tcPr>
            <w:tcW w:w="1484"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r>
      <w:tr>
        <w:trPr>
          <w:trHeight w:val="575" w:hRule="exact"/>
        </w:trPr>
        <w:tc>
          <w:tcPr>
            <w:tcW w:w="804" w:type="dxa"/>
            <w:tcBorders>
              <w:top w:val="nil" w:sz="6" w:space="0" w:color="auto"/>
              <w:left w:val="nil" w:sz="6" w:space="0" w:color="auto"/>
              <w:bottom w:val="nil" w:sz="6" w:space="0" w:color="auto"/>
              <w:right w:val="nil" w:sz="6" w:space="0" w:color="auto"/>
            </w:tcBorders>
          </w:tcPr>
          <w:p>
            <w:pPr/>
          </w:p>
        </w:tc>
        <w:tc>
          <w:tcPr>
            <w:tcW w:w="2728" w:type="dxa"/>
            <w:tcBorders>
              <w:top w:val="nil" w:sz="6" w:space="0" w:color="auto"/>
              <w:left w:val="nil" w:sz="6" w:space="0" w:color="auto"/>
              <w:bottom w:val="nil" w:sz="6" w:space="0" w:color="auto"/>
              <w:right w:val="nil" w:sz="6" w:space="0" w:color="auto"/>
            </w:tcBorders>
          </w:tcPr>
          <w:p>
            <w:pPr/>
          </w:p>
        </w:tc>
        <w:tc>
          <w:tcPr>
            <w:tcW w:w="303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79"/>
              <w:ind w:left="972"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8"/>
                <w:sz w:val="24"/>
                <w:szCs w:val="24"/>
              </w:rPr>
              <w:t> </w:t>
            </w:r>
            <w:r>
              <w:rPr>
                <w:rFonts w:ascii="宋体" w:hAnsi="宋体" w:cs="宋体" w:eastAsia="宋体" w:hint="default"/>
                <w:sz w:val="24"/>
                <w:szCs w:val="24"/>
              </w:rPr>
              <w:t>年度</w:t>
            </w:r>
          </w:p>
        </w:tc>
        <w:tc>
          <w:tcPr>
            <w:tcW w:w="303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79"/>
              <w:ind w:left="979"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924" w:hRule="exact"/>
        </w:trPr>
        <w:tc>
          <w:tcPr>
            <w:tcW w:w="804" w:type="dxa"/>
            <w:tcBorders>
              <w:top w:val="nil" w:sz="6" w:space="0" w:color="auto"/>
              <w:left w:val="nil" w:sz="6" w:space="0" w:color="auto"/>
              <w:bottom w:val="nil" w:sz="6" w:space="0" w:color="auto"/>
              <w:right w:val="nil" w:sz="6" w:space="0" w:color="auto"/>
            </w:tcBorders>
          </w:tcPr>
          <w:p>
            <w:pPr/>
          </w:p>
        </w:tc>
        <w:tc>
          <w:tcPr>
            <w:tcW w:w="2728" w:type="dxa"/>
            <w:tcBorders>
              <w:top w:val="nil" w:sz="6" w:space="0" w:color="auto"/>
              <w:left w:val="nil" w:sz="6" w:space="0" w:color="auto"/>
              <w:bottom w:val="nil" w:sz="6" w:space="0" w:color="auto"/>
              <w:right w:val="nil" w:sz="6" w:space="0" w:color="auto"/>
            </w:tcBorders>
          </w:tcPr>
          <w:p>
            <w:pPr/>
          </w:p>
        </w:tc>
        <w:tc>
          <w:tcPr>
            <w:tcW w:w="148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39"/>
              <w:jc w:val="right"/>
              <w:rPr>
                <w:rFonts w:ascii="宋体" w:hAnsi="宋体" w:cs="宋体" w:eastAsia="宋体" w:hint="default"/>
                <w:sz w:val="24"/>
                <w:szCs w:val="24"/>
              </w:rPr>
            </w:pPr>
            <w:r>
              <w:rPr>
                <w:rFonts w:ascii="宋体" w:hAnsi="宋体" w:cs="宋体" w:eastAsia="宋体" w:hint="default"/>
                <w:sz w:val="24"/>
                <w:szCs w:val="24"/>
              </w:rPr>
              <w:t>金额</w:t>
            </w:r>
          </w:p>
        </w:tc>
        <w:tc>
          <w:tcPr>
            <w:tcW w:w="1548" w:type="dxa"/>
            <w:tcBorders>
              <w:top w:val="single" w:sz="4" w:space="0" w:color="000000"/>
              <w:left w:val="nil" w:sz="6" w:space="0" w:color="auto"/>
              <w:bottom w:val="nil" w:sz="6" w:space="0" w:color="auto"/>
              <w:right w:val="nil" w:sz="6" w:space="0" w:color="auto"/>
            </w:tcBorders>
          </w:tcPr>
          <w:p>
            <w:pPr>
              <w:pStyle w:val="TableParagraph"/>
              <w:spacing w:line="268" w:lineRule="auto"/>
              <w:ind w:left="547" w:right="38" w:firstLine="240"/>
              <w:jc w:val="left"/>
              <w:rPr>
                <w:rFonts w:ascii="宋体" w:hAnsi="宋体" w:cs="宋体" w:eastAsia="宋体" w:hint="default"/>
                <w:sz w:val="24"/>
                <w:szCs w:val="24"/>
              </w:rPr>
            </w:pPr>
            <w:r>
              <w:rPr>
                <w:rFonts w:ascii="宋体" w:hAnsi="宋体" w:cs="宋体" w:eastAsia="宋体" w:hint="default"/>
                <w:sz w:val="24"/>
                <w:szCs w:val="24"/>
              </w:rPr>
              <w:t>提取或 分配比例</w:t>
            </w:r>
          </w:p>
        </w:tc>
        <w:tc>
          <w:tcPr>
            <w:tcW w:w="160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38"/>
              <w:jc w:val="right"/>
              <w:rPr>
                <w:rFonts w:ascii="宋体" w:hAnsi="宋体" w:cs="宋体" w:eastAsia="宋体" w:hint="default"/>
                <w:sz w:val="24"/>
                <w:szCs w:val="24"/>
              </w:rPr>
            </w:pPr>
            <w:r>
              <w:rPr>
                <w:rFonts w:ascii="宋体" w:hAnsi="宋体" w:cs="宋体" w:eastAsia="宋体" w:hint="default"/>
                <w:sz w:val="24"/>
                <w:szCs w:val="24"/>
              </w:rPr>
              <w:t>金额</w:t>
            </w:r>
          </w:p>
        </w:tc>
        <w:tc>
          <w:tcPr>
            <w:tcW w:w="1434" w:type="dxa"/>
            <w:tcBorders>
              <w:top w:val="single" w:sz="4" w:space="0" w:color="000000"/>
              <w:left w:val="nil" w:sz="6" w:space="0" w:color="auto"/>
              <w:bottom w:val="nil" w:sz="6" w:space="0" w:color="auto"/>
              <w:right w:val="nil" w:sz="6" w:space="0" w:color="auto"/>
            </w:tcBorders>
          </w:tcPr>
          <w:p>
            <w:pPr>
              <w:pStyle w:val="TableParagraph"/>
              <w:spacing w:line="268" w:lineRule="auto"/>
              <w:ind w:left="420" w:right="52" w:firstLine="240"/>
              <w:jc w:val="left"/>
              <w:rPr>
                <w:rFonts w:ascii="宋体" w:hAnsi="宋体" w:cs="宋体" w:eastAsia="宋体" w:hint="default"/>
                <w:sz w:val="24"/>
                <w:szCs w:val="24"/>
              </w:rPr>
            </w:pPr>
            <w:r>
              <w:rPr>
                <w:rFonts w:ascii="宋体" w:hAnsi="宋体" w:cs="宋体" w:eastAsia="宋体" w:hint="default"/>
                <w:sz w:val="24"/>
                <w:szCs w:val="24"/>
              </w:rPr>
              <w:t>提取或 分配比例</w:t>
            </w:r>
          </w:p>
        </w:tc>
      </w:tr>
      <w:tr>
        <w:trPr>
          <w:trHeight w:val="585" w:hRule="exact"/>
        </w:trPr>
        <w:tc>
          <w:tcPr>
            <w:tcW w:w="804" w:type="dxa"/>
            <w:tcBorders>
              <w:top w:val="nil" w:sz="6" w:space="0" w:color="auto"/>
              <w:left w:val="nil" w:sz="6" w:space="0" w:color="auto"/>
              <w:bottom w:val="nil" w:sz="6" w:space="0" w:color="auto"/>
              <w:right w:val="nil" w:sz="6" w:space="0" w:color="auto"/>
            </w:tcBorders>
          </w:tcPr>
          <w:p>
            <w:pPr/>
          </w:p>
        </w:tc>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96" w:right="0"/>
              <w:jc w:val="left"/>
              <w:rPr>
                <w:rFonts w:ascii="宋体" w:hAnsi="宋体" w:cs="宋体" w:eastAsia="宋体" w:hint="default"/>
                <w:sz w:val="24"/>
                <w:szCs w:val="24"/>
              </w:rPr>
            </w:pPr>
            <w:r>
              <w:rPr>
                <w:rFonts w:ascii="宋体" w:hAnsi="宋体" w:cs="宋体" w:eastAsia="宋体" w:hint="default"/>
                <w:sz w:val="24"/>
                <w:szCs w:val="24"/>
              </w:rPr>
              <w:t>年初未分配利润</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Arial" w:hAnsi="Arial" w:cs="Arial" w:eastAsia="Arial" w:hint="default"/>
                <w:sz w:val="24"/>
                <w:szCs w:val="24"/>
              </w:rPr>
            </w:pPr>
            <w:r>
              <w:rPr>
                <w:rFonts w:ascii="Arial"/>
                <w:sz w:val="24"/>
              </w:rPr>
              <w:t>13,793,238</w:t>
            </w:r>
          </w:p>
        </w:tc>
        <w:tc>
          <w:tcPr>
            <w:tcW w:w="1548"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1"/>
              <w:jc w:val="right"/>
              <w:rPr>
                <w:rFonts w:ascii="Arial" w:hAnsi="Arial" w:cs="Arial" w:eastAsia="Arial" w:hint="default"/>
                <w:sz w:val="24"/>
                <w:szCs w:val="24"/>
              </w:rPr>
            </w:pPr>
            <w:r>
              <w:rPr>
                <w:rFonts w:ascii="Arial"/>
                <w:spacing w:val="-1"/>
                <w:sz w:val="24"/>
              </w:rPr>
              <w:t>9,932,866</w:t>
            </w:r>
          </w:p>
        </w:tc>
        <w:tc>
          <w:tcPr>
            <w:tcW w:w="1434" w:type="dxa"/>
            <w:tcBorders>
              <w:top w:val="nil" w:sz="6" w:space="0" w:color="auto"/>
              <w:left w:val="nil" w:sz="6" w:space="0" w:color="auto"/>
              <w:bottom w:val="nil" w:sz="6" w:space="0" w:color="auto"/>
              <w:right w:val="nil" w:sz="6" w:space="0" w:color="auto"/>
            </w:tcBorders>
          </w:tcPr>
          <w:p>
            <w:pPr/>
          </w:p>
        </w:tc>
      </w:tr>
      <w:tr>
        <w:trPr>
          <w:trHeight w:val="702" w:hRule="exact"/>
        </w:trPr>
        <w:tc>
          <w:tcPr>
            <w:tcW w:w="804" w:type="dxa"/>
            <w:tcBorders>
              <w:top w:val="nil" w:sz="6" w:space="0" w:color="auto"/>
              <w:left w:val="nil" w:sz="6" w:space="0" w:color="auto"/>
              <w:bottom w:val="nil" w:sz="6" w:space="0" w:color="auto"/>
              <w:right w:val="nil" w:sz="6" w:space="0" w:color="auto"/>
            </w:tcBorders>
          </w:tcPr>
          <w:p>
            <w:pPr/>
          </w:p>
        </w:tc>
        <w:tc>
          <w:tcPr>
            <w:tcW w:w="2728" w:type="dxa"/>
            <w:tcBorders>
              <w:top w:val="nil" w:sz="6" w:space="0" w:color="auto"/>
              <w:left w:val="nil" w:sz="6" w:space="0" w:color="auto"/>
              <w:bottom w:val="nil" w:sz="6" w:space="0" w:color="auto"/>
              <w:right w:val="nil" w:sz="6" w:space="0" w:color="auto"/>
            </w:tcBorders>
          </w:tcPr>
          <w:p>
            <w:pPr>
              <w:pStyle w:val="TableParagraph"/>
              <w:spacing w:line="310" w:lineRule="exact" w:before="19"/>
              <w:ind w:left="612" w:right="41" w:hanging="516"/>
              <w:jc w:val="left"/>
              <w:rPr>
                <w:rFonts w:ascii="宋体" w:hAnsi="宋体" w:cs="宋体" w:eastAsia="宋体" w:hint="default"/>
                <w:sz w:val="24"/>
                <w:szCs w:val="24"/>
              </w:rPr>
            </w:pPr>
            <w:r>
              <w:rPr>
                <w:rFonts w:ascii="宋体" w:hAnsi="宋体" w:cs="宋体" w:eastAsia="宋体" w:hint="default"/>
                <w:spacing w:val="-5"/>
                <w:sz w:val="24"/>
                <w:szCs w:val="24"/>
              </w:rPr>
              <w:t>加：本年归属于本公司股</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东的净利润</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left="316" w:right="0"/>
              <w:jc w:val="left"/>
              <w:rPr>
                <w:rFonts w:ascii="Arial" w:hAnsi="Arial" w:cs="Arial" w:eastAsia="Arial" w:hint="default"/>
                <w:sz w:val="24"/>
                <w:szCs w:val="24"/>
              </w:rPr>
            </w:pPr>
            <w:r>
              <w:rPr>
                <w:rFonts w:ascii="Arial"/>
                <w:spacing w:val="-3"/>
                <w:sz w:val="24"/>
              </w:rPr>
              <w:t>2,676,119</w:t>
            </w:r>
          </w:p>
        </w:tc>
        <w:tc>
          <w:tcPr>
            <w:tcW w:w="1548"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right="111"/>
              <w:jc w:val="right"/>
              <w:rPr>
                <w:rFonts w:ascii="Arial" w:hAnsi="Arial" w:cs="Arial" w:eastAsia="Arial" w:hint="default"/>
                <w:sz w:val="24"/>
                <w:szCs w:val="24"/>
              </w:rPr>
            </w:pPr>
            <w:r>
              <w:rPr>
                <w:rFonts w:ascii="Arial"/>
                <w:spacing w:val="-1"/>
                <w:sz w:val="24"/>
              </w:rPr>
              <w:t>4,820,594</w:t>
            </w:r>
          </w:p>
        </w:tc>
        <w:tc>
          <w:tcPr>
            <w:tcW w:w="1434" w:type="dxa"/>
            <w:tcBorders>
              <w:top w:val="nil" w:sz="6" w:space="0" w:color="auto"/>
              <w:left w:val="nil" w:sz="6" w:space="0" w:color="auto"/>
              <w:bottom w:val="nil" w:sz="6" w:space="0" w:color="auto"/>
              <w:right w:val="nil" w:sz="6" w:space="0" w:color="auto"/>
            </w:tcBorders>
          </w:tcPr>
          <w:p>
            <w:pPr/>
          </w:p>
        </w:tc>
      </w:tr>
      <w:tr>
        <w:trPr>
          <w:trHeight w:val="391" w:hRule="exact"/>
        </w:trPr>
        <w:tc>
          <w:tcPr>
            <w:tcW w:w="804" w:type="dxa"/>
            <w:tcBorders>
              <w:top w:val="nil" w:sz="6" w:space="0" w:color="auto"/>
              <w:left w:val="nil" w:sz="6" w:space="0" w:color="auto"/>
              <w:bottom w:val="nil" w:sz="6" w:space="0" w:color="auto"/>
              <w:right w:val="nil" w:sz="6" w:space="0" w:color="auto"/>
            </w:tcBorders>
          </w:tcPr>
          <w:p>
            <w:pPr/>
          </w:p>
        </w:tc>
        <w:tc>
          <w:tcPr>
            <w:tcW w:w="2728" w:type="dxa"/>
            <w:tcBorders>
              <w:top w:val="nil" w:sz="6" w:space="0" w:color="auto"/>
              <w:left w:val="nil" w:sz="6" w:space="0" w:color="auto"/>
              <w:bottom w:val="nil" w:sz="6" w:space="0" w:color="auto"/>
              <w:right w:val="nil" w:sz="6" w:space="0" w:color="auto"/>
            </w:tcBorders>
          </w:tcPr>
          <w:p>
            <w:pPr>
              <w:pStyle w:val="TableParagraph"/>
              <w:spacing w:line="303" w:lineRule="exact"/>
              <w:ind w:left="96" w:right="0"/>
              <w:jc w:val="left"/>
              <w:rPr>
                <w:rFonts w:ascii="宋体" w:hAnsi="宋体" w:cs="宋体" w:eastAsia="宋体" w:hint="default"/>
                <w:sz w:val="24"/>
                <w:szCs w:val="24"/>
              </w:rPr>
            </w:pPr>
            <w:r>
              <w:rPr>
                <w:rFonts w:ascii="宋体" w:hAnsi="宋体" w:cs="宋体" w:eastAsia="宋体" w:hint="default"/>
                <w:sz w:val="24"/>
                <w:szCs w:val="24"/>
              </w:rPr>
              <w:t>减：提取法定盈余公积</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9"/>
              <w:jc w:val="right"/>
              <w:rPr>
                <w:rFonts w:ascii="Arial" w:hAnsi="Arial" w:cs="Arial" w:eastAsia="Arial" w:hint="default"/>
                <w:sz w:val="24"/>
                <w:szCs w:val="24"/>
              </w:rPr>
            </w:pPr>
            <w:r>
              <w:rPr>
                <w:rFonts w:ascii="Arial"/>
                <w:spacing w:val="-1"/>
                <w:sz w:val="24"/>
              </w:rPr>
              <w:t>(147,736)</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27" w:right="0"/>
              <w:jc w:val="left"/>
              <w:rPr>
                <w:rFonts w:ascii="Arial" w:hAnsi="Arial" w:cs="Arial" w:eastAsia="Arial" w:hint="default"/>
                <w:sz w:val="24"/>
                <w:szCs w:val="24"/>
              </w:rPr>
            </w:pPr>
            <w:r>
              <w:rPr>
                <w:rFonts w:ascii="Arial"/>
                <w:sz w:val="24"/>
              </w:rPr>
              <w:t>10%</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2"/>
              <w:jc w:val="right"/>
              <w:rPr>
                <w:rFonts w:ascii="Arial" w:hAnsi="Arial" w:cs="Arial" w:eastAsia="Arial" w:hint="default"/>
                <w:sz w:val="24"/>
                <w:szCs w:val="24"/>
              </w:rPr>
            </w:pPr>
            <w:r>
              <w:rPr>
                <w:rFonts w:ascii="Arial"/>
                <w:spacing w:val="-1"/>
                <w:sz w:val="24"/>
              </w:rPr>
              <w:t>(260,601)</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900" w:right="0"/>
              <w:jc w:val="left"/>
              <w:rPr>
                <w:rFonts w:ascii="Arial" w:hAnsi="Arial" w:cs="Arial" w:eastAsia="Arial" w:hint="default"/>
                <w:sz w:val="24"/>
                <w:szCs w:val="24"/>
              </w:rPr>
            </w:pPr>
            <w:r>
              <w:rPr>
                <w:rFonts w:ascii="Arial"/>
                <w:sz w:val="24"/>
              </w:rPr>
              <w:t>10%</w:t>
            </w:r>
          </w:p>
        </w:tc>
      </w:tr>
      <w:tr>
        <w:trPr>
          <w:trHeight w:val="737" w:hRule="exact"/>
        </w:trPr>
        <w:tc>
          <w:tcPr>
            <w:tcW w:w="804" w:type="dxa"/>
            <w:tcBorders>
              <w:top w:val="nil" w:sz="6" w:space="0" w:color="auto"/>
              <w:left w:val="nil" w:sz="6" w:space="0" w:color="auto"/>
              <w:bottom w:val="nil" w:sz="6" w:space="0" w:color="auto"/>
              <w:right w:val="nil" w:sz="6" w:space="0" w:color="auto"/>
            </w:tcBorders>
          </w:tcPr>
          <w:p>
            <w:pPr/>
          </w:p>
        </w:tc>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564" w:right="0"/>
              <w:jc w:val="left"/>
              <w:rPr>
                <w:rFonts w:ascii="宋体" w:hAnsi="宋体" w:cs="宋体" w:eastAsia="宋体" w:hint="default"/>
                <w:sz w:val="24"/>
                <w:szCs w:val="24"/>
              </w:rPr>
            </w:pPr>
            <w:r>
              <w:rPr>
                <w:rFonts w:ascii="宋体" w:hAnsi="宋体" w:cs="宋体" w:eastAsia="宋体" w:hint="default"/>
                <w:sz w:val="24"/>
                <w:szCs w:val="24"/>
              </w:rPr>
              <w:t>应付普通股股利</w:t>
            </w:r>
          </w:p>
        </w:tc>
        <w:tc>
          <w:tcPr>
            <w:tcW w:w="1484"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5"/>
                <w:szCs w:val="35"/>
              </w:rPr>
            </w:pPr>
          </w:p>
          <w:p>
            <w:pPr>
              <w:pStyle w:val="TableParagraph"/>
              <w:spacing w:line="240" w:lineRule="auto"/>
              <w:ind w:right="15"/>
              <w:jc w:val="right"/>
              <w:rPr>
                <w:rFonts w:ascii="Arial" w:hAnsi="Arial" w:cs="Arial" w:eastAsia="Arial" w:hint="default"/>
                <w:sz w:val="24"/>
                <w:szCs w:val="24"/>
              </w:rPr>
            </w:pPr>
            <w:r>
              <w:rPr>
                <w:rFonts w:ascii="Arial"/>
                <w:spacing w:val="-1"/>
                <w:sz w:val="24"/>
              </w:rPr>
              <w:t>(1,049,432)</w:t>
            </w:r>
          </w:p>
        </w:tc>
        <w:tc>
          <w:tcPr>
            <w:tcW w:w="1548" w:type="dxa"/>
            <w:tcBorders>
              <w:top w:val="nil" w:sz="6" w:space="0" w:color="auto"/>
              <w:left w:val="nil" w:sz="6" w:space="0" w:color="auto"/>
              <w:bottom w:val="nil" w:sz="6" w:space="0" w:color="auto"/>
              <w:right w:val="nil" w:sz="6" w:space="0" w:color="auto"/>
            </w:tcBorders>
          </w:tcPr>
          <w:p>
            <w:pPr>
              <w:pStyle w:val="TableParagraph"/>
              <w:spacing w:line="320" w:lineRule="exact"/>
              <w:ind w:left="575" w:right="0"/>
              <w:jc w:val="left"/>
              <w:rPr>
                <w:rFonts w:ascii="宋体" w:hAnsi="宋体" w:cs="宋体" w:eastAsia="宋体" w:hint="default"/>
                <w:sz w:val="24"/>
                <w:szCs w:val="24"/>
              </w:rPr>
            </w:pPr>
            <w:r>
              <w:rPr>
                <w:rFonts w:ascii="宋体" w:hAnsi="宋体" w:cs="宋体" w:eastAsia="宋体" w:hint="default"/>
                <w:sz w:val="24"/>
                <w:szCs w:val="24"/>
              </w:rPr>
              <w:t>每</w:t>
            </w:r>
            <w:r>
              <w:rPr>
                <w:rFonts w:ascii="宋体" w:hAnsi="宋体" w:cs="宋体" w:eastAsia="宋体" w:hint="default"/>
                <w:spacing w:val="-61"/>
                <w:sz w:val="24"/>
                <w:szCs w:val="24"/>
              </w:rPr>
              <w:t> </w:t>
            </w:r>
            <w:r>
              <w:rPr>
                <w:rFonts w:ascii="Arial" w:hAnsi="Arial" w:cs="Arial" w:eastAsia="Arial" w:hint="default"/>
                <w:sz w:val="24"/>
                <w:szCs w:val="24"/>
              </w:rPr>
              <w:t>10</w:t>
            </w:r>
            <w:r>
              <w:rPr>
                <w:rFonts w:ascii="Arial" w:hAnsi="Arial" w:cs="Arial" w:eastAsia="Arial" w:hint="default"/>
                <w:spacing w:val="-7"/>
                <w:sz w:val="24"/>
                <w:szCs w:val="24"/>
              </w:rPr>
              <w:t> </w:t>
            </w:r>
            <w:r>
              <w:rPr>
                <w:rFonts w:ascii="宋体" w:hAnsi="宋体" w:cs="宋体" w:eastAsia="宋体" w:hint="default"/>
                <w:sz w:val="24"/>
                <w:szCs w:val="24"/>
              </w:rPr>
              <w:t>股</w:t>
            </w:r>
          </w:p>
          <w:p>
            <w:pPr>
              <w:pStyle w:val="TableParagraph"/>
              <w:spacing w:line="240" w:lineRule="auto" w:before="19"/>
              <w:ind w:left="31" w:right="0"/>
              <w:jc w:val="left"/>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3"/>
                <w:sz w:val="24"/>
                <w:szCs w:val="24"/>
              </w:rPr>
              <w:t> </w:t>
            </w:r>
            <w:r>
              <w:rPr>
                <w:rFonts w:ascii="Arial" w:hAnsi="Arial" w:cs="Arial" w:eastAsia="Arial" w:hint="default"/>
                <w:sz w:val="24"/>
                <w:szCs w:val="24"/>
              </w:rPr>
              <w:t>1.5</w:t>
            </w:r>
            <w:r>
              <w:rPr>
                <w:rFonts w:ascii="Arial" w:hAnsi="Arial" w:cs="Arial" w:eastAsia="Arial" w:hint="default"/>
                <w:spacing w:val="-8"/>
                <w:sz w:val="24"/>
                <w:szCs w:val="24"/>
              </w:rPr>
              <w:t> </w:t>
            </w:r>
            <w:r>
              <w:rPr>
                <w:rFonts w:ascii="宋体" w:hAnsi="宋体" w:cs="宋体" w:eastAsia="宋体" w:hint="default"/>
                <w:sz w:val="24"/>
                <w:szCs w:val="24"/>
              </w:rPr>
              <w:t>元</w:t>
            </w:r>
          </w:p>
        </w:tc>
        <w:tc>
          <w:tcPr>
            <w:tcW w:w="1604"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5"/>
                <w:szCs w:val="35"/>
              </w:rPr>
            </w:pPr>
          </w:p>
          <w:p>
            <w:pPr>
              <w:pStyle w:val="TableParagraph"/>
              <w:spacing w:line="240" w:lineRule="auto"/>
              <w:ind w:right="13"/>
              <w:jc w:val="right"/>
              <w:rPr>
                <w:rFonts w:ascii="Arial" w:hAnsi="Arial" w:cs="Arial" w:eastAsia="Arial" w:hint="default"/>
                <w:sz w:val="24"/>
                <w:szCs w:val="24"/>
              </w:rPr>
            </w:pPr>
            <w:r>
              <w:rPr>
                <w:rFonts w:ascii="Arial"/>
                <w:sz w:val="24"/>
              </w:rPr>
              <w:t>(699,621)</w:t>
            </w:r>
          </w:p>
        </w:tc>
        <w:tc>
          <w:tcPr>
            <w:tcW w:w="1434" w:type="dxa"/>
            <w:tcBorders>
              <w:top w:val="nil" w:sz="6" w:space="0" w:color="auto"/>
              <w:left w:val="nil" w:sz="6" w:space="0" w:color="auto"/>
              <w:bottom w:val="nil" w:sz="6" w:space="0" w:color="auto"/>
              <w:right w:val="nil" w:sz="6" w:space="0" w:color="auto"/>
            </w:tcBorders>
          </w:tcPr>
          <w:p>
            <w:pPr>
              <w:pStyle w:val="TableParagraph"/>
              <w:spacing w:line="254" w:lineRule="auto"/>
              <w:ind w:left="45" w:right="49" w:firstLine="468"/>
              <w:jc w:val="left"/>
              <w:rPr>
                <w:rFonts w:ascii="宋体" w:hAnsi="宋体" w:cs="宋体" w:eastAsia="宋体" w:hint="default"/>
                <w:sz w:val="24"/>
                <w:szCs w:val="24"/>
              </w:rPr>
            </w:pPr>
            <w:r>
              <w:rPr>
                <w:rFonts w:ascii="宋体" w:hAnsi="宋体" w:cs="宋体" w:eastAsia="宋体" w:hint="default"/>
                <w:sz w:val="24"/>
                <w:szCs w:val="24"/>
              </w:rPr>
              <w:t>每</w:t>
            </w:r>
            <w:r>
              <w:rPr>
                <w:rFonts w:ascii="宋体" w:hAnsi="宋体" w:cs="宋体" w:eastAsia="宋体" w:hint="default"/>
                <w:spacing w:val="-61"/>
                <w:sz w:val="24"/>
                <w:szCs w:val="24"/>
              </w:rPr>
              <w:t> </w:t>
            </w:r>
            <w:r>
              <w:rPr>
                <w:rFonts w:ascii="Arial" w:hAnsi="Arial" w:cs="Arial" w:eastAsia="Arial" w:hint="default"/>
                <w:sz w:val="24"/>
                <w:szCs w:val="24"/>
              </w:rPr>
              <w:t>10</w:t>
            </w:r>
            <w:r>
              <w:rPr>
                <w:rFonts w:ascii="Arial" w:hAnsi="Arial" w:cs="Arial" w:eastAsia="Arial" w:hint="default"/>
                <w:spacing w:val="-7"/>
                <w:sz w:val="24"/>
                <w:szCs w:val="24"/>
              </w:rPr>
              <w:t> </w:t>
            </w:r>
            <w:r>
              <w:rPr>
                <w:rFonts w:ascii="宋体" w:hAnsi="宋体" w:cs="宋体" w:eastAsia="宋体" w:hint="default"/>
                <w:sz w:val="24"/>
                <w:szCs w:val="24"/>
              </w:rPr>
              <w:t>股 人 民币</w:t>
            </w:r>
            <w:r>
              <w:rPr>
                <w:rFonts w:ascii="宋体" w:hAnsi="宋体" w:cs="宋体" w:eastAsia="宋体" w:hint="default"/>
                <w:spacing w:val="-60"/>
                <w:sz w:val="24"/>
                <w:szCs w:val="24"/>
              </w:rPr>
              <w:t> </w:t>
            </w:r>
            <w:r>
              <w:rPr>
                <w:rFonts w:ascii="Arial" w:hAnsi="Arial" w:cs="Arial" w:eastAsia="Arial" w:hint="default"/>
                <w:sz w:val="24"/>
                <w:szCs w:val="24"/>
              </w:rPr>
              <w:t>1</w:t>
            </w:r>
            <w:r>
              <w:rPr>
                <w:rFonts w:ascii="Arial" w:hAnsi="Arial" w:cs="Arial" w:eastAsia="Arial" w:hint="default"/>
                <w:spacing w:val="-6"/>
                <w:sz w:val="24"/>
                <w:szCs w:val="24"/>
              </w:rPr>
              <w:t> </w:t>
            </w:r>
            <w:r>
              <w:rPr>
                <w:rFonts w:ascii="宋体" w:hAnsi="宋体" w:cs="宋体" w:eastAsia="宋体" w:hint="default"/>
                <w:sz w:val="24"/>
                <w:szCs w:val="24"/>
              </w:rPr>
              <w:t>元</w:t>
            </w:r>
          </w:p>
        </w:tc>
      </w:tr>
      <w:tr>
        <w:trPr>
          <w:trHeight w:val="413" w:hRule="exact"/>
        </w:trPr>
        <w:tc>
          <w:tcPr>
            <w:tcW w:w="804" w:type="dxa"/>
            <w:tcBorders>
              <w:top w:val="nil" w:sz="6" w:space="0" w:color="auto"/>
              <w:left w:val="nil" w:sz="6" w:space="0" w:color="auto"/>
              <w:bottom w:val="nil" w:sz="6" w:space="0" w:color="auto"/>
              <w:right w:val="nil" w:sz="6" w:space="0" w:color="auto"/>
            </w:tcBorders>
          </w:tcPr>
          <w:p>
            <w:pPr/>
          </w:p>
        </w:tc>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7"/>
              <w:ind w:left="96" w:right="0"/>
              <w:jc w:val="left"/>
              <w:rPr>
                <w:rFonts w:ascii="宋体" w:hAnsi="宋体" w:cs="宋体" w:eastAsia="宋体" w:hint="default"/>
                <w:sz w:val="24"/>
                <w:szCs w:val="24"/>
              </w:rPr>
            </w:pPr>
            <w:r>
              <w:rPr>
                <w:rFonts w:ascii="宋体" w:hAnsi="宋体" w:cs="宋体" w:eastAsia="宋体" w:hint="default"/>
                <w:sz w:val="24"/>
                <w:szCs w:val="24"/>
              </w:rPr>
              <w:t>年末未分配利润</w:t>
            </w:r>
          </w:p>
        </w:tc>
        <w:tc>
          <w:tcPr>
            <w:tcW w:w="1484" w:type="dxa"/>
            <w:tcBorders>
              <w:top w:val="single" w:sz="6" w:space="0" w:color="000000"/>
              <w:left w:val="nil" w:sz="6" w:space="0" w:color="auto"/>
              <w:bottom w:val="single" w:sz="12" w:space="0" w:color="000000"/>
              <w:right w:val="nil" w:sz="6" w:space="0" w:color="auto"/>
            </w:tcBorders>
          </w:tcPr>
          <w:p>
            <w:pPr>
              <w:pStyle w:val="TableParagraph"/>
              <w:spacing w:line="240" w:lineRule="auto" w:before="72"/>
              <w:ind w:right="87"/>
              <w:jc w:val="right"/>
              <w:rPr>
                <w:rFonts w:ascii="Arial" w:hAnsi="Arial" w:cs="Arial" w:eastAsia="Arial" w:hint="default"/>
                <w:sz w:val="24"/>
                <w:szCs w:val="24"/>
              </w:rPr>
            </w:pPr>
            <w:r>
              <w:rPr>
                <w:rFonts w:ascii="Arial"/>
                <w:spacing w:val="-1"/>
                <w:sz w:val="24"/>
              </w:rPr>
              <w:t>15,272,189</w:t>
            </w:r>
          </w:p>
        </w:tc>
        <w:tc>
          <w:tcPr>
            <w:tcW w:w="1548" w:type="dxa"/>
            <w:tcBorders>
              <w:top w:val="nil" w:sz="6" w:space="0" w:color="auto"/>
              <w:left w:val="nil" w:sz="6" w:space="0" w:color="auto"/>
              <w:bottom w:val="nil" w:sz="6" w:space="0" w:color="auto"/>
              <w:right w:val="nil" w:sz="6" w:space="0" w:color="auto"/>
            </w:tcBorders>
          </w:tcPr>
          <w:p>
            <w:pPr/>
          </w:p>
        </w:tc>
        <w:tc>
          <w:tcPr>
            <w:tcW w:w="1604" w:type="dxa"/>
            <w:tcBorders>
              <w:top w:val="single" w:sz="6" w:space="0" w:color="000000"/>
              <w:left w:val="nil" w:sz="6" w:space="0" w:color="auto"/>
              <w:bottom w:val="single" w:sz="12" w:space="0" w:color="000000"/>
              <w:right w:val="nil" w:sz="6" w:space="0" w:color="auto"/>
            </w:tcBorders>
          </w:tcPr>
          <w:p>
            <w:pPr>
              <w:pStyle w:val="TableParagraph"/>
              <w:spacing w:line="240" w:lineRule="auto" w:before="72"/>
              <w:ind w:left="300" w:right="0"/>
              <w:jc w:val="left"/>
              <w:rPr>
                <w:rFonts w:ascii="Arial" w:hAnsi="Arial" w:cs="Arial" w:eastAsia="Arial" w:hint="default"/>
                <w:sz w:val="24"/>
                <w:szCs w:val="24"/>
              </w:rPr>
            </w:pPr>
            <w:r>
              <w:rPr>
                <w:rFonts w:ascii="Arial"/>
                <w:sz w:val="24"/>
              </w:rPr>
              <w:t>13,793,238</w:t>
            </w:r>
          </w:p>
        </w:tc>
        <w:tc>
          <w:tcPr>
            <w:tcW w:w="1434" w:type="dxa"/>
            <w:tcBorders>
              <w:top w:val="nil" w:sz="6" w:space="0" w:color="auto"/>
              <w:left w:val="nil" w:sz="6" w:space="0" w:color="auto"/>
              <w:bottom w:val="nil" w:sz="6" w:space="0" w:color="auto"/>
              <w:right w:val="nil" w:sz="6" w:space="0" w:color="auto"/>
            </w:tcBorders>
          </w:tcPr>
          <w:p>
            <w:pPr/>
          </w:p>
        </w:tc>
      </w:tr>
      <w:tr>
        <w:trPr>
          <w:trHeight w:val="1880" w:hRule="exact"/>
        </w:trPr>
        <w:tc>
          <w:tcPr>
            <w:tcW w:w="804" w:type="dxa"/>
            <w:tcBorders>
              <w:top w:val="nil" w:sz="6" w:space="0" w:color="auto"/>
              <w:left w:val="nil" w:sz="6" w:space="0" w:color="auto"/>
              <w:bottom w:val="nil" w:sz="6" w:space="0" w:color="auto"/>
              <w:right w:val="nil" w:sz="6" w:space="0" w:color="auto"/>
            </w:tcBorders>
          </w:tcPr>
          <w:p>
            <w:pPr/>
          </w:p>
        </w:tc>
        <w:tc>
          <w:tcPr>
            <w:tcW w:w="8797"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320" w:lineRule="exact"/>
              <w:ind w:left="161" w:right="0"/>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w w:val="99"/>
                <w:sz w:val="24"/>
                <w:szCs w:val="24"/>
              </w:rPr>
              <w:t>20</w:t>
            </w:r>
            <w:r>
              <w:rPr>
                <w:rFonts w:ascii="Arial" w:hAnsi="Arial" w:cs="Arial" w:eastAsia="Arial" w:hint="default"/>
                <w:spacing w:val="-2"/>
                <w:w w:val="99"/>
                <w:sz w:val="24"/>
                <w:szCs w:val="24"/>
              </w:rPr>
              <w:t>1</w:t>
            </w:r>
            <w:r>
              <w:rPr>
                <w:rFonts w:ascii="Arial" w:hAnsi="Arial" w:cs="Arial" w:eastAsia="Arial" w:hint="default"/>
                <w:w w:val="99"/>
                <w:sz w:val="24"/>
                <w:szCs w:val="24"/>
              </w:rPr>
              <w:t>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w w:val="99"/>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w w:val="99"/>
                <w:sz w:val="24"/>
                <w:szCs w:val="24"/>
              </w:rPr>
              <w:t>31</w:t>
            </w:r>
            <w:r>
              <w:rPr>
                <w:rFonts w:ascii="Arial" w:hAnsi="Arial" w:cs="Arial" w:eastAsia="Arial" w:hint="default"/>
                <w:spacing w:val="-6"/>
                <w:sz w:val="24"/>
                <w:szCs w:val="24"/>
              </w:rPr>
              <w:t> </w:t>
            </w:r>
            <w:r>
              <w:rPr>
                <w:rFonts w:ascii="宋体" w:hAnsi="宋体" w:cs="宋体" w:eastAsia="宋体" w:hint="default"/>
                <w:spacing w:val="-3"/>
                <w:sz w:val="24"/>
                <w:szCs w:val="24"/>
              </w:rPr>
              <w:t>日</w:t>
            </w:r>
            <w:r>
              <w:rPr>
                <w:rFonts w:ascii="宋体" w:hAnsi="宋体" w:cs="宋体" w:eastAsia="宋体" w:hint="default"/>
                <w:spacing w:val="-113"/>
                <w:sz w:val="24"/>
                <w:szCs w:val="24"/>
              </w:rPr>
              <w:t>，</w:t>
            </w:r>
            <w:r>
              <w:rPr>
                <w:rFonts w:ascii="宋体" w:hAnsi="宋体" w:cs="宋体" w:eastAsia="宋体" w:hint="default"/>
                <w:sz w:val="24"/>
                <w:szCs w:val="24"/>
              </w:rPr>
              <w:t>未分配利润中包含归属于本公司股东的子公司盈余公积余</w:t>
            </w:r>
          </w:p>
          <w:p>
            <w:pPr>
              <w:pStyle w:val="TableParagraph"/>
              <w:spacing w:line="312" w:lineRule="exact" w:before="20"/>
              <w:ind w:left="176" w:right="117"/>
              <w:jc w:val="both"/>
              <w:rPr>
                <w:rFonts w:ascii="宋体" w:hAnsi="宋体" w:cs="宋体" w:eastAsia="宋体" w:hint="default"/>
                <w:sz w:val="24"/>
                <w:szCs w:val="24"/>
              </w:rPr>
            </w:pPr>
            <w:r>
              <w:rPr>
                <w:rFonts w:ascii="宋体" w:hAnsi="宋体" w:cs="宋体" w:eastAsia="宋体" w:hint="default"/>
                <w:sz w:val="24"/>
                <w:szCs w:val="24"/>
              </w:rPr>
              <w:t>额约人民币</w:t>
            </w:r>
            <w:r>
              <w:rPr>
                <w:rFonts w:ascii="宋体" w:hAnsi="宋体" w:cs="宋体" w:eastAsia="宋体" w:hint="default"/>
                <w:spacing w:val="-59"/>
                <w:sz w:val="24"/>
                <w:szCs w:val="24"/>
              </w:rPr>
              <w:t> </w:t>
            </w:r>
            <w:r>
              <w:rPr>
                <w:rFonts w:ascii="Arial" w:hAnsi="Arial" w:cs="Arial" w:eastAsia="Arial" w:hint="default"/>
                <w:spacing w:val="-4"/>
                <w:sz w:val="24"/>
                <w:szCs w:val="24"/>
              </w:rPr>
              <w:t>11.79 </w:t>
            </w:r>
            <w:r>
              <w:rPr>
                <w:rFonts w:ascii="宋体" w:hAnsi="宋体" w:cs="宋体" w:eastAsia="宋体" w:hint="default"/>
                <w:spacing w:val="-4"/>
                <w:sz w:val="24"/>
                <w:szCs w:val="24"/>
              </w:rPr>
              <w:t>亿元</w:t>
            </w:r>
            <w:r>
              <w:rPr>
                <w:rFonts w:ascii="Arial" w:hAnsi="Arial" w:cs="Arial" w:eastAsia="Arial" w:hint="default"/>
                <w:spacing w:val="-4"/>
                <w:sz w:val="24"/>
                <w:szCs w:val="24"/>
              </w:rPr>
              <w:t>(2011</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pacing w:val="-6"/>
                <w:sz w:val="24"/>
                <w:szCs w:val="24"/>
              </w:rPr>
              <w:t>日：约人民币</w:t>
            </w:r>
            <w:r>
              <w:rPr>
                <w:rFonts w:ascii="宋体" w:hAnsi="宋体" w:cs="宋体" w:eastAsia="宋体" w:hint="default"/>
                <w:spacing w:val="-59"/>
                <w:sz w:val="24"/>
                <w:szCs w:val="24"/>
              </w:rPr>
              <w:t> </w:t>
            </w:r>
            <w:r>
              <w:rPr>
                <w:rFonts w:ascii="Arial" w:hAnsi="Arial" w:cs="Arial" w:eastAsia="Arial" w:hint="default"/>
                <w:sz w:val="24"/>
                <w:szCs w:val="24"/>
              </w:rPr>
              <w:t>9.84</w:t>
            </w:r>
            <w:r>
              <w:rPr>
                <w:rFonts w:ascii="Arial" w:hAnsi="Arial" w:cs="Arial" w:eastAsia="Arial" w:hint="default"/>
                <w:spacing w:val="-5"/>
                <w:sz w:val="24"/>
                <w:szCs w:val="24"/>
              </w:rPr>
              <w:t> </w:t>
            </w:r>
            <w:r>
              <w:rPr>
                <w:rFonts w:ascii="宋体" w:hAnsi="宋体" w:cs="宋体" w:eastAsia="宋体" w:hint="default"/>
                <w:spacing w:val="-4"/>
                <w:sz w:val="24"/>
                <w:szCs w:val="24"/>
              </w:rPr>
              <w:t>亿元</w:t>
            </w:r>
            <w:r>
              <w:rPr>
                <w:rFonts w:ascii="Arial" w:hAnsi="Arial" w:cs="Arial" w:eastAsia="Arial" w:hint="default"/>
                <w:spacing w:val="-4"/>
                <w:sz w:val="24"/>
                <w:szCs w:val="24"/>
              </w:rPr>
              <w:t>)</w:t>
            </w:r>
            <w:r>
              <w:rPr>
                <w:rFonts w:ascii="宋体" w:hAnsi="宋体" w:cs="宋体" w:eastAsia="宋体" w:hint="default"/>
                <w:spacing w:val="-4"/>
                <w:sz w:val="24"/>
                <w:szCs w:val="24"/>
              </w:rPr>
              <w:t>，其中子公司本</w:t>
            </w:r>
            <w:r>
              <w:rPr>
                <w:rFonts w:ascii="宋体" w:hAnsi="宋体" w:cs="宋体" w:eastAsia="宋体" w:hint="default"/>
                <w:sz w:val="24"/>
                <w:szCs w:val="24"/>
              </w:rPr>
              <w:t> 年度计提的归属于本公司股东的盈余公积约人民币 </w:t>
            </w:r>
            <w:r>
              <w:rPr>
                <w:rFonts w:ascii="Arial" w:hAnsi="Arial" w:cs="Arial" w:eastAsia="Arial" w:hint="default"/>
                <w:sz w:val="24"/>
                <w:szCs w:val="24"/>
              </w:rPr>
              <w:t>1.95 </w:t>
            </w:r>
            <w:r>
              <w:rPr>
                <w:rFonts w:ascii="宋体" w:hAnsi="宋体" w:cs="宋体" w:eastAsia="宋体" w:hint="default"/>
                <w:spacing w:val="-3"/>
                <w:sz w:val="24"/>
                <w:szCs w:val="24"/>
              </w:rPr>
              <w:t>亿元</w:t>
            </w:r>
            <w:r>
              <w:rPr>
                <w:rFonts w:ascii="Arial" w:hAnsi="Arial" w:cs="Arial" w:eastAsia="Arial" w:hint="default"/>
                <w:spacing w:val="-3"/>
                <w:sz w:val="24"/>
                <w:szCs w:val="24"/>
              </w:rPr>
              <w:t>(2011</w:t>
            </w:r>
            <w:r>
              <w:rPr>
                <w:rFonts w:ascii="Arial" w:hAnsi="Arial" w:cs="Arial" w:eastAsia="Arial" w:hint="default"/>
                <w:spacing w:val="-16"/>
                <w:sz w:val="24"/>
                <w:szCs w:val="24"/>
              </w:rPr>
              <w:t> </w:t>
            </w:r>
            <w:r>
              <w:rPr>
                <w:rFonts w:ascii="宋体" w:hAnsi="宋体" w:cs="宋体" w:eastAsia="宋体" w:hint="default"/>
                <w:sz w:val="24"/>
                <w:szCs w:val="24"/>
              </w:rPr>
              <w:t>年：约人民币 </w:t>
            </w:r>
            <w:r>
              <w:rPr>
                <w:rFonts w:ascii="Arial" w:hAnsi="Arial" w:cs="Arial" w:eastAsia="Arial" w:hint="default"/>
                <w:sz w:val="24"/>
                <w:szCs w:val="24"/>
              </w:rPr>
              <w:t>2.82</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1681" w:hRule="exact"/>
        </w:trPr>
        <w:tc>
          <w:tcPr>
            <w:tcW w:w="804" w:type="dxa"/>
            <w:tcBorders>
              <w:top w:val="nil" w:sz="6" w:space="0" w:color="auto"/>
              <w:left w:val="nil" w:sz="6" w:space="0" w:color="auto"/>
              <w:bottom w:val="nil" w:sz="6" w:space="0" w:color="auto"/>
              <w:right w:val="nil" w:sz="6" w:space="0" w:color="auto"/>
            </w:tcBorders>
          </w:tcPr>
          <w:p>
            <w:pPr/>
          </w:p>
        </w:tc>
        <w:tc>
          <w:tcPr>
            <w:tcW w:w="8797" w:type="dxa"/>
            <w:gridSpan w:val="5"/>
            <w:tcBorders>
              <w:top w:val="nil" w:sz="6" w:space="0" w:color="auto"/>
              <w:left w:val="nil" w:sz="6" w:space="0" w:color="auto"/>
              <w:bottom w:val="nil" w:sz="6" w:space="0" w:color="auto"/>
              <w:right w:val="nil" w:sz="6" w:space="0" w:color="auto"/>
            </w:tcBorders>
          </w:tcPr>
          <w:p>
            <w:pPr>
              <w:pStyle w:val="TableParagraph"/>
              <w:spacing w:line="322" w:lineRule="exact" w:before="173"/>
              <w:ind w:left="161"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73"/>
                <w:sz w:val="24"/>
                <w:szCs w:val="24"/>
              </w:rPr>
              <w:t> </w:t>
            </w:r>
            <w:r>
              <w:rPr>
                <w:rFonts w:ascii="Arial" w:hAnsi="Arial" w:cs="Arial" w:eastAsia="Arial" w:hint="default"/>
                <w:sz w:val="24"/>
                <w:szCs w:val="24"/>
              </w:rPr>
              <w:t>2012</w:t>
            </w:r>
            <w:r>
              <w:rPr>
                <w:rFonts w:ascii="Arial" w:hAnsi="Arial" w:cs="Arial" w:eastAsia="Arial" w:hint="default"/>
                <w:spacing w:val="-19"/>
                <w:sz w:val="24"/>
                <w:szCs w:val="24"/>
              </w:rPr>
              <w:t> </w:t>
            </w:r>
            <w:r>
              <w:rPr>
                <w:rFonts w:ascii="宋体" w:hAnsi="宋体" w:cs="宋体" w:eastAsia="宋体" w:hint="default"/>
                <w:sz w:val="24"/>
                <w:szCs w:val="24"/>
              </w:rPr>
              <w:t>年</w:t>
            </w:r>
            <w:r>
              <w:rPr>
                <w:rFonts w:ascii="宋体" w:hAnsi="宋体" w:cs="宋体" w:eastAsia="宋体" w:hint="default"/>
                <w:spacing w:val="-73"/>
                <w:sz w:val="24"/>
                <w:szCs w:val="24"/>
              </w:rPr>
              <w:t> </w:t>
            </w:r>
            <w:r>
              <w:rPr>
                <w:rFonts w:ascii="Arial" w:hAnsi="Arial" w:cs="Arial" w:eastAsia="Arial" w:hint="default"/>
                <w:sz w:val="24"/>
                <w:szCs w:val="24"/>
              </w:rPr>
              <w:t>5</w:t>
            </w:r>
            <w:r>
              <w:rPr>
                <w:rFonts w:ascii="Arial" w:hAnsi="Arial" w:cs="Arial" w:eastAsia="Arial" w:hint="default"/>
                <w:spacing w:val="-19"/>
                <w:sz w:val="24"/>
                <w:szCs w:val="24"/>
              </w:rPr>
              <w:t> </w:t>
            </w:r>
            <w:r>
              <w:rPr>
                <w:rFonts w:ascii="宋体" w:hAnsi="宋体" w:cs="宋体" w:eastAsia="宋体" w:hint="default"/>
                <w:sz w:val="24"/>
                <w:szCs w:val="24"/>
              </w:rPr>
              <w:t>月</w:t>
            </w:r>
            <w:r>
              <w:rPr>
                <w:rFonts w:ascii="宋体" w:hAnsi="宋体" w:cs="宋体" w:eastAsia="宋体" w:hint="default"/>
                <w:spacing w:val="-73"/>
                <w:sz w:val="24"/>
                <w:szCs w:val="24"/>
              </w:rPr>
              <w:t> </w:t>
            </w:r>
            <w:r>
              <w:rPr>
                <w:rFonts w:ascii="Arial" w:hAnsi="Arial" w:cs="Arial" w:eastAsia="Arial" w:hint="default"/>
                <w:sz w:val="24"/>
                <w:szCs w:val="24"/>
              </w:rPr>
              <w:t>4</w:t>
            </w:r>
            <w:r>
              <w:rPr>
                <w:rFonts w:ascii="Arial" w:hAnsi="Arial" w:cs="Arial" w:eastAsia="Arial" w:hint="default"/>
                <w:spacing w:val="-19"/>
                <w:sz w:val="24"/>
                <w:szCs w:val="24"/>
              </w:rPr>
              <w:t> </w:t>
            </w:r>
            <w:r>
              <w:rPr>
                <w:rFonts w:ascii="宋体" w:hAnsi="宋体" w:cs="宋体" w:eastAsia="宋体" w:hint="default"/>
                <w:sz w:val="24"/>
                <w:szCs w:val="24"/>
              </w:rPr>
              <w:t>日召开的本公司</w:t>
            </w:r>
            <w:r>
              <w:rPr>
                <w:rFonts w:ascii="宋体" w:hAnsi="宋体" w:cs="宋体" w:eastAsia="宋体" w:hint="default"/>
                <w:spacing w:val="-73"/>
                <w:sz w:val="24"/>
                <w:szCs w:val="24"/>
              </w:rPr>
              <w:t> </w:t>
            </w:r>
            <w:r>
              <w:rPr>
                <w:rFonts w:ascii="Arial" w:hAnsi="Arial" w:cs="Arial" w:eastAsia="Arial" w:hint="default"/>
                <w:spacing w:val="-4"/>
                <w:sz w:val="24"/>
                <w:szCs w:val="24"/>
              </w:rPr>
              <w:t>2011</w:t>
            </w:r>
            <w:r>
              <w:rPr>
                <w:rFonts w:ascii="Arial" w:hAnsi="Arial" w:cs="Arial" w:eastAsia="Arial" w:hint="default"/>
                <w:spacing w:val="-18"/>
                <w:sz w:val="24"/>
                <w:szCs w:val="24"/>
              </w:rPr>
              <w:t> </w:t>
            </w:r>
            <w:r>
              <w:rPr>
                <w:rFonts w:ascii="宋体" w:hAnsi="宋体" w:cs="宋体" w:eastAsia="宋体" w:hint="default"/>
                <w:sz w:val="24"/>
                <w:szCs w:val="24"/>
              </w:rPr>
              <w:t>年年度股东大会批准了董事会提议的</w:t>
            </w:r>
            <w:r>
              <w:rPr>
                <w:rFonts w:ascii="宋体" w:hAnsi="宋体" w:cs="宋体" w:eastAsia="宋体" w:hint="default"/>
                <w:spacing w:val="-73"/>
                <w:sz w:val="24"/>
                <w:szCs w:val="24"/>
              </w:rPr>
              <w:t> </w:t>
            </w:r>
            <w:r>
              <w:rPr>
                <w:rFonts w:ascii="Arial" w:hAnsi="Arial" w:cs="Arial" w:eastAsia="Arial" w:hint="default"/>
                <w:spacing w:val="-4"/>
                <w:sz w:val="24"/>
                <w:szCs w:val="24"/>
              </w:rPr>
              <w:t>2011</w:t>
            </w:r>
          </w:p>
          <w:p>
            <w:pPr>
              <w:pStyle w:val="TableParagraph"/>
              <w:spacing w:line="311" w:lineRule="exact"/>
              <w:ind w:left="176" w:right="0"/>
              <w:jc w:val="left"/>
              <w:rPr>
                <w:rFonts w:ascii="宋体" w:hAnsi="宋体" w:cs="宋体" w:eastAsia="宋体" w:hint="default"/>
                <w:sz w:val="24"/>
                <w:szCs w:val="24"/>
              </w:rPr>
            </w:pPr>
            <w:r>
              <w:rPr>
                <w:rFonts w:ascii="宋体" w:hAnsi="宋体" w:cs="宋体" w:eastAsia="宋体" w:hint="default"/>
                <w:spacing w:val="-3"/>
                <w:sz w:val="24"/>
                <w:szCs w:val="24"/>
              </w:rPr>
              <w:t>年度现金股利方案，本公司以当时总股本</w:t>
            </w:r>
            <w:r>
              <w:rPr>
                <w:rFonts w:ascii="宋体" w:hAnsi="宋体" w:cs="宋体" w:eastAsia="宋体" w:hint="default"/>
                <w:spacing w:val="-66"/>
                <w:sz w:val="24"/>
                <w:szCs w:val="24"/>
              </w:rPr>
              <w:t> </w:t>
            </w:r>
            <w:r>
              <w:rPr>
                <w:rFonts w:ascii="Arial" w:hAnsi="Arial" w:cs="Arial" w:eastAsia="Arial" w:hint="default"/>
                <w:sz w:val="24"/>
                <w:szCs w:val="24"/>
              </w:rPr>
              <w:t>6,996,211,866</w:t>
            </w:r>
            <w:r>
              <w:rPr>
                <w:rFonts w:ascii="Arial" w:hAnsi="Arial" w:cs="Arial" w:eastAsia="Arial" w:hint="default"/>
                <w:spacing w:val="-12"/>
                <w:sz w:val="24"/>
                <w:szCs w:val="24"/>
              </w:rPr>
              <w:t> </w:t>
            </w:r>
            <w:r>
              <w:rPr>
                <w:rFonts w:ascii="宋体" w:hAnsi="宋体" w:cs="宋体" w:eastAsia="宋体" w:hint="default"/>
                <w:spacing w:val="-5"/>
                <w:sz w:val="24"/>
                <w:szCs w:val="24"/>
              </w:rPr>
              <w:t>股为基数，向全体股东每</w:t>
            </w:r>
          </w:p>
          <w:p>
            <w:pPr>
              <w:pStyle w:val="TableParagraph"/>
              <w:spacing w:line="311" w:lineRule="exact"/>
              <w:ind w:left="176" w:right="0"/>
              <w:jc w:val="left"/>
              <w:rPr>
                <w:rFonts w:ascii="宋体" w:hAnsi="宋体" w:cs="宋体" w:eastAsia="宋体" w:hint="default"/>
                <w:sz w:val="24"/>
                <w:szCs w:val="24"/>
              </w:rPr>
            </w:pPr>
            <w:r>
              <w:rPr>
                <w:rFonts w:ascii="Arial" w:hAnsi="Arial" w:cs="Arial" w:eastAsia="Arial" w:hint="default"/>
                <w:sz w:val="24"/>
                <w:szCs w:val="24"/>
              </w:rPr>
              <w:t>10 </w:t>
            </w:r>
            <w:r>
              <w:rPr>
                <w:rFonts w:ascii="宋体" w:hAnsi="宋体" w:cs="宋体" w:eastAsia="宋体" w:hint="default"/>
                <w:sz w:val="24"/>
                <w:szCs w:val="24"/>
              </w:rPr>
              <w:t>股派发现金股利 </w:t>
            </w:r>
            <w:r>
              <w:rPr>
                <w:rFonts w:ascii="Arial" w:hAnsi="Arial" w:cs="Arial" w:eastAsia="Arial" w:hint="default"/>
                <w:sz w:val="24"/>
                <w:szCs w:val="24"/>
              </w:rPr>
              <w:t>1.5 </w:t>
            </w:r>
            <w:r>
              <w:rPr>
                <w:rFonts w:ascii="宋体" w:hAnsi="宋体" w:cs="宋体" w:eastAsia="宋体" w:hint="default"/>
                <w:sz w:val="24"/>
                <w:szCs w:val="24"/>
              </w:rPr>
              <w:t>元人民币</w:t>
            </w:r>
            <w:r>
              <w:rPr>
                <w:rFonts w:ascii="Arial" w:hAnsi="Arial" w:cs="Arial" w:eastAsia="Arial" w:hint="default"/>
                <w:sz w:val="24"/>
                <w:szCs w:val="24"/>
              </w:rPr>
              <w:t>(</w:t>
            </w:r>
            <w:r>
              <w:rPr>
                <w:rFonts w:ascii="宋体" w:hAnsi="宋体" w:cs="宋体" w:eastAsia="宋体" w:hint="default"/>
                <w:sz w:val="24"/>
                <w:szCs w:val="24"/>
              </w:rPr>
              <w:t>含税</w:t>
            </w:r>
            <w:r>
              <w:rPr>
                <w:rFonts w:ascii="Arial" w:hAnsi="Arial" w:cs="Arial" w:eastAsia="Arial" w:hint="default"/>
                <w:sz w:val="24"/>
                <w:szCs w:val="24"/>
              </w:rPr>
              <w:t>)</w:t>
            </w:r>
            <w:r>
              <w:rPr>
                <w:rFonts w:ascii="宋体" w:hAnsi="宋体" w:cs="宋体" w:eastAsia="宋体" w:hint="default"/>
                <w:sz w:val="24"/>
                <w:szCs w:val="24"/>
              </w:rPr>
              <w:t>，共派发现金股利约人民币 </w:t>
            </w:r>
            <w:r>
              <w:rPr>
                <w:rFonts w:ascii="Arial" w:hAnsi="Arial" w:cs="Arial" w:eastAsia="Arial" w:hint="default"/>
                <w:sz w:val="24"/>
                <w:szCs w:val="24"/>
              </w:rPr>
              <w:t>10.49</w:t>
            </w:r>
            <w:r>
              <w:rPr>
                <w:rFonts w:ascii="Arial" w:hAnsi="Arial" w:cs="Arial" w:eastAsia="Arial" w:hint="default"/>
                <w:spacing w:val="-23"/>
                <w:sz w:val="24"/>
                <w:szCs w:val="24"/>
              </w:rPr>
              <w:t> </w:t>
            </w:r>
            <w:r>
              <w:rPr>
                <w:rFonts w:ascii="宋体" w:hAnsi="宋体" w:cs="宋体" w:eastAsia="宋体" w:hint="default"/>
                <w:sz w:val="24"/>
                <w:szCs w:val="24"/>
              </w:rPr>
              <w:t>亿元。</w:t>
            </w:r>
          </w:p>
          <w:p>
            <w:pPr>
              <w:pStyle w:val="TableParagraph"/>
              <w:spacing w:line="322" w:lineRule="exact"/>
              <w:ind w:left="176"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z w:val="24"/>
                <w:szCs w:val="24"/>
              </w:rPr>
              <w:t>2012</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日，现金股利派发完成。</w:t>
            </w:r>
          </w:p>
        </w:tc>
      </w:tr>
      <w:tr>
        <w:trPr>
          <w:trHeight w:val="1789" w:hRule="exact"/>
        </w:trPr>
        <w:tc>
          <w:tcPr>
            <w:tcW w:w="804" w:type="dxa"/>
            <w:tcBorders>
              <w:top w:val="nil" w:sz="6" w:space="0" w:color="auto"/>
              <w:left w:val="nil" w:sz="6" w:space="0" w:color="auto"/>
              <w:bottom w:val="nil" w:sz="6" w:space="0" w:color="auto"/>
              <w:right w:val="nil" w:sz="6" w:space="0" w:color="auto"/>
            </w:tcBorders>
          </w:tcPr>
          <w:p>
            <w:pPr/>
          </w:p>
        </w:tc>
        <w:tc>
          <w:tcPr>
            <w:tcW w:w="8797" w:type="dxa"/>
            <w:gridSpan w:val="5"/>
            <w:tcBorders>
              <w:top w:val="nil" w:sz="6" w:space="0" w:color="auto"/>
              <w:left w:val="nil" w:sz="6" w:space="0" w:color="auto"/>
              <w:bottom w:val="nil" w:sz="6" w:space="0" w:color="auto"/>
              <w:right w:val="nil" w:sz="6" w:space="0" w:color="auto"/>
            </w:tcBorders>
          </w:tcPr>
          <w:p>
            <w:pPr>
              <w:pStyle w:val="TableParagraph"/>
              <w:spacing w:line="320" w:lineRule="exact" w:before="174"/>
              <w:ind w:left="159" w:right="0"/>
              <w:jc w:val="left"/>
              <w:rPr>
                <w:rFonts w:ascii="宋体" w:hAnsi="宋体" w:cs="宋体" w:eastAsia="宋体" w:hint="default"/>
                <w:sz w:val="24"/>
                <w:szCs w:val="24"/>
              </w:rPr>
            </w:pPr>
            <w:r>
              <w:rPr>
                <w:rFonts w:ascii="宋体" w:hAnsi="宋体" w:cs="宋体" w:eastAsia="宋体" w:hint="default"/>
                <w:sz w:val="24"/>
                <w:szCs w:val="24"/>
              </w:rPr>
              <w:t>根据</w:t>
            </w:r>
            <w:r>
              <w:rPr>
                <w:rFonts w:ascii="宋体" w:hAnsi="宋体" w:cs="宋体" w:eastAsia="宋体" w:hint="default"/>
                <w:spacing w:val="-59"/>
                <w:sz w:val="24"/>
                <w:szCs w:val="24"/>
              </w:rPr>
              <w:t> </w:t>
            </w:r>
            <w:r>
              <w:rPr>
                <w:rFonts w:ascii="Arial" w:hAnsi="Arial" w:cs="Arial" w:eastAsia="Arial" w:hint="default"/>
                <w:sz w:val="24"/>
                <w:szCs w:val="24"/>
              </w:rPr>
              <w:t>2013</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3</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28</w:t>
            </w:r>
            <w:r>
              <w:rPr>
                <w:rFonts w:ascii="Arial" w:hAnsi="Arial" w:cs="Arial" w:eastAsia="Arial" w:hint="default"/>
                <w:spacing w:val="-8"/>
                <w:sz w:val="24"/>
                <w:szCs w:val="24"/>
              </w:rPr>
              <w:t> </w:t>
            </w:r>
            <w:r>
              <w:rPr>
                <w:rFonts w:ascii="宋体" w:hAnsi="宋体" w:cs="宋体" w:eastAsia="宋体" w:hint="default"/>
                <w:spacing w:val="-4"/>
                <w:sz w:val="24"/>
                <w:szCs w:val="24"/>
              </w:rPr>
              <w:t>日董事会决议，董事会提议本公司向全体股东派发现金股利，</w:t>
            </w:r>
          </w:p>
          <w:p>
            <w:pPr>
              <w:pStyle w:val="TableParagraph"/>
              <w:spacing w:line="311" w:lineRule="exact"/>
              <w:ind w:left="176" w:right="0"/>
              <w:jc w:val="left"/>
              <w:rPr>
                <w:rFonts w:ascii="宋体" w:hAnsi="宋体" w:cs="宋体" w:eastAsia="宋体" w:hint="default"/>
                <w:sz w:val="24"/>
                <w:szCs w:val="24"/>
              </w:rPr>
            </w:pPr>
            <w:r>
              <w:rPr>
                <w:rFonts w:ascii="宋体" w:hAnsi="宋体" w:cs="宋体" w:eastAsia="宋体" w:hint="default"/>
                <w:sz w:val="24"/>
                <w:szCs w:val="24"/>
              </w:rPr>
              <w:t>每</w:t>
            </w:r>
            <w:r>
              <w:rPr>
                <w:rFonts w:ascii="宋体" w:hAnsi="宋体" w:cs="宋体" w:eastAsia="宋体" w:hint="default"/>
                <w:spacing w:val="-48"/>
                <w:sz w:val="24"/>
                <w:szCs w:val="24"/>
              </w:rPr>
              <w:t> </w:t>
            </w:r>
            <w:r>
              <w:rPr>
                <w:rFonts w:ascii="Arial" w:hAnsi="Arial" w:cs="Arial" w:eastAsia="Arial" w:hint="default"/>
                <w:sz w:val="24"/>
                <w:szCs w:val="24"/>
              </w:rPr>
              <w:t>10</w:t>
            </w:r>
            <w:r>
              <w:rPr>
                <w:rFonts w:ascii="Arial" w:hAnsi="Arial" w:cs="Arial" w:eastAsia="Arial" w:hint="default"/>
                <w:spacing w:val="6"/>
                <w:sz w:val="24"/>
                <w:szCs w:val="24"/>
              </w:rPr>
              <w:t> </w:t>
            </w:r>
            <w:r>
              <w:rPr>
                <w:rFonts w:ascii="宋体" w:hAnsi="宋体" w:cs="宋体" w:eastAsia="宋体" w:hint="default"/>
                <w:sz w:val="24"/>
                <w:szCs w:val="24"/>
              </w:rPr>
              <w:t>股派发现金股利</w:t>
            </w:r>
            <w:r>
              <w:rPr>
                <w:rFonts w:ascii="宋体" w:hAnsi="宋体" w:cs="宋体" w:eastAsia="宋体" w:hint="default"/>
                <w:spacing w:val="-50"/>
                <w:sz w:val="24"/>
                <w:szCs w:val="24"/>
              </w:rPr>
              <w:t> </w:t>
            </w:r>
            <w:r>
              <w:rPr>
                <w:rFonts w:ascii="Arial" w:hAnsi="Arial" w:cs="Arial" w:eastAsia="Arial" w:hint="default"/>
                <w:sz w:val="24"/>
                <w:szCs w:val="24"/>
              </w:rPr>
              <w:t>0.5</w:t>
            </w:r>
            <w:r>
              <w:rPr>
                <w:rFonts w:ascii="Arial" w:hAnsi="Arial" w:cs="Arial" w:eastAsia="Arial" w:hint="default"/>
                <w:spacing w:val="7"/>
                <w:sz w:val="24"/>
                <w:szCs w:val="24"/>
              </w:rPr>
              <w:t> </w:t>
            </w:r>
            <w:r>
              <w:rPr>
                <w:rFonts w:ascii="宋体" w:hAnsi="宋体" w:cs="宋体" w:eastAsia="宋体" w:hint="default"/>
                <w:sz w:val="24"/>
                <w:szCs w:val="24"/>
              </w:rPr>
              <w:t>元人民币</w:t>
            </w:r>
            <w:r>
              <w:rPr>
                <w:rFonts w:ascii="Arial" w:hAnsi="Arial" w:cs="Arial" w:eastAsia="Arial" w:hint="default"/>
                <w:sz w:val="24"/>
                <w:szCs w:val="24"/>
              </w:rPr>
              <w:t>(</w:t>
            </w:r>
            <w:r>
              <w:rPr>
                <w:rFonts w:ascii="宋体" w:hAnsi="宋体" w:cs="宋体" w:eastAsia="宋体" w:hint="default"/>
                <w:sz w:val="24"/>
                <w:szCs w:val="24"/>
              </w:rPr>
              <w:t>含税</w:t>
            </w:r>
            <w:r>
              <w:rPr>
                <w:rFonts w:ascii="Arial" w:hAnsi="Arial" w:cs="Arial" w:eastAsia="Arial" w:hint="default"/>
                <w:sz w:val="24"/>
                <w:szCs w:val="24"/>
              </w:rPr>
              <w:t>)</w:t>
            </w:r>
            <w:r>
              <w:rPr>
                <w:rFonts w:ascii="宋体" w:hAnsi="宋体" w:cs="宋体" w:eastAsia="宋体" w:hint="default"/>
                <w:sz w:val="24"/>
                <w:szCs w:val="24"/>
              </w:rPr>
              <w:t>，按已发行股份</w:t>
            </w:r>
            <w:r>
              <w:rPr>
                <w:rFonts w:ascii="宋体" w:hAnsi="宋体" w:cs="宋体" w:eastAsia="宋体" w:hint="default"/>
                <w:spacing w:val="-48"/>
                <w:sz w:val="24"/>
                <w:szCs w:val="24"/>
              </w:rPr>
              <w:t> </w:t>
            </w:r>
            <w:r>
              <w:rPr>
                <w:rFonts w:ascii="Arial" w:hAnsi="Arial" w:cs="Arial" w:eastAsia="Arial" w:hint="default"/>
                <w:sz w:val="24"/>
                <w:szCs w:val="24"/>
              </w:rPr>
              <w:t>7,383,043,150</w:t>
            </w:r>
            <w:r>
              <w:rPr>
                <w:rFonts w:ascii="Arial" w:hAnsi="Arial" w:cs="Arial" w:eastAsia="Arial" w:hint="default"/>
                <w:spacing w:val="8"/>
                <w:sz w:val="24"/>
                <w:szCs w:val="24"/>
              </w:rPr>
              <w:t> </w:t>
            </w:r>
            <w:r>
              <w:rPr>
                <w:rFonts w:ascii="宋体" w:hAnsi="宋体" w:cs="宋体" w:eastAsia="宋体" w:hint="default"/>
                <w:sz w:val="24"/>
                <w:szCs w:val="24"/>
              </w:rPr>
              <w:t>股为基</w:t>
            </w:r>
          </w:p>
          <w:p>
            <w:pPr>
              <w:pStyle w:val="TableParagraph"/>
              <w:spacing w:line="322" w:lineRule="exact"/>
              <w:ind w:left="176" w:right="0"/>
              <w:jc w:val="left"/>
              <w:rPr>
                <w:rFonts w:ascii="宋体" w:hAnsi="宋体" w:cs="宋体" w:eastAsia="宋体" w:hint="default"/>
                <w:sz w:val="24"/>
                <w:szCs w:val="24"/>
              </w:rPr>
            </w:pPr>
            <w:r>
              <w:rPr>
                <w:rFonts w:ascii="宋体" w:hAnsi="宋体" w:cs="宋体" w:eastAsia="宋体" w:hint="default"/>
                <w:sz w:val="24"/>
                <w:szCs w:val="24"/>
              </w:rPr>
              <w:t>数，拟派发现金股利共计约人民币</w:t>
            </w:r>
            <w:r>
              <w:rPr>
                <w:rFonts w:ascii="宋体" w:hAnsi="宋体" w:cs="宋体" w:eastAsia="宋体" w:hint="default"/>
                <w:spacing w:val="-60"/>
                <w:sz w:val="24"/>
                <w:szCs w:val="24"/>
              </w:rPr>
              <w:t> </w:t>
            </w:r>
            <w:r>
              <w:rPr>
                <w:rFonts w:ascii="Arial" w:hAnsi="Arial" w:cs="Arial" w:eastAsia="Arial" w:hint="default"/>
                <w:sz w:val="24"/>
                <w:szCs w:val="24"/>
              </w:rPr>
              <w:t>3.7</w:t>
            </w:r>
            <w:r>
              <w:rPr>
                <w:rFonts w:ascii="Arial" w:hAnsi="Arial" w:cs="Arial" w:eastAsia="Arial" w:hint="default"/>
                <w:spacing w:val="-5"/>
                <w:sz w:val="24"/>
                <w:szCs w:val="24"/>
              </w:rPr>
              <w:t> </w:t>
            </w:r>
            <w:r>
              <w:rPr>
                <w:rFonts w:ascii="宋体" w:hAnsi="宋体" w:cs="宋体" w:eastAsia="宋体" w:hint="default"/>
                <w:sz w:val="24"/>
                <w:szCs w:val="24"/>
              </w:rPr>
              <w:t>亿元。</w:t>
            </w: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240" w:lineRule="auto"/>
              <w:ind w:left="176" w:right="0"/>
              <w:jc w:val="left"/>
              <w:rPr>
                <w:rFonts w:ascii="宋体" w:hAnsi="宋体" w:cs="宋体" w:eastAsia="宋体" w:hint="default"/>
                <w:sz w:val="24"/>
                <w:szCs w:val="24"/>
              </w:rPr>
            </w:pPr>
            <w:r>
              <w:rPr>
                <w:rFonts w:ascii="宋体" w:hAnsi="宋体" w:cs="宋体" w:eastAsia="宋体" w:hint="default"/>
                <w:sz w:val="24"/>
                <w:szCs w:val="24"/>
              </w:rPr>
              <w:t>上述提议尚待股东大会批准</w:t>
            </w:r>
            <w:r>
              <w:rPr>
                <w:rFonts w:ascii="Arial" w:hAnsi="Arial" w:cs="Arial" w:eastAsia="Arial" w:hint="default"/>
                <w:sz w:val="24"/>
                <w:szCs w:val="24"/>
              </w:rPr>
              <w:t>(</w:t>
            </w:r>
            <w:r>
              <w:rPr>
                <w:rFonts w:ascii="宋体" w:hAnsi="宋体" w:cs="宋体" w:eastAsia="宋体" w:hint="default"/>
                <w:sz w:val="24"/>
                <w:szCs w:val="24"/>
              </w:rPr>
              <w:t>附注九</w:t>
            </w:r>
            <w:r>
              <w:rPr>
                <w:rFonts w:ascii="Arial" w:hAnsi="Arial" w:cs="Arial" w:eastAsia="Arial" w:hint="default"/>
                <w:sz w:val="24"/>
                <w:szCs w:val="24"/>
              </w:rPr>
              <w:t>(2))</w:t>
            </w:r>
            <w:r>
              <w:rPr>
                <w:rFonts w:ascii="宋体" w:hAnsi="宋体" w:cs="宋体" w:eastAsia="宋体" w:hint="default"/>
                <w:sz w:val="24"/>
                <w:szCs w:val="24"/>
              </w:rPr>
              <w:t>，不确认为</w:t>
            </w:r>
            <w:r>
              <w:rPr>
                <w:rFonts w:ascii="宋体" w:hAnsi="宋体" w:cs="宋体" w:eastAsia="宋体" w:hint="default"/>
                <w:spacing w:val="-61"/>
                <w:sz w:val="24"/>
                <w:szCs w:val="24"/>
              </w:rPr>
              <w:t> </w:t>
            </w: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z w:val="24"/>
                <w:szCs w:val="24"/>
              </w:rPr>
              <w:t>日的负债。</w:t>
            </w:r>
          </w:p>
        </w:tc>
      </w:tr>
    </w:tbl>
    <w:p>
      <w:pPr>
        <w:spacing w:after="0" w:line="240" w:lineRule="auto"/>
        <w:jc w:val="left"/>
        <w:rPr>
          <w:rFonts w:ascii="宋体" w:hAnsi="宋体" w:cs="宋体" w:eastAsia="宋体"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771"/>
        <w:gridCol w:w="3319"/>
        <w:gridCol w:w="2672"/>
        <w:gridCol w:w="485"/>
        <w:gridCol w:w="2321"/>
      </w:tblGrid>
      <w:tr>
        <w:trPr>
          <w:trHeight w:val="495"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319" w:type="dxa"/>
            <w:tcBorders>
              <w:top w:val="nil" w:sz="6" w:space="0" w:color="auto"/>
              <w:left w:val="nil" w:sz="6" w:space="0" w:color="auto"/>
              <w:bottom w:val="nil" w:sz="6" w:space="0" w:color="auto"/>
              <w:right w:val="nil" w:sz="6" w:space="0" w:color="auto"/>
            </w:tcBorders>
          </w:tcPr>
          <w:p>
            <w:pPr>
              <w:pStyle w:val="TableParagraph"/>
              <w:spacing w:line="257" w:lineRule="exact"/>
              <w:ind w:left="14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672"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nil" w:sz="6" w:space="0" w:color="auto"/>
              <w:right w:val="nil" w:sz="6" w:space="0" w:color="auto"/>
            </w:tcBorders>
          </w:tcPr>
          <w:p>
            <w:pPr/>
          </w:p>
        </w:tc>
      </w:tr>
      <w:tr>
        <w:trPr>
          <w:trHeight w:val="741"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(37)</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3" w:right="0"/>
              <w:jc w:val="left"/>
              <w:rPr>
                <w:rFonts w:ascii="黑体" w:hAnsi="黑体" w:cs="黑体" w:eastAsia="黑体" w:hint="default"/>
                <w:sz w:val="24"/>
                <w:szCs w:val="24"/>
              </w:rPr>
            </w:pPr>
            <w:r>
              <w:rPr>
                <w:rFonts w:ascii="黑体" w:hAnsi="黑体" w:cs="黑体" w:eastAsia="黑体" w:hint="default"/>
                <w:sz w:val="24"/>
                <w:szCs w:val="24"/>
              </w:rPr>
              <w:t>少数股东权益</w:t>
            </w:r>
          </w:p>
        </w:tc>
        <w:tc>
          <w:tcPr>
            <w:tcW w:w="2672"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nil" w:sz="6" w:space="0" w:color="auto"/>
              <w:right w:val="nil" w:sz="6" w:space="0" w:color="auto"/>
            </w:tcBorders>
          </w:tcPr>
          <w:p>
            <w:pPr/>
          </w:p>
        </w:tc>
      </w:tr>
      <w:tr>
        <w:trPr>
          <w:trHeight w:val="751"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59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3"/>
              <w:ind w:left="143" w:right="0"/>
              <w:jc w:val="left"/>
              <w:rPr>
                <w:rFonts w:ascii="宋体" w:hAnsi="宋体" w:cs="宋体" w:eastAsia="宋体" w:hint="default"/>
                <w:sz w:val="24"/>
                <w:szCs w:val="24"/>
              </w:rPr>
            </w:pPr>
            <w:r>
              <w:rPr>
                <w:rFonts w:ascii="宋体" w:hAnsi="宋体" w:cs="宋体" w:eastAsia="宋体" w:hint="default"/>
                <w:sz w:val="24"/>
                <w:szCs w:val="24"/>
              </w:rPr>
              <w:t>归属于各子公司少数股东的少数股东权益</w:t>
            </w:r>
          </w:p>
        </w:tc>
        <w:tc>
          <w:tcPr>
            <w:tcW w:w="485"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nil" w:sz="6" w:space="0" w:color="auto"/>
              <w:right w:val="nil" w:sz="6" w:space="0" w:color="auto"/>
            </w:tcBorders>
          </w:tcPr>
          <w:p>
            <w:pPr/>
          </w:p>
        </w:tc>
      </w:tr>
      <w:tr>
        <w:trPr>
          <w:trHeight w:val="730" w:hRule="exact"/>
        </w:trPr>
        <w:tc>
          <w:tcPr>
            <w:tcW w:w="771" w:type="dxa"/>
            <w:tcBorders>
              <w:top w:val="nil" w:sz="6" w:space="0" w:color="auto"/>
              <w:left w:val="nil" w:sz="6" w:space="0" w:color="auto"/>
              <w:bottom w:val="nil" w:sz="6" w:space="0" w:color="auto"/>
              <w:right w:val="nil" w:sz="6" w:space="0" w:color="auto"/>
            </w:tcBorders>
          </w:tcPr>
          <w:p>
            <w:pP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43" w:right="0"/>
              <w:jc w:val="left"/>
              <w:rPr>
                <w:rFonts w:ascii="宋体" w:hAnsi="宋体" w:cs="宋体" w:eastAsia="宋体" w:hint="default"/>
                <w:sz w:val="24"/>
                <w:szCs w:val="24"/>
              </w:rPr>
            </w:pPr>
            <w:r>
              <w:rPr>
                <w:rFonts w:ascii="宋体" w:hAnsi="宋体" w:cs="宋体" w:eastAsia="宋体" w:hint="default"/>
                <w:sz w:val="24"/>
                <w:szCs w:val="24"/>
              </w:rPr>
              <w:t>子公司名称</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103"/>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485"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101"/>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52" w:hRule="exact"/>
        </w:trPr>
        <w:tc>
          <w:tcPr>
            <w:tcW w:w="771" w:type="dxa"/>
            <w:tcBorders>
              <w:top w:val="nil" w:sz="6" w:space="0" w:color="auto"/>
              <w:left w:val="nil" w:sz="6" w:space="0" w:color="auto"/>
              <w:bottom w:val="nil" w:sz="6" w:space="0" w:color="auto"/>
              <w:right w:val="nil" w:sz="6" w:space="0" w:color="auto"/>
            </w:tcBorders>
          </w:tcPr>
          <w:p>
            <w:pP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43" w:right="0"/>
              <w:jc w:val="left"/>
              <w:rPr>
                <w:rFonts w:ascii="宋体" w:hAnsi="宋体" w:cs="宋体" w:eastAsia="宋体" w:hint="default"/>
                <w:sz w:val="24"/>
                <w:szCs w:val="24"/>
              </w:rPr>
            </w:pPr>
            <w:r>
              <w:rPr>
                <w:rFonts w:ascii="宋体" w:hAnsi="宋体" w:cs="宋体" w:eastAsia="宋体" w:hint="default"/>
                <w:sz w:val="24"/>
                <w:szCs w:val="24"/>
              </w:rPr>
              <w:t>日本</w:t>
            </w:r>
            <w:r>
              <w:rPr>
                <w:rFonts w:ascii="宋体" w:hAnsi="宋体" w:cs="宋体" w:eastAsia="宋体" w:hint="default"/>
                <w:spacing w:val="-60"/>
                <w:sz w:val="24"/>
                <w:szCs w:val="24"/>
              </w:rPr>
              <w:t> </w:t>
            </w:r>
            <w:r>
              <w:rPr>
                <w:rFonts w:ascii="Arial" w:hAnsi="Arial" w:cs="Arial" w:eastAsia="Arial" w:hint="default"/>
                <w:sz w:val="24"/>
                <w:szCs w:val="24"/>
              </w:rPr>
              <w:t>LAOX</w:t>
            </w:r>
            <w:r>
              <w:rPr>
                <w:rFonts w:ascii="Arial" w:hAnsi="Arial" w:cs="Arial" w:eastAsia="Arial" w:hint="default"/>
                <w:spacing w:val="-8"/>
                <w:sz w:val="24"/>
                <w:szCs w:val="24"/>
              </w:rPr>
              <w:t> </w:t>
            </w:r>
            <w:r>
              <w:rPr>
                <w:rFonts w:ascii="宋体" w:hAnsi="宋体" w:cs="宋体" w:eastAsia="宋体" w:hint="default"/>
                <w:sz w:val="24"/>
                <w:szCs w:val="24"/>
              </w:rPr>
              <w:t>株式会社</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Arial" w:hAnsi="Arial" w:cs="Arial" w:eastAsia="Arial" w:hint="default"/>
                <w:sz w:val="24"/>
                <w:szCs w:val="24"/>
              </w:rPr>
            </w:pPr>
            <w:r>
              <w:rPr>
                <w:rFonts w:ascii="Arial"/>
                <w:spacing w:val="-1"/>
                <w:sz w:val="24"/>
              </w:rPr>
              <w:t>538,070</w:t>
            </w:r>
          </w:p>
        </w:tc>
        <w:tc>
          <w:tcPr>
            <w:tcW w:w="485"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Arial" w:hAnsi="Arial" w:cs="Arial" w:eastAsia="Arial" w:hint="default"/>
                <w:sz w:val="24"/>
                <w:szCs w:val="24"/>
              </w:rPr>
            </w:pPr>
            <w:r>
              <w:rPr>
                <w:rFonts w:ascii="Arial"/>
                <w:spacing w:val="-1"/>
                <w:sz w:val="24"/>
              </w:rPr>
              <w:t>632,669</w:t>
            </w:r>
          </w:p>
        </w:tc>
      </w:tr>
      <w:tr>
        <w:trPr>
          <w:trHeight w:val="391" w:hRule="exact"/>
        </w:trPr>
        <w:tc>
          <w:tcPr>
            <w:tcW w:w="771" w:type="dxa"/>
            <w:tcBorders>
              <w:top w:val="nil" w:sz="6" w:space="0" w:color="auto"/>
              <w:left w:val="nil" w:sz="6" w:space="0" w:color="auto"/>
              <w:bottom w:val="nil" w:sz="6" w:space="0" w:color="auto"/>
              <w:right w:val="nil" w:sz="6" w:space="0" w:color="auto"/>
            </w:tcBorders>
          </w:tcPr>
          <w:p>
            <w:pPr/>
          </w:p>
        </w:tc>
        <w:tc>
          <w:tcPr>
            <w:tcW w:w="3319" w:type="dxa"/>
            <w:tcBorders>
              <w:top w:val="nil" w:sz="6" w:space="0" w:color="auto"/>
              <w:left w:val="nil" w:sz="6" w:space="0" w:color="auto"/>
              <w:bottom w:val="nil" w:sz="6" w:space="0" w:color="auto"/>
              <w:right w:val="nil" w:sz="6" w:space="0" w:color="auto"/>
            </w:tcBorders>
          </w:tcPr>
          <w:p>
            <w:pPr>
              <w:pStyle w:val="TableParagraph"/>
              <w:spacing w:line="303" w:lineRule="exact"/>
              <w:ind w:left="143" w:right="0"/>
              <w:jc w:val="left"/>
              <w:rPr>
                <w:rFonts w:ascii="宋体" w:hAnsi="宋体" w:cs="宋体" w:eastAsia="宋体" w:hint="default"/>
                <w:sz w:val="24"/>
                <w:szCs w:val="24"/>
              </w:rPr>
            </w:pPr>
            <w:r>
              <w:rPr>
                <w:rFonts w:ascii="宋体" w:hAnsi="宋体" w:cs="宋体" w:eastAsia="宋体" w:hint="default"/>
                <w:sz w:val="24"/>
                <w:szCs w:val="24"/>
              </w:rPr>
              <w:t>江苏苏宁易购有限公司</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5"/>
              <w:jc w:val="right"/>
              <w:rPr>
                <w:rFonts w:ascii="Arial" w:hAnsi="Arial" w:cs="Arial" w:eastAsia="Arial" w:hint="default"/>
                <w:sz w:val="24"/>
                <w:szCs w:val="24"/>
              </w:rPr>
            </w:pPr>
            <w:r>
              <w:rPr>
                <w:rFonts w:ascii="Arial"/>
                <w:spacing w:val="-1"/>
                <w:sz w:val="24"/>
              </w:rPr>
              <w:t>(19,903)</w:t>
            </w:r>
          </w:p>
        </w:tc>
        <w:tc>
          <w:tcPr>
            <w:tcW w:w="485"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2"/>
              <w:jc w:val="right"/>
              <w:rPr>
                <w:rFonts w:ascii="Arial" w:hAnsi="Arial" w:cs="Arial" w:eastAsia="Arial" w:hint="default"/>
                <w:sz w:val="24"/>
                <w:szCs w:val="24"/>
              </w:rPr>
            </w:pPr>
            <w:r>
              <w:rPr>
                <w:rFonts w:ascii="Arial"/>
                <w:spacing w:val="-7"/>
                <w:sz w:val="24"/>
              </w:rPr>
              <w:t>27,111</w:t>
            </w:r>
          </w:p>
        </w:tc>
      </w:tr>
      <w:tr>
        <w:trPr>
          <w:trHeight w:val="391" w:hRule="exact"/>
        </w:trPr>
        <w:tc>
          <w:tcPr>
            <w:tcW w:w="771" w:type="dxa"/>
            <w:tcBorders>
              <w:top w:val="nil" w:sz="6" w:space="0" w:color="auto"/>
              <w:left w:val="nil" w:sz="6" w:space="0" w:color="auto"/>
              <w:bottom w:val="nil" w:sz="6" w:space="0" w:color="auto"/>
              <w:right w:val="nil" w:sz="6" w:space="0" w:color="auto"/>
            </w:tcBorders>
          </w:tcPr>
          <w:p>
            <w:pPr/>
          </w:p>
        </w:tc>
        <w:tc>
          <w:tcPr>
            <w:tcW w:w="3319" w:type="dxa"/>
            <w:tcBorders>
              <w:top w:val="nil" w:sz="6" w:space="0" w:color="auto"/>
              <w:left w:val="nil" w:sz="6" w:space="0" w:color="auto"/>
              <w:bottom w:val="nil" w:sz="6" w:space="0" w:color="auto"/>
              <w:right w:val="nil" w:sz="6" w:space="0" w:color="auto"/>
            </w:tcBorders>
          </w:tcPr>
          <w:p>
            <w:pPr>
              <w:pStyle w:val="TableParagraph"/>
              <w:spacing w:line="303" w:lineRule="exact"/>
              <w:ind w:left="143" w:right="0"/>
              <w:jc w:val="left"/>
              <w:rPr>
                <w:rFonts w:ascii="宋体" w:hAnsi="宋体" w:cs="宋体" w:eastAsia="宋体" w:hint="default"/>
                <w:sz w:val="24"/>
                <w:szCs w:val="24"/>
              </w:rPr>
            </w:pPr>
            <w:r>
              <w:rPr>
                <w:rFonts w:ascii="宋体" w:hAnsi="宋体" w:cs="宋体" w:eastAsia="宋体" w:hint="default"/>
                <w:sz w:val="24"/>
                <w:szCs w:val="24"/>
              </w:rPr>
              <w:t>重庆苏宁小额贷款有限公司</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spacing w:val="-1"/>
                <w:sz w:val="24"/>
              </w:rPr>
              <w:t>75,033</w:t>
            </w:r>
          </w:p>
        </w:tc>
        <w:tc>
          <w:tcPr>
            <w:tcW w:w="485"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8"/>
              <w:jc w:val="right"/>
              <w:rPr>
                <w:rFonts w:ascii="Arial" w:hAnsi="Arial" w:cs="Arial" w:eastAsia="Arial" w:hint="default"/>
                <w:sz w:val="24"/>
                <w:szCs w:val="24"/>
              </w:rPr>
            </w:pPr>
            <w:r>
              <w:rPr>
                <w:rFonts w:ascii="Arial"/>
                <w:w w:val="99"/>
                <w:sz w:val="24"/>
              </w:rPr>
              <w:t>-</w:t>
            </w:r>
            <w:r>
              <w:rPr>
                <w:rFonts w:ascii="Arial"/>
                <w:sz w:val="24"/>
              </w:rPr>
            </w:r>
          </w:p>
        </w:tc>
      </w:tr>
      <w:tr>
        <w:trPr>
          <w:trHeight w:val="1085" w:hRule="exact"/>
        </w:trPr>
        <w:tc>
          <w:tcPr>
            <w:tcW w:w="771" w:type="dxa"/>
            <w:tcBorders>
              <w:top w:val="nil" w:sz="6" w:space="0" w:color="auto"/>
              <w:left w:val="nil" w:sz="6" w:space="0" w:color="auto"/>
              <w:bottom w:val="nil" w:sz="6" w:space="0" w:color="auto"/>
              <w:right w:val="nil" w:sz="6" w:space="0" w:color="auto"/>
            </w:tcBorders>
          </w:tcPr>
          <w:p>
            <w:pPr/>
          </w:p>
        </w:tc>
        <w:tc>
          <w:tcPr>
            <w:tcW w:w="3319" w:type="dxa"/>
            <w:tcBorders>
              <w:top w:val="nil" w:sz="6" w:space="0" w:color="auto"/>
              <w:left w:val="nil" w:sz="6" w:space="0" w:color="auto"/>
              <w:bottom w:val="nil" w:sz="6" w:space="0" w:color="auto"/>
              <w:right w:val="nil" w:sz="6" w:space="0" w:color="auto"/>
            </w:tcBorders>
          </w:tcPr>
          <w:p>
            <w:pPr>
              <w:pStyle w:val="TableParagraph"/>
              <w:spacing w:line="261" w:lineRule="auto"/>
              <w:ind w:left="381" w:right="215" w:hanging="238"/>
              <w:jc w:val="left"/>
              <w:rPr>
                <w:rFonts w:ascii="Arial" w:hAnsi="Arial" w:cs="Arial" w:eastAsia="Arial" w:hint="default"/>
                <w:sz w:val="24"/>
                <w:szCs w:val="24"/>
              </w:rPr>
            </w:pPr>
            <w:r>
              <w:rPr>
                <w:rFonts w:ascii="宋体" w:hAnsi="宋体" w:cs="宋体" w:eastAsia="宋体" w:hint="default"/>
                <w:sz w:val="24"/>
                <w:szCs w:val="24"/>
              </w:rPr>
              <w:t>其他子公司</w:t>
            </w:r>
            <w:r>
              <w:rPr>
                <w:rFonts w:ascii="Arial" w:hAnsi="Arial" w:cs="Arial" w:eastAsia="Arial" w:hint="default"/>
                <w:sz w:val="24"/>
                <w:szCs w:val="24"/>
              </w:rPr>
              <w:t>(</w:t>
            </w:r>
            <w:r>
              <w:rPr>
                <w:rFonts w:ascii="宋体" w:hAnsi="宋体" w:cs="宋体" w:eastAsia="宋体" w:hint="default"/>
                <w:sz w:val="24"/>
                <w:szCs w:val="24"/>
              </w:rPr>
              <w:t>单个子公司的少 数股东权益金额均小于人 民币</w:t>
            </w:r>
            <w:r>
              <w:rPr>
                <w:rFonts w:ascii="宋体" w:hAnsi="宋体" w:cs="宋体" w:eastAsia="宋体" w:hint="default"/>
                <w:spacing w:val="-61"/>
                <w:sz w:val="24"/>
                <w:szCs w:val="24"/>
              </w:rPr>
              <w:t> </w:t>
            </w:r>
            <w:r>
              <w:rPr>
                <w:rFonts w:ascii="Arial" w:hAnsi="Arial" w:cs="Arial" w:eastAsia="Arial" w:hint="default"/>
                <w:sz w:val="24"/>
                <w:szCs w:val="24"/>
              </w:rPr>
              <w:t>1,200</w:t>
            </w:r>
            <w:r>
              <w:rPr>
                <w:rFonts w:ascii="Arial" w:hAnsi="Arial" w:cs="Arial" w:eastAsia="Arial" w:hint="default"/>
                <w:spacing w:val="-6"/>
                <w:sz w:val="24"/>
                <w:szCs w:val="24"/>
              </w:rPr>
              <w:t> </w:t>
            </w:r>
            <w:r>
              <w:rPr>
                <w:rFonts w:ascii="宋体" w:hAnsi="宋体" w:cs="宋体" w:eastAsia="宋体" w:hint="default"/>
                <w:sz w:val="24"/>
                <w:szCs w:val="24"/>
              </w:rPr>
              <w:t>万元</w:t>
            </w:r>
            <w:r>
              <w:rPr>
                <w:rFonts w:ascii="Arial" w:hAnsi="Arial" w:cs="Arial" w:eastAsia="Arial" w:hint="default"/>
                <w:sz w:val="24"/>
                <w:szCs w:val="24"/>
              </w:rPr>
              <w:t>)</w:t>
            </w:r>
          </w:p>
        </w:tc>
        <w:tc>
          <w:tcPr>
            <w:tcW w:w="267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9"/>
              <w:ind w:right="105"/>
              <w:jc w:val="right"/>
              <w:rPr>
                <w:rFonts w:ascii="Arial" w:hAnsi="Arial" w:cs="Arial" w:eastAsia="Arial" w:hint="default"/>
                <w:sz w:val="24"/>
                <w:szCs w:val="24"/>
              </w:rPr>
            </w:pPr>
            <w:r>
              <w:rPr>
                <w:rFonts w:ascii="Arial"/>
                <w:spacing w:val="-1"/>
                <w:sz w:val="24"/>
              </w:rPr>
              <w:t>59,205</w:t>
            </w:r>
          </w:p>
        </w:tc>
        <w:tc>
          <w:tcPr>
            <w:tcW w:w="485"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9"/>
              <w:ind w:right="102"/>
              <w:jc w:val="right"/>
              <w:rPr>
                <w:rFonts w:ascii="Arial" w:hAnsi="Arial" w:cs="Arial" w:eastAsia="Arial" w:hint="default"/>
                <w:sz w:val="24"/>
                <w:szCs w:val="24"/>
              </w:rPr>
            </w:pPr>
            <w:r>
              <w:rPr>
                <w:rFonts w:ascii="Arial"/>
                <w:spacing w:val="-1"/>
                <w:sz w:val="24"/>
              </w:rPr>
              <w:t>42,424</w:t>
            </w:r>
          </w:p>
        </w:tc>
      </w:tr>
      <w:tr>
        <w:trPr>
          <w:trHeight w:val="377" w:hRule="exact"/>
        </w:trPr>
        <w:tc>
          <w:tcPr>
            <w:tcW w:w="771" w:type="dxa"/>
            <w:tcBorders>
              <w:top w:val="nil" w:sz="6" w:space="0" w:color="auto"/>
              <w:left w:val="nil" w:sz="6" w:space="0" w:color="auto"/>
              <w:bottom w:val="nil" w:sz="6" w:space="0" w:color="auto"/>
              <w:right w:val="nil" w:sz="6" w:space="0" w:color="auto"/>
            </w:tcBorders>
          </w:tcPr>
          <w:p>
            <w:pPr/>
          </w:p>
        </w:tc>
        <w:tc>
          <w:tcPr>
            <w:tcW w:w="3319" w:type="dxa"/>
            <w:tcBorders>
              <w:top w:val="nil" w:sz="6" w:space="0" w:color="auto"/>
              <w:left w:val="nil" w:sz="6" w:space="0" w:color="auto"/>
              <w:bottom w:val="nil" w:sz="6" w:space="0" w:color="auto"/>
              <w:right w:val="nil" w:sz="6" w:space="0" w:color="auto"/>
            </w:tcBorders>
          </w:tcPr>
          <w:p>
            <w:pPr/>
          </w:p>
        </w:tc>
        <w:tc>
          <w:tcPr>
            <w:tcW w:w="26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5"/>
              <w:jc w:val="right"/>
              <w:rPr>
                <w:rFonts w:ascii="Arial" w:hAnsi="Arial" w:cs="Arial" w:eastAsia="Arial" w:hint="default"/>
                <w:sz w:val="24"/>
                <w:szCs w:val="24"/>
              </w:rPr>
            </w:pPr>
            <w:r>
              <w:rPr>
                <w:rFonts w:ascii="Arial"/>
                <w:spacing w:val="-1"/>
                <w:sz w:val="24"/>
              </w:rPr>
              <w:t>652,405</w:t>
            </w:r>
          </w:p>
        </w:tc>
        <w:tc>
          <w:tcPr>
            <w:tcW w:w="485" w:type="dxa"/>
            <w:tcBorders>
              <w:top w:val="nil" w:sz="6" w:space="0" w:color="auto"/>
              <w:left w:val="nil" w:sz="6" w:space="0" w:color="auto"/>
              <w:bottom w:val="nil" w:sz="6" w:space="0" w:color="auto"/>
              <w:right w:val="nil" w:sz="6" w:space="0" w:color="auto"/>
            </w:tcBorders>
          </w:tcPr>
          <w:p>
            <w:pPr/>
          </w:p>
        </w:tc>
        <w:tc>
          <w:tcPr>
            <w:tcW w:w="2321"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1"/>
              <w:jc w:val="right"/>
              <w:rPr>
                <w:rFonts w:ascii="Arial" w:hAnsi="Arial" w:cs="Arial" w:eastAsia="Arial" w:hint="default"/>
                <w:sz w:val="24"/>
                <w:szCs w:val="24"/>
              </w:rPr>
            </w:pPr>
            <w:r>
              <w:rPr>
                <w:rFonts w:ascii="Arial"/>
                <w:spacing w:val="-1"/>
                <w:sz w:val="24"/>
              </w:rPr>
              <w:t>702,204</w:t>
            </w:r>
          </w:p>
        </w:tc>
      </w:tr>
    </w:tbl>
    <w:p>
      <w:pPr>
        <w:spacing w:after="0" w:line="240" w:lineRule="auto"/>
        <w:jc w:val="right"/>
        <w:rPr>
          <w:rFonts w:ascii="Arial" w:hAnsi="Arial" w:cs="Arial" w:eastAsia="Arial" w:hint="default"/>
          <w:sz w:val="24"/>
          <w:szCs w:val="24"/>
        </w:rPr>
        <w:sectPr>
          <w:pgSz w:w="11910" w:h="16850"/>
          <w:pgMar w:header="795" w:footer="1340" w:top="2020" w:bottom="1540" w:left="148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3784" type="#_x0000_t75" stroked="false">
            <v:imagedata r:id="rId10" o:title=""/>
          </v:shape>
        </w:pict>
      </w:r>
      <w:r>
        <w:rPr/>
        <w:pict>
          <v:shape style="position:absolute;margin-left:75.823997pt;margin-top:120.387482pt;width:477.85pt;height:653.4pt;mso-position-horizontal-relative:page;mso-position-vertical-relative:page;z-index:3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1"/>
                    <w:gridCol w:w="1783"/>
                    <w:gridCol w:w="1675"/>
                    <w:gridCol w:w="134"/>
                    <w:gridCol w:w="1716"/>
                    <w:gridCol w:w="146"/>
                    <w:gridCol w:w="1587"/>
                    <w:gridCol w:w="135"/>
                    <w:gridCol w:w="1598"/>
                  </w:tblGrid>
                  <w:tr>
                    <w:trPr>
                      <w:trHeight w:val="416"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exact"/>
                          <w:ind w:left="212"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459"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586"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(38)</w:t>
                        </w:r>
                      </w:p>
                    </w:tc>
                    <w:tc>
                      <w:tcPr>
                        <w:tcW w:w="34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53" w:right="0"/>
                          <w:jc w:val="left"/>
                          <w:rPr>
                            <w:rFonts w:ascii="黑体" w:hAnsi="黑体" w:cs="黑体" w:eastAsia="黑体" w:hint="default"/>
                            <w:sz w:val="24"/>
                            <w:szCs w:val="24"/>
                          </w:rPr>
                        </w:pPr>
                        <w:r>
                          <w:rPr>
                            <w:rFonts w:ascii="黑体" w:hAnsi="黑体" w:cs="黑体" w:eastAsia="黑体" w:hint="default"/>
                            <w:sz w:val="24"/>
                            <w:szCs w:val="24"/>
                          </w:rPr>
                          <w:t>营业收入和营业成本</w:t>
                        </w:r>
                      </w:p>
                    </w:tc>
                    <w:tc>
                      <w:tcPr>
                        <w:tcW w:w="13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613"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0"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0"/>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475"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53"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675" w:type="dxa"/>
                        <w:tcBorders>
                          <w:top w:val="nil" w:sz="6" w:space="0" w:color="auto"/>
                          <w:left w:val="nil" w:sz="6" w:space="0" w:color="auto"/>
                          <w:bottom w:val="nil" w:sz="6" w:space="0" w:color="auto"/>
                          <w:right w:val="nil" w:sz="6" w:space="0" w:color="auto"/>
                        </w:tcBorders>
                      </w:tcPr>
                      <w:p>
                        <w:pPr/>
                      </w:p>
                    </w:tc>
                    <w:tc>
                      <w:tcPr>
                        <w:tcW w:w="358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83"/>
                          <w:ind w:left="1797" w:right="0"/>
                          <w:jc w:val="left"/>
                          <w:rPr>
                            <w:rFonts w:ascii="Arial" w:hAnsi="Arial" w:cs="Arial" w:eastAsia="Arial" w:hint="default"/>
                            <w:sz w:val="24"/>
                            <w:szCs w:val="24"/>
                          </w:rPr>
                        </w:pPr>
                        <w:r>
                          <w:rPr>
                            <w:rFonts w:ascii="Arial"/>
                            <w:sz w:val="24"/>
                          </w:rPr>
                          <w:t>97,006,791</w:t>
                        </w: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321" w:right="0"/>
                          <w:jc w:val="left"/>
                          <w:rPr>
                            <w:rFonts w:ascii="Arial" w:hAnsi="Arial" w:cs="Arial" w:eastAsia="Arial" w:hint="default"/>
                            <w:sz w:val="24"/>
                            <w:szCs w:val="24"/>
                          </w:rPr>
                        </w:pPr>
                        <w:r>
                          <w:rPr>
                            <w:rFonts w:ascii="Arial"/>
                            <w:sz w:val="24"/>
                          </w:rPr>
                          <w:t>92,465,377</w:t>
                        </w:r>
                      </w:p>
                    </w:tc>
                  </w:tr>
                  <w:tr>
                    <w:trPr>
                      <w:trHeight w:val="313"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62" w:lineRule="exact"/>
                          <w:ind w:left="153"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1675"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tabs>
                            <w:tab w:pos="2177" w:val="left" w:leader="none"/>
                          </w:tabs>
                          <w:spacing w:line="240" w:lineRule="auto" w:before="19"/>
                          <w:ind w:left="-65" w:right="-591"/>
                          <w:jc w:val="left"/>
                          <w:rPr>
                            <w:rFonts w:ascii="Arial" w:hAnsi="Arial" w:cs="Arial" w:eastAsia="Arial" w:hint="default"/>
                            <w:sz w:val="24"/>
                            <w:szCs w:val="24"/>
                          </w:rPr>
                        </w:pPr>
                        <w:r>
                          <w:rPr>
                            <w:rFonts w:ascii="Arial"/>
                            <w:w w:val="99"/>
                            <w:sz w:val="24"/>
                          </w:rPr>
                        </w:r>
                        <w:r>
                          <w:rPr>
                            <w:rFonts w:ascii="Arial"/>
                            <w:sz w:val="24"/>
                            <w:u w:val="single" w:color="000000"/>
                          </w:rPr>
                          <w:t>1,350,370</w:t>
                        </w:r>
                        <w:r>
                          <w:rPr>
                            <w:rFonts w:ascii="Arial"/>
                            <w:sz w:val="24"/>
                          </w:rPr>
                          <w:t>  </w:t>
                        </w:r>
                        <w:r>
                          <w:rPr>
                            <w:rFonts w:ascii="Arial"/>
                            <w:spacing w:val="-13"/>
                            <w:sz w:val="24"/>
                          </w:rPr>
                          <w:t> </w:t>
                        </w:r>
                        <w:r>
                          <w:rPr>
                            <w:rFonts w:ascii="Arial"/>
                            <w:spacing w:val="-13"/>
                            <w:w w:val="100"/>
                            <w:sz w:val="24"/>
                          </w:rPr>
                        </w:r>
                        <w:r>
                          <w:rPr>
                            <w:rFonts w:ascii="Arial"/>
                            <w:w w:val="100"/>
                            <w:sz w:val="24"/>
                            <w:u w:val="single" w:color="000000"/>
                          </w:rPr>
                          <w:t> </w:t>
                        </w:r>
                        <w:r>
                          <w:rPr>
                            <w:rFonts w:ascii="Arial"/>
                            <w:sz w:val="24"/>
                            <w:u w:val="single" w:color="000000"/>
                          </w:rPr>
                          <w:tab/>
                        </w:r>
                        <w:r>
                          <w:rPr>
                            <w:rFonts w:ascii="Arial"/>
                            <w:sz w:val="24"/>
                          </w:rPr>
                        </w: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tabs>
                            <w:tab w:pos="1142" w:val="left" w:leader="none"/>
                          </w:tabs>
                          <w:spacing w:line="240" w:lineRule="auto" w:before="19"/>
                          <w:ind w:right="0"/>
                          <w:jc w:val="right"/>
                          <w:rPr>
                            <w:rFonts w:ascii="Arial" w:hAnsi="Arial" w:cs="Arial" w:eastAsia="Arial" w:hint="default"/>
                            <w:sz w:val="24"/>
                            <w:szCs w:val="24"/>
                          </w:rPr>
                        </w:pPr>
                        <w:r>
                          <w:rPr>
                            <w:rFonts w:ascii="Arial"/>
                            <w:w w:val="99"/>
                            <w:sz w:val="24"/>
                          </w:rPr>
                        </w:r>
                        <w:r>
                          <w:rPr>
                            <w:rFonts w:ascii="Arial"/>
                            <w:spacing w:val="-1"/>
                            <w:sz w:val="24"/>
                            <w:u w:val="single" w:color="000000"/>
                          </w:rPr>
                          <w:t>1,423,203</w:t>
                          <w:tab/>
                        </w:r>
                        <w:r>
                          <w:rPr>
                            <w:rFonts w:ascii="Arial"/>
                            <w:spacing w:val="-1"/>
                            <w:sz w:val="24"/>
                          </w:rPr>
                        </w:r>
                      </w:p>
                    </w:tc>
                  </w:tr>
                  <w:tr>
                    <w:trPr>
                      <w:trHeight w:val="287"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3584" w:type="dxa"/>
                        <w:gridSpan w:val="4"/>
                        <w:tcBorders>
                          <w:top w:val="nil" w:sz="6" w:space="0" w:color="auto"/>
                          <w:left w:val="nil" w:sz="6" w:space="0" w:color="auto"/>
                          <w:bottom w:val="nil" w:sz="6" w:space="0" w:color="auto"/>
                          <w:right w:val="nil" w:sz="6" w:space="0" w:color="auto"/>
                        </w:tcBorders>
                      </w:tcPr>
                      <w:p>
                        <w:pPr>
                          <w:pStyle w:val="TableParagraph"/>
                          <w:spacing w:line="268" w:lineRule="exact"/>
                          <w:ind w:left="1797" w:right="0"/>
                          <w:jc w:val="left"/>
                          <w:rPr>
                            <w:rFonts w:ascii="Arial" w:hAnsi="Arial" w:cs="Arial" w:eastAsia="Arial" w:hint="default"/>
                            <w:sz w:val="24"/>
                            <w:szCs w:val="24"/>
                          </w:rPr>
                        </w:pPr>
                        <w:r>
                          <w:rPr>
                            <w:rFonts w:ascii="Arial"/>
                            <w:sz w:val="24"/>
                          </w:rPr>
                          <w:t>98,357,161</w:t>
                        </w:r>
                      </w:p>
                    </w:tc>
                    <w:tc>
                      <w:tcPr>
                        <w:tcW w:w="135" w:type="dxa"/>
                        <w:tcBorders>
                          <w:top w:val="nil" w:sz="6" w:space="0" w:color="auto"/>
                          <w:left w:val="nil" w:sz="6" w:space="0" w:color="auto"/>
                          <w:bottom w:val="single" w:sz="12" w:space="0" w:color="000000"/>
                          <w:right w:val="nil" w:sz="6" w:space="0" w:color="auto"/>
                        </w:tcBorders>
                      </w:tcPr>
                      <w:p>
                        <w:pPr/>
                      </w:p>
                    </w:tc>
                    <w:tc>
                      <w:tcPr>
                        <w:tcW w:w="1598" w:type="dxa"/>
                        <w:tcBorders>
                          <w:top w:val="nil" w:sz="6" w:space="0" w:color="auto"/>
                          <w:left w:val="nil" w:sz="6" w:space="0" w:color="auto"/>
                          <w:bottom w:val="single" w:sz="12" w:space="0" w:color="000000"/>
                          <w:right w:val="nil" w:sz="6" w:space="0" w:color="auto"/>
                        </w:tcBorders>
                      </w:tcPr>
                      <w:p>
                        <w:pPr>
                          <w:pStyle w:val="TableParagraph"/>
                          <w:spacing w:line="268" w:lineRule="exact"/>
                          <w:ind w:left="321" w:right="0"/>
                          <w:jc w:val="left"/>
                          <w:rPr>
                            <w:rFonts w:ascii="Arial" w:hAnsi="Arial" w:cs="Arial" w:eastAsia="Arial" w:hint="default"/>
                            <w:sz w:val="24"/>
                            <w:szCs w:val="24"/>
                          </w:rPr>
                        </w:pPr>
                        <w:r>
                          <w:rPr>
                            <w:rFonts w:ascii="Arial"/>
                            <w:sz w:val="24"/>
                          </w:rPr>
                          <w:t>93,888,580</w:t>
                        </w:r>
                      </w:p>
                    </w:tc>
                  </w:tr>
                  <w:tr>
                    <w:trPr>
                      <w:trHeight w:val="745"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716" w:type="dxa"/>
                        <w:tcBorders>
                          <w:top w:val="single" w:sz="12" w:space="0" w:color="000000"/>
                          <w:left w:val="nil" w:sz="6" w:space="0" w:color="auto"/>
                          <w:bottom w:val="nil" w:sz="6" w:space="0" w:color="auto"/>
                          <w:right w:val="nil" w:sz="6" w:space="0" w:color="auto"/>
                        </w:tcBorders>
                      </w:tcPr>
                      <w:p>
                        <w:pPr/>
                      </w:p>
                    </w:tc>
                    <w:tc>
                      <w:tcPr>
                        <w:tcW w:w="146" w:type="dxa"/>
                        <w:tcBorders>
                          <w:top w:val="single" w:sz="12" w:space="0" w:color="000000"/>
                          <w:left w:val="nil" w:sz="6" w:space="0" w:color="auto"/>
                          <w:bottom w:val="nil" w:sz="6" w:space="0" w:color="auto"/>
                          <w:right w:val="nil" w:sz="6" w:space="0" w:color="auto"/>
                        </w:tcBorders>
                      </w:tcPr>
                      <w:p>
                        <w:pPr/>
                      </w:p>
                    </w:tc>
                    <w:tc>
                      <w:tcPr>
                        <w:tcW w:w="1587"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20"/>
                            <w:szCs w:val="20"/>
                          </w:rPr>
                        </w:pPr>
                      </w:p>
                      <w:p>
                        <w:pPr>
                          <w:pStyle w:val="TableParagraph"/>
                          <w:spacing w:line="240" w:lineRule="auto"/>
                          <w:ind w:left="-70"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135" w:type="dxa"/>
                        <w:tcBorders>
                          <w:top w:val="single" w:sz="12" w:space="0" w:color="000000"/>
                          <w:left w:val="nil" w:sz="6" w:space="0" w:color="auto"/>
                          <w:bottom w:val="nil" w:sz="6" w:space="0" w:color="auto"/>
                          <w:right w:val="nil" w:sz="6" w:space="0" w:color="auto"/>
                        </w:tcBorders>
                      </w:tcPr>
                      <w:p>
                        <w:pPr/>
                      </w:p>
                    </w:tc>
                    <w:tc>
                      <w:tcPr>
                        <w:tcW w:w="1598"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20"/>
                            <w:szCs w:val="20"/>
                          </w:rPr>
                        </w:pPr>
                      </w:p>
                      <w:p>
                        <w:pPr>
                          <w:pStyle w:val="TableParagraph"/>
                          <w:spacing w:line="240" w:lineRule="auto"/>
                          <w:ind w:right="50"/>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457"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53"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1675" w:type="dxa"/>
                        <w:tcBorders>
                          <w:top w:val="nil" w:sz="6" w:space="0" w:color="auto"/>
                          <w:left w:val="nil" w:sz="6" w:space="0" w:color="auto"/>
                          <w:bottom w:val="nil" w:sz="6" w:space="0" w:color="auto"/>
                          <w:right w:val="nil" w:sz="6" w:space="0" w:color="auto"/>
                        </w:tcBorders>
                      </w:tcPr>
                      <w:p>
                        <w:pPr/>
                      </w:p>
                    </w:tc>
                    <w:tc>
                      <w:tcPr>
                        <w:tcW w:w="358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65"/>
                          <w:ind w:left="1795" w:right="0"/>
                          <w:jc w:val="left"/>
                          <w:rPr>
                            <w:rFonts w:ascii="Arial" w:hAnsi="Arial" w:cs="Arial" w:eastAsia="Arial" w:hint="default"/>
                            <w:sz w:val="24"/>
                            <w:szCs w:val="24"/>
                          </w:rPr>
                        </w:pPr>
                        <w:r>
                          <w:rPr>
                            <w:rFonts w:ascii="Arial"/>
                            <w:sz w:val="24"/>
                          </w:rPr>
                          <w:t>80,581,387</w:t>
                        </w: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304" w:right="0"/>
                          <w:jc w:val="left"/>
                          <w:rPr>
                            <w:rFonts w:ascii="Arial" w:hAnsi="Arial" w:cs="Arial" w:eastAsia="Arial" w:hint="default"/>
                            <w:sz w:val="24"/>
                            <w:szCs w:val="24"/>
                          </w:rPr>
                        </w:pPr>
                        <w:r>
                          <w:rPr>
                            <w:rFonts w:ascii="Arial"/>
                            <w:sz w:val="24"/>
                          </w:rPr>
                          <w:t>75,855,609</w:t>
                        </w:r>
                      </w:p>
                    </w:tc>
                  </w:tr>
                  <w:tr>
                    <w:trPr>
                      <w:trHeight w:val="313"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62" w:lineRule="exact"/>
                          <w:ind w:left="153"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1675" w:type="dxa"/>
                        <w:tcBorders>
                          <w:top w:val="nil" w:sz="6" w:space="0" w:color="auto"/>
                          <w:left w:val="nil" w:sz="6" w:space="0" w:color="auto"/>
                          <w:bottom w:val="nil" w:sz="6" w:space="0" w:color="auto"/>
                          <w:right w:val="nil" w:sz="6" w:space="0" w:color="auto"/>
                        </w:tcBorders>
                      </w:tcPr>
                      <w:p>
                        <w:pPr/>
                      </w:p>
                    </w:tc>
                    <w:tc>
                      <w:tcPr>
                        <w:tcW w:w="3584" w:type="dxa"/>
                        <w:gridSpan w:val="4"/>
                        <w:tcBorders>
                          <w:top w:val="nil" w:sz="6" w:space="0" w:color="auto"/>
                          <w:left w:val="nil" w:sz="6" w:space="0" w:color="auto"/>
                          <w:bottom w:val="nil" w:sz="6" w:space="0" w:color="auto"/>
                          <w:right w:val="nil" w:sz="6" w:space="0" w:color="auto"/>
                        </w:tcBorders>
                      </w:tcPr>
                      <w:p>
                        <w:pPr>
                          <w:pStyle w:val="TableParagraph"/>
                          <w:tabs>
                            <w:tab w:pos="2131" w:val="left" w:leader="none"/>
                            <w:tab w:pos="4356" w:val="left" w:leader="none"/>
                          </w:tabs>
                          <w:spacing w:line="240" w:lineRule="auto" w:before="19"/>
                          <w:ind w:left="888" w:right="-773"/>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303,259</w:t>
                        </w:r>
                        <w:r>
                          <w:rPr>
                            <w:rFonts w:ascii="Arial"/>
                            <w:sz w:val="24"/>
                          </w:rPr>
                          <w:t>  </w:t>
                        </w:r>
                        <w:r>
                          <w:rPr>
                            <w:rFonts w:ascii="Arial"/>
                            <w:spacing w:val="-13"/>
                            <w:sz w:val="24"/>
                          </w:rPr>
                          <w:t> </w:t>
                        </w:r>
                        <w:r>
                          <w:rPr>
                            <w:rFonts w:ascii="Arial"/>
                            <w:spacing w:val="-13"/>
                            <w:w w:val="100"/>
                            <w:sz w:val="24"/>
                          </w:rPr>
                        </w:r>
                        <w:r>
                          <w:rPr>
                            <w:rFonts w:ascii="Arial"/>
                            <w:w w:val="100"/>
                            <w:sz w:val="24"/>
                            <w:u w:val="single" w:color="000000"/>
                          </w:rPr>
                          <w:t> </w:t>
                        </w:r>
                        <w:r>
                          <w:rPr>
                            <w:rFonts w:ascii="Arial"/>
                            <w:sz w:val="24"/>
                            <w:u w:val="single" w:color="000000"/>
                          </w:rPr>
                          <w:tab/>
                        </w:r>
                        <w:r>
                          <w:rPr>
                            <w:rFonts w:ascii="Arial"/>
                            <w:sz w:val="24"/>
                          </w:rPr>
                        </w: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19"/>
                          <w:ind w:right="0"/>
                          <w:jc w:val="right"/>
                          <w:rPr>
                            <w:rFonts w:ascii="Arial" w:hAnsi="Arial" w:cs="Arial" w:eastAsia="Arial" w:hint="default"/>
                            <w:sz w:val="24"/>
                            <w:szCs w:val="24"/>
                          </w:rPr>
                        </w:pPr>
                        <w:r>
                          <w:rPr>
                            <w:rFonts w:ascii="Arial"/>
                            <w:w w:val="99"/>
                            <w:sz w:val="24"/>
                          </w:rPr>
                        </w:r>
                        <w:r>
                          <w:rPr>
                            <w:rFonts w:ascii="Arial"/>
                            <w:spacing w:val="-1"/>
                            <w:sz w:val="24"/>
                            <w:u w:val="single" w:color="000000"/>
                          </w:rPr>
                          <w:t>249,047</w:t>
                          <w:tab/>
                        </w:r>
                        <w:r>
                          <w:rPr>
                            <w:rFonts w:ascii="Arial"/>
                            <w:spacing w:val="-1"/>
                            <w:sz w:val="24"/>
                          </w:rPr>
                        </w:r>
                      </w:p>
                    </w:tc>
                  </w:tr>
                  <w:tr>
                    <w:trPr>
                      <w:trHeight w:val="287"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3584" w:type="dxa"/>
                        <w:gridSpan w:val="4"/>
                        <w:tcBorders>
                          <w:top w:val="nil" w:sz="6" w:space="0" w:color="auto"/>
                          <w:left w:val="nil" w:sz="6" w:space="0" w:color="auto"/>
                          <w:bottom w:val="nil" w:sz="6" w:space="0" w:color="auto"/>
                          <w:right w:val="nil" w:sz="6" w:space="0" w:color="auto"/>
                        </w:tcBorders>
                      </w:tcPr>
                      <w:p>
                        <w:pPr>
                          <w:pStyle w:val="TableParagraph"/>
                          <w:spacing w:line="268" w:lineRule="exact"/>
                          <w:ind w:left="1797" w:right="0"/>
                          <w:jc w:val="left"/>
                          <w:rPr>
                            <w:rFonts w:ascii="Arial" w:hAnsi="Arial" w:cs="Arial" w:eastAsia="Arial" w:hint="default"/>
                            <w:sz w:val="24"/>
                            <w:szCs w:val="24"/>
                          </w:rPr>
                        </w:pPr>
                        <w:r>
                          <w:rPr>
                            <w:rFonts w:ascii="Arial"/>
                            <w:sz w:val="24"/>
                          </w:rPr>
                          <w:t>80,884,646</w:t>
                        </w:r>
                      </w:p>
                    </w:tc>
                    <w:tc>
                      <w:tcPr>
                        <w:tcW w:w="135" w:type="dxa"/>
                        <w:tcBorders>
                          <w:top w:val="nil" w:sz="6" w:space="0" w:color="auto"/>
                          <w:left w:val="nil" w:sz="6" w:space="0" w:color="auto"/>
                          <w:bottom w:val="single" w:sz="12" w:space="0" w:color="000000"/>
                          <w:right w:val="nil" w:sz="6" w:space="0" w:color="auto"/>
                        </w:tcBorders>
                      </w:tcPr>
                      <w:p>
                        <w:pPr/>
                      </w:p>
                    </w:tc>
                    <w:tc>
                      <w:tcPr>
                        <w:tcW w:w="1598" w:type="dxa"/>
                        <w:tcBorders>
                          <w:top w:val="nil" w:sz="6" w:space="0" w:color="auto"/>
                          <w:left w:val="nil" w:sz="6" w:space="0" w:color="auto"/>
                          <w:bottom w:val="single" w:sz="12" w:space="0" w:color="000000"/>
                          <w:right w:val="nil" w:sz="6" w:space="0" w:color="auto"/>
                        </w:tcBorders>
                      </w:tcPr>
                      <w:p>
                        <w:pPr>
                          <w:pStyle w:val="TableParagraph"/>
                          <w:spacing w:line="268" w:lineRule="exact"/>
                          <w:ind w:left="304" w:right="0"/>
                          <w:jc w:val="left"/>
                          <w:rPr>
                            <w:rFonts w:ascii="Arial" w:hAnsi="Arial" w:cs="Arial" w:eastAsia="Arial" w:hint="default"/>
                            <w:sz w:val="24"/>
                            <w:szCs w:val="24"/>
                          </w:rPr>
                        </w:pPr>
                        <w:r>
                          <w:rPr>
                            <w:rFonts w:ascii="Arial"/>
                            <w:sz w:val="24"/>
                          </w:rPr>
                          <w:t>76,104,656</w:t>
                        </w:r>
                      </w:p>
                    </w:tc>
                  </w:tr>
                  <w:tr>
                    <w:trPr>
                      <w:trHeight w:val="738"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4"/>
                            <w:szCs w:val="24"/>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34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21"/>
                            <w:szCs w:val="21"/>
                          </w:rPr>
                        </w:pPr>
                      </w:p>
                      <w:p>
                        <w:pPr>
                          <w:pStyle w:val="TableParagraph"/>
                          <w:spacing w:line="240" w:lineRule="auto"/>
                          <w:ind w:left="153" w:right="0"/>
                          <w:jc w:val="left"/>
                          <w:rPr>
                            <w:rFonts w:ascii="宋体" w:hAnsi="宋体" w:cs="宋体" w:eastAsia="宋体" w:hint="default"/>
                            <w:sz w:val="24"/>
                            <w:szCs w:val="24"/>
                          </w:rPr>
                        </w:pPr>
                        <w:r>
                          <w:rPr>
                            <w:rFonts w:ascii="宋体" w:hAnsi="宋体" w:cs="宋体" w:eastAsia="宋体" w:hint="default"/>
                            <w:sz w:val="24"/>
                            <w:szCs w:val="24"/>
                          </w:rPr>
                          <w:t>主营业务收入和主营业务成本</w:t>
                        </w:r>
                      </w:p>
                    </w:tc>
                    <w:tc>
                      <w:tcPr>
                        <w:tcW w:w="134" w:type="dxa"/>
                        <w:tcBorders>
                          <w:top w:val="nil" w:sz="6" w:space="0" w:color="auto"/>
                          <w:left w:val="nil" w:sz="6" w:space="0" w:color="auto"/>
                          <w:bottom w:val="nil" w:sz="6" w:space="0" w:color="auto"/>
                          <w:right w:val="nil" w:sz="6" w:space="0" w:color="auto"/>
                        </w:tcBorders>
                      </w:tcPr>
                      <w:p>
                        <w:pPr/>
                      </w:p>
                    </w:tc>
                    <w:tc>
                      <w:tcPr>
                        <w:tcW w:w="1716" w:type="dxa"/>
                        <w:tcBorders>
                          <w:top w:val="single" w:sz="12" w:space="0" w:color="000000"/>
                          <w:left w:val="nil" w:sz="6" w:space="0" w:color="auto"/>
                          <w:bottom w:val="nil" w:sz="6" w:space="0" w:color="auto"/>
                          <w:right w:val="nil" w:sz="6" w:space="0" w:color="auto"/>
                        </w:tcBorders>
                      </w:tcPr>
                      <w:p>
                        <w:pPr/>
                      </w:p>
                    </w:tc>
                    <w:tc>
                      <w:tcPr>
                        <w:tcW w:w="146" w:type="dxa"/>
                        <w:tcBorders>
                          <w:top w:val="single" w:sz="12" w:space="0" w:color="000000"/>
                          <w:left w:val="nil" w:sz="6" w:space="0" w:color="auto"/>
                          <w:bottom w:val="nil" w:sz="6" w:space="0" w:color="auto"/>
                          <w:right w:val="nil" w:sz="6" w:space="0" w:color="auto"/>
                        </w:tcBorders>
                      </w:tcPr>
                      <w:p>
                        <w:pPr/>
                      </w:p>
                    </w:tc>
                    <w:tc>
                      <w:tcPr>
                        <w:tcW w:w="1587" w:type="dxa"/>
                        <w:tcBorders>
                          <w:top w:val="single" w:sz="12" w:space="0" w:color="000000"/>
                          <w:left w:val="nil" w:sz="6" w:space="0" w:color="auto"/>
                          <w:bottom w:val="nil" w:sz="6" w:space="0" w:color="auto"/>
                          <w:right w:val="nil" w:sz="6" w:space="0" w:color="auto"/>
                        </w:tcBorders>
                      </w:tcPr>
                      <w:p>
                        <w:pPr/>
                      </w:p>
                    </w:tc>
                    <w:tc>
                      <w:tcPr>
                        <w:tcW w:w="135" w:type="dxa"/>
                        <w:tcBorders>
                          <w:top w:val="single" w:sz="12" w:space="0" w:color="000000"/>
                          <w:left w:val="nil" w:sz="6" w:space="0" w:color="auto"/>
                          <w:bottom w:val="nil" w:sz="6" w:space="0" w:color="auto"/>
                          <w:right w:val="nil" w:sz="6" w:space="0" w:color="auto"/>
                        </w:tcBorders>
                      </w:tcPr>
                      <w:p>
                        <w:pPr/>
                      </w:p>
                    </w:tc>
                    <w:tc>
                      <w:tcPr>
                        <w:tcW w:w="1598" w:type="dxa"/>
                        <w:tcBorders>
                          <w:top w:val="single" w:sz="12" w:space="0" w:color="000000"/>
                          <w:left w:val="nil" w:sz="6" w:space="0" w:color="auto"/>
                          <w:bottom w:val="nil" w:sz="6" w:space="0" w:color="auto"/>
                          <w:right w:val="nil" w:sz="6" w:space="0" w:color="auto"/>
                        </w:tcBorders>
                      </w:tcPr>
                      <w:p>
                        <w:pPr/>
                      </w:p>
                    </w:tc>
                  </w:tr>
                  <w:tr>
                    <w:trPr>
                      <w:trHeight w:val="588" w:hRule="exact"/>
                    </w:trPr>
                    <w:tc>
                      <w:tcPr>
                        <w:tcW w:w="781" w:type="dxa"/>
                        <w:tcBorders>
                          <w:top w:val="nil" w:sz="6" w:space="0" w:color="auto"/>
                          <w:left w:val="nil" w:sz="6" w:space="0" w:color="auto"/>
                          <w:bottom w:val="nil" w:sz="6" w:space="0" w:color="auto"/>
                          <w:right w:val="nil" w:sz="6" w:space="0" w:color="auto"/>
                        </w:tcBorders>
                      </w:tcPr>
                      <w:p>
                        <w:pPr/>
                      </w:p>
                    </w:tc>
                    <w:tc>
                      <w:tcPr>
                        <w:tcW w:w="34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53" w:right="0"/>
                          <w:jc w:val="left"/>
                          <w:rPr>
                            <w:rFonts w:ascii="宋体" w:hAnsi="宋体" w:cs="宋体" w:eastAsia="宋体" w:hint="default"/>
                            <w:sz w:val="24"/>
                            <w:szCs w:val="24"/>
                          </w:rPr>
                        </w:pPr>
                        <w:r>
                          <w:rPr>
                            <w:rFonts w:ascii="宋体" w:hAnsi="宋体" w:cs="宋体" w:eastAsia="宋体" w:hint="default"/>
                            <w:sz w:val="24"/>
                            <w:szCs w:val="24"/>
                          </w:rPr>
                          <w:t>按行业分析如下：</w:t>
                        </w:r>
                      </w:p>
                    </w:tc>
                    <w:tc>
                      <w:tcPr>
                        <w:tcW w:w="13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455"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c>
                      <w:tcPr>
                        <w:tcW w:w="352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00"/>
                          <w:ind w:left="6" w:right="0"/>
                          <w:jc w:val="center"/>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3466"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00"/>
                          <w:ind w:left="1272"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499"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c>
                      <w:tcPr>
                        <w:tcW w:w="1675" w:type="dxa"/>
                        <w:tcBorders>
                          <w:top w:val="single" w:sz="4" w:space="0" w:color="000000"/>
                          <w:left w:val="nil" w:sz="6" w:space="0" w:color="auto"/>
                          <w:bottom w:val="nil" w:sz="6" w:space="0" w:color="auto"/>
                          <w:right w:val="nil" w:sz="6" w:space="0" w:color="auto"/>
                        </w:tcBorders>
                      </w:tcPr>
                      <w:p>
                        <w:pPr>
                          <w:pStyle w:val="TableParagraph"/>
                          <w:spacing w:line="274" w:lineRule="exact"/>
                          <w:ind w:right="53"/>
                          <w:jc w:val="right"/>
                          <w:rPr>
                            <w:rFonts w:ascii="宋体" w:hAnsi="宋体" w:cs="宋体" w:eastAsia="宋体" w:hint="default"/>
                            <w:sz w:val="24"/>
                            <w:szCs w:val="24"/>
                          </w:rPr>
                        </w:pPr>
                        <w:r>
                          <w:rPr>
                            <w:rFonts w:ascii="宋体" w:hAnsi="宋体" w:cs="宋体" w:eastAsia="宋体" w:hint="default"/>
                            <w:sz w:val="24"/>
                            <w:szCs w:val="24"/>
                          </w:rPr>
                          <w:t>主营业务收入</w:t>
                        </w:r>
                      </w:p>
                    </w:tc>
                    <w:tc>
                      <w:tcPr>
                        <w:tcW w:w="134" w:type="dxa"/>
                        <w:tcBorders>
                          <w:top w:val="single" w:sz="4" w:space="0" w:color="000000"/>
                          <w:left w:val="nil" w:sz="6" w:space="0" w:color="auto"/>
                          <w:bottom w:val="nil" w:sz="6" w:space="0" w:color="auto"/>
                          <w:right w:val="nil" w:sz="6" w:space="0" w:color="auto"/>
                        </w:tcBorders>
                      </w:tcPr>
                      <w:p>
                        <w:pPr/>
                      </w:p>
                    </w:tc>
                    <w:tc>
                      <w:tcPr>
                        <w:tcW w:w="1716" w:type="dxa"/>
                        <w:tcBorders>
                          <w:top w:val="single" w:sz="4" w:space="0" w:color="000000"/>
                          <w:left w:val="nil" w:sz="6" w:space="0" w:color="auto"/>
                          <w:bottom w:val="nil" w:sz="6" w:space="0" w:color="auto"/>
                          <w:right w:val="nil" w:sz="6" w:space="0" w:color="auto"/>
                        </w:tcBorders>
                      </w:tcPr>
                      <w:p>
                        <w:pPr>
                          <w:pStyle w:val="TableParagraph"/>
                          <w:spacing w:line="274" w:lineRule="exact"/>
                          <w:ind w:right="53"/>
                          <w:jc w:val="right"/>
                          <w:rPr>
                            <w:rFonts w:ascii="宋体" w:hAnsi="宋体" w:cs="宋体" w:eastAsia="宋体" w:hint="default"/>
                            <w:sz w:val="24"/>
                            <w:szCs w:val="24"/>
                          </w:rPr>
                        </w:pPr>
                        <w:r>
                          <w:rPr>
                            <w:rFonts w:ascii="宋体" w:hAnsi="宋体" w:cs="宋体" w:eastAsia="宋体" w:hint="default"/>
                            <w:sz w:val="24"/>
                            <w:szCs w:val="24"/>
                          </w:rPr>
                          <w:t>主营业务成本</w:t>
                        </w: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single" w:sz="4" w:space="0" w:color="000000"/>
                          <w:left w:val="nil" w:sz="6" w:space="0" w:color="auto"/>
                          <w:bottom w:val="nil" w:sz="6" w:space="0" w:color="auto"/>
                          <w:right w:val="nil" w:sz="6" w:space="0" w:color="auto"/>
                        </w:tcBorders>
                      </w:tcPr>
                      <w:p>
                        <w:pPr>
                          <w:pStyle w:val="TableParagraph"/>
                          <w:spacing w:line="274" w:lineRule="exact"/>
                          <w:ind w:left="88"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35" w:type="dxa"/>
                        <w:tcBorders>
                          <w:top w:val="single" w:sz="4" w:space="0" w:color="000000"/>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nil" w:sz="6" w:space="0" w:color="auto"/>
                          <w:right w:val="nil" w:sz="6" w:space="0" w:color="auto"/>
                        </w:tcBorders>
                      </w:tcPr>
                      <w:p>
                        <w:pPr>
                          <w:pStyle w:val="TableParagraph"/>
                          <w:spacing w:line="274" w:lineRule="exact"/>
                          <w:ind w:right="53"/>
                          <w:jc w:val="righ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511"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53" w:right="0"/>
                          <w:jc w:val="left"/>
                          <w:rPr>
                            <w:rFonts w:ascii="宋体" w:hAnsi="宋体" w:cs="宋体" w:eastAsia="宋体" w:hint="default"/>
                            <w:sz w:val="24"/>
                            <w:szCs w:val="24"/>
                          </w:rPr>
                        </w:pPr>
                        <w:r>
                          <w:rPr>
                            <w:rFonts w:ascii="宋体" w:hAnsi="宋体" w:cs="宋体" w:eastAsia="宋体" w:hint="default"/>
                            <w:sz w:val="24"/>
                            <w:szCs w:val="24"/>
                          </w:rPr>
                          <w:t>零售批发行业</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Arial" w:hAnsi="Arial" w:cs="Arial" w:eastAsia="Arial" w:hint="default"/>
                            <w:sz w:val="19"/>
                            <w:szCs w:val="19"/>
                          </w:rPr>
                        </w:pPr>
                      </w:p>
                      <w:p>
                        <w:pPr>
                          <w:pStyle w:val="TableParagraph"/>
                          <w:spacing w:line="240" w:lineRule="auto"/>
                          <w:ind w:right="53"/>
                          <w:jc w:val="right"/>
                          <w:rPr>
                            <w:rFonts w:ascii="Arial" w:hAnsi="Arial" w:cs="Arial" w:eastAsia="Arial" w:hint="default"/>
                            <w:sz w:val="24"/>
                            <w:szCs w:val="24"/>
                          </w:rPr>
                        </w:pPr>
                        <w:r>
                          <w:rPr>
                            <w:rFonts w:ascii="Arial"/>
                            <w:spacing w:val="-1"/>
                            <w:sz w:val="24"/>
                          </w:rPr>
                          <w:t>96,138,638</w:t>
                        </w:r>
                      </w:p>
                    </w:tc>
                    <w:tc>
                      <w:tcPr>
                        <w:tcW w:w="13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Arial" w:hAnsi="Arial" w:cs="Arial" w:eastAsia="Arial" w:hint="default"/>
                            <w:sz w:val="19"/>
                            <w:szCs w:val="19"/>
                          </w:rPr>
                        </w:pPr>
                      </w:p>
                      <w:p>
                        <w:pPr>
                          <w:pStyle w:val="TableParagraph"/>
                          <w:spacing w:line="240" w:lineRule="auto"/>
                          <w:ind w:right="50"/>
                          <w:jc w:val="right"/>
                          <w:rPr>
                            <w:rFonts w:ascii="Arial" w:hAnsi="Arial" w:cs="Arial" w:eastAsia="Arial" w:hint="default"/>
                            <w:sz w:val="24"/>
                            <w:szCs w:val="24"/>
                          </w:rPr>
                        </w:pPr>
                        <w:r>
                          <w:rPr>
                            <w:rFonts w:ascii="Arial"/>
                            <w:spacing w:val="-1"/>
                            <w:sz w:val="24"/>
                          </w:rPr>
                          <w:t>79,955,577</w:t>
                        </w: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Arial" w:hAnsi="Arial" w:cs="Arial" w:eastAsia="Arial" w:hint="default"/>
                            <w:sz w:val="19"/>
                            <w:szCs w:val="19"/>
                          </w:rPr>
                        </w:pPr>
                      </w:p>
                      <w:p>
                        <w:pPr>
                          <w:pStyle w:val="TableParagraph"/>
                          <w:spacing w:line="240" w:lineRule="auto"/>
                          <w:ind w:left="316" w:right="0"/>
                          <w:jc w:val="left"/>
                          <w:rPr>
                            <w:rFonts w:ascii="Arial" w:hAnsi="Arial" w:cs="Arial" w:eastAsia="Arial" w:hint="default"/>
                            <w:sz w:val="24"/>
                            <w:szCs w:val="24"/>
                          </w:rPr>
                        </w:pPr>
                        <w:r>
                          <w:rPr>
                            <w:rFonts w:ascii="Arial"/>
                            <w:sz w:val="24"/>
                          </w:rPr>
                          <w:t>91,555,766</w:t>
                        </w: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Arial" w:hAnsi="Arial" w:cs="Arial" w:eastAsia="Arial" w:hint="default"/>
                            <w:sz w:val="19"/>
                            <w:szCs w:val="19"/>
                          </w:rPr>
                        </w:pPr>
                      </w:p>
                      <w:p>
                        <w:pPr>
                          <w:pStyle w:val="TableParagraph"/>
                          <w:spacing w:line="240" w:lineRule="auto"/>
                          <w:ind w:right="71"/>
                          <w:jc w:val="right"/>
                          <w:rPr>
                            <w:rFonts w:ascii="Arial" w:hAnsi="Arial" w:cs="Arial" w:eastAsia="Arial" w:hint="default"/>
                            <w:sz w:val="24"/>
                            <w:szCs w:val="24"/>
                          </w:rPr>
                        </w:pPr>
                        <w:r>
                          <w:rPr>
                            <w:rFonts w:ascii="Arial"/>
                            <w:spacing w:val="-1"/>
                            <w:sz w:val="24"/>
                          </w:rPr>
                          <w:t>75,255,210</w:t>
                        </w:r>
                      </w:p>
                    </w:tc>
                  </w:tr>
                  <w:tr>
                    <w:trPr>
                      <w:trHeight w:val="311"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62" w:lineRule="exact"/>
                          <w:ind w:left="153" w:right="0"/>
                          <w:jc w:val="left"/>
                          <w:rPr>
                            <w:rFonts w:ascii="宋体" w:hAnsi="宋体" w:cs="宋体" w:eastAsia="宋体" w:hint="default"/>
                            <w:sz w:val="24"/>
                            <w:szCs w:val="24"/>
                          </w:rPr>
                        </w:pPr>
                        <w:r>
                          <w:rPr>
                            <w:rFonts w:ascii="宋体" w:hAnsi="宋体" w:cs="宋体" w:eastAsia="宋体" w:hint="default"/>
                            <w:sz w:val="24"/>
                            <w:szCs w:val="24"/>
                          </w:rPr>
                          <w:t>安装维修行业</w:t>
                        </w:r>
                      </w:p>
                    </w:tc>
                    <w:tc>
                      <w:tcPr>
                        <w:tcW w:w="1675" w:type="dxa"/>
                        <w:tcBorders>
                          <w:top w:val="nil" w:sz="6" w:space="0" w:color="auto"/>
                          <w:left w:val="nil" w:sz="6" w:space="0" w:color="auto"/>
                          <w:bottom w:val="nil" w:sz="6" w:space="0" w:color="auto"/>
                          <w:right w:val="nil" w:sz="6" w:space="0" w:color="auto"/>
                        </w:tcBorders>
                      </w:tcPr>
                      <w:p>
                        <w:pPr>
                          <w:pStyle w:val="TableParagraph"/>
                          <w:tabs>
                            <w:tab w:pos="751" w:val="left" w:leader="none"/>
                          </w:tabs>
                          <w:spacing w:line="240" w:lineRule="auto" w:before="17"/>
                          <w:ind w:right="52"/>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868,153</w:t>
                        </w:r>
                        <w:r>
                          <w:rPr>
                            <w:rFonts w:ascii="Arial"/>
                            <w:spacing w:val="-1"/>
                            <w:sz w:val="24"/>
                          </w:rPr>
                        </w:r>
                      </w:p>
                    </w:tc>
                    <w:tc>
                      <w:tcPr>
                        <w:tcW w:w="13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tabs>
                            <w:tab w:pos="792" w:val="left" w:leader="none"/>
                          </w:tabs>
                          <w:spacing w:line="240" w:lineRule="auto" w:before="17"/>
                          <w:ind w:right="5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625,810</w:t>
                        </w:r>
                        <w:r>
                          <w:rPr>
                            <w:rFonts w:ascii="Arial"/>
                            <w:spacing w:val="-1"/>
                            <w:sz w:val="24"/>
                          </w:rPr>
                        </w: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tabs>
                            <w:tab w:pos="669" w:val="left" w:leader="none"/>
                            <w:tab w:pos="1586" w:val="left" w:leader="none"/>
                          </w:tabs>
                          <w:spacing w:line="240" w:lineRule="auto" w:before="17"/>
                          <w:ind w:left="-1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3"/>
                            <w:sz w:val="24"/>
                            <w:u w:val="single" w:color="000000"/>
                          </w:rPr>
                          <w:t>909,611</w:t>
                          <w:tab/>
                        </w:r>
                        <w:r>
                          <w:rPr>
                            <w:rFonts w:ascii="Arial"/>
                            <w:spacing w:val="-3"/>
                            <w:sz w:val="24"/>
                          </w:rPr>
                        </w: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tabs>
                            <w:tab w:pos="657" w:val="left" w:leader="none"/>
                            <w:tab w:pos="1598" w:val="left" w:leader="none"/>
                          </w:tabs>
                          <w:spacing w:line="240" w:lineRule="auto" w:before="17"/>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600,399</w:t>
                          <w:tab/>
                        </w:r>
                        <w:r>
                          <w:rPr>
                            <w:rFonts w:ascii="Arial"/>
                            <w:spacing w:val="-1"/>
                            <w:sz w:val="24"/>
                          </w:rPr>
                        </w:r>
                      </w:p>
                    </w:tc>
                  </w:tr>
                  <w:tr>
                    <w:trPr>
                      <w:trHeight w:val="287" w:hRule="exact"/>
                    </w:trPr>
                    <w:tc>
                      <w:tcPr>
                        <w:tcW w:w="781" w:type="dxa"/>
                        <w:tcBorders>
                          <w:top w:val="nil" w:sz="6" w:space="0" w:color="auto"/>
                          <w:left w:val="nil" w:sz="6" w:space="0" w:color="auto"/>
                          <w:bottom w:val="nil" w:sz="6" w:space="0" w:color="auto"/>
                          <w:right w:val="nil" w:sz="6" w:space="0" w:color="auto"/>
                        </w:tcBorders>
                      </w:tcPr>
                      <w:p>
                        <w:pPr/>
                      </w:p>
                    </w:tc>
                    <w:tc>
                      <w:tcPr>
                        <w:tcW w:w="3459"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left="2201" w:right="0"/>
                          <w:jc w:val="left"/>
                          <w:rPr>
                            <w:rFonts w:ascii="Arial" w:hAnsi="Arial" w:cs="Arial" w:eastAsia="Arial" w:hint="default"/>
                            <w:sz w:val="24"/>
                            <w:szCs w:val="24"/>
                          </w:rPr>
                        </w:pPr>
                        <w:r>
                          <w:rPr>
                            <w:rFonts w:ascii="Arial"/>
                            <w:sz w:val="24"/>
                          </w:rPr>
                          <w:t>97,006,791</w:t>
                        </w:r>
                      </w:p>
                    </w:tc>
                    <w:tc>
                      <w:tcPr>
                        <w:tcW w:w="13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single" w:sz="12" w:space="0" w:color="000000"/>
                          <w:right w:val="nil" w:sz="6" w:space="0" w:color="auto"/>
                        </w:tcBorders>
                      </w:tcPr>
                      <w:p>
                        <w:pPr>
                          <w:pStyle w:val="TableParagraph"/>
                          <w:spacing w:line="268" w:lineRule="exact"/>
                          <w:ind w:right="53"/>
                          <w:jc w:val="right"/>
                          <w:rPr>
                            <w:rFonts w:ascii="Arial" w:hAnsi="Arial" w:cs="Arial" w:eastAsia="Arial" w:hint="default"/>
                            <w:sz w:val="24"/>
                            <w:szCs w:val="24"/>
                          </w:rPr>
                        </w:pPr>
                        <w:r>
                          <w:rPr>
                            <w:rFonts w:ascii="Arial"/>
                            <w:spacing w:val="-1"/>
                            <w:sz w:val="24"/>
                          </w:rPr>
                          <w:t>80,581,387</w:t>
                        </w: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single" w:sz="12" w:space="0" w:color="000000"/>
                          <w:right w:val="nil" w:sz="6" w:space="0" w:color="auto"/>
                        </w:tcBorders>
                      </w:tcPr>
                      <w:p>
                        <w:pPr>
                          <w:pStyle w:val="TableParagraph"/>
                          <w:spacing w:line="268" w:lineRule="exact"/>
                          <w:ind w:left="316" w:right="0"/>
                          <w:jc w:val="left"/>
                          <w:rPr>
                            <w:rFonts w:ascii="Arial" w:hAnsi="Arial" w:cs="Arial" w:eastAsia="Arial" w:hint="default"/>
                            <w:sz w:val="24"/>
                            <w:szCs w:val="24"/>
                          </w:rPr>
                        </w:pPr>
                        <w:r>
                          <w:rPr>
                            <w:rFonts w:ascii="Arial"/>
                            <w:sz w:val="24"/>
                          </w:rPr>
                          <w:t>92,465,377</w:t>
                        </w: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12" w:space="0" w:color="000000"/>
                          <w:right w:val="nil" w:sz="6" w:space="0" w:color="auto"/>
                        </w:tcBorders>
                      </w:tcPr>
                      <w:p>
                        <w:pPr>
                          <w:pStyle w:val="TableParagraph"/>
                          <w:spacing w:line="268" w:lineRule="exact"/>
                          <w:ind w:right="71"/>
                          <w:jc w:val="right"/>
                          <w:rPr>
                            <w:rFonts w:ascii="Arial" w:hAnsi="Arial" w:cs="Arial" w:eastAsia="Arial" w:hint="default"/>
                            <w:sz w:val="24"/>
                            <w:szCs w:val="24"/>
                          </w:rPr>
                        </w:pPr>
                        <w:r>
                          <w:rPr>
                            <w:rFonts w:ascii="Arial"/>
                            <w:spacing w:val="-1"/>
                            <w:sz w:val="24"/>
                          </w:rPr>
                          <w:t>75,855,609</w:t>
                        </w:r>
                      </w:p>
                    </w:tc>
                  </w:tr>
                  <w:tr>
                    <w:trPr>
                      <w:trHeight w:val="741" w:hRule="exact"/>
                    </w:trPr>
                    <w:tc>
                      <w:tcPr>
                        <w:tcW w:w="781" w:type="dxa"/>
                        <w:tcBorders>
                          <w:top w:val="nil" w:sz="6" w:space="0" w:color="auto"/>
                          <w:left w:val="nil" w:sz="6" w:space="0" w:color="auto"/>
                          <w:bottom w:val="nil" w:sz="6" w:space="0" w:color="auto"/>
                          <w:right w:val="nil" w:sz="6" w:space="0" w:color="auto"/>
                        </w:tcBorders>
                      </w:tcPr>
                      <w:p>
                        <w:pPr/>
                      </w:p>
                    </w:tc>
                    <w:tc>
                      <w:tcPr>
                        <w:tcW w:w="34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21"/>
                            <w:szCs w:val="21"/>
                          </w:rPr>
                        </w:pPr>
                      </w:p>
                      <w:p>
                        <w:pPr>
                          <w:pStyle w:val="TableParagraph"/>
                          <w:spacing w:line="240" w:lineRule="auto"/>
                          <w:ind w:left="153" w:right="0"/>
                          <w:jc w:val="left"/>
                          <w:rPr>
                            <w:rFonts w:ascii="宋体" w:hAnsi="宋体" w:cs="宋体" w:eastAsia="宋体" w:hint="default"/>
                            <w:sz w:val="24"/>
                            <w:szCs w:val="24"/>
                          </w:rPr>
                        </w:pPr>
                        <w:r>
                          <w:rPr>
                            <w:rFonts w:ascii="宋体" w:hAnsi="宋体" w:cs="宋体" w:eastAsia="宋体" w:hint="default"/>
                            <w:sz w:val="24"/>
                            <w:szCs w:val="24"/>
                          </w:rPr>
                          <w:t>按产品分析如下：</w:t>
                        </w:r>
                      </w:p>
                    </w:tc>
                    <w:tc>
                      <w:tcPr>
                        <w:tcW w:w="134" w:type="dxa"/>
                        <w:tcBorders>
                          <w:top w:val="nil" w:sz="6" w:space="0" w:color="auto"/>
                          <w:left w:val="nil" w:sz="6" w:space="0" w:color="auto"/>
                          <w:bottom w:val="nil" w:sz="6" w:space="0" w:color="auto"/>
                          <w:right w:val="nil" w:sz="6" w:space="0" w:color="auto"/>
                        </w:tcBorders>
                      </w:tcPr>
                      <w:p>
                        <w:pPr/>
                      </w:p>
                    </w:tc>
                    <w:tc>
                      <w:tcPr>
                        <w:tcW w:w="1716" w:type="dxa"/>
                        <w:tcBorders>
                          <w:top w:val="single" w:sz="12" w:space="0" w:color="000000"/>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single" w:sz="12" w:space="0" w:color="000000"/>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single" w:sz="12" w:space="0" w:color="000000"/>
                          <w:left w:val="nil" w:sz="6" w:space="0" w:color="auto"/>
                          <w:bottom w:val="nil" w:sz="6" w:space="0" w:color="auto"/>
                          <w:right w:val="nil" w:sz="6" w:space="0" w:color="auto"/>
                        </w:tcBorders>
                      </w:tcPr>
                      <w:p>
                        <w:pPr/>
                      </w:p>
                    </w:tc>
                  </w:tr>
                  <w:tr>
                    <w:trPr>
                      <w:trHeight w:val="455"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c>
                      <w:tcPr>
                        <w:tcW w:w="352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00"/>
                          <w:ind w:left="6" w:right="0"/>
                          <w:jc w:val="center"/>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3466"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00"/>
                          <w:ind w:left="1284"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466"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c>
                      <w:tcPr>
                        <w:tcW w:w="1675" w:type="dxa"/>
                        <w:tcBorders>
                          <w:top w:val="single" w:sz="4" w:space="0" w:color="000000"/>
                          <w:left w:val="nil" w:sz="6" w:space="0" w:color="auto"/>
                          <w:bottom w:val="nil" w:sz="6" w:space="0" w:color="auto"/>
                          <w:right w:val="nil" w:sz="6" w:space="0" w:color="auto"/>
                        </w:tcBorders>
                      </w:tcPr>
                      <w:p>
                        <w:pPr>
                          <w:pStyle w:val="TableParagraph"/>
                          <w:spacing w:line="274" w:lineRule="exact"/>
                          <w:ind w:right="35"/>
                          <w:jc w:val="right"/>
                          <w:rPr>
                            <w:rFonts w:ascii="宋体" w:hAnsi="宋体" w:cs="宋体" w:eastAsia="宋体" w:hint="default"/>
                            <w:sz w:val="24"/>
                            <w:szCs w:val="24"/>
                          </w:rPr>
                        </w:pPr>
                        <w:r>
                          <w:rPr>
                            <w:rFonts w:ascii="宋体" w:hAnsi="宋体" w:cs="宋体" w:eastAsia="宋体" w:hint="default"/>
                            <w:sz w:val="24"/>
                            <w:szCs w:val="24"/>
                          </w:rPr>
                          <w:t>主营业务收入</w:t>
                        </w:r>
                      </w:p>
                    </w:tc>
                    <w:tc>
                      <w:tcPr>
                        <w:tcW w:w="134" w:type="dxa"/>
                        <w:tcBorders>
                          <w:top w:val="single" w:sz="4" w:space="0" w:color="000000"/>
                          <w:left w:val="nil" w:sz="6" w:space="0" w:color="auto"/>
                          <w:bottom w:val="nil" w:sz="6" w:space="0" w:color="auto"/>
                          <w:right w:val="nil" w:sz="6" w:space="0" w:color="auto"/>
                        </w:tcBorders>
                      </w:tcPr>
                      <w:p>
                        <w:pPr/>
                      </w:p>
                    </w:tc>
                    <w:tc>
                      <w:tcPr>
                        <w:tcW w:w="1716" w:type="dxa"/>
                        <w:tcBorders>
                          <w:top w:val="single" w:sz="4" w:space="0" w:color="000000"/>
                          <w:left w:val="nil" w:sz="6" w:space="0" w:color="auto"/>
                          <w:bottom w:val="nil" w:sz="6" w:space="0" w:color="auto"/>
                          <w:right w:val="nil" w:sz="6" w:space="0" w:color="auto"/>
                        </w:tcBorders>
                      </w:tcPr>
                      <w:p>
                        <w:pPr>
                          <w:pStyle w:val="TableParagraph"/>
                          <w:spacing w:line="274" w:lineRule="exact"/>
                          <w:ind w:right="56"/>
                          <w:jc w:val="right"/>
                          <w:rPr>
                            <w:rFonts w:ascii="宋体" w:hAnsi="宋体" w:cs="宋体" w:eastAsia="宋体" w:hint="default"/>
                            <w:sz w:val="24"/>
                            <w:szCs w:val="24"/>
                          </w:rPr>
                        </w:pPr>
                        <w:r>
                          <w:rPr>
                            <w:rFonts w:ascii="宋体" w:hAnsi="宋体" w:cs="宋体" w:eastAsia="宋体" w:hint="default"/>
                            <w:sz w:val="24"/>
                            <w:szCs w:val="24"/>
                          </w:rPr>
                          <w:t>主营业务成本</w:t>
                        </w: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single" w:sz="4" w:space="0" w:color="000000"/>
                          <w:left w:val="nil" w:sz="6" w:space="0" w:color="auto"/>
                          <w:bottom w:val="nil" w:sz="6" w:space="0" w:color="auto"/>
                          <w:right w:val="nil" w:sz="6" w:space="0" w:color="auto"/>
                        </w:tcBorders>
                      </w:tcPr>
                      <w:p>
                        <w:pPr>
                          <w:pStyle w:val="TableParagraph"/>
                          <w:spacing w:line="274" w:lineRule="exact"/>
                          <w:ind w:left="91"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35" w:type="dxa"/>
                        <w:tcBorders>
                          <w:top w:val="single" w:sz="4" w:space="0" w:color="000000"/>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nil" w:sz="6" w:space="0" w:color="auto"/>
                          <w:right w:val="nil" w:sz="6" w:space="0" w:color="auto"/>
                        </w:tcBorders>
                      </w:tcPr>
                      <w:p>
                        <w:pPr>
                          <w:pStyle w:val="TableParagraph"/>
                          <w:spacing w:line="274" w:lineRule="exact"/>
                          <w:ind w:right="53"/>
                          <w:jc w:val="righ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478"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53" w:right="0"/>
                          <w:jc w:val="left"/>
                          <w:rPr>
                            <w:rFonts w:ascii="宋体" w:hAnsi="宋体" w:cs="宋体" w:eastAsia="宋体" w:hint="default"/>
                            <w:sz w:val="24"/>
                            <w:szCs w:val="24"/>
                          </w:rPr>
                        </w:pPr>
                        <w:r>
                          <w:rPr>
                            <w:rFonts w:ascii="宋体" w:hAnsi="宋体" w:cs="宋体" w:eastAsia="宋体" w:hint="default"/>
                            <w:sz w:val="24"/>
                            <w:szCs w:val="24"/>
                          </w:rPr>
                          <w:t>黑色电器产品</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85"/>
                          <w:ind w:right="32"/>
                          <w:jc w:val="right"/>
                          <w:rPr>
                            <w:rFonts w:ascii="Arial" w:hAnsi="Arial" w:cs="Arial" w:eastAsia="Arial" w:hint="default"/>
                            <w:sz w:val="24"/>
                            <w:szCs w:val="24"/>
                          </w:rPr>
                        </w:pPr>
                        <w:r>
                          <w:rPr>
                            <w:rFonts w:ascii="Arial"/>
                            <w:spacing w:val="-1"/>
                            <w:sz w:val="24"/>
                          </w:rPr>
                          <w:t>21,408,773</w:t>
                        </w:r>
                      </w:p>
                    </w:tc>
                    <w:tc>
                      <w:tcPr>
                        <w:tcW w:w="13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85"/>
                          <w:ind w:right="55"/>
                          <w:jc w:val="right"/>
                          <w:rPr>
                            <w:rFonts w:ascii="Arial" w:hAnsi="Arial" w:cs="Arial" w:eastAsia="Arial" w:hint="default"/>
                            <w:sz w:val="24"/>
                            <w:szCs w:val="24"/>
                          </w:rPr>
                        </w:pPr>
                        <w:r>
                          <w:rPr>
                            <w:rFonts w:ascii="Arial"/>
                            <w:spacing w:val="-1"/>
                            <w:sz w:val="24"/>
                          </w:rPr>
                          <w:t>17,108,058</w:t>
                        </w: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85"/>
                          <w:ind w:left="307" w:right="0"/>
                          <w:jc w:val="left"/>
                          <w:rPr>
                            <w:rFonts w:ascii="Arial" w:hAnsi="Arial" w:cs="Arial" w:eastAsia="Arial" w:hint="default"/>
                            <w:sz w:val="24"/>
                            <w:szCs w:val="24"/>
                          </w:rPr>
                        </w:pPr>
                        <w:r>
                          <w:rPr>
                            <w:rFonts w:ascii="Arial"/>
                            <w:sz w:val="24"/>
                          </w:rPr>
                          <w:t>23,696,928</w:t>
                        </w: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85"/>
                          <w:ind w:right="67"/>
                          <w:jc w:val="right"/>
                          <w:rPr>
                            <w:rFonts w:ascii="Arial" w:hAnsi="Arial" w:cs="Arial" w:eastAsia="Arial" w:hint="default"/>
                            <w:sz w:val="24"/>
                            <w:szCs w:val="24"/>
                          </w:rPr>
                        </w:pPr>
                        <w:r>
                          <w:rPr>
                            <w:rFonts w:ascii="Arial"/>
                            <w:spacing w:val="-1"/>
                            <w:sz w:val="24"/>
                          </w:rPr>
                          <w:t>18,776,020</w:t>
                        </w:r>
                      </w:p>
                    </w:tc>
                  </w:tr>
                  <w:tr>
                    <w:trPr>
                      <w:trHeight w:val="312"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62" w:lineRule="exact"/>
                          <w:ind w:left="153" w:right="0"/>
                          <w:jc w:val="left"/>
                          <w:rPr>
                            <w:rFonts w:ascii="宋体" w:hAnsi="宋体" w:cs="宋体" w:eastAsia="宋体" w:hint="default"/>
                            <w:sz w:val="24"/>
                            <w:szCs w:val="24"/>
                          </w:rPr>
                        </w:pPr>
                        <w:r>
                          <w:rPr>
                            <w:rFonts w:ascii="宋体" w:hAnsi="宋体" w:cs="宋体" w:eastAsia="宋体" w:hint="default"/>
                            <w:sz w:val="24"/>
                            <w:szCs w:val="24"/>
                          </w:rPr>
                          <w:t>白色电器产品</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right"/>
                          <w:rPr>
                            <w:rFonts w:ascii="Arial" w:hAnsi="Arial" w:cs="Arial" w:eastAsia="Arial" w:hint="default"/>
                            <w:sz w:val="24"/>
                            <w:szCs w:val="24"/>
                          </w:rPr>
                        </w:pPr>
                        <w:r>
                          <w:rPr>
                            <w:rFonts w:ascii="Arial"/>
                            <w:spacing w:val="-1"/>
                            <w:sz w:val="24"/>
                          </w:rPr>
                          <w:t>15,507,326</w:t>
                        </w:r>
                      </w:p>
                    </w:tc>
                    <w:tc>
                      <w:tcPr>
                        <w:tcW w:w="13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5"/>
                          <w:jc w:val="right"/>
                          <w:rPr>
                            <w:rFonts w:ascii="Arial" w:hAnsi="Arial" w:cs="Arial" w:eastAsia="Arial" w:hint="default"/>
                            <w:sz w:val="24"/>
                            <w:szCs w:val="24"/>
                          </w:rPr>
                        </w:pPr>
                        <w:r>
                          <w:rPr>
                            <w:rFonts w:ascii="Arial"/>
                            <w:spacing w:val="-1"/>
                            <w:sz w:val="24"/>
                          </w:rPr>
                          <w:t>12,218,743</w:t>
                        </w: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07" w:right="0"/>
                          <w:jc w:val="left"/>
                          <w:rPr>
                            <w:rFonts w:ascii="Arial" w:hAnsi="Arial" w:cs="Arial" w:eastAsia="Arial" w:hint="default"/>
                            <w:sz w:val="24"/>
                            <w:szCs w:val="24"/>
                          </w:rPr>
                        </w:pPr>
                        <w:r>
                          <w:rPr>
                            <w:rFonts w:ascii="Arial"/>
                            <w:sz w:val="24"/>
                          </w:rPr>
                          <w:t>15,687,100</w:t>
                        </w: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7"/>
                          <w:jc w:val="right"/>
                          <w:rPr>
                            <w:rFonts w:ascii="Arial" w:hAnsi="Arial" w:cs="Arial" w:eastAsia="Arial" w:hint="default"/>
                            <w:sz w:val="24"/>
                            <w:szCs w:val="24"/>
                          </w:rPr>
                        </w:pPr>
                        <w:r>
                          <w:rPr>
                            <w:rFonts w:ascii="Arial"/>
                            <w:spacing w:val="-1"/>
                            <w:sz w:val="24"/>
                          </w:rPr>
                          <w:t>12,135,406</w:t>
                        </w:r>
                      </w:p>
                    </w:tc>
                  </w:tr>
                  <w:tr>
                    <w:trPr>
                      <w:trHeight w:val="310"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79" w:lineRule="exact"/>
                          <w:ind w:left="153" w:right="0"/>
                          <w:jc w:val="left"/>
                          <w:rPr>
                            <w:rFonts w:ascii="宋体" w:hAnsi="宋体" w:cs="宋体" w:eastAsia="宋体" w:hint="default"/>
                            <w:sz w:val="24"/>
                            <w:szCs w:val="24"/>
                          </w:rPr>
                        </w:pPr>
                        <w:r>
                          <w:rPr>
                            <w:rFonts w:ascii="宋体" w:hAnsi="宋体" w:cs="宋体" w:eastAsia="宋体" w:hint="default"/>
                            <w:sz w:val="24"/>
                            <w:szCs w:val="24"/>
                          </w:rPr>
                          <w:t>数码及</w:t>
                        </w:r>
                        <w:r>
                          <w:rPr>
                            <w:rFonts w:ascii="宋体" w:hAnsi="宋体" w:cs="宋体" w:eastAsia="宋体" w:hint="default"/>
                            <w:spacing w:val="-60"/>
                            <w:sz w:val="24"/>
                            <w:szCs w:val="24"/>
                          </w:rPr>
                          <w:t> </w:t>
                        </w:r>
                        <w:r>
                          <w:rPr>
                            <w:rFonts w:ascii="Arial" w:hAnsi="Arial" w:cs="Arial" w:eastAsia="Arial" w:hint="default"/>
                            <w:sz w:val="24"/>
                            <w:szCs w:val="24"/>
                          </w:rPr>
                          <w:t>IT</w:t>
                        </w:r>
                        <w:r>
                          <w:rPr>
                            <w:rFonts w:ascii="Arial" w:hAnsi="Arial" w:cs="Arial" w:eastAsia="Arial" w:hint="default"/>
                            <w:spacing w:val="-5"/>
                            <w:sz w:val="24"/>
                            <w:szCs w:val="24"/>
                          </w:rPr>
                          <w:t> </w:t>
                        </w:r>
                        <w:r>
                          <w:rPr>
                            <w:rFonts w:ascii="宋体" w:hAnsi="宋体" w:cs="宋体" w:eastAsia="宋体" w:hint="default"/>
                            <w:sz w:val="24"/>
                            <w:szCs w:val="24"/>
                          </w:rPr>
                          <w:t>产品</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5"/>
                          <w:jc w:val="right"/>
                          <w:rPr>
                            <w:rFonts w:ascii="Arial" w:hAnsi="Arial" w:cs="Arial" w:eastAsia="Arial" w:hint="default"/>
                            <w:sz w:val="24"/>
                            <w:szCs w:val="24"/>
                          </w:rPr>
                        </w:pPr>
                        <w:r>
                          <w:rPr>
                            <w:rFonts w:ascii="Arial"/>
                            <w:spacing w:val="-1"/>
                            <w:sz w:val="24"/>
                          </w:rPr>
                          <w:t>18,448,785</w:t>
                        </w:r>
                      </w:p>
                    </w:tc>
                    <w:tc>
                      <w:tcPr>
                        <w:tcW w:w="13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5"/>
                          <w:jc w:val="right"/>
                          <w:rPr>
                            <w:rFonts w:ascii="Arial" w:hAnsi="Arial" w:cs="Arial" w:eastAsia="Arial" w:hint="default"/>
                            <w:sz w:val="24"/>
                            <w:szCs w:val="24"/>
                          </w:rPr>
                        </w:pPr>
                        <w:r>
                          <w:rPr>
                            <w:rFonts w:ascii="Arial"/>
                            <w:spacing w:val="-1"/>
                            <w:sz w:val="24"/>
                          </w:rPr>
                          <w:t>16,814,784</w:t>
                        </w: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07" w:right="0"/>
                          <w:jc w:val="left"/>
                          <w:rPr>
                            <w:rFonts w:ascii="Arial" w:hAnsi="Arial" w:cs="Arial" w:eastAsia="Arial" w:hint="default"/>
                            <w:sz w:val="24"/>
                            <w:szCs w:val="24"/>
                          </w:rPr>
                        </w:pPr>
                        <w:r>
                          <w:rPr>
                            <w:rFonts w:ascii="Arial"/>
                            <w:sz w:val="24"/>
                          </w:rPr>
                          <w:t>17,148,892</w:t>
                        </w: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7"/>
                          <w:jc w:val="right"/>
                          <w:rPr>
                            <w:rFonts w:ascii="Arial" w:hAnsi="Arial" w:cs="Arial" w:eastAsia="Arial" w:hint="default"/>
                            <w:sz w:val="24"/>
                            <w:szCs w:val="24"/>
                          </w:rPr>
                        </w:pPr>
                        <w:r>
                          <w:rPr>
                            <w:rFonts w:ascii="Arial"/>
                            <w:spacing w:val="-1"/>
                            <w:sz w:val="24"/>
                          </w:rPr>
                          <w:t>15,643,520</w:t>
                        </w:r>
                      </w:p>
                    </w:tc>
                  </w:tr>
                  <w:tr>
                    <w:trPr>
                      <w:trHeight w:val="312"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62" w:lineRule="exact"/>
                          <w:ind w:left="153" w:right="0"/>
                          <w:jc w:val="left"/>
                          <w:rPr>
                            <w:rFonts w:ascii="宋体" w:hAnsi="宋体" w:cs="宋体" w:eastAsia="宋体" w:hint="default"/>
                            <w:sz w:val="24"/>
                            <w:szCs w:val="24"/>
                          </w:rPr>
                        </w:pPr>
                        <w:r>
                          <w:rPr>
                            <w:rFonts w:ascii="宋体" w:hAnsi="宋体" w:cs="宋体" w:eastAsia="宋体" w:hint="default"/>
                            <w:sz w:val="24"/>
                            <w:szCs w:val="24"/>
                          </w:rPr>
                          <w:t>空调器产品</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right"/>
                          <w:rPr>
                            <w:rFonts w:ascii="Arial" w:hAnsi="Arial" w:cs="Arial" w:eastAsia="Arial" w:hint="default"/>
                            <w:sz w:val="24"/>
                            <w:szCs w:val="24"/>
                          </w:rPr>
                        </w:pPr>
                        <w:r>
                          <w:rPr>
                            <w:rFonts w:ascii="Arial"/>
                            <w:spacing w:val="-1"/>
                            <w:sz w:val="24"/>
                          </w:rPr>
                          <w:t>10,899,207</w:t>
                        </w:r>
                      </w:p>
                    </w:tc>
                    <w:tc>
                      <w:tcPr>
                        <w:tcW w:w="13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5"/>
                          <w:jc w:val="right"/>
                          <w:rPr>
                            <w:rFonts w:ascii="Arial" w:hAnsi="Arial" w:cs="Arial" w:eastAsia="Arial" w:hint="default"/>
                            <w:sz w:val="24"/>
                            <w:szCs w:val="24"/>
                          </w:rPr>
                        </w:pPr>
                        <w:r>
                          <w:rPr>
                            <w:rFonts w:ascii="Arial"/>
                            <w:spacing w:val="-1"/>
                            <w:sz w:val="24"/>
                          </w:rPr>
                          <w:t>8,706,706</w:t>
                        </w: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26" w:right="0"/>
                          <w:jc w:val="left"/>
                          <w:rPr>
                            <w:rFonts w:ascii="Arial" w:hAnsi="Arial" w:cs="Arial" w:eastAsia="Arial" w:hint="default"/>
                            <w:sz w:val="24"/>
                            <w:szCs w:val="24"/>
                          </w:rPr>
                        </w:pPr>
                        <w:r>
                          <w:rPr>
                            <w:rFonts w:ascii="Arial"/>
                            <w:spacing w:val="-3"/>
                            <w:sz w:val="24"/>
                          </w:rPr>
                          <w:t>11,272,584</w:t>
                        </w: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7"/>
                          <w:jc w:val="right"/>
                          <w:rPr>
                            <w:rFonts w:ascii="Arial" w:hAnsi="Arial" w:cs="Arial" w:eastAsia="Arial" w:hint="default"/>
                            <w:sz w:val="24"/>
                            <w:szCs w:val="24"/>
                          </w:rPr>
                        </w:pPr>
                        <w:r>
                          <w:rPr>
                            <w:rFonts w:ascii="Arial"/>
                            <w:spacing w:val="-1"/>
                            <w:sz w:val="24"/>
                          </w:rPr>
                          <w:t>8,936,158</w:t>
                        </w:r>
                      </w:p>
                    </w:tc>
                  </w:tr>
                  <w:tr>
                    <w:trPr>
                      <w:trHeight w:val="312"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79" w:lineRule="exact"/>
                          <w:ind w:left="153" w:right="0"/>
                          <w:jc w:val="left"/>
                          <w:rPr>
                            <w:rFonts w:ascii="Arial" w:hAnsi="Arial" w:cs="Arial" w:eastAsia="Arial" w:hint="default"/>
                            <w:sz w:val="24"/>
                            <w:szCs w:val="24"/>
                          </w:rPr>
                        </w:pPr>
                        <w:r>
                          <w:rPr>
                            <w:rFonts w:ascii="宋体" w:hAnsi="宋体" w:cs="宋体" w:eastAsia="宋体" w:hint="default"/>
                            <w:sz w:val="24"/>
                            <w:szCs w:val="24"/>
                          </w:rPr>
                          <w:t>小家电产品</w:t>
                        </w:r>
                        <w:r>
                          <w:rPr>
                            <w:rFonts w:ascii="Arial" w:hAnsi="Arial" w:cs="Arial" w:eastAsia="Arial" w:hint="default"/>
                            <w:sz w:val="24"/>
                            <w:szCs w:val="24"/>
                          </w:rPr>
                          <w:t>(i)</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right"/>
                          <w:rPr>
                            <w:rFonts w:ascii="Arial" w:hAnsi="Arial" w:cs="Arial" w:eastAsia="Arial" w:hint="default"/>
                            <w:sz w:val="24"/>
                            <w:szCs w:val="24"/>
                          </w:rPr>
                        </w:pPr>
                        <w:r>
                          <w:rPr>
                            <w:rFonts w:ascii="Arial"/>
                            <w:spacing w:val="-1"/>
                            <w:sz w:val="24"/>
                          </w:rPr>
                          <w:t>13,155,810</w:t>
                        </w:r>
                      </w:p>
                    </w:tc>
                    <w:tc>
                      <w:tcPr>
                        <w:tcW w:w="13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3"/>
                          <w:jc w:val="right"/>
                          <w:rPr>
                            <w:rFonts w:ascii="Arial" w:hAnsi="Arial" w:cs="Arial" w:eastAsia="Arial" w:hint="default"/>
                            <w:sz w:val="24"/>
                            <w:szCs w:val="24"/>
                          </w:rPr>
                        </w:pPr>
                        <w:r>
                          <w:rPr>
                            <w:rFonts w:ascii="Arial"/>
                            <w:spacing w:val="-1"/>
                            <w:sz w:val="24"/>
                          </w:rPr>
                          <w:t>10,318,892</w:t>
                        </w: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26" w:right="0"/>
                          <w:jc w:val="left"/>
                          <w:rPr>
                            <w:rFonts w:ascii="Arial" w:hAnsi="Arial" w:cs="Arial" w:eastAsia="Arial" w:hint="default"/>
                            <w:sz w:val="24"/>
                            <w:szCs w:val="24"/>
                          </w:rPr>
                        </w:pPr>
                        <w:r>
                          <w:rPr>
                            <w:rFonts w:ascii="Arial"/>
                            <w:spacing w:val="-3"/>
                            <w:sz w:val="24"/>
                          </w:rPr>
                          <w:t>11,066,883</w:t>
                        </w: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7"/>
                          <w:jc w:val="right"/>
                          <w:rPr>
                            <w:rFonts w:ascii="Arial" w:hAnsi="Arial" w:cs="Arial" w:eastAsia="Arial" w:hint="default"/>
                            <w:sz w:val="24"/>
                            <w:szCs w:val="24"/>
                          </w:rPr>
                        </w:pPr>
                        <w:r>
                          <w:rPr>
                            <w:rFonts w:ascii="Arial"/>
                            <w:spacing w:val="-1"/>
                            <w:sz w:val="24"/>
                          </w:rPr>
                          <w:t>8,533,839</w:t>
                        </w:r>
                      </w:p>
                    </w:tc>
                  </w:tr>
                  <w:tr>
                    <w:trPr>
                      <w:trHeight w:val="312"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62" w:lineRule="exact"/>
                          <w:ind w:left="153" w:right="0"/>
                          <w:jc w:val="left"/>
                          <w:rPr>
                            <w:rFonts w:ascii="宋体" w:hAnsi="宋体" w:cs="宋体" w:eastAsia="宋体" w:hint="default"/>
                            <w:sz w:val="24"/>
                            <w:szCs w:val="24"/>
                          </w:rPr>
                        </w:pPr>
                        <w:r>
                          <w:rPr>
                            <w:rFonts w:ascii="宋体" w:hAnsi="宋体" w:cs="宋体" w:eastAsia="宋体" w:hint="default"/>
                            <w:sz w:val="24"/>
                            <w:szCs w:val="24"/>
                          </w:rPr>
                          <w:t>通讯产品</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right"/>
                          <w:rPr>
                            <w:rFonts w:ascii="Arial" w:hAnsi="Arial" w:cs="Arial" w:eastAsia="Arial" w:hint="default"/>
                            <w:sz w:val="24"/>
                            <w:szCs w:val="24"/>
                          </w:rPr>
                        </w:pPr>
                        <w:r>
                          <w:rPr>
                            <w:rFonts w:ascii="Arial"/>
                            <w:spacing w:val="-1"/>
                            <w:sz w:val="24"/>
                          </w:rPr>
                          <w:t>16,571,708</w:t>
                        </w:r>
                      </w:p>
                    </w:tc>
                    <w:tc>
                      <w:tcPr>
                        <w:tcW w:w="13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5"/>
                          <w:jc w:val="right"/>
                          <w:rPr>
                            <w:rFonts w:ascii="Arial" w:hAnsi="Arial" w:cs="Arial" w:eastAsia="Arial" w:hint="default"/>
                            <w:sz w:val="24"/>
                            <w:szCs w:val="24"/>
                          </w:rPr>
                        </w:pPr>
                        <w:r>
                          <w:rPr>
                            <w:rFonts w:ascii="Arial"/>
                            <w:spacing w:val="-1"/>
                            <w:sz w:val="24"/>
                          </w:rPr>
                          <w:t>14,669,145</w:t>
                        </w: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07" w:right="0"/>
                          <w:jc w:val="left"/>
                          <w:rPr>
                            <w:rFonts w:ascii="Arial" w:hAnsi="Arial" w:cs="Arial" w:eastAsia="Arial" w:hint="default"/>
                            <w:sz w:val="24"/>
                            <w:szCs w:val="24"/>
                          </w:rPr>
                        </w:pPr>
                        <w:r>
                          <w:rPr>
                            <w:rFonts w:ascii="Arial"/>
                            <w:sz w:val="24"/>
                          </w:rPr>
                          <w:t>12,373,602</w:t>
                        </w: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7"/>
                          <w:jc w:val="right"/>
                          <w:rPr>
                            <w:rFonts w:ascii="Arial" w:hAnsi="Arial" w:cs="Arial" w:eastAsia="Arial" w:hint="default"/>
                            <w:sz w:val="24"/>
                            <w:szCs w:val="24"/>
                          </w:rPr>
                        </w:pPr>
                        <w:r>
                          <w:rPr>
                            <w:rFonts w:ascii="Arial"/>
                            <w:spacing w:val="-1"/>
                            <w:sz w:val="24"/>
                          </w:rPr>
                          <w:t>10,965,513</w:t>
                        </w:r>
                      </w:p>
                    </w:tc>
                  </w:tr>
                  <w:tr>
                    <w:trPr>
                      <w:trHeight w:val="310"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62" w:lineRule="exact"/>
                          <w:ind w:left="153" w:right="0"/>
                          <w:jc w:val="left"/>
                          <w:rPr>
                            <w:rFonts w:ascii="宋体" w:hAnsi="宋体" w:cs="宋体" w:eastAsia="宋体" w:hint="default"/>
                            <w:sz w:val="24"/>
                            <w:szCs w:val="24"/>
                          </w:rPr>
                        </w:pPr>
                        <w:r>
                          <w:rPr>
                            <w:rFonts w:ascii="宋体" w:hAnsi="宋体" w:cs="宋体" w:eastAsia="宋体" w:hint="default"/>
                            <w:sz w:val="24"/>
                            <w:szCs w:val="24"/>
                          </w:rPr>
                          <w:t>安装维修业务</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Arial" w:hAnsi="Arial" w:cs="Arial" w:eastAsia="Arial" w:hint="default"/>
                            <w:sz w:val="24"/>
                            <w:szCs w:val="24"/>
                          </w:rPr>
                        </w:pPr>
                        <w:r>
                          <w:rPr>
                            <w:rFonts w:ascii="Arial"/>
                            <w:spacing w:val="-1"/>
                            <w:sz w:val="24"/>
                          </w:rPr>
                          <w:t>868,153</w:t>
                        </w:r>
                      </w:p>
                    </w:tc>
                    <w:tc>
                      <w:tcPr>
                        <w:tcW w:w="13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5"/>
                          <w:jc w:val="right"/>
                          <w:rPr>
                            <w:rFonts w:ascii="Arial" w:hAnsi="Arial" w:cs="Arial" w:eastAsia="Arial" w:hint="default"/>
                            <w:sz w:val="24"/>
                            <w:szCs w:val="24"/>
                          </w:rPr>
                        </w:pPr>
                        <w:r>
                          <w:rPr>
                            <w:rFonts w:ascii="Arial"/>
                            <w:spacing w:val="-1"/>
                            <w:sz w:val="24"/>
                          </w:rPr>
                          <w:t>625,810</w:t>
                        </w: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60" w:right="0"/>
                          <w:jc w:val="left"/>
                          <w:rPr>
                            <w:rFonts w:ascii="Arial" w:hAnsi="Arial" w:cs="Arial" w:eastAsia="Arial" w:hint="default"/>
                            <w:sz w:val="24"/>
                            <w:szCs w:val="24"/>
                          </w:rPr>
                        </w:pPr>
                        <w:r>
                          <w:rPr>
                            <w:rFonts w:ascii="Arial"/>
                            <w:spacing w:val="-3"/>
                            <w:sz w:val="24"/>
                          </w:rPr>
                          <w:t>909,611</w:t>
                        </w: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7"/>
                          <w:jc w:val="right"/>
                          <w:rPr>
                            <w:rFonts w:ascii="Arial" w:hAnsi="Arial" w:cs="Arial" w:eastAsia="Arial" w:hint="default"/>
                            <w:sz w:val="24"/>
                            <w:szCs w:val="24"/>
                          </w:rPr>
                        </w:pPr>
                        <w:r>
                          <w:rPr>
                            <w:rFonts w:ascii="Arial"/>
                            <w:spacing w:val="-1"/>
                            <w:sz w:val="24"/>
                          </w:rPr>
                          <w:t>600,399</w:t>
                        </w:r>
                      </w:p>
                    </w:tc>
                  </w:tr>
                  <w:tr>
                    <w:trPr>
                      <w:trHeight w:val="313" w:hRule="exact"/>
                    </w:trPr>
                    <w:tc>
                      <w:tcPr>
                        <w:tcW w:w="781"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62" w:lineRule="exact"/>
                          <w:ind w:left="153" w:right="0"/>
                          <w:jc w:val="left"/>
                          <w:rPr>
                            <w:rFonts w:ascii="宋体" w:hAnsi="宋体" w:cs="宋体" w:eastAsia="宋体" w:hint="default"/>
                            <w:sz w:val="24"/>
                            <w:szCs w:val="24"/>
                          </w:rPr>
                        </w:pPr>
                        <w:r>
                          <w:rPr>
                            <w:rFonts w:ascii="宋体" w:hAnsi="宋体" w:cs="宋体" w:eastAsia="宋体" w:hint="default"/>
                            <w:sz w:val="24"/>
                            <w:szCs w:val="24"/>
                          </w:rPr>
                          <w:t>其他产品</w:t>
                        </w:r>
                      </w:p>
                    </w:tc>
                    <w:tc>
                      <w:tcPr>
                        <w:tcW w:w="1675" w:type="dxa"/>
                        <w:tcBorders>
                          <w:top w:val="nil" w:sz="6" w:space="0" w:color="auto"/>
                          <w:left w:val="nil" w:sz="6" w:space="0" w:color="auto"/>
                          <w:bottom w:val="nil" w:sz="6" w:space="0" w:color="auto"/>
                          <w:right w:val="nil" w:sz="6" w:space="0" w:color="auto"/>
                        </w:tcBorders>
                      </w:tcPr>
                      <w:p>
                        <w:pPr>
                          <w:pStyle w:val="TableParagraph"/>
                          <w:tabs>
                            <w:tab w:pos="770" w:val="left" w:leader="none"/>
                          </w:tabs>
                          <w:spacing w:line="240" w:lineRule="auto" w:before="19"/>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147,029</w:t>
                        </w:r>
                        <w:r>
                          <w:rPr>
                            <w:rFonts w:ascii="Arial"/>
                            <w:spacing w:val="-1"/>
                            <w:sz w:val="24"/>
                          </w:rPr>
                        </w:r>
                      </w:p>
                    </w:tc>
                    <w:tc>
                      <w:tcPr>
                        <w:tcW w:w="13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tabs>
                            <w:tab w:pos="789" w:val="left" w:leader="none"/>
                          </w:tabs>
                          <w:spacing w:line="240" w:lineRule="auto" w:before="19"/>
                          <w:ind w:right="5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3"/>
                            <w:sz w:val="24"/>
                            <w:u w:val="single" w:color="000000"/>
                          </w:rPr>
                          <w:t>119,249</w:t>
                        </w:r>
                        <w:r>
                          <w:rPr>
                            <w:rFonts w:ascii="Arial"/>
                            <w:spacing w:val="-3"/>
                            <w:sz w:val="24"/>
                          </w:rPr>
                        </w: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tabs>
                            <w:tab w:pos="640" w:val="left" w:leader="none"/>
                            <w:tab w:pos="1586" w:val="left" w:leader="none"/>
                          </w:tabs>
                          <w:spacing w:line="240" w:lineRule="auto" w:before="19"/>
                          <w:ind w:left="1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309,777</w:t>
                          <w:tab/>
                        </w:r>
                        <w:r>
                          <w:rPr>
                            <w:rFonts w:ascii="Arial"/>
                            <w:sz w:val="24"/>
                          </w:rPr>
                        </w: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tabs>
                            <w:tab w:pos="650" w:val="left" w:leader="none"/>
                            <w:tab w:pos="1588" w:val="left" w:leader="none"/>
                          </w:tabs>
                          <w:spacing w:line="240" w:lineRule="auto" w:before="19"/>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264,754</w:t>
                          <w:tab/>
                        </w:r>
                        <w:r>
                          <w:rPr>
                            <w:rFonts w:ascii="Arial"/>
                            <w:spacing w:val="-1"/>
                            <w:sz w:val="24"/>
                          </w:rPr>
                        </w:r>
                      </w:p>
                    </w:tc>
                  </w:tr>
                  <w:tr>
                    <w:trPr>
                      <w:trHeight w:val="438" w:hRule="exact"/>
                    </w:trPr>
                    <w:tc>
                      <w:tcPr>
                        <w:tcW w:w="781" w:type="dxa"/>
                        <w:tcBorders>
                          <w:top w:val="nil" w:sz="6" w:space="0" w:color="auto"/>
                          <w:left w:val="nil" w:sz="6" w:space="0" w:color="auto"/>
                          <w:bottom w:val="nil" w:sz="6" w:space="0" w:color="auto"/>
                          <w:right w:val="nil" w:sz="6" w:space="0" w:color="auto"/>
                        </w:tcBorders>
                      </w:tcPr>
                      <w:p>
                        <w:pPr/>
                      </w:p>
                    </w:tc>
                    <w:tc>
                      <w:tcPr>
                        <w:tcW w:w="3459" w:type="dxa"/>
                        <w:gridSpan w:val="2"/>
                        <w:tcBorders>
                          <w:top w:val="nil" w:sz="6" w:space="0" w:color="auto"/>
                          <w:left w:val="nil" w:sz="6" w:space="0" w:color="auto"/>
                          <w:bottom w:val="nil" w:sz="6" w:space="0" w:color="auto"/>
                          <w:right w:val="nil" w:sz="6" w:space="0" w:color="auto"/>
                        </w:tcBorders>
                      </w:tcPr>
                      <w:p>
                        <w:pPr>
                          <w:pStyle w:val="TableParagraph"/>
                          <w:tabs>
                            <w:tab w:pos="2220" w:val="left" w:leader="none"/>
                          </w:tabs>
                          <w:spacing w:line="268" w:lineRule="exact"/>
                          <w:ind w:left="1783"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97,006,791</w:t>
                        </w:r>
                        <w:r>
                          <w:rPr>
                            <w:rFonts w:ascii="Arial"/>
                            <w:sz w:val="24"/>
                          </w:rPr>
                        </w:r>
                      </w:p>
                    </w:tc>
                    <w:tc>
                      <w:tcPr>
                        <w:tcW w:w="13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tabs>
                            <w:tab w:pos="437" w:val="left" w:leader="none"/>
                          </w:tabs>
                          <w:spacing w:line="268" w:lineRule="exact"/>
                          <w:ind w:right="5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80,581,387</w:t>
                        </w:r>
                        <w:r>
                          <w:rPr>
                            <w:rFonts w:ascii="Arial"/>
                            <w:spacing w:val="-1"/>
                            <w:sz w:val="24"/>
                          </w:rPr>
                        </w: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tabs>
                            <w:tab w:pos="307" w:val="left" w:leader="none"/>
                            <w:tab w:pos="1586" w:val="left" w:leader="none"/>
                          </w:tabs>
                          <w:spacing w:line="268" w:lineRule="exact"/>
                          <w:ind w:left="1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92,465,377</w:t>
                          <w:tab/>
                        </w:r>
                        <w:r>
                          <w:rPr>
                            <w:rFonts w:ascii="Arial"/>
                            <w:sz w:val="24"/>
                          </w:rPr>
                        </w: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tabs>
                            <w:tab w:pos="316" w:val="left" w:leader="none"/>
                            <w:tab w:pos="1588" w:val="left" w:leader="none"/>
                          </w:tabs>
                          <w:spacing w:line="268" w:lineRule="exact"/>
                          <w:ind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75,855,609</w:t>
                          <w:tab/>
                        </w:r>
                        <w:r>
                          <w:rPr>
                            <w:rFonts w:ascii="Arial"/>
                            <w:spacing w:val="-1"/>
                            <w:sz w:val="24"/>
                          </w:rPr>
                        </w:r>
                      </w:p>
                    </w:tc>
                  </w:tr>
                  <w:tr>
                    <w:trPr>
                      <w:trHeight w:val="427" w:hRule="exact"/>
                    </w:trPr>
                    <w:tc>
                      <w:tcPr>
                        <w:tcW w:w="781" w:type="dxa"/>
                        <w:tcBorders>
                          <w:top w:val="nil" w:sz="6" w:space="0" w:color="auto"/>
                          <w:left w:val="nil" w:sz="6" w:space="0" w:color="auto"/>
                          <w:bottom w:val="nil" w:sz="6" w:space="0" w:color="auto"/>
                          <w:right w:val="nil" w:sz="6" w:space="0" w:color="auto"/>
                        </w:tcBorders>
                      </w:tcPr>
                      <w:p>
                        <w:pPr/>
                      </w:p>
                    </w:tc>
                    <w:tc>
                      <w:tcPr>
                        <w:tcW w:w="531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1"/>
                          <w:ind w:left="153" w:right="0"/>
                          <w:jc w:val="left"/>
                          <w:rPr>
                            <w:rFonts w:ascii="宋体" w:hAnsi="宋体" w:cs="宋体" w:eastAsia="宋体" w:hint="default"/>
                            <w:sz w:val="24"/>
                            <w:szCs w:val="24"/>
                          </w:rPr>
                        </w:pPr>
                        <w:r>
                          <w:rPr>
                            <w:rFonts w:ascii="Arial" w:hAnsi="Arial" w:cs="Arial" w:eastAsia="Arial" w:hint="default"/>
                            <w:sz w:val="24"/>
                            <w:szCs w:val="24"/>
                          </w:rPr>
                          <w:t>(i)</w:t>
                        </w:r>
                        <w:r>
                          <w:rPr>
                            <w:rFonts w:ascii="Arial" w:hAnsi="Arial" w:cs="Arial" w:eastAsia="Arial" w:hint="default"/>
                            <w:spacing w:val="51"/>
                            <w:sz w:val="24"/>
                            <w:szCs w:val="24"/>
                          </w:rPr>
                          <w:t> </w:t>
                        </w:r>
                        <w:r>
                          <w:rPr>
                            <w:rFonts w:ascii="宋体" w:hAnsi="宋体" w:cs="宋体" w:eastAsia="宋体" w:hint="default"/>
                            <w:sz w:val="24"/>
                            <w:szCs w:val="24"/>
                          </w:rPr>
                          <w:t>本集团小家电产品包括小家电及百货类产品。</w:t>
                        </w:r>
                      </w:p>
                    </w:tc>
                    <w:tc>
                      <w:tcPr>
                        <w:tcW w:w="14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8"/>
          <w:szCs w:val="28"/>
        </w:rPr>
      </w:pPr>
    </w:p>
    <w:p>
      <w:pPr>
        <w:pStyle w:val="Heading3"/>
        <w:tabs>
          <w:tab w:pos="2070" w:val="left" w:leader="none"/>
        </w:tabs>
        <w:spacing w:line="240" w:lineRule="auto" w:before="98"/>
        <w:ind w:left="1026" w:right="0"/>
        <w:jc w:val="center"/>
        <w:rPr>
          <w:rFonts w:ascii="Arial" w:hAnsi="Arial" w:cs="Arial" w:eastAsia="Arial" w:hint="default"/>
        </w:rPr>
      </w:pPr>
      <w:r>
        <w:rPr>
          <w:rFonts w:ascii="Arial"/>
          <w:w w:val="100"/>
        </w:rPr>
      </w:r>
      <w:r>
        <w:rPr>
          <w:rFonts w:ascii="Arial"/>
          <w:w w:val="100"/>
          <w:u w:val="single" w:color="000000"/>
        </w:rPr>
        <w:t> </w:t>
      </w:r>
      <w:r>
        <w:rPr>
          <w:rFonts w:ascii="Arial"/>
          <w:u w:val="single" w:color="000000"/>
        </w:rPr>
        <w:tab/>
      </w:r>
      <w:r>
        <w:rPr>
          <w:rFonts w:ascii="Arial"/>
        </w:rPr>
      </w:r>
    </w:p>
    <w:p>
      <w:pPr>
        <w:spacing w:after="0" w:line="240" w:lineRule="auto"/>
        <w:jc w:val="center"/>
        <w:rPr>
          <w:rFonts w:ascii="Arial" w:hAnsi="Arial" w:cs="Arial" w:eastAsia="Arial" w:hint="default"/>
        </w:rPr>
        <w:sectPr>
          <w:footerReference w:type="default" r:id="rId95"/>
          <w:pgSz w:w="11910" w:h="16850"/>
          <w:pgMar w:footer="708" w:header="795" w:top="2020" w:bottom="900" w:left="1400" w:right="0"/>
          <w:pgNumType w:start="184"/>
        </w:sectPr>
      </w:pPr>
    </w:p>
    <w:p>
      <w:pPr>
        <w:spacing w:line="240" w:lineRule="auto" w:before="0"/>
        <w:rPr>
          <w:rFonts w:ascii="Arial" w:hAnsi="Arial" w:cs="Arial" w:eastAsia="Arial" w:hint="default"/>
          <w:sz w:val="20"/>
          <w:szCs w:val="20"/>
        </w:rPr>
      </w:pPr>
      <w:r>
        <w:rPr/>
        <w:pict>
          <v:shape style="position:absolute;margin-left:460.320007pt;margin-top:765.039978pt;width:135.0pt;height:77pt;mso-position-horizontal-relative:page;mso-position-vertical-relative:page;z-index:3832" type="#_x0000_t75" stroked="false">
            <v:imagedata r:id="rId10" o:title=""/>
          </v:shape>
        </w:pic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22"/>
          <w:szCs w:val="22"/>
        </w:rPr>
      </w:pPr>
    </w:p>
    <w:p>
      <w:pPr>
        <w:pStyle w:val="Heading3"/>
        <w:tabs>
          <w:tab w:pos="707" w:val="left" w:leader="none"/>
        </w:tabs>
        <w:spacing w:line="240" w:lineRule="auto"/>
        <w:ind w:left="0" w:right="1814"/>
        <w:jc w:val="center"/>
        <w:rPr>
          <w:rFonts w:ascii="Arial" w:hAnsi="Arial" w:cs="Arial" w:eastAsia="Arial" w:hint="default"/>
        </w:rPr>
      </w:pPr>
      <w:r>
        <w:rPr/>
        <w:pict>
          <v:shape style="position:absolute;margin-left:76.424004pt;margin-top:-305.106659pt;width:453.75pt;height:561.7pt;mso-position-horizontal-relative:page;mso-position-vertical-relative:paragraph;z-index:38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79"/>
                    <w:gridCol w:w="1384"/>
                    <w:gridCol w:w="1496"/>
                    <w:gridCol w:w="818"/>
                    <w:gridCol w:w="134"/>
                    <w:gridCol w:w="917"/>
                    <w:gridCol w:w="134"/>
                    <w:gridCol w:w="299"/>
                    <w:gridCol w:w="1567"/>
                    <w:gridCol w:w="9"/>
                    <w:gridCol w:w="1536"/>
                  </w:tblGrid>
                  <w:tr>
                    <w:trPr>
                      <w:trHeight w:val="415"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699"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15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4"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9"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r>
                  <w:tr>
                    <w:trPr>
                      <w:trHeight w:val="587"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07" w:right="0"/>
                          <w:jc w:val="left"/>
                          <w:rPr>
                            <w:rFonts w:ascii="Arial" w:hAnsi="Arial" w:cs="Arial" w:eastAsia="Arial" w:hint="default"/>
                            <w:sz w:val="24"/>
                            <w:szCs w:val="24"/>
                          </w:rPr>
                        </w:pPr>
                        <w:r>
                          <w:rPr>
                            <w:rFonts w:ascii="Arial"/>
                            <w:sz w:val="24"/>
                          </w:rPr>
                          <w:t>(38)</w:t>
                        </w:r>
                      </w:p>
                    </w:tc>
                    <w:tc>
                      <w:tcPr>
                        <w:tcW w:w="28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153" w:right="0"/>
                          <w:jc w:val="left"/>
                          <w:rPr>
                            <w:rFonts w:ascii="Arial" w:hAnsi="Arial" w:cs="Arial" w:eastAsia="Arial" w:hint="default"/>
                            <w:sz w:val="24"/>
                            <w:szCs w:val="24"/>
                          </w:rPr>
                        </w:pPr>
                        <w:r>
                          <w:rPr>
                            <w:rFonts w:ascii="黑体" w:hAnsi="黑体" w:cs="黑体" w:eastAsia="黑体" w:hint="default"/>
                            <w:sz w:val="24"/>
                            <w:szCs w:val="24"/>
                          </w:rPr>
                          <w:t>营业收入和营业成本</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81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9"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r>
                  <w:tr>
                    <w:trPr>
                      <w:trHeight w:val="592"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7" w:right="0"/>
                          <w:jc w:val="left"/>
                          <w:rPr>
                            <w:rFonts w:ascii="Arial" w:hAnsi="Arial" w:cs="Arial" w:eastAsia="Arial" w:hint="default"/>
                            <w:sz w:val="24"/>
                            <w:szCs w:val="24"/>
                          </w:rPr>
                        </w:pPr>
                        <w:r>
                          <w:rPr>
                            <w:rFonts w:ascii="Arial"/>
                            <w:sz w:val="24"/>
                          </w:rPr>
                          <w:t>(a)</w:t>
                        </w:r>
                      </w:p>
                    </w:tc>
                    <w:tc>
                      <w:tcPr>
                        <w:tcW w:w="369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7"/>
                          <w:ind w:left="153" w:right="0"/>
                          <w:jc w:val="left"/>
                          <w:rPr>
                            <w:rFonts w:ascii="Arial" w:hAnsi="Arial" w:cs="Arial" w:eastAsia="Arial" w:hint="default"/>
                            <w:sz w:val="24"/>
                            <w:szCs w:val="24"/>
                          </w:rPr>
                        </w:pPr>
                        <w:r>
                          <w:rPr>
                            <w:rFonts w:ascii="宋体" w:hAnsi="宋体" w:cs="宋体" w:eastAsia="宋体" w:hint="default"/>
                            <w:sz w:val="24"/>
                            <w:szCs w:val="24"/>
                          </w:rPr>
                          <w:t>主营业务收入和主营业务成本</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34"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9"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r>
                  <w:tr>
                    <w:trPr>
                      <w:trHeight w:val="581" w:hRule="exact"/>
                    </w:trPr>
                    <w:tc>
                      <w:tcPr>
                        <w:tcW w:w="9074"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94"/>
                          <w:ind w:left="931" w:right="0"/>
                          <w:jc w:val="left"/>
                          <w:rPr>
                            <w:rFonts w:ascii="宋体" w:hAnsi="宋体" w:cs="宋体" w:eastAsia="宋体" w:hint="default"/>
                            <w:sz w:val="24"/>
                            <w:szCs w:val="24"/>
                          </w:rPr>
                        </w:pPr>
                        <w:r>
                          <w:rPr>
                            <w:rFonts w:ascii="宋体" w:hAnsi="宋体" w:cs="宋体" w:eastAsia="宋体" w:hint="default"/>
                            <w:sz w:val="24"/>
                            <w:szCs w:val="24"/>
                          </w:rPr>
                          <w:t>按地区分析如下：</w:t>
                        </w:r>
                      </w:p>
                    </w:tc>
                  </w:tr>
                  <w:tr>
                    <w:trPr>
                      <w:trHeight w:val="456" w:hRule="exact"/>
                    </w:trPr>
                    <w:tc>
                      <w:tcPr>
                        <w:tcW w:w="779"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c>
                      <w:tcPr>
                        <w:tcW w:w="231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8"/>
                          <w:ind w:left="1147"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134" w:type="dxa"/>
                        <w:tcBorders>
                          <w:top w:val="nil" w:sz="6" w:space="0" w:color="auto"/>
                          <w:left w:val="nil" w:sz="6" w:space="0" w:color="auto"/>
                          <w:bottom w:val="single" w:sz="4" w:space="0" w:color="000000"/>
                          <w:right w:val="nil" w:sz="6" w:space="0" w:color="auto"/>
                        </w:tcBorders>
                      </w:tcPr>
                      <w:p>
                        <w:pPr/>
                      </w:p>
                    </w:tc>
                    <w:tc>
                      <w:tcPr>
                        <w:tcW w:w="917"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single" w:sz="4" w:space="0" w:color="000000"/>
                          <w:right w:val="nil" w:sz="6" w:space="0" w:color="auto"/>
                        </w:tcBorders>
                      </w:tcPr>
                      <w:p>
                        <w:pPr/>
                      </w:p>
                    </w:tc>
                    <w:tc>
                      <w:tcPr>
                        <w:tcW w:w="3112"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98"/>
                          <w:ind w:left="876"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4"/>
                            <w:sz w:val="24"/>
                            <w:szCs w:val="24"/>
                          </w:rPr>
                          <w:t> </w:t>
                        </w:r>
                        <w:r>
                          <w:rPr>
                            <w:rFonts w:ascii="宋体" w:hAnsi="宋体" w:cs="宋体" w:eastAsia="宋体" w:hint="default"/>
                            <w:sz w:val="24"/>
                            <w:szCs w:val="24"/>
                          </w:rPr>
                          <w:t>年度</w:t>
                        </w:r>
                      </w:p>
                    </w:tc>
                  </w:tr>
                  <w:tr>
                    <w:trPr>
                      <w:trHeight w:val="470" w:hRule="exact"/>
                    </w:trPr>
                    <w:tc>
                      <w:tcPr>
                        <w:tcW w:w="779" w:type="dxa"/>
                        <w:tcBorders>
                          <w:top w:val="nil" w:sz="6" w:space="0" w:color="auto"/>
                          <w:left w:val="nil" w:sz="6" w:space="0" w:color="auto"/>
                          <w:bottom w:val="nil" w:sz="6" w:space="0" w:color="auto"/>
                          <w:right w:val="nil" w:sz="6" w:space="0" w:color="auto"/>
                        </w:tcBorders>
                      </w:tcPr>
                      <w:p>
                        <w:pPr/>
                      </w:p>
                    </w:tc>
                    <w:tc>
                      <w:tcPr>
                        <w:tcW w:w="2880" w:type="dxa"/>
                        <w:gridSpan w:val="2"/>
                        <w:tcBorders>
                          <w:top w:val="nil" w:sz="6" w:space="0" w:color="auto"/>
                          <w:left w:val="nil" w:sz="6" w:space="0" w:color="auto"/>
                          <w:bottom w:val="nil" w:sz="6" w:space="0" w:color="auto"/>
                          <w:right w:val="nil" w:sz="6" w:space="0" w:color="auto"/>
                        </w:tcBorders>
                      </w:tcPr>
                      <w:p>
                        <w:pPr>
                          <w:pStyle w:val="TableParagraph"/>
                          <w:spacing w:line="279" w:lineRule="exact"/>
                          <w:ind w:left="1451" w:right="-12"/>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870" w:type="dxa"/>
                        <w:gridSpan w:val="3"/>
                        <w:tcBorders>
                          <w:top w:val="single" w:sz="4" w:space="0" w:color="000000"/>
                          <w:left w:val="nil" w:sz="6" w:space="0" w:color="auto"/>
                          <w:bottom w:val="nil" w:sz="6" w:space="0" w:color="auto"/>
                          <w:right w:val="nil" w:sz="6" w:space="0" w:color="auto"/>
                        </w:tcBorders>
                      </w:tcPr>
                      <w:p>
                        <w:pPr>
                          <w:pStyle w:val="TableParagraph"/>
                          <w:spacing w:line="274" w:lineRule="exact"/>
                          <w:ind w:left="374"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2009" w:type="dxa"/>
                        <w:gridSpan w:val="4"/>
                        <w:tcBorders>
                          <w:top w:val="single" w:sz="4" w:space="0" w:color="000000"/>
                          <w:left w:val="nil" w:sz="6" w:space="0" w:color="auto"/>
                          <w:bottom w:val="nil" w:sz="6" w:space="0" w:color="auto"/>
                          <w:right w:val="nil" w:sz="6" w:space="0" w:color="auto"/>
                        </w:tcBorders>
                      </w:tcPr>
                      <w:p>
                        <w:pPr>
                          <w:pStyle w:val="TableParagraph"/>
                          <w:spacing w:line="274" w:lineRule="exact"/>
                          <w:ind w:left="227"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536" w:type="dxa"/>
                        <w:tcBorders>
                          <w:top w:val="single" w:sz="4" w:space="0" w:color="000000"/>
                          <w:left w:val="nil" w:sz="6" w:space="0" w:color="auto"/>
                          <w:bottom w:val="nil" w:sz="6" w:space="0" w:color="auto"/>
                          <w:right w:val="nil" w:sz="6" w:space="0" w:color="auto"/>
                        </w:tcBorders>
                      </w:tcPr>
                      <w:p>
                        <w:pPr>
                          <w:pStyle w:val="TableParagraph"/>
                          <w:spacing w:line="274" w:lineRule="exact"/>
                          <w:ind w:left="40" w:right="0"/>
                          <w:jc w:val="lef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477" w:hRule="exact"/>
                    </w:trPr>
                    <w:tc>
                      <w:tcPr>
                        <w:tcW w:w="779"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53" w:right="0"/>
                          <w:jc w:val="left"/>
                          <w:rPr>
                            <w:rFonts w:ascii="宋体" w:hAnsi="宋体" w:cs="宋体" w:eastAsia="宋体" w:hint="default"/>
                            <w:sz w:val="24"/>
                            <w:szCs w:val="24"/>
                          </w:rPr>
                        </w:pPr>
                        <w:r>
                          <w:rPr>
                            <w:rFonts w:ascii="宋体" w:hAnsi="宋体" w:cs="宋体" w:eastAsia="宋体" w:hint="default"/>
                            <w:sz w:val="24"/>
                            <w:szCs w:val="24"/>
                          </w:rPr>
                          <w:t>华东一区</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7"/>
                          <w:jc w:val="right"/>
                          <w:rPr>
                            <w:rFonts w:ascii="Arial" w:hAnsi="Arial" w:cs="Arial" w:eastAsia="Arial" w:hint="default"/>
                            <w:sz w:val="24"/>
                            <w:szCs w:val="24"/>
                          </w:rPr>
                        </w:pPr>
                        <w:r>
                          <w:rPr>
                            <w:rFonts w:ascii="Arial"/>
                            <w:spacing w:val="-1"/>
                            <w:sz w:val="24"/>
                          </w:rPr>
                          <w:t>21,219,408</w:t>
                        </w:r>
                      </w:p>
                    </w:tc>
                    <w:tc>
                      <w:tcPr>
                        <w:tcW w:w="18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2"/>
                          <w:ind w:left="590" w:right="0"/>
                          <w:jc w:val="left"/>
                          <w:rPr>
                            <w:rFonts w:ascii="Arial" w:hAnsi="Arial" w:cs="Arial" w:eastAsia="Arial" w:hint="default"/>
                            <w:sz w:val="24"/>
                            <w:szCs w:val="24"/>
                          </w:rPr>
                        </w:pPr>
                        <w:r>
                          <w:rPr>
                            <w:rFonts w:ascii="Arial"/>
                            <w:sz w:val="24"/>
                          </w:rPr>
                          <w:t>17,750,301</w:t>
                        </w:r>
                      </w:p>
                    </w:tc>
                    <w:tc>
                      <w:tcPr>
                        <w:tcW w:w="134"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10" w:right="0"/>
                          <w:jc w:val="left"/>
                          <w:rPr>
                            <w:rFonts w:ascii="Arial" w:hAnsi="Arial" w:cs="Arial" w:eastAsia="Arial" w:hint="default"/>
                            <w:sz w:val="24"/>
                            <w:szCs w:val="24"/>
                          </w:rPr>
                        </w:pPr>
                        <w:r>
                          <w:rPr>
                            <w:rFonts w:ascii="Arial"/>
                            <w:sz w:val="24"/>
                          </w:rPr>
                          <w:t>22,647,570</w:t>
                        </w:r>
                      </w:p>
                    </w:tc>
                    <w:tc>
                      <w:tcPr>
                        <w:tcW w:w="9"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254" w:right="0"/>
                          <w:jc w:val="left"/>
                          <w:rPr>
                            <w:rFonts w:ascii="Arial" w:hAnsi="Arial" w:cs="Arial" w:eastAsia="Arial" w:hint="default"/>
                            <w:sz w:val="24"/>
                            <w:szCs w:val="24"/>
                          </w:rPr>
                        </w:pPr>
                        <w:r>
                          <w:rPr>
                            <w:rFonts w:ascii="Arial"/>
                            <w:sz w:val="24"/>
                          </w:rPr>
                          <w:t>18,877,084</w:t>
                        </w:r>
                      </w:p>
                    </w:tc>
                  </w:tr>
                  <w:tr>
                    <w:trPr>
                      <w:trHeight w:val="317" w:hRule="exact"/>
                    </w:trPr>
                    <w:tc>
                      <w:tcPr>
                        <w:tcW w:w="779"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75" w:lineRule="exact"/>
                          <w:ind w:left="153" w:right="0"/>
                          <w:jc w:val="left"/>
                          <w:rPr>
                            <w:rFonts w:ascii="宋体" w:hAnsi="宋体" w:cs="宋体" w:eastAsia="宋体" w:hint="default"/>
                            <w:sz w:val="24"/>
                            <w:szCs w:val="24"/>
                          </w:rPr>
                        </w:pPr>
                        <w:r>
                          <w:rPr>
                            <w:rFonts w:ascii="宋体" w:hAnsi="宋体" w:cs="宋体" w:eastAsia="宋体" w:hint="default"/>
                            <w:sz w:val="24"/>
                            <w:szCs w:val="24"/>
                          </w:rPr>
                          <w:t>华东二区</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
                          <w:jc w:val="right"/>
                          <w:rPr>
                            <w:rFonts w:ascii="Arial" w:hAnsi="Arial" w:cs="Arial" w:eastAsia="Arial" w:hint="default"/>
                            <w:sz w:val="24"/>
                            <w:szCs w:val="24"/>
                          </w:rPr>
                        </w:pPr>
                        <w:r>
                          <w:rPr>
                            <w:rFonts w:ascii="Arial"/>
                            <w:spacing w:val="-3"/>
                            <w:sz w:val="24"/>
                          </w:rPr>
                          <w:t>15,456,118</w:t>
                        </w:r>
                      </w:p>
                    </w:tc>
                    <w:tc>
                      <w:tcPr>
                        <w:tcW w:w="18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
                          <w:ind w:left="590" w:right="0"/>
                          <w:jc w:val="left"/>
                          <w:rPr>
                            <w:rFonts w:ascii="Arial" w:hAnsi="Arial" w:cs="Arial" w:eastAsia="Arial" w:hint="default"/>
                            <w:sz w:val="24"/>
                            <w:szCs w:val="24"/>
                          </w:rPr>
                        </w:pPr>
                        <w:r>
                          <w:rPr>
                            <w:rFonts w:ascii="Arial"/>
                            <w:sz w:val="24"/>
                          </w:rPr>
                          <w:t>12,759,776</w:t>
                        </w:r>
                      </w:p>
                    </w:tc>
                    <w:tc>
                      <w:tcPr>
                        <w:tcW w:w="134"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9" w:right="0"/>
                          <w:jc w:val="left"/>
                          <w:rPr>
                            <w:rFonts w:ascii="Arial" w:hAnsi="Arial" w:cs="Arial" w:eastAsia="Arial" w:hint="default"/>
                            <w:sz w:val="24"/>
                            <w:szCs w:val="24"/>
                          </w:rPr>
                        </w:pPr>
                        <w:r>
                          <w:rPr>
                            <w:rFonts w:ascii="Arial"/>
                            <w:spacing w:val="-3"/>
                            <w:sz w:val="24"/>
                          </w:rPr>
                          <w:t>15,115,193</w:t>
                        </w:r>
                      </w:p>
                    </w:tc>
                    <w:tc>
                      <w:tcPr>
                        <w:tcW w:w="9"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54" w:right="0"/>
                          <w:jc w:val="left"/>
                          <w:rPr>
                            <w:rFonts w:ascii="Arial" w:hAnsi="Arial" w:cs="Arial" w:eastAsia="Arial" w:hint="default"/>
                            <w:sz w:val="24"/>
                            <w:szCs w:val="24"/>
                          </w:rPr>
                        </w:pPr>
                        <w:r>
                          <w:rPr>
                            <w:rFonts w:ascii="Arial"/>
                            <w:sz w:val="24"/>
                          </w:rPr>
                          <w:t>12,252,195</w:t>
                        </w:r>
                      </w:p>
                    </w:tc>
                  </w:tr>
                  <w:tr>
                    <w:trPr>
                      <w:trHeight w:val="311" w:hRule="exact"/>
                    </w:trPr>
                    <w:tc>
                      <w:tcPr>
                        <w:tcW w:w="779"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70" w:lineRule="exact"/>
                          <w:ind w:left="153" w:right="0"/>
                          <w:jc w:val="left"/>
                          <w:rPr>
                            <w:rFonts w:ascii="宋体" w:hAnsi="宋体" w:cs="宋体" w:eastAsia="宋体" w:hint="default"/>
                            <w:sz w:val="24"/>
                            <w:szCs w:val="24"/>
                          </w:rPr>
                        </w:pPr>
                        <w:r>
                          <w:rPr>
                            <w:rFonts w:ascii="宋体" w:hAnsi="宋体" w:cs="宋体" w:eastAsia="宋体" w:hint="default"/>
                            <w:sz w:val="24"/>
                            <w:szCs w:val="24"/>
                          </w:rPr>
                          <w:t>华北地区</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
                          <w:jc w:val="right"/>
                          <w:rPr>
                            <w:rFonts w:ascii="Arial" w:hAnsi="Arial" w:cs="Arial" w:eastAsia="Arial" w:hint="default"/>
                            <w:sz w:val="24"/>
                            <w:szCs w:val="24"/>
                          </w:rPr>
                        </w:pPr>
                        <w:r>
                          <w:rPr>
                            <w:rFonts w:ascii="Arial"/>
                            <w:spacing w:val="-1"/>
                            <w:sz w:val="24"/>
                          </w:rPr>
                          <w:t>14,818,581</w:t>
                        </w:r>
                      </w:p>
                    </w:tc>
                    <w:tc>
                      <w:tcPr>
                        <w:tcW w:w="18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left="590" w:right="0"/>
                          <w:jc w:val="left"/>
                          <w:rPr>
                            <w:rFonts w:ascii="Arial" w:hAnsi="Arial" w:cs="Arial" w:eastAsia="Arial" w:hint="default"/>
                            <w:sz w:val="24"/>
                            <w:szCs w:val="24"/>
                          </w:rPr>
                        </w:pPr>
                        <w:r>
                          <w:rPr>
                            <w:rFonts w:ascii="Arial"/>
                            <w:sz w:val="24"/>
                          </w:rPr>
                          <w:t>12,277,837</w:t>
                        </w:r>
                      </w:p>
                    </w:tc>
                    <w:tc>
                      <w:tcPr>
                        <w:tcW w:w="134"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 w:right="0"/>
                          <w:jc w:val="left"/>
                          <w:rPr>
                            <w:rFonts w:ascii="Arial" w:hAnsi="Arial" w:cs="Arial" w:eastAsia="Arial" w:hint="default"/>
                            <w:sz w:val="24"/>
                            <w:szCs w:val="24"/>
                          </w:rPr>
                        </w:pPr>
                        <w:r>
                          <w:rPr>
                            <w:rFonts w:ascii="Arial"/>
                            <w:sz w:val="24"/>
                          </w:rPr>
                          <w:t>14,362,746</w:t>
                        </w:r>
                      </w:p>
                    </w:tc>
                    <w:tc>
                      <w:tcPr>
                        <w:tcW w:w="9"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73" w:right="0"/>
                          <w:jc w:val="left"/>
                          <w:rPr>
                            <w:rFonts w:ascii="Arial" w:hAnsi="Arial" w:cs="Arial" w:eastAsia="Arial" w:hint="default"/>
                            <w:sz w:val="24"/>
                            <w:szCs w:val="24"/>
                          </w:rPr>
                        </w:pPr>
                        <w:r>
                          <w:rPr>
                            <w:rFonts w:ascii="Arial"/>
                            <w:spacing w:val="-3"/>
                            <w:sz w:val="24"/>
                          </w:rPr>
                          <w:t>11,715,021</w:t>
                        </w:r>
                      </w:p>
                    </w:tc>
                  </w:tr>
                  <w:tr>
                    <w:trPr>
                      <w:trHeight w:val="311" w:hRule="exact"/>
                    </w:trPr>
                    <w:tc>
                      <w:tcPr>
                        <w:tcW w:w="779"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71" w:lineRule="exact"/>
                          <w:ind w:left="153" w:right="0"/>
                          <w:jc w:val="left"/>
                          <w:rPr>
                            <w:rFonts w:ascii="宋体" w:hAnsi="宋体" w:cs="宋体" w:eastAsia="宋体" w:hint="default"/>
                            <w:sz w:val="24"/>
                            <w:szCs w:val="24"/>
                          </w:rPr>
                        </w:pPr>
                        <w:r>
                          <w:rPr>
                            <w:rFonts w:ascii="宋体" w:hAnsi="宋体" w:cs="宋体" w:eastAsia="宋体" w:hint="default"/>
                            <w:sz w:val="24"/>
                            <w:szCs w:val="24"/>
                          </w:rPr>
                          <w:t>华南地区</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
                          <w:jc w:val="right"/>
                          <w:rPr>
                            <w:rFonts w:ascii="Arial" w:hAnsi="Arial" w:cs="Arial" w:eastAsia="Arial" w:hint="default"/>
                            <w:sz w:val="24"/>
                            <w:szCs w:val="24"/>
                          </w:rPr>
                        </w:pPr>
                        <w:r>
                          <w:rPr>
                            <w:rFonts w:ascii="Arial"/>
                            <w:spacing w:val="-1"/>
                            <w:sz w:val="24"/>
                          </w:rPr>
                          <w:t>13,409,653</w:t>
                        </w:r>
                      </w:p>
                    </w:tc>
                    <w:tc>
                      <w:tcPr>
                        <w:tcW w:w="18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609" w:right="0"/>
                          <w:jc w:val="left"/>
                          <w:rPr>
                            <w:rFonts w:ascii="Arial" w:hAnsi="Arial" w:cs="Arial" w:eastAsia="Arial" w:hint="default"/>
                            <w:sz w:val="24"/>
                            <w:szCs w:val="24"/>
                          </w:rPr>
                        </w:pPr>
                        <w:r>
                          <w:rPr>
                            <w:rFonts w:ascii="Arial"/>
                            <w:spacing w:val="-3"/>
                            <w:sz w:val="24"/>
                          </w:rPr>
                          <w:t>11,052,143</w:t>
                        </w:r>
                      </w:p>
                    </w:tc>
                    <w:tc>
                      <w:tcPr>
                        <w:tcW w:w="134"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 w:right="0"/>
                          <w:jc w:val="left"/>
                          <w:rPr>
                            <w:rFonts w:ascii="Arial" w:hAnsi="Arial" w:cs="Arial" w:eastAsia="Arial" w:hint="default"/>
                            <w:sz w:val="24"/>
                            <w:szCs w:val="24"/>
                          </w:rPr>
                        </w:pPr>
                        <w:r>
                          <w:rPr>
                            <w:rFonts w:ascii="Arial"/>
                            <w:sz w:val="24"/>
                          </w:rPr>
                          <w:t>13,635,283</w:t>
                        </w:r>
                      </w:p>
                    </w:tc>
                    <w:tc>
                      <w:tcPr>
                        <w:tcW w:w="9"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3" w:right="0"/>
                          <w:jc w:val="left"/>
                          <w:rPr>
                            <w:rFonts w:ascii="Arial" w:hAnsi="Arial" w:cs="Arial" w:eastAsia="Arial" w:hint="default"/>
                            <w:sz w:val="24"/>
                            <w:szCs w:val="24"/>
                          </w:rPr>
                        </w:pPr>
                        <w:r>
                          <w:rPr>
                            <w:rFonts w:ascii="Arial"/>
                            <w:spacing w:val="-3"/>
                            <w:sz w:val="24"/>
                          </w:rPr>
                          <w:t>11,130,195</w:t>
                        </w:r>
                      </w:p>
                    </w:tc>
                  </w:tr>
                  <w:tr>
                    <w:trPr>
                      <w:trHeight w:val="312" w:hRule="exact"/>
                    </w:trPr>
                    <w:tc>
                      <w:tcPr>
                        <w:tcW w:w="779"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70" w:lineRule="exact"/>
                          <w:ind w:left="153" w:right="0"/>
                          <w:jc w:val="left"/>
                          <w:rPr>
                            <w:rFonts w:ascii="宋体" w:hAnsi="宋体" w:cs="宋体" w:eastAsia="宋体" w:hint="default"/>
                            <w:sz w:val="24"/>
                            <w:szCs w:val="24"/>
                          </w:rPr>
                        </w:pPr>
                        <w:r>
                          <w:rPr>
                            <w:rFonts w:ascii="宋体" w:hAnsi="宋体" w:cs="宋体" w:eastAsia="宋体" w:hint="default"/>
                            <w:sz w:val="24"/>
                            <w:szCs w:val="24"/>
                          </w:rPr>
                          <w:t>西南地区</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
                          <w:jc w:val="right"/>
                          <w:rPr>
                            <w:rFonts w:ascii="Arial" w:hAnsi="Arial" w:cs="Arial" w:eastAsia="Arial" w:hint="default"/>
                            <w:sz w:val="24"/>
                            <w:szCs w:val="24"/>
                          </w:rPr>
                        </w:pPr>
                        <w:r>
                          <w:rPr>
                            <w:rFonts w:ascii="Arial"/>
                            <w:spacing w:val="-1"/>
                            <w:sz w:val="24"/>
                          </w:rPr>
                          <w:t>10,126,475</w:t>
                        </w:r>
                      </w:p>
                    </w:tc>
                    <w:tc>
                      <w:tcPr>
                        <w:tcW w:w="18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
                          <w:ind w:left="724" w:right="0"/>
                          <w:jc w:val="left"/>
                          <w:rPr>
                            <w:rFonts w:ascii="Arial" w:hAnsi="Arial" w:cs="Arial" w:eastAsia="Arial" w:hint="default"/>
                            <w:sz w:val="24"/>
                            <w:szCs w:val="24"/>
                          </w:rPr>
                        </w:pPr>
                        <w:r>
                          <w:rPr>
                            <w:rFonts w:ascii="Arial"/>
                            <w:sz w:val="24"/>
                          </w:rPr>
                          <w:t>8,277,893</w:t>
                        </w:r>
                      </w:p>
                    </w:tc>
                    <w:tc>
                      <w:tcPr>
                        <w:tcW w:w="134"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44" w:right="0"/>
                          <w:jc w:val="left"/>
                          <w:rPr>
                            <w:rFonts w:ascii="Arial" w:hAnsi="Arial" w:cs="Arial" w:eastAsia="Arial" w:hint="default"/>
                            <w:sz w:val="24"/>
                            <w:szCs w:val="24"/>
                          </w:rPr>
                        </w:pPr>
                        <w:r>
                          <w:rPr>
                            <w:rFonts w:ascii="Arial"/>
                            <w:sz w:val="24"/>
                          </w:rPr>
                          <w:t>9,905,433</w:t>
                        </w:r>
                      </w:p>
                    </w:tc>
                    <w:tc>
                      <w:tcPr>
                        <w:tcW w:w="9"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6"/>
                          <w:jc w:val="right"/>
                          <w:rPr>
                            <w:rFonts w:ascii="Arial" w:hAnsi="Arial" w:cs="Arial" w:eastAsia="Arial" w:hint="default"/>
                            <w:sz w:val="24"/>
                            <w:szCs w:val="24"/>
                          </w:rPr>
                        </w:pPr>
                        <w:r>
                          <w:rPr>
                            <w:rFonts w:ascii="Arial"/>
                            <w:spacing w:val="-1"/>
                            <w:sz w:val="24"/>
                          </w:rPr>
                          <w:t>8,024,710</w:t>
                        </w:r>
                      </w:p>
                    </w:tc>
                  </w:tr>
                  <w:tr>
                    <w:trPr>
                      <w:trHeight w:val="320" w:hRule="exact"/>
                    </w:trPr>
                    <w:tc>
                      <w:tcPr>
                        <w:tcW w:w="779"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70" w:lineRule="exact"/>
                          <w:ind w:left="153" w:right="0"/>
                          <w:jc w:val="left"/>
                          <w:rPr>
                            <w:rFonts w:ascii="宋体" w:hAnsi="宋体" w:cs="宋体" w:eastAsia="宋体" w:hint="default"/>
                            <w:sz w:val="24"/>
                            <w:szCs w:val="24"/>
                          </w:rPr>
                        </w:pPr>
                        <w:r>
                          <w:rPr>
                            <w:rFonts w:ascii="宋体" w:hAnsi="宋体" w:cs="宋体" w:eastAsia="宋体" w:hint="default"/>
                            <w:sz w:val="24"/>
                            <w:szCs w:val="24"/>
                          </w:rPr>
                          <w:t>东北地区</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
                          <w:jc w:val="right"/>
                          <w:rPr>
                            <w:rFonts w:ascii="Arial" w:hAnsi="Arial" w:cs="Arial" w:eastAsia="Arial" w:hint="default"/>
                            <w:sz w:val="24"/>
                            <w:szCs w:val="24"/>
                          </w:rPr>
                        </w:pPr>
                        <w:r>
                          <w:rPr>
                            <w:rFonts w:ascii="Arial"/>
                            <w:spacing w:val="-1"/>
                            <w:sz w:val="24"/>
                          </w:rPr>
                          <w:t>5,239,720</w:t>
                        </w:r>
                      </w:p>
                    </w:tc>
                    <w:tc>
                      <w:tcPr>
                        <w:tcW w:w="18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8"/>
                          <w:ind w:left="741" w:right="0"/>
                          <w:jc w:val="left"/>
                          <w:rPr>
                            <w:rFonts w:ascii="Arial" w:hAnsi="Arial" w:cs="Arial" w:eastAsia="Arial" w:hint="default"/>
                            <w:sz w:val="24"/>
                            <w:szCs w:val="24"/>
                          </w:rPr>
                        </w:pPr>
                        <w:r>
                          <w:rPr>
                            <w:rFonts w:ascii="Arial"/>
                            <w:spacing w:val="-3"/>
                            <w:sz w:val="24"/>
                          </w:rPr>
                          <w:t>4,338,114</w:t>
                        </w:r>
                      </w:p>
                    </w:tc>
                    <w:tc>
                      <w:tcPr>
                        <w:tcW w:w="134"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4" w:right="0"/>
                          <w:jc w:val="left"/>
                          <w:rPr>
                            <w:rFonts w:ascii="Arial" w:hAnsi="Arial" w:cs="Arial" w:eastAsia="Arial" w:hint="default"/>
                            <w:sz w:val="24"/>
                            <w:szCs w:val="24"/>
                          </w:rPr>
                        </w:pPr>
                        <w:r>
                          <w:rPr>
                            <w:rFonts w:ascii="Arial"/>
                            <w:sz w:val="24"/>
                          </w:rPr>
                          <w:t>5,197,520</w:t>
                        </w:r>
                      </w:p>
                    </w:tc>
                    <w:tc>
                      <w:tcPr>
                        <w:tcW w:w="9"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6"/>
                          <w:jc w:val="right"/>
                          <w:rPr>
                            <w:rFonts w:ascii="Arial" w:hAnsi="Arial" w:cs="Arial" w:eastAsia="Arial" w:hint="default"/>
                            <w:sz w:val="24"/>
                            <w:szCs w:val="24"/>
                          </w:rPr>
                        </w:pPr>
                        <w:r>
                          <w:rPr>
                            <w:rFonts w:ascii="Arial"/>
                            <w:spacing w:val="-1"/>
                            <w:sz w:val="24"/>
                          </w:rPr>
                          <w:t>4,275,034</w:t>
                        </w:r>
                      </w:p>
                    </w:tc>
                  </w:tr>
                  <w:tr>
                    <w:trPr>
                      <w:trHeight w:val="310" w:hRule="exact"/>
                    </w:trPr>
                    <w:tc>
                      <w:tcPr>
                        <w:tcW w:w="779"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62" w:lineRule="exact"/>
                          <w:ind w:left="153" w:right="0"/>
                          <w:jc w:val="left"/>
                          <w:rPr>
                            <w:rFonts w:ascii="宋体" w:hAnsi="宋体" w:cs="宋体" w:eastAsia="宋体" w:hint="default"/>
                            <w:sz w:val="24"/>
                            <w:szCs w:val="24"/>
                          </w:rPr>
                        </w:pPr>
                        <w:r>
                          <w:rPr>
                            <w:rFonts w:ascii="宋体" w:hAnsi="宋体" w:cs="宋体" w:eastAsia="宋体" w:hint="default"/>
                            <w:sz w:val="24"/>
                            <w:szCs w:val="24"/>
                          </w:rPr>
                          <w:t>华中地区</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
                          <w:jc w:val="right"/>
                          <w:rPr>
                            <w:rFonts w:ascii="Arial" w:hAnsi="Arial" w:cs="Arial" w:eastAsia="Arial" w:hint="default"/>
                            <w:sz w:val="24"/>
                            <w:szCs w:val="24"/>
                          </w:rPr>
                        </w:pPr>
                        <w:r>
                          <w:rPr>
                            <w:rFonts w:ascii="Arial"/>
                            <w:spacing w:val="-1"/>
                            <w:sz w:val="24"/>
                          </w:rPr>
                          <w:t>5,421,331</w:t>
                        </w:r>
                      </w:p>
                    </w:tc>
                    <w:tc>
                      <w:tcPr>
                        <w:tcW w:w="18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
                          <w:ind w:left="722" w:right="0"/>
                          <w:jc w:val="left"/>
                          <w:rPr>
                            <w:rFonts w:ascii="Arial" w:hAnsi="Arial" w:cs="Arial" w:eastAsia="Arial" w:hint="default"/>
                            <w:sz w:val="24"/>
                            <w:szCs w:val="24"/>
                          </w:rPr>
                        </w:pPr>
                        <w:r>
                          <w:rPr>
                            <w:rFonts w:ascii="Arial"/>
                            <w:sz w:val="24"/>
                          </w:rPr>
                          <w:t>4,487,568</w:t>
                        </w:r>
                      </w:p>
                    </w:tc>
                    <w:tc>
                      <w:tcPr>
                        <w:tcW w:w="134"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44" w:right="0"/>
                          <w:jc w:val="left"/>
                          <w:rPr>
                            <w:rFonts w:ascii="Arial" w:hAnsi="Arial" w:cs="Arial" w:eastAsia="Arial" w:hint="default"/>
                            <w:sz w:val="24"/>
                            <w:szCs w:val="24"/>
                          </w:rPr>
                        </w:pPr>
                        <w:r>
                          <w:rPr>
                            <w:rFonts w:ascii="Arial"/>
                            <w:sz w:val="24"/>
                          </w:rPr>
                          <w:t>5,294,576</w:t>
                        </w:r>
                      </w:p>
                    </w:tc>
                    <w:tc>
                      <w:tcPr>
                        <w:tcW w:w="9"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6"/>
                          <w:jc w:val="right"/>
                          <w:rPr>
                            <w:rFonts w:ascii="Arial" w:hAnsi="Arial" w:cs="Arial" w:eastAsia="Arial" w:hint="default"/>
                            <w:sz w:val="24"/>
                            <w:szCs w:val="24"/>
                          </w:rPr>
                        </w:pPr>
                        <w:r>
                          <w:rPr>
                            <w:rFonts w:ascii="Arial"/>
                            <w:spacing w:val="-1"/>
                            <w:sz w:val="24"/>
                          </w:rPr>
                          <w:t>4,334,268</w:t>
                        </w:r>
                      </w:p>
                    </w:tc>
                  </w:tr>
                  <w:tr>
                    <w:trPr>
                      <w:trHeight w:val="312" w:hRule="exact"/>
                    </w:trPr>
                    <w:tc>
                      <w:tcPr>
                        <w:tcW w:w="779"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62" w:lineRule="exact"/>
                          <w:ind w:left="153" w:right="0"/>
                          <w:jc w:val="left"/>
                          <w:rPr>
                            <w:rFonts w:ascii="宋体" w:hAnsi="宋体" w:cs="宋体" w:eastAsia="宋体" w:hint="default"/>
                            <w:sz w:val="24"/>
                            <w:szCs w:val="24"/>
                          </w:rPr>
                        </w:pPr>
                        <w:r>
                          <w:rPr>
                            <w:rFonts w:ascii="宋体" w:hAnsi="宋体" w:cs="宋体" w:eastAsia="宋体" w:hint="default"/>
                            <w:sz w:val="24"/>
                            <w:szCs w:val="24"/>
                          </w:rPr>
                          <w:t>西北地区</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
                          <w:jc w:val="right"/>
                          <w:rPr>
                            <w:rFonts w:ascii="Arial" w:hAnsi="Arial" w:cs="Arial" w:eastAsia="Arial" w:hint="default"/>
                            <w:sz w:val="24"/>
                            <w:szCs w:val="24"/>
                          </w:rPr>
                        </w:pPr>
                        <w:r>
                          <w:rPr>
                            <w:rFonts w:ascii="Arial"/>
                            <w:spacing w:val="-1"/>
                            <w:sz w:val="24"/>
                          </w:rPr>
                          <w:t>4,488,652</w:t>
                        </w:r>
                      </w:p>
                    </w:tc>
                    <w:tc>
                      <w:tcPr>
                        <w:tcW w:w="18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9"/>
                          <w:ind w:left="722" w:right="0"/>
                          <w:jc w:val="left"/>
                          <w:rPr>
                            <w:rFonts w:ascii="Arial" w:hAnsi="Arial" w:cs="Arial" w:eastAsia="Arial" w:hint="default"/>
                            <w:sz w:val="24"/>
                            <w:szCs w:val="24"/>
                          </w:rPr>
                        </w:pPr>
                        <w:r>
                          <w:rPr>
                            <w:rFonts w:ascii="Arial"/>
                            <w:sz w:val="24"/>
                          </w:rPr>
                          <w:t>3,684,531</w:t>
                        </w:r>
                      </w:p>
                    </w:tc>
                    <w:tc>
                      <w:tcPr>
                        <w:tcW w:w="134"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44" w:right="0"/>
                          <w:jc w:val="left"/>
                          <w:rPr>
                            <w:rFonts w:ascii="Arial" w:hAnsi="Arial" w:cs="Arial" w:eastAsia="Arial" w:hint="default"/>
                            <w:sz w:val="24"/>
                            <w:szCs w:val="24"/>
                          </w:rPr>
                        </w:pPr>
                        <w:r>
                          <w:rPr>
                            <w:rFonts w:ascii="Arial"/>
                            <w:sz w:val="24"/>
                          </w:rPr>
                          <w:t>4,325,590</w:t>
                        </w:r>
                      </w:p>
                    </w:tc>
                    <w:tc>
                      <w:tcPr>
                        <w:tcW w:w="9"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6"/>
                          <w:jc w:val="right"/>
                          <w:rPr>
                            <w:rFonts w:ascii="Arial" w:hAnsi="Arial" w:cs="Arial" w:eastAsia="Arial" w:hint="default"/>
                            <w:sz w:val="24"/>
                            <w:szCs w:val="24"/>
                          </w:rPr>
                        </w:pPr>
                        <w:r>
                          <w:rPr>
                            <w:rFonts w:ascii="Arial"/>
                            <w:spacing w:val="-1"/>
                            <w:sz w:val="24"/>
                          </w:rPr>
                          <w:t>3,503,352</w:t>
                        </w:r>
                      </w:p>
                    </w:tc>
                  </w:tr>
                  <w:tr>
                    <w:trPr>
                      <w:trHeight w:val="312" w:hRule="exact"/>
                    </w:trPr>
                    <w:tc>
                      <w:tcPr>
                        <w:tcW w:w="779"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62" w:lineRule="exact"/>
                          <w:ind w:left="153" w:right="0"/>
                          <w:jc w:val="left"/>
                          <w:rPr>
                            <w:rFonts w:ascii="宋体" w:hAnsi="宋体" w:cs="宋体" w:eastAsia="宋体" w:hint="default"/>
                            <w:sz w:val="24"/>
                            <w:szCs w:val="24"/>
                          </w:rPr>
                        </w:pPr>
                        <w:r>
                          <w:rPr>
                            <w:rFonts w:ascii="宋体" w:hAnsi="宋体" w:cs="宋体" w:eastAsia="宋体" w:hint="default"/>
                            <w:sz w:val="24"/>
                            <w:szCs w:val="24"/>
                          </w:rPr>
                          <w:t>香港地区</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
                          <w:jc w:val="right"/>
                          <w:rPr>
                            <w:rFonts w:ascii="Arial" w:hAnsi="Arial" w:cs="Arial" w:eastAsia="Arial" w:hint="default"/>
                            <w:sz w:val="24"/>
                            <w:szCs w:val="24"/>
                          </w:rPr>
                        </w:pPr>
                        <w:r>
                          <w:rPr>
                            <w:rFonts w:ascii="Arial"/>
                            <w:spacing w:val="-1"/>
                            <w:sz w:val="24"/>
                          </w:rPr>
                          <w:t>5,773,344</w:t>
                        </w:r>
                      </w:p>
                    </w:tc>
                    <w:tc>
                      <w:tcPr>
                        <w:tcW w:w="18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9"/>
                          <w:ind w:left="722" w:right="0"/>
                          <w:jc w:val="left"/>
                          <w:rPr>
                            <w:rFonts w:ascii="Arial" w:hAnsi="Arial" w:cs="Arial" w:eastAsia="Arial" w:hint="default"/>
                            <w:sz w:val="24"/>
                            <w:szCs w:val="24"/>
                          </w:rPr>
                        </w:pPr>
                        <w:r>
                          <w:rPr>
                            <w:rFonts w:ascii="Arial"/>
                            <w:sz w:val="24"/>
                          </w:rPr>
                          <w:t>5,234,529</w:t>
                        </w:r>
                      </w:p>
                    </w:tc>
                    <w:tc>
                      <w:tcPr>
                        <w:tcW w:w="134"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44" w:right="0"/>
                          <w:jc w:val="left"/>
                          <w:rPr>
                            <w:rFonts w:ascii="Arial" w:hAnsi="Arial" w:cs="Arial" w:eastAsia="Arial" w:hint="default"/>
                            <w:sz w:val="24"/>
                            <w:szCs w:val="24"/>
                          </w:rPr>
                        </w:pPr>
                        <w:r>
                          <w:rPr>
                            <w:rFonts w:ascii="Arial"/>
                            <w:sz w:val="24"/>
                          </w:rPr>
                          <w:t>1,653,427</w:t>
                        </w:r>
                      </w:p>
                    </w:tc>
                    <w:tc>
                      <w:tcPr>
                        <w:tcW w:w="9"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6"/>
                          <w:jc w:val="right"/>
                          <w:rPr>
                            <w:rFonts w:ascii="Arial" w:hAnsi="Arial" w:cs="Arial" w:eastAsia="Arial" w:hint="default"/>
                            <w:sz w:val="24"/>
                            <w:szCs w:val="24"/>
                          </w:rPr>
                        </w:pPr>
                        <w:r>
                          <w:rPr>
                            <w:rFonts w:ascii="Arial"/>
                            <w:spacing w:val="-1"/>
                            <w:sz w:val="24"/>
                          </w:rPr>
                          <w:t>1,485,209</w:t>
                        </w:r>
                      </w:p>
                    </w:tc>
                  </w:tr>
                  <w:tr>
                    <w:trPr>
                      <w:trHeight w:val="313" w:hRule="exact"/>
                    </w:trPr>
                    <w:tc>
                      <w:tcPr>
                        <w:tcW w:w="779"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62" w:lineRule="exact"/>
                          <w:ind w:left="153" w:right="0"/>
                          <w:jc w:val="left"/>
                          <w:rPr>
                            <w:rFonts w:ascii="宋体" w:hAnsi="宋体" w:cs="宋体" w:eastAsia="宋体" w:hint="default"/>
                            <w:sz w:val="24"/>
                            <w:szCs w:val="24"/>
                          </w:rPr>
                        </w:pPr>
                        <w:r>
                          <w:rPr>
                            <w:rFonts w:ascii="宋体" w:hAnsi="宋体" w:cs="宋体" w:eastAsia="宋体" w:hint="default"/>
                            <w:sz w:val="24"/>
                            <w:szCs w:val="24"/>
                          </w:rPr>
                          <w:t>日本地区</w:t>
                        </w:r>
                      </w:p>
                    </w:tc>
                    <w:tc>
                      <w:tcPr>
                        <w:tcW w:w="1496" w:type="dxa"/>
                        <w:tcBorders>
                          <w:top w:val="nil" w:sz="6" w:space="0" w:color="auto"/>
                          <w:left w:val="nil" w:sz="6" w:space="0" w:color="auto"/>
                          <w:bottom w:val="nil" w:sz="6" w:space="0" w:color="auto"/>
                          <w:right w:val="nil" w:sz="6" w:space="0" w:color="auto"/>
                        </w:tcBorders>
                      </w:tcPr>
                      <w:p>
                        <w:pPr>
                          <w:pStyle w:val="TableParagraph"/>
                          <w:tabs>
                            <w:tab w:pos="415" w:val="left" w:leader="none"/>
                            <w:tab w:pos="1562" w:val="left" w:leader="none"/>
                          </w:tabs>
                          <w:spacing w:line="240" w:lineRule="auto" w:before="20"/>
                          <w:ind w:right="-6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1,053,509</w:t>
                          <w:tab/>
                        </w:r>
                        <w:r>
                          <w:rPr>
                            <w:rFonts w:ascii="Arial"/>
                            <w:spacing w:val="-1"/>
                            <w:sz w:val="24"/>
                          </w:rPr>
                        </w:r>
                      </w:p>
                    </w:tc>
                    <w:tc>
                      <w:tcPr>
                        <w:tcW w:w="81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tabs>
                            <w:tab w:pos="917" w:val="left" w:leader="none"/>
                          </w:tabs>
                          <w:spacing w:line="240" w:lineRule="auto" w:before="20"/>
                          <w:ind w:left="-32" w:right="-1"/>
                          <w:jc w:val="left"/>
                          <w:rPr>
                            <w:rFonts w:ascii="Arial" w:hAnsi="Arial" w:cs="Arial" w:eastAsia="Arial" w:hint="default"/>
                            <w:sz w:val="24"/>
                            <w:szCs w:val="24"/>
                          </w:rPr>
                        </w:pPr>
                        <w:r>
                          <w:rPr>
                            <w:rFonts w:ascii="Arial"/>
                            <w:w w:val="99"/>
                            <w:sz w:val="24"/>
                          </w:rPr>
                        </w:r>
                        <w:r>
                          <w:rPr>
                            <w:rFonts w:ascii="Arial"/>
                            <w:sz w:val="24"/>
                            <w:u w:val="single" w:color="000000"/>
                          </w:rPr>
                          <w:t>718,695</w:t>
                          <w:tab/>
                        </w:r>
                        <w:r>
                          <w:rPr>
                            <w:rFonts w:ascii="Arial"/>
                            <w:sz w:val="24"/>
                          </w:rPr>
                        </w:r>
                      </w:p>
                    </w:tc>
                    <w:tc>
                      <w:tcPr>
                        <w:tcW w:w="2009" w:type="dxa"/>
                        <w:gridSpan w:val="4"/>
                        <w:tcBorders>
                          <w:top w:val="nil" w:sz="6" w:space="0" w:color="auto"/>
                          <w:left w:val="nil" w:sz="6" w:space="0" w:color="auto"/>
                          <w:bottom w:val="nil" w:sz="6" w:space="0" w:color="auto"/>
                          <w:right w:val="nil" w:sz="6" w:space="0" w:color="auto"/>
                        </w:tcBorders>
                      </w:tcPr>
                      <w:p>
                        <w:pPr>
                          <w:pStyle w:val="TableParagraph"/>
                          <w:tabs>
                            <w:tab w:pos="777" w:val="left" w:leader="none"/>
                            <w:tab w:pos="2597" w:val="left" w:leader="none"/>
                          </w:tabs>
                          <w:spacing w:line="240" w:lineRule="auto" w:before="20"/>
                          <w:ind w:left="134" w:right="-589"/>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328,039</w:t>
                        </w:r>
                        <w:r>
                          <w:rPr>
                            <w:rFonts w:ascii="Arial"/>
                            <w:spacing w:val="12"/>
                            <w:sz w:val="24"/>
                            <w:u w:val="single" w:color="000000"/>
                          </w:rPr>
                          <w:t> </w:t>
                        </w:r>
                        <w:r>
                          <w:rPr>
                            <w:rFonts w:ascii="Arial"/>
                            <w:spacing w:val="12"/>
                            <w:sz w:val="24"/>
                          </w:rPr>
                        </w:r>
                        <w:r>
                          <w:rPr>
                            <w:rFonts w:ascii="Arial"/>
                            <w:sz w:val="24"/>
                          </w:rPr>
                          <w:t> </w:t>
                        </w:r>
                        <w:r>
                          <w:rPr>
                            <w:rFonts w:ascii="Arial"/>
                            <w:spacing w:val="1"/>
                            <w:sz w:val="24"/>
                          </w:rPr>
                          <w:t> </w:t>
                        </w:r>
                        <w:r>
                          <w:rPr>
                            <w:rFonts w:ascii="Arial"/>
                            <w:spacing w:val="1"/>
                            <w:w w:val="100"/>
                            <w:sz w:val="24"/>
                          </w:rPr>
                        </w:r>
                        <w:r>
                          <w:rPr>
                            <w:rFonts w:ascii="Arial"/>
                            <w:w w:val="100"/>
                            <w:sz w:val="24"/>
                            <w:u w:val="single" w:color="000000"/>
                          </w:rPr>
                          <w:t> </w:t>
                        </w:r>
                        <w:r>
                          <w:rPr>
                            <w:rFonts w:ascii="Arial"/>
                            <w:sz w:val="24"/>
                            <w:u w:val="single" w:color="000000"/>
                          </w:rPr>
                          <w:tab/>
                        </w:r>
                        <w:r>
                          <w:rPr>
                            <w:rFonts w:ascii="Arial"/>
                            <w:sz w:val="24"/>
                          </w:rPr>
                        </w:r>
                      </w:p>
                    </w:tc>
                    <w:tc>
                      <w:tcPr>
                        <w:tcW w:w="1536" w:type="dxa"/>
                        <w:tcBorders>
                          <w:top w:val="nil" w:sz="6" w:space="0" w:color="auto"/>
                          <w:left w:val="nil" w:sz="6" w:space="0" w:color="auto"/>
                          <w:bottom w:val="nil" w:sz="6" w:space="0" w:color="auto"/>
                          <w:right w:val="nil" w:sz="6" w:space="0" w:color="auto"/>
                        </w:tcBorders>
                      </w:tcPr>
                      <w:p>
                        <w:pPr>
                          <w:pStyle w:val="TableParagraph"/>
                          <w:tabs>
                            <w:tab w:pos="947" w:val="left" w:leader="none"/>
                          </w:tabs>
                          <w:spacing w:line="240" w:lineRule="auto" w:before="20"/>
                          <w:ind w:right="0"/>
                          <w:jc w:val="right"/>
                          <w:rPr>
                            <w:rFonts w:ascii="Arial" w:hAnsi="Arial" w:cs="Arial" w:eastAsia="Arial" w:hint="default"/>
                            <w:sz w:val="24"/>
                            <w:szCs w:val="24"/>
                          </w:rPr>
                        </w:pPr>
                        <w:r>
                          <w:rPr>
                            <w:rFonts w:ascii="Arial"/>
                            <w:w w:val="99"/>
                            <w:sz w:val="24"/>
                          </w:rPr>
                        </w:r>
                        <w:r>
                          <w:rPr>
                            <w:rFonts w:ascii="Arial"/>
                            <w:spacing w:val="-1"/>
                            <w:sz w:val="24"/>
                            <w:u w:val="single" w:color="000000"/>
                          </w:rPr>
                          <w:t>258,541</w:t>
                          <w:tab/>
                        </w:r>
                        <w:r>
                          <w:rPr>
                            <w:rFonts w:ascii="Arial"/>
                            <w:spacing w:val="-1"/>
                            <w:sz w:val="24"/>
                          </w:rPr>
                        </w:r>
                      </w:p>
                    </w:tc>
                  </w:tr>
                  <w:tr>
                    <w:trPr>
                      <w:trHeight w:val="287" w:hRule="exact"/>
                    </w:trPr>
                    <w:tc>
                      <w:tcPr>
                        <w:tcW w:w="779" w:type="dxa"/>
                        <w:tcBorders>
                          <w:top w:val="nil" w:sz="6" w:space="0" w:color="auto"/>
                          <w:left w:val="nil" w:sz="6" w:space="0" w:color="auto"/>
                          <w:bottom w:val="nil" w:sz="6" w:space="0" w:color="auto"/>
                          <w:right w:val="nil" w:sz="6" w:space="0" w:color="auto"/>
                        </w:tcBorders>
                      </w:tcPr>
                      <w:p>
                        <w:pPr/>
                      </w:p>
                    </w:tc>
                    <w:tc>
                      <w:tcPr>
                        <w:tcW w:w="2880"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left="1668" w:right="0"/>
                          <w:jc w:val="left"/>
                          <w:rPr>
                            <w:rFonts w:ascii="Arial" w:hAnsi="Arial" w:cs="Arial" w:eastAsia="Arial" w:hint="default"/>
                            <w:sz w:val="24"/>
                            <w:szCs w:val="24"/>
                          </w:rPr>
                        </w:pPr>
                        <w:r>
                          <w:rPr>
                            <w:rFonts w:ascii="Arial"/>
                            <w:sz w:val="24"/>
                          </w:rPr>
                          <w:t>97,006,791</w:t>
                        </w:r>
                      </w:p>
                    </w:tc>
                    <w:tc>
                      <w:tcPr>
                        <w:tcW w:w="1870" w:type="dxa"/>
                        <w:gridSpan w:val="3"/>
                        <w:tcBorders>
                          <w:top w:val="nil" w:sz="6" w:space="0" w:color="auto"/>
                          <w:left w:val="nil" w:sz="6" w:space="0" w:color="auto"/>
                          <w:bottom w:val="nil" w:sz="6" w:space="0" w:color="auto"/>
                          <w:right w:val="nil" w:sz="6" w:space="0" w:color="auto"/>
                        </w:tcBorders>
                      </w:tcPr>
                      <w:p>
                        <w:pPr>
                          <w:pStyle w:val="TableParagraph"/>
                          <w:spacing w:line="268" w:lineRule="exact"/>
                          <w:ind w:left="578" w:right="0"/>
                          <w:jc w:val="left"/>
                          <w:rPr>
                            <w:rFonts w:ascii="Arial" w:hAnsi="Arial" w:cs="Arial" w:eastAsia="Arial" w:hint="default"/>
                            <w:sz w:val="24"/>
                            <w:szCs w:val="24"/>
                          </w:rPr>
                        </w:pPr>
                        <w:r>
                          <w:rPr>
                            <w:rFonts w:ascii="Arial"/>
                            <w:sz w:val="24"/>
                          </w:rPr>
                          <w:t>80,581,387</w:t>
                        </w:r>
                      </w:p>
                    </w:tc>
                    <w:tc>
                      <w:tcPr>
                        <w:tcW w:w="2009" w:type="dxa"/>
                        <w:gridSpan w:val="4"/>
                        <w:tcBorders>
                          <w:top w:val="nil" w:sz="6" w:space="0" w:color="auto"/>
                          <w:left w:val="nil" w:sz="6" w:space="0" w:color="auto"/>
                          <w:bottom w:val="nil" w:sz="6" w:space="0" w:color="auto"/>
                          <w:right w:val="nil" w:sz="6" w:space="0" w:color="auto"/>
                        </w:tcBorders>
                      </w:tcPr>
                      <w:p>
                        <w:pPr>
                          <w:pStyle w:val="TableParagraph"/>
                          <w:spacing w:line="268" w:lineRule="exact"/>
                          <w:ind w:left="443" w:right="0"/>
                          <w:jc w:val="left"/>
                          <w:rPr>
                            <w:rFonts w:ascii="Arial" w:hAnsi="Arial" w:cs="Arial" w:eastAsia="Arial" w:hint="default"/>
                            <w:sz w:val="24"/>
                            <w:szCs w:val="24"/>
                          </w:rPr>
                        </w:pPr>
                        <w:r>
                          <w:rPr>
                            <w:rFonts w:ascii="Arial"/>
                            <w:sz w:val="24"/>
                          </w:rPr>
                          <w:t>92,465,377</w:t>
                        </w:r>
                      </w:p>
                    </w:tc>
                    <w:tc>
                      <w:tcPr>
                        <w:tcW w:w="1536" w:type="dxa"/>
                        <w:tcBorders>
                          <w:top w:val="nil" w:sz="6" w:space="0" w:color="auto"/>
                          <w:left w:val="nil" w:sz="6" w:space="0" w:color="auto"/>
                          <w:bottom w:val="single" w:sz="12" w:space="0" w:color="000000"/>
                          <w:right w:val="nil" w:sz="6" w:space="0" w:color="auto"/>
                        </w:tcBorders>
                      </w:tcPr>
                      <w:p>
                        <w:pPr>
                          <w:pStyle w:val="TableParagraph"/>
                          <w:spacing w:line="268" w:lineRule="exact"/>
                          <w:ind w:left="254" w:right="0"/>
                          <w:jc w:val="left"/>
                          <w:rPr>
                            <w:rFonts w:ascii="Arial" w:hAnsi="Arial" w:cs="Arial" w:eastAsia="Arial" w:hint="default"/>
                            <w:sz w:val="24"/>
                            <w:szCs w:val="24"/>
                          </w:rPr>
                        </w:pPr>
                        <w:r>
                          <w:rPr>
                            <w:rFonts w:ascii="Arial"/>
                            <w:sz w:val="24"/>
                          </w:rPr>
                          <w:t>75,855,609</w:t>
                        </w:r>
                      </w:p>
                    </w:tc>
                  </w:tr>
                  <w:tr>
                    <w:trPr>
                      <w:trHeight w:val="738"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4"/>
                            <w:szCs w:val="24"/>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369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21"/>
                            <w:szCs w:val="21"/>
                          </w:rPr>
                        </w:pPr>
                      </w:p>
                      <w:p>
                        <w:pPr>
                          <w:pStyle w:val="TableParagraph"/>
                          <w:spacing w:line="240" w:lineRule="auto"/>
                          <w:ind w:left="143" w:right="0"/>
                          <w:jc w:val="left"/>
                          <w:rPr>
                            <w:rFonts w:ascii="宋体" w:hAnsi="宋体" w:cs="宋体" w:eastAsia="宋体" w:hint="default"/>
                            <w:sz w:val="24"/>
                            <w:szCs w:val="24"/>
                          </w:rPr>
                        </w:pPr>
                        <w:r>
                          <w:rPr>
                            <w:rFonts w:ascii="宋体" w:hAnsi="宋体" w:cs="宋体" w:eastAsia="宋体" w:hint="default"/>
                            <w:sz w:val="24"/>
                            <w:szCs w:val="24"/>
                          </w:rPr>
                          <w:t>其他业务收入和其他业务成本</w:t>
                        </w:r>
                      </w:p>
                    </w:tc>
                    <w:tc>
                      <w:tcPr>
                        <w:tcW w:w="134" w:type="dxa"/>
                        <w:tcBorders>
                          <w:top w:val="single" w:sz="12" w:space="0" w:color="000000"/>
                          <w:left w:val="nil" w:sz="6" w:space="0" w:color="auto"/>
                          <w:bottom w:val="nil" w:sz="6" w:space="0" w:color="auto"/>
                          <w:right w:val="nil" w:sz="6" w:space="0" w:color="auto"/>
                        </w:tcBorders>
                      </w:tcPr>
                      <w:p>
                        <w:pPr/>
                      </w:p>
                    </w:tc>
                    <w:tc>
                      <w:tcPr>
                        <w:tcW w:w="917" w:type="dxa"/>
                        <w:tcBorders>
                          <w:top w:val="single" w:sz="12"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99" w:type="dxa"/>
                        <w:tcBorders>
                          <w:top w:val="single" w:sz="12" w:space="0" w:color="000000"/>
                          <w:left w:val="nil" w:sz="6" w:space="0" w:color="auto"/>
                          <w:bottom w:val="nil" w:sz="6" w:space="0" w:color="auto"/>
                          <w:right w:val="nil" w:sz="6" w:space="0" w:color="auto"/>
                        </w:tcBorders>
                      </w:tcPr>
                      <w:p>
                        <w:pPr/>
                      </w:p>
                    </w:tc>
                    <w:tc>
                      <w:tcPr>
                        <w:tcW w:w="1567" w:type="dxa"/>
                        <w:tcBorders>
                          <w:top w:val="single" w:sz="12" w:space="0" w:color="000000"/>
                          <w:left w:val="nil" w:sz="6" w:space="0" w:color="auto"/>
                          <w:bottom w:val="nil" w:sz="6" w:space="0" w:color="auto"/>
                          <w:right w:val="nil" w:sz="6" w:space="0" w:color="auto"/>
                        </w:tcBorders>
                      </w:tcPr>
                      <w:p>
                        <w:pPr/>
                      </w:p>
                    </w:tc>
                    <w:tc>
                      <w:tcPr>
                        <w:tcW w:w="9" w:type="dxa"/>
                        <w:tcBorders>
                          <w:top w:val="single" w:sz="12" w:space="0" w:color="000000"/>
                          <w:left w:val="nil" w:sz="6" w:space="0" w:color="auto"/>
                          <w:bottom w:val="nil" w:sz="6" w:space="0" w:color="auto"/>
                          <w:right w:val="nil" w:sz="6" w:space="0" w:color="auto"/>
                        </w:tcBorders>
                      </w:tcPr>
                      <w:p>
                        <w:pPr/>
                      </w:p>
                    </w:tc>
                    <w:tc>
                      <w:tcPr>
                        <w:tcW w:w="1536" w:type="dxa"/>
                        <w:tcBorders>
                          <w:top w:val="single" w:sz="12" w:space="0" w:color="000000"/>
                          <w:left w:val="nil" w:sz="6" w:space="0" w:color="auto"/>
                          <w:bottom w:val="nil" w:sz="6" w:space="0" w:color="auto"/>
                          <w:right w:val="nil" w:sz="6" w:space="0" w:color="auto"/>
                        </w:tcBorders>
                      </w:tcPr>
                      <w:p>
                        <w:pPr/>
                      </w:p>
                    </w:tc>
                  </w:tr>
                  <w:tr>
                    <w:trPr>
                      <w:trHeight w:val="457" w:hRule="exact"/>
                    </w:trPr>
                    <w:tc>
                      <w:tcPr>
                        <w:tcW w:w="779"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single" w:sz="4" w:space="0" w:color="000000"/>
                          <w:right w:val="nil" w:sz="6" w:space="0" w:color="auto"/>
                        </w:tcBorders>
                      </w:tcPr>
                      <w:p>
                        <w:pPr/>
                      </w:p>
                    </w:tc>
                    <w:tc>
                      <w:tcPr>
                        <w:tcW w:w="1870"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00"/>
                          <w:ind w:left="34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 </w:t>
                        </w:r>
                        <w:r>
                          <w:rPr>
                            <w:rFonts w:ascii="宋体" w:hAnsi="宋体" w:cs="宋体" w:eastAsia="宋体" w:hint="default"/>
                            <w:sz w:val="24"/>
                            <w:szCs w:val="24"/>
                          </w:rPr>
                          <w:t>年度</w:t>
                        </w:r>
                      </w:p>
                    </w:tc>
                    <w:tc>
                      <w:tcPr>
                        <w:tcW w:w="134" w:type="dxa"/>
                        <w:tcBorders>
                          <w:top w:val="nil" w:sz="6" w:space="0" w:color="auto"/>
                          <w:left w:val="nil" w:sz="6" w:space="0" w:color="auto"/>
                          <w:bottom w:val="single" w:sz="4" w:space="0" w:color="000000"/>
                          <w:right w:val="nil" w:sz="6" w:space="0" w:color="auto"/>
                        </w:tcBorders>
                      </w:tcPr>
                      <w:p>
                        <w:pPr/>
                      </w:p>
                    </w:tc>
                    <w:tc>
                      <w:tcPr>
                        <w:tcW w:w="299" w:type="dxa"/>
                        <w:tcBorders>
                          <w:top w:val="nil" w:sz="6" w:space="0" w:color="auto"/>
                          <w:left w:val="nil" w:sz="6" w:space="0" w:color="auto"/>
                          <w:bottom w:val="single" w:sz="4" w:space="0" w:color="000000"/>
                          <w:right w:val="nil" w:sz="6" w:space="0" w:color="auto"/>
                        </w:tcBorders>
                      </w:tcPr>
                      <w:p>
                        <w:pPr/>
                      </w:p>
                    </w:tc>
                    <w:tc>
                      <w:tcPr>
                        <w:tcW w:w="311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1140" w:right="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年度</w:t>
                        </w:r>
                      </w:p>
                    </w:tc>
                  </w:tr>
                  <w:tr>
                    <w:trPr>
                      <w:trHeight w:val="772" w:hRule="exact"/>
                    </w:trPr>
                    <w:tc>
                      <w:tcPr>
                        <w:tcW w:w="779"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c>
                      <w:tcPr>
                        <w:tcW w:w="2314" w:type="dxa"/>
                        <w:gridSpan w:val="2"/>
                        <w:tcBorders>
                          <w:top w:val="nil" w:sz="6" w:space="0" w:color="auto"/>
                          <w:left w:val="nil" w:sz="6" w:space="0" w:color="auto"/>
                          <w:bottom w:val="nil" w:sz="6" w:space="0" w:color="auto"/>
                          <w:right w:val="nil" w:sz="6" w:space="0" w:color="auto"/>
                        </w:tcBorders>
                      </w:tcPr>
                      <w:p>
                        <w:pPr>
                          <w:pStyle w:val="TableParagraph"/>
                          <w:spacing w:line="276" w:lineRule="exact"/>
                          <w:ind w:right="55"/>
                          <w:jc w:val="right"/>
                          <w:rPr>
                            <w:rFonts w:ascii="宋体" w:hAnsi="宋体" w:cs="宋体" w:eastAsia="宋体" w:hint="default"/>
                            <w:sz w:val="24"/>
                            <w:szCs w:val="24"/>
                          </w:rPr>
                        </w:pPr>
                        <w:r>
                          <w:rPr>
                            <w:rFonts w:ascii="宋体" w:hAnsi="宋体" w:cs="宋体" w:eastAsia="宋体" w:hint="default"/>
                            <w:sz w:val="24"/>
                            <w:szCs w:val="24"/>
                          </w:rPr>
                          <w:t>其他业务收</w:t>
                        </w:r>
                      </w:p>
                      <w:p>
                        <w:pPr>
                          <w:pStyle w:val="TableParagraph"/>
                          <w:spacing w:line="312" w:lineRule="exact"/>
                          <w:ind w:right="55"/>
                          <w:jc w:val="right"/>
                          <w:rPr>
                            <w:rFonts w:ascii="宋体" w:hAnsi="宋体" w:cs="宋体" w:eastAsia="宋体" w:hint="default"/>
                            <w:sz w:val="24"/>
                            <w:szCs w:val="24"/>
                          </w:rPr>
                        </w:pPr>
                        <w:r>
                          <w:rPr>
                            <w:rFonts w:ascii="宋体" w:hAnsi="宋体" w:cs="宋体" w:eastAsia="宋体" w:hint="default"/>
                            <w:sz w:val="24"/>
                            <w:szCs w:val="24"/>
                          </w:rPr>
                          <w:t>入</w:t>
                        </w:r>
                      </w:p>
                    </w:tc>
                    <w:tc>
                      <w:tcPr>
                        <w:tcW w:w="1485" w:type="dxa"/>
                        <w:gridSpan w:val="4"/>
                        <w:tcBorders>
                          <w:top w:val="single" w:sz="4" w:space="0" w:color="000000"/>
                          <w:left w:val="nil" w:sz="6" w:space="0" w:color="auto"/>
                          <w:bottom w:val="nil" w:sz="6" w:space="0" w:color="auto"/>
                          <w:right w:val="nil" w:sz="6" w:space="0" w:color="auto"/>
                        </w:tcBorders>
                      </w:tcPr>
                      <w:p>
                        <w:pPr>
                          <w:pStyle w:val="TableParagraph"/>
                          <w:spacing w:line="272" w:lineRule="exact"/>
                          <w:ind w:right="9"/>
                          <w:jc w:val="right"/>
                          <w:rPr>
                            <w:rFonts w:ascii="宋体" w:hAnsi="宋体" w:cs="宋体" w:eastAsia="宋体" w:hint="default"/>
                            <w:sz w:val="24"/>
                            <w:szCs w:val="24"/>
                          </w:rPr>
                        </w:pPr>
                        <w:r>
                          <w:rPr>
                            <w:rFonts w:ascii="宋体" w:hAnsi="宋体" w:cs="宋体" w:eastAsia="宋体" w:hint="default"/>
                            <w:sz w:val="24"/>
                            <w:szCs w:val="24"/>
                          </w:rPr>
                          <w:t>其他业务成</w:t>
                        </w:r>
                      </w:p>
                      <w:p>
                        <w:pPr>
                          <w:pStyle w:val="TableParagraph"/>
                          <w:spacing w:line="312" w:lineRule="exact"/>
                          <w:ind w:right="9"/>
                          <w:jc w:val="right"/>
                          <w:rPr>
                            <w:rFonts w:ascii="宋体" w:hAnsi="宋体" w:cs="宋体" w:eastAsia="宋体" w:hint="default"/>
                            <w:sz w:val="24"/>
                            <w:szCs w:val="24"/>
                          </w:rPr>
                        </w:pPr>
                        <w:r>
                          <w:rPr>
                            <w:rFonts w:ascii="宋体" w:hAnsi="宋体" w:cs="宋体" w:eastAsia="宋体" w:hint="default"/>
                            <w:sz w:val="24"/>
                            <w:szCs w:val="24"/>
                          </w:rPr>
                          <w:t>本</w:t>
                        </w:r>
                      </w:p>
                    </w:tc>
                    <w:tc>
                      <w:tcPr>
                        <w:tcW w:w="1567" w:type="dxa"/>
                        <w:tcBorders>
                          <w:top w:val="single" w:sz="4" w:space="0" w:color="000000"/>
                          <w:left w:val="nil" w:sz="6" w:space="0" w:color="auto"/>
                          <w:bottom w:val="nil" w:sz="6" w:space="0" w:color="auto"/>
                          <w:right w:val="nil" w:sz="6" w:space="0" w:color="auto"/>
                        </w:tcBorders>
                      </w:tcPr>
                      <w:p>
                        <w:pPr>
                          <w:pStyle w:val="TableParagraph"/>
                          <w:spacing w:line="272" w:lineRule="exact"/>
                          <w:ind w:right="47"/>
                          <w:jc w:val="right"/>
                          <w:rPr>
                            <w:rFonts w:ascii="宋体" w:hAnsi="宋体" w:cs="宋体" w:eastAsia="宋体" w:hint="default"/>
                            <w:sz w:val="24"/>
                            <w:szCs w:val="24"/>
                          </w:rPr>
                        </w:pPr>
                        <w:r>
                          <w:rPr>
                            <w:rFonts w:ascii="宋体" w:hAnsi="宋体" w:cs="宋体" w:eastAsia="宋体" w:hint="default"/>
                            <w:sz w:val="24"/>
                            <w:szCs w:val="24"/>
                          </w:rPr>
                          <w:t>其他业务收</w:t>
                        </w:r>
                      </w:p>
                      <w:p>
                        <w:pPr>
                          <w:pStyle w:val="TableParagraph"/>
                          <w:spacing w:line="312" w:lineRule="exact"/>
                          <w:ind w:right="47"/>
                          <w:jc w:val="right"/>
                          <w:rPr>
                            <w:rFonts w:ascii="宋体" w:hAnsi="宋体" w:cs="宋体" w:eastAsia="宋体" w:hint="default"/>
                            <w:sz w:val="24"/>
                            <w:szCs w:val="24"/>
                          </w:rPr>
                        </w:pPr>
                        <w:r>
                          <w:rPr>
                            <w:rFonts w:ascii="宋体" w:hAnsi="宋体" w:cs="宋体" w:eastAsia="宋体" w:hint="default"/>
                            <w:sz w:val="24"/>
                            <w:szCs w:val="24"/>
                          </w:rPr>
                          <w:t>入</w:t>
                        </w:r>
                      </w:p>
                    </w:tc>
                    <w:tc>
                      <w:tcPr>
                        <w:tcW w:w="9" w:type="dxa"/>
                        <w:tcBorders>
                          <w:top w:val="single" w:sz="4" w:space="0" w:color="000000"/>
                          <w:left w:val="nil" w:sz="6" w:space="0" w:color="auto"/>
                          <w:bottom w:val="nil" w:sz="6" w:space="0" w:color="auto"/>
                          <w:right w:val="nil" w:sz="6" w:space="0" w:color="auto"/>
                        </w:tcBorders>
                      </w:tcPr>
                      <w:p>
                        <w:pPr/>
                      </w:p>
                    </w:tc>
                    <w:tc>
                      <w:tcPr>
                        <w:tcW w:w="1536" w:type="dxa"/>
                        <w:tcBorders>
                          <w:top w:val="single" w:sz="4" w:space="0" w:color="000000"/>
                          <w:left w:val="nil" w:sz="6" w:space="0" w:color="auto"/>
                          <w:bottom w:val="nil" w:sz="6" w:space="0" w:color="auto"/>
                          <w:right w:val="nil" w:sz="6" w:space="0" w:color="auto"/>
                        </w:tcBorders>
                      </w:tcPr>
                      <w:p>
                        <w:pPr>
                          <w:pStyle w:val="TableParagraph"/>
                          <w:spacing w:line="272" w:lineRule="exact"/>
                          <w:ind w:right="53"/>
                          <w:jc w:val="right"/>
                          <w:rPr>
                            <w:rFonts w:ascii="宋体" w:hAnsi="宋体" w:cs="宋体" w:eastAsia="宋体" w:hint="default"/>
                            <w:sz w:val="24"/>
                            <w:szCs w:val="24"/>
                          </w:rPr>
                        </w:pPr>
                        <w:r>
                          <w:rPr>
                            <w:rFonts w:ascii="宋体" w:hAnsi="宋体" w:cs="宋体" w:eastAsia="宋体" w:hint="default"/>
                            <w:sz w:val="24"/>
                            <w:szCs w:val="24"/>
                          </w:rPr>
                          <w:t>其他业务成</w:t>
                        </w:r>
                      </w:p>
                      <w:p>
                        <w:pPr>
                          <w:pStyle w:val="TableParagraph"/>
                          <w:spacing w:line="312" w:lineRule="exact"/>
                          <w:ind w:right="53"/>
                          <w:jc w:val="right"/>
                          <w:rPr>
                            <w:rFonts w:ascii="宋体" w:hAnsi="宋体" w:cs="宋体" w:eastAsia="宋体" w:hint="default"/>
                            <w:sz w:val="24"/>
                            <w:szCs w:val="24"/>
                          </w:rPr>
                        </w:pPr>
                        <w:r>
                          <w:rPr>
                            <w:rFonts w:ascii="宋体" w:hAnsi="宋体" w:cs="宋体" w:eastAsia="宋体" w:hint="default"/>
                            <w:sz w:val="24"/>
                            <w:szCs w:val="24"/>
                          </w:rPr>
                          <w:t>本</w:t>
                        </w:r>
                      </w:p>
                    </w:tc>
                  </w:tr>
                  <w:tr>
                    <w:trPr>
                      <w:trHeight w:val="472" w:hRule="exact"/>
                    </w:trPr>
                    <w:tc>
                      <w:tcPr>
                        <w:tcW w:w="779" w:type="dxa"/>
                        <w:tcBorders>
                          <w:top w:val="nil" w:sz="6" w:space="0" w:color="auto"/>
                          <w:left w:val="nil" w:sz="6" w:space="0" w:color="auto"/>
                          <w:bottom w:val="nil" w:sz="6" w:space="0" w:color="auto"/>
                          <w:right w:val="nil" w:sz="6" w:space="0" w:color="auto"/>
                        </w:tcBorders>
                      </w:tcPr>
                      <w:p>
                        <w:pPr/>
                      </w:p>
                    </w:tc>
                    <w:tc>
                      <w:tcPr>
                        <w:tcW w:w="28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9"/>
                          <w:ind w:left="16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连锁店服务收入</w:t>
                        </w:r>
                        <w:r>
                          <w:rPr>
                            <w:rFonts w:ascii="Times New Roman" w:hAnsi="Times New Roman" w:cs="Times New Roman" w:eastAsia="Times New Roman" w:hint="default"/>
                            <w:sz w:val="24"/>
                            <w:szCs w:val="24"/>
                          </w:rPr>
                          <w:t>(i)</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 w:right="0"/>
                          <w:jc w:val="left"/>
                          <w:rPr>
                            <w:rFonts w:ascii="Times New Roman" w:hAnsi="Times New Roman" w:cs="Times New Roman" w:eastAsia="Times New Roman" w:hint="default"/>
                            <w:sz w:val="24"/>
                            <w:szCs w:val="24"/>
                          </w:rPr>
                        </w:pPr>
                        <w:r>
                          <w:rPr>
                            <w:rFonts w:ascii="Times New Roman"/>
                            <w:sz w:val="24"/>
                          </w:rPr>
                          <w:t>538,588</w:t>
                        </w:r>
                      </w:p>
                    </w:tc>
                    <w:tc>
                      <w:tcPr>
                        <w:tcW w:w="148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7"/>
                          <w:ind w:left="933" w:right="0"/>
                          <w:jc w:val="left"/>
                          <w:rPr>
                            <w:rFonts w:ascii="Times New Roman" w:hAnsi="Times New Roman" w:cs="Times New Roman" w:eastAsia="Times New Roman" w:hint="default"/>
                            <w:sz w:val="24"/>
                            <w:szCs w:val="24"/>
                          </w:rPr>
                        </w:pPr>
                        <w:r>
                          <w:rPr>
                            <w:rFonts w:ascii="Times New Roman"/>
                            <w:sz w:val="24"/>
                          </w:rPr>
                          <w:t>2,986</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47"/>
                          <w:jc w:val="right"/>
                          <w:rPr>
                            <w:rFonts w:ascii="Times New Roman" w:hAnsi="Times New Roman" w:cs="Times New Roman" w:eastAsia="Times New Roman" w:hint="default"/>
                            <w:sz w:val="24"/>
                            <w:szCs w:val="24"/>
                          </w:rPr>
                        </w:pPr>
                        <w:r>
                          <w:rPr>
                            <w:rFonts w:ascii="Times New Roman"/>
                            <w:sz w:val="24"/>
                          </w:rPr>
                          <w:t>764,547</w:t>
                        </w:r>
                      </w:p>
                    </w:tc>
                    <w:tc>
                      <w:tcPr>
                        <w:tcW w:w="9"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53"/>
                          <w:jc w:val="right"/>
                          <w:rPr>
                            <w:rFonts w:ascii="Times New Roman" w:hAnsi="Times New Roman" w:cs="Times New Roman" w:eastAsia="Times New Roman" w:hint="default"/>
                            <w:sz w:val="24"/>
                            <w:szCs w:val="24"/>
                          </w:rPr>
                        </w:pPr>
                        <w:r>
                          <w:rPr>
                            <w:rFonts w:ascii="Times New Roman"/>
                            <w:spacing w:val="-2"/>
                            <w:sz w:val="24"/>
                          </w:rPr>
                          <w:t>1,711</w:t>
                        </w:r>
                      </w:p>
                    </w:tc>
                  </w:tr>
                  <w:tr>
                    <w:trPr>
                      <w:trHeight w:val="312" w:hRule="exact"/>
                    </w:trPr>
                    <w:tc>
                      <w:tcPr>
                        <w:tcW w:w="779"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63" w:lineRule="exact"/>
                          <w:ind w:left="160" w:right="0"/>
                          <w:jc w:val="left"/>
                          <w:rPr>
                            <w:rFonts w:ascii="宋体" w:hAnsi="宋体" w:cs="宋体" w:eastAsia="宋体" w:hint="default"/>
                            <w:sz w:val="24"/>
                            <w:szCs w:val="24"/>
                          </w:rPr>
                        </w:pPr>
                        <w:r>
                          <w:rPr>
                            <w:rFonts w:ascii="宋体" w:hAnsi="宋体" w:cs="宋体" w:eastAsia="宋体" w:hint="default"/>
                            <w:sz w:val="24"/>
                            <w:szCs w:val="24"/>
                          </w:rPr>
                          <w:t>租赁收入</w:t>
                        </w:r>
                      </w:p>
                    </w:tc>
                    <w:tc>
                      <w:tcPr>
                        <w:tcW w:w="1496"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0" w:right="0"/>
                          <w:jc w:val="left"/>
                          <w:rPr>
                            <w:rFonts w:ascii="Times New Roman" w:hAnsi="Times New Roman" w:cs="Times New Roman" w:eastAsia="Times New Roman" w:hint="default"/>
                            <w:sz w:val="24"/>
                            <w:szCs w:val="24"/>
                          </w:rPr>
                        </w:pPr>
                        <w:r>
                          <w:rPr>
                            <w:rFonts w:ascii="Times New Roman"/>
                            <w:sz w:val="24"/>
                          </w:rPr>
                          <w:t>397,942</w:t>
                        </w:r>
                      </w:p>
                    </w:tc>
                    <w:tc>
                      <w:tcPr>
                        <w:tcW w:w="148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
                          <w:ind w:left="693" w:right="0"/>
                          <w:jc w:val="left"/>
                          <w:rPr>
                            <w:rFonts w:ascii="Times New Roman" w:hAnsi="Times New Roman" w:cs="Times New Roman" w:eastAsia="Times New Roman" w:hint="default"/>
                            <w:sz w:val="24"/>
                            <w:szCs w:val="24"/>
                          </w:rPr>
                        </w:pPr>
                        <w:r>
                          <w:rPr>
                            <w:rFonts w:ascii="Times New Roman"/>
                            <w:sz w:val="24"/>
                          </w:rPr>
                          <w:t>300,273</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7"/>
                          <w:jc w:val="right"/>
                          <w:rPr>
                            <w:rFonts w:ascii="Times New Roman" w:hAnsi="Times New Roman" w:cs="Times New Roman" w:eastAsia="Times New Roman" w:hint="default"/>
                            <w:sz w:val="24"/>
                            <w:szCs w:val="24"/>
                          </w:rPr>
                        </w:pPr>
                        <w:r>
                          <w:rPr>
                            <w:rFonts w:ascii="Times New Roman"/>
                            <w:sz w:val="24"/>
                          </w:rPr>
                          <w:t>302,816</w:t>
                        </w:r>
                      </w:p>
                    </w:tc>
                    <w:tc>
                      <w:tcPr>
                        <w:tcW w:w="9"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3"/>
                          <w:jc w:val="right"/>
                          <w:rPr>
                            <w:rFonts w:ascii="Times New Roman" w:hAnsi="Times New Roman" w:cs="Times New Roman" w:eastAsia="Times New Roman" w:hint="default"/>
                            <w:sz w:val="24"/>
                            <w:szCs w:val="24"/>
                          </w:rPr>
                        </w:pPr>
                        <w:r>
                          <w:rPr>
                            <w:rFonts w:ascii="Times New Roman"/>
                            <w:sz w:val="24"/>
                          </w:rPr>
                          <w:t>247,336</w:t>
                        </w:r>
                      </w:p>
                    </w:tc>
                  </w:tr>
                  <w:tr>
                    <w:trPr>
                      <w:trHeight w:val="310" w:hRule="exact"/>
                    </w:trPr>
                    <w:tc>
                      <w:tcPr>
                        <w:tcW w:w="779" w:type="dxa"/>
                        <w:tcBorders>
                          <w:top w:val="nil" w:sz="6" w:space="0" w:color="auto"/>
                          <w:left w:val="nil" w:sz="6" w:space="0" w:color="auto"/>
                          <w:bottom w:val="nil" w:sz="6" w:space="0" w:color="auto"/>
                          <w:right w:val="nil" w:sz="6" w:space="0" w:color="auto"/>
                        </w:tcBorders>
                      </w:tcPr>
                      <w:p>
                        <w:pPr/>
                      </w:p>
                    </w:tc>
                    <w:tc>
                      <w:tcPr>
                        <w:tcW w:w="2880" w:type="dxa"/>
                        <w:gridSpan w:val="2"/>
                        <w:tcBorders>
                          <w:top w:val="nil" w:sz="6" w:space="0" w:color="auto"/>
                          <w:left w:val="nil" w:sz="6" w:space="0" w:color="auto"/>
                          <w:bottom w:val="nil" w:sz="6" w:space="0" w:color="auto"/>
                          <w:right w:val="nil" w:sz="6" w:space="0" w:color="auto"/>
                        </w:tcBorders>
                      </w:tcPr>
                      <w:p>
                        <w:pPr>
                          <w:pStyle w:val="TableParagraph"/>
                          <w:spacing w:line="264" w:lineRule="exact"/>
                          <w:ind w:left="160" w:right="0"/>
                          <w:jc w:val="left"/>
                          <w:rPr>
                            <w:rFonts w:ascii="宋体" w:hAnsi="宋体" w:cs="宋体" w:eastAsia="宋体" w:hint="default"/>
                            <w:sz w:val="24"/>
                            <w:szCs w:val="24"/>
                          </w:rPr>
                        </w:pPr>
                        <w:r>
                          <w:rPr>
                            <w:rFonts w:ascii="宋体" w:hAnsi="宋体" w:cs="宋体" w:eastAsia="宋体" w:hint="default"/>
                            <w:sz w:val="24"/>
                            <w:szCs w:val="24"/>
                          </w:rPr>
                          <w:t>广告位使用费收入</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 w:right="0"/>
                          <w:jc w:val="left"/>
                          <w:rPr>
                            <w:rFonts w:ascii="Times New Roman" w:hAnsi="Times New Roman" w:cs="Times New Roman" w:eastAsia="Times New Roman" w:hint="default"/>
                            <w:sz w:val="24"/>
                            <w:szCs w:val="24"/>
                          </w:rPr>
                        </w:pPr>
                        <w:r>
                          <w:rPr>
                            <w:rFonts w:ascii="Times New Roman"/>
                            <w:sz w:val="24"/>
                          </w:rPr>
                          <w:t>229,188</w:t>
                        </w:r>
                      </w:p>
                    </w:tc>
                    <w:tc>
                      <w:tcPr>
                        <w:tcW w:w="134"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7"/>
                          <w:jc w:val="right"/>
                          <w:rPr>
                            <w:rFonts w:ascii="Times New Roman" w:hAnsi="Times New Roman" w:cs="Times New Roman" w:eastAsia="Times New Roman" w:hint="default"/>
                            <w:sz w:val="24"/>
                            <w:szCs w:val="24"/>
                          </w:rPr>
                        </w:pPr>
                        <w:r>
                          <w:rPr>
                            <w:rFonts w:ascii="Times New Roman"/>
                            <w:sz w:val="24"/>
                          </w:rPr>
                          <w:t>212,379</w:t>
                        </w:r>
                      </w:p>
                    </w:tc>
                    <w:tc>
                      <w:tcPr>
                        <w:tcW w:w="9"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12" w:hRule="exact"/>
                    </w:trPr>
                    <w:tc>
                      <w:tcPr>
                        <w:tcW w:w="779"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63" w:lineRule="exact"/>
                          <w:ind w:left="160" w:right="0"/>
                          <w:jc w:val="left"/>
                          <w:rPr>
                            <w:rFonts w:ascii="宋体" w:hAnsi="宋体" w:cs="宋体" w:eastAsia="宋体" w:hint="default"/>
                            <w:sz w:val="24"/>
                            <w:szCs w:val="24"/>
                          </w:rPr>
                        </w:pPr>
                        <w:r>
                          <w:rPr>
                            <w:rFonts w:ascii="宋体" w:hAnsi="宋体" w:cs="宋体" w:eastAsia="宋体" w:hint="default"/>
                            <w:sz w:val="24"/>
                            <w:szCs w:val="24"/>
                          </w:rPr>
                          <w:t>代理费收入</w:t>
                        </w:r>
                      </w:p>
                    </w:tc>
                    <w:tc>
                      <w:tcPr>
                        <w:tcW w:w="1496"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0" w:right="0"/>
                          <w:jc w:val="left"/>
                          <w:rPr>
                            <w:rFonts w:ascii="Times New Roman" w:hAnsi="Times New Roman" w:cs="Times New Roman" w:eastAsia="Times New Roman" w:hint="default"/>
                            <w:sz w:val="24"/>
                            <w:szCs w:val="24"/>
                          </w:rPr>
                        </w:pPr>
                        <w:r>
                          <w:rPr>
                            <w:rFonts w:ascii="Times New Roman"/>
                            <w:sz w:val="24"/>
                          </w:rPr>
                          <w:t>184,500</w:t>
                        </w:r>
                      </w:p>
                    </w:tc>
                    <w:tc>
                      <w:tcPr>
                        <w:tcW w:w="134"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7"/>
                          <w:jc w:val="right"/>
                          <w:rPr>
                            <w:rFonts w:ascii="Times New Roman" w:hAnsi="Times New Roman" w:cs="Times New Roman" w:eastAsia="Times New Roman" w:hint="default"/>
                            <w:sz w:val="24"/>
                            <w:szCs w:val="24"/>
                          </w:rPr>
                        </w:pPr>
                        <w:r>
                          <w:rPr>
                            <w:rFonts w:ascii="Times New Roman"/>
                            <w:sz w:val="24"/>
                          </w:rPr>
                          <w:t>143,326</w:t>
                        </w:r>
                      </w:p>
                    </w:tc>
                    <w:tc>
                      <w:tcPr>
                        <w:tcW w:w="9"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2"/>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11" w:hRule="exact"/>
                    </w:trPr>
                    <w:tc>
                      <w:tcPr>
                        <w:tcW w:w="779"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63" w:lineRule="exact"/>
                          <w:ind w:left="160" w:right="0"/>
                          <w:jc w:val="left"/>
                          <w:rPr>
                            <w:rFonts w:ascii="宋体" w:hAnsi="宋体" w:cs="宋体" w:eastAsia="宋体" w:hint="default"/>
                            <w:sz w:val="24"/>
                            <w:szCs w:val="24"/>
                          </w:rPr>
                        </w:pPr>
                        <w:r>
                          <w:rPr>
                            <w:rFonts w:ascii="宋体" w:hAnsi="宋体" w:cs="宋体" w:eastAsia="宋体" w:hint="default"/>
                            <w:sz w:val="24"/>
                            <w:szCs w:val="24"/>
                          </w:rPr>
                          <w:t>培训费收入</w:t>
                        </w:r>
                      </w:p>
                    </w:tc>
                    <w:tc>
                      <w:tcPr>
                        <w:tcW w:w="2314" w:type="dxa"/>
                        <w:gridSpan w:val="2"/>
                        <w:tcBorders>
                          <w:top w:val="nil" w:sz="6" w:space="0" w:color="auto"/>
                          <w:left w:val="nil" w:sz="6" w:space="0" w:color="auto"/>
                          <w:bottom w:val="nil" w:sz="6" w:space="0" w:color="auto"/>
                          <w:right w:val="nil" w:sz="6" w:space="0" w:color="auto"/>
                        </w:tcBorders>
                      </w:tcPr>
                      <w:p>
                        <w:pPr>
                          <w:pStyle w:val="TableParagraph"/>
                          <w:tabs>
                            <w:tab w:pos="1896" w:val="left" w:leader="none"/>
                          </w:tabs>
                          <w:spacing w:line="240" w:lineRule="auto" w:before="17"/>
                          <w:ind w:left="855"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152</w:t>
                        </w:r>
                        <w:r>
                          <w:rPr>
                            <w:rFonts w:ascii="Times New Roman"/>
                            <w:sz w:val="24"/>
                          </w:rPr>
                        </w:r>
                      </w:p>
                    </w:tc>
                    <w:tc>
                      <w:tcPr>
                        <w:tcW w:w="1485" w:type="dxa"/>
                        <w:gridSpan w:val="4"/>
                        <w:tcBorders>
                          <w:top w:val="nil" w:sz="6" w:space="0" w:color="auto"/>
                          <w:left w:val="nil" w:sz="6" w:space="0" w:color="auto"/>
                          <w:bottom w:val="nil" w:sz="6" w:space="0" w:color="auto"/>
                          <w:right w:val="nil" w:sz="6" w:space="0" w:color="auto"/>
                        </w:tcBorders>
                      </w:tcPr>
                      <w:p>
                        <w:pPr>
                          <w:pStyle w:val="TableParagraph"/>
                          <w:tabs>
                            <w:tab w:pos="1394" w:val="left" w:leader="none"/>
                          </w:tabs>
                          <w:spacing w:line="240" w:lineRule="auto" w:before="17"/>
                          <w:ind w:left="13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567" w:type="dxa"/>
                        <w:tcBorders>
                          <w:top w:val="nil" w:sz="6" w:space="0" w:color="auto"/>
                          <w:left w:val="nil" w:sz="6" w:space="0" w:color="auto"/>
                          <w:bottom w:val="nil" w:sz="6" w:space="0" w:color="auto"/>
                          <w:right w:val="nil" w:sz="6" w:space="0" w:color="auto"/>
                        </w:tcBorders>
                      </w:tcPr>
                      <w:p>
                        <w:pPr>
                          <w:pStyle w:val="TableParagraph"/>
                          <w:tabs>
                            <w:tab w:pos="979" w:val="left" w:leader="none"/>
                            <w:tab w:pos="1397" w:val="left" w:leader="none"/>
                          </w:tabs>
                          <w:spacing w:line="240" w:lineRule="auto" w:before="17"/>
                          <w:ind w:right="-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135</w:t>
                          <w:tab/>
                        </w:r>
                        <w:r>
                          <w:rPr>
                            <w:rFonts w:ascii="Times New Roman"/>
                            <w:sz w:val="24"/>
                          </w:rPr>
                        </w:r>
                      </w:p>
                    </w:tc>
                    <w:tc>
                      <w:tcPr>
                        <w:tcW w:w="9"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tabs>
                            <w:tab w:pos="1401" w:val="left" w:leader="none"/>
                          </w:tabs>
                          <w:spacing w:line="240" w:lineRule="auto" w:before="17"/>
                          <w:ind w:left="13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r>
                  <w:tr>
                    <w:trPr>
                      <w:trHeight w:val="290" w:hRule="exact"/>
                    </w:trPr>
                    <w:tc>
                      <w:tcPr>
                        <w:tcW w:w="779"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c>
                      <w:tcPr>
                        <w:tcW w:w="2314"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left="1296" w:right="0"/>
                          <w:jc w:val="left"/>
                          <w:rPr>
                            <w:rFonts w:ascii="Times New Roman" w:hAnsi="Times New Roman" w:cs="Times New Roman" w:eastAsia="Times New Roman" w:hint="default"/>
                            <w:sz w:val="24"/>
                            <w:szCs w:val="24"/>
                          </w:rPr>
                        </w:pPr>
                        <w:r>
                          <w:rPr>
                            <w:rFonts w:ascii="Times New Roman"/>
                            <w:sz w:val="24"/>
                          </w:rPr>
                          <w:t>1,350,370</w:t>
                        </w:r>
                      </w:p>
                    </w:tc>
                    <w:tc>
                      <w:tcPr>
                        <w:tcW w:w="1485" w:type="dxa"/>
                        <w:gridSpan w:val="4"/>
                        <w:tcBorders>
                          <w:top w:val="nil" w:sz="6" w:space="0" w:color="auto"/>
                          <w:left w:val="nil" w:sz="6" w:space="0" w:color="auto"/>
                          <w:bottom w:val="single" w:sz="12" w:space="0" w:color="000000"/>
                          <w:right w:val="nil" w:sz="6" w:space="0" w:color="auto"/>
                        </w:tcBorders>
                      </w:tcPr>
                      <w:p>
                        <w:pPr>
                          <w:pStyle w:val="TableParagraph"/>
                          <w:spacing w:line="268" w:lineRule="exact"/>
                          <w:ind w:left="693" w:right="0"/>
                          <w:jc w:val="left"/>
                          <w:rPr>
                            <w:rFonts w:ascii="Times New Roman" w:hAnsi="Times New Roman" w:cs="Times New Roman" w:eastAsia="Times New Roman" w:hint="default"/>
                            <w:sz w:val="24"/>
                            <w:szCs w:val="24"/>
                          </w:rPr>
                        </w:pPr>
                        <w:r>
                          <w:rPr>
                            <w:rFonts w:ascii="Times New Roman"/>
                            <w:sz w:val="24"/>
                          </w:rPr>
                          <w:t>303,259</w:t>
                        </w:r>
                      </w:p>
                    </w:tc>
                    <w:tc>
                      <w:tcPr>
                        <w:tcW w:w="1567" w:type="dxa"/>
                        <w:tcBorders>
                          <w:top w:val="nil" w:sz="6" w:space="0" w:color="auto"/>
                          <w:left w:val="nil" w:sz="6" w:space="0" w:color="auto"/>
                          <w:bottom w:val="single" w:sz="12" w:space="0" w:color="000000"/>
                          <w:right w:val="nil" w:sz="6" w:space="0" w:color="auto"/>
                        </w:tcBorders>
                      </w:tcPr>
                      <w:p>
                        <w:pPr>
                          <w:pStyle w:val="TableParagraph"/>
                          <w:spacing w:line="268" w:lineRule="exact"/>
                          <w:ind w:right="47"/>
                          <w:jc w:val="right"/>
                          <w:rPr>
                            <w:rFonts w:ascii="Times New Roman" w:hAnsi="Times New Roman" w:cs="Times New Roman" w:eastAsia="Times New Roman" w:hint="default"/>
                            <w:sz w:val="24"/>
                            <w:szCs w:val="24"/>
                          </w:rPr>
                        </w:pPr>
                        <w:r>
                          <w:rPr>
                            <w:rFonts w:ascii="Times New Roman"/>
                            <w:sz w:val="24"/>
                          </w:rPr>
                          <w:t>1,423,203</w:t>
                        </w:r>
                      </w:p>
                    </w:tc>
                    <w:tc>
                      <w:tcPr>
                        <w:tcW w:w="9" w:type="dxa"/>
                        <w:tcBorders>
                          <w:top w:val="nil" w:sz="6" w:space="0" w:color="auto"/>
                          <w:left w:val="nil" w:sz="6" w:space="0" w:color="auto"/>
                          <w:bottom w:val="single" w:sz="12" w:space="0" w:color="000000"/>
                          <w:right w:val="nil" w:sz="6" w:space="0" w:color="auto"/>
                        </w:tcBorders>
                      </w:tcPr>
                      <w:p>
                        <w:pPr/>
                      </w:p>
                    </w:tc>
                    <w:tc>
                      <w:tcPr>
                        <w:tcW w:w="1536" w:type="dxa"/>
                        <w:tcBorders>
                          <w:top w:val="nil" w:sz="6" w:space="0" w:color="auto"/>
                          <w:left w:val="nil" w:sz="6" w:space="0" w:color="auto"/>
                          <w:bottom w:val="single" w:sz="12" w:space="0" w:color="000000"/>
                          <w:right w:val="nil" w:sz="6" w:space="0" w:color="auto"/>
                        </w:tcBorders>
                      </w:tcPr>
                      <w:p>
                        <w:pPr>
                          <w:pStyle w:val="TableParagraph"/>
                          <w:spacing w:line="268" w:lineRule="exact"/>
                          <w:ind w:right="53"/>
                          <w:jc w:val="right"/>
                          <w:rPr>
                            <w:rFonts w:ascii="Times New Roman" w:hAnsi="Times New Roman" w:cs="Times New Roman" w:eastAsia="Times New Roman" w:hint="default"/>
                            <w:sz w:val="24"/>
                            <w:szCs w:val="24"/>
                          </w:rPr>
                        </w:pPr>
                        <w:r>
                          <w:rPr>
                            <w:rFonts w:ascii="Times New Roman"/>
                            <w:sz w:val="24"/>
                          </w:rPr>
                          <w:t>249,047</w:t>
                        </w:r>
                      </w:p>
                    </w:tc>
                  </w:tr>
                  <w:tr>
                    <w:trPr>
                      <w:trHeight w:val="576" w:hRule="exact"/>
                    </w:trPr>
                    <w:tc>
                      <w:tcPr>
                        <w:tcW w:w="779" w:type="dxa"/>
                        <w:tcBorders>
                          <w:top w:val="nil" w:sz="6" w:space="0" w:color="auto"/>
                          <w:left w:val="nil" w:sz="6" w:space="0" w:color="auto"/>
                          <w:bottom w:val="nil" w:sz="6" w:space="0" w:color="auto"/>
                          <w:right w:val="nil" w:sz="6" w:space="0" w:color="auto"/>
                        </w:tcBorders>
                      </w:tcPr>
                      <w:p>
                        <w:pPr/>
                      </w:p>
                    </w:tc>
                    <w:tc>
                      <w:tcPr>
                        <w:tcW w:w="8296"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21"/>
                            <w:szCs w:val="21"/>
                          </w:rPr>
                        </w:pPr>
                      </w:p>
                      <w:p>
                        <w:pPr>
                          <w:pStyle w:val="TableParagraph"/>
                          <w:spacing w:line="240" w:lineRule="auto"/>
                          <w:ind w:left="160" w:right="0"/>
                          <w:jc w:val="left"/>
                          <w:rPr>
                            <w:rFonts w:ascii="宋体" w:hAnsi="宋体" w:cs="宋体" w:eastAsia="宋体" w:hint="default"/>
                            <w:sz w:val="24"/>
                            <w:szCs w:val="24"/>
                          </w:rPr>
                        </w:pPr>
                        <w:r>
                          <w:rPr>
                            <w:rFonts w:ascii="Arial" w:hAnsi="Arial" w:cs="Arial" w:eastAsia="Arial" w:hint="default"/>
                            <w:sz w:val="24"/>
                            <w:szCs w:val="24"/>
                          </w:rPr>
                          <w:t>(i)</w:t>
                        </w:r>
                        <w:r>
                          <w:rPr>
                            <w:rFonts w:ascii="宋体" w:hAnsi="宋体" w:cs="宋体" w:eastAsia="宋体" w:hint="default"/>
                            <w:sz w:val="24"/>
                            <w:szCs w:val="24"/>
                          </w:rPr>
                          <w:t>连锁店服务收入包括供应商支付的广告促销服务收入及广告服务费收入等。</w:t>
                        </w:r>
                      </w:p>
                    </w:tc>
                  </w:tr>
                </w:tbl>
                <w:p>
                  <w:pPr/>
                </w:p>
              </w:txbxContent>
            </v:textbox>
            <w10:wrap type="none"/>
          </v:shape>
        </w:pict>
      </w:r>
      <w:r>
        <w:rPr>
          <w:rFonts w:ascii="Arial"/>
          <w:w w:val="100"/>
        </w:rPr>
      </w:r>
      <w:r>
        <w:rPr>
          <w:rFonts w:ascii="Arial"/>
          <w:w w:val="100"/>
          <w:u w:val="single" w:color="000000"/>
        </w:rPr>
        <w:t> </w:t>
      </w:r>
      <w:r>
        <w:rPr>
          <w:rFonts w:ascii="Arial"/>
          <w:u w:val="single" w:color="000000"/>
        </w:rPr>
        <w:tab/>
      </w:r>
      <w:r>
        <w:rPr>
          <w:rFonts w:ascii="Arial"/>
        </w:rPr>
      </w:r>
    </w:p>
    <w:p>
      <w:pPr>
        <w:spacing w:after="0" w:line="240" w:lineRule="auto"/>
        <w:jc w:val="center"/>
        <w:rPr>
          <w:rFonts w:ascii="Arial" w:hAnsi="Arial" w:cs="Arial" w:eastAsia="Arial" w:hint="default"/>
        </w:rPr>
        <w:sectPr>
          <w:pgSz w:w="11910" w:h="16850"/>
          <w:pgMar w:header="795" w:footer="708" w:top="2020" w:bottom="900" w:left="142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3"/>
          <w:szCs w:val="23"/>
        </w:rPr>
      </w:pPr>
    </w:p>
    <w:p>
      <w:pPr>
        <w:pStyle w:val="Heading3"/>
        <w:spacing w:line="240" w:lineRule="auto" w:before="33"/>
        <w:ind w:left="0" w:right="1909"/>
        <w:jc w:val="center"/>
      </w:pPr>
      <w:r>
        <w:rPr/>
        <w:pict>
          <v:shape style="position:absolute;margin-left:76.424004pt;margin-top:-69.406876pt;width:453.75pt;height:349.4pt;mso-position-horizontal-relative:page;mso-position-vertical-relative:paragraph;z-index:3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3"/>
                    <w:gridCol w:w="3377"/>
                    <w:gridCol w:w="2477"/>
                    <w:gridCol w:w="134"/>
                    <w:gridCol w:w="2302"/>
                  </w:tblGrid>
                  <w:tr>
                    <w:trPr>
                      <w:trHeight w:val="495" w:hRule="exact"/>
                    </w:trPr>
                    <w:tc>
                      <w:tcPr>
                        <w:tcW w:w="78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377" w:type="dxa"/>
                        <w:tcBorders>
                          <w:top w:val="nil" w:sz="6" w:space="0" w:color="auto"/>
                          <w:left w:val="nil" w:sz="6" w:space="0" w:color="auto"/>
                          <w:bottom w:val="nil" w:sz="6" w:space="0" w:color="auto"/>
                          <w:right w:val="nil" w:sz="6" w:space="0" w:color="auto"/>
                        </w:tcBorders>
                      </w:tcPr>
                      <w:p>
                        <w:pPr>
                          <w:pStyle w:val="TableParagraph"/>
                          <w:spacing w:line="257" w:lineRule="exact"/>
                          <w:ind w:left="155"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7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
                    </w:tc>
                  </w:tr>
                  <w:tr>
                    <w:trPr>
                      <w:trHeight w:val="748" w:hRule="exact"/>
                    </w:trPr>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(38)</w:t>
                        </w:r>
                      </w:p>
                    </w:tc>
                    <w:tc>
                      <w:tcPr>
                        <w:tcW w:w="337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5" w:right="0"/>
                          <w:jc w:val="left"/>
                          <w:rPr>
                            <w:rFonts w:ascii="Arial" w:hAnsi="Arial" w:cs="Arial" w:eastAsia="Arial" w:hint="default"/>
                            <w:sz w:val="24"/>
                            <w:szCs w:val="24"/>
                          </w:rPr>
                        </w:pPr>
                        <w:r>
                          <w:rPr>
                            <w:rFonts w:ascii="黑体" w:hAnsi="黑体" w:cs="黑体" w:eastAsia="黑体" w:hint="default"/>
                            <w:sz w:val="24"/>
                            <w:szCs w:val="24"/>
                          </w:rPr>
                          <w:t>营业收入和营业成本</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7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
                    </w:tc>
                  </w:tr>
                  <w:tr>
                    <w:trPr>
                      <w:trHeight w:val="745" w:hRule="exact"/>
                    </w:trPr>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(c)</w:t>
                        </w:r>
                      </w:p>
                    </w:tc>
                    <w:tc>
                      <w:tcPr>
                        <w:tcW w:w="3377"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55" w:right="0"/>
                          <w:jc w:val="left"/>
                          <w:rPr>
                            <w:rFonts w:ascii="宋体" w:hAnsi="宋体" w:cs="宋体" w:eastAsia="宋体" w:hint="default"/>
                            <w:sz w:val="24"/>
                            <w:szCs w:val="24"/>
                          </w:rPr>
                        </w:pPr>
                        <w:r>
                          <w:rPr>
                            <w:rFonts w:ascii="宋体" w:hAnsi="宋体" w:cs="宋体" w:eastAsia="宋体" w:hint="default"/>
                            <w:sz w:val="24"/>
                            <w:szCs w:val="24"/>
                          </w:rPr>
                          <w:t>本集团前五名客户的营业收入</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38" w:right="0"/>
                          <w:jc w:val="left"/>
                          <w:rPr>
                            <w:rFonts w:ascii="宋体" w:hAnsi="宋体" w:cs="宋体" w:eastAsia="宋体" w:hint="default"/>
                            <w:sz w:val="24"/>
                            <w:szCs w:val="24"/>
                          </w:rPr>
                        </w:pPr>
                        <w:r>
                          <w:rPr>
                            <w:rFonts w:ascii="宋体" w:hAnsi="宋体" w:cs="宋体" w:eastAsia="宋体" w:hint="default"/>
                            <w:sz w:val="24"/>
                            <w:szCs w:val="24"/>
                          </w:rPr>
                          <w:t>况</w:t>
                        </w:r>
                      </w:p>
                    </w:tc>
                    <w:tc>
                      <w:tcPr>
                        <w:tcW w:w="134"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
                    </w:tc>
                  </w:tr>
                  <w:tr>
                    <w:trPr>
                      <w:trHeight w:val="1370" w:hRule="exact"/>
                    </w:trPr>
                    <w:tc>
                      <w:tcPr>
                        <w:tcW w:w="783" w:type="dxa"/>
                        <w:tcBorders>
                          <w:top w:val="nil" w:sz="6" w:space="0" w:color="auto"/>
                          <w:left w:val="nil" w:sz="6" w:space="0" w:color="auto"/>
                          <w:bottom w:val="nil" w:sz="6" w:space="0" w:color="auto"/>
                          <w:right w:val="nil" w:sz="6" w:space="0" w:color="auto"/>
                        </w:tcBorders>
                      </w:tcPr>
                      <w:p>
                        <w:pPr/>
                      </w:p>
                    </w:tc>
                    <w:tc>
                      <w:tcPr>
                        <w:tcW w:w="8291" w:type="dxa"/>
                        <w:gridSpan w:val="4"/>
                        <w:tcBorders>
                          <w:top w:val="nil" w:sz="6" w:space="0" w:color="auto"/>
                          <w:left w:val="nil" w:sz="6" w:space="0" w:color="auto"/>
                          <w:bottom w:val="nil" w:sz="6" w:space="0" w:color="auto"/>
                          <w:right w:val="nil" w:sz="6" w:space="0" w:color="auto"/>
                        </w:tcBorders>
                      </w:tcPr>
                      <w:p>
                        <w:pPr>
                          <w:pStyle w:val="TableParagraph"/>
                          <w:spacing w:line="225" w:lineRule="auto" w:before="196"/>
                          <w:ind w:left="155" w:right="50"/>
                          <w:jc w:val="both"/>
                          <w:rPr>
                            <w:rFonts w:ascii="宋体" w:hAnsi="宋体" w:cs="宋体" w:eastAsia="宋体" w:hint="default"/>
                            <w:sz w:val="24"/>
                            <w:szCs w:val="24"/>
                          </w:rPr>
                        </w:pPr>
                        <w:r>
                          <w:rPr>
                            <w:rFonts w:ascii="宋体" w:hAnsi="宋体" w:cs="宋体" w:eastAsia="宋体" w:hint="default"/>
                            <w:sz w:val="24"/>
                            <w:szCs w:val="24"/>
                          </w:rPr>
                          <w:t>本集团前五名客户营业收入的总额约人民币 </w:t>
                        </w:r>
                        <w:r>
                          <w:rPr>
                            <w:rFonts w:ascii="Arial" w:hAnsi="Arial" w:cs="Arial" w:eastAsia="Arial" w:hint="default"/>
                            <w:spacing w:val="-4"/>
                            <w:sz w:val="24"/>
                            <w:szCs w:val="24"/>
                          </w:rPr>
                          <w:t>11.93 </w:t>
                        </w:r>
                        <w:r>
                          <w:rPr>
                            <w:rFonts w:ascii="宋体" w:hAnsi="宋体" w:cs="宋体" w:eastAsia="宋体" w:hint="default"/>
                            <w:sz w:val="24"/>
                            <w:szCs w:val="24"/>
                          </w:rPr>
                          <w:t>亿元</w:t>
                        </w:r>
                        <w:r>
                          <w:rPr>
                            <w:rFonts w:ascii="Arial" w:hAnsi="Arial" w:cs="Arial" w:eastAsia="Arial" w:hint="default"/>
                            <w:sz w:val="24"/>
                            <w:szCs w:val="24"/>
                          </w:rPr>
                          <w:t>(2011</w:t>
                        </w:r>
                        <w:r>
                          <w:rPr>
                            <w:rFonts w:ascii="Arial" w:hAnsi="Arial" w:cs="Arial" w:eastAsia="Arial" w:hint="default"/>
                            <w:spacing w:val="10"/>
                            <w:sz w:val="24"/>
                            <w:szCs w:val="24"/>
                          </w:rPr>
                          <w:t> </w:t>
                        </w:r>
                        <w:r>
                          <w:rPr>
                            <w:rFonts w:ascii="宋体" w:hAnsi="宋体" w:cs="宋体" w:eastAsia="宋体" w:hint="default"/>
                            <w:sz w:val="24"/>
                            <w:szCs w:val="24"/>
                          </w:rPr>
                          <w:t>年：约人民币 </w:t>
                        </w:r>
                        <w:r>
                          <w:rPr>
                            <w:rFonts w:ascii="Arial" w:hAnsi="Arial" w:cs="Arial" w:eastAsia="Arial" w:hint="default"/>
                            <w:sz w:val="24"/>
                            <w:szCs w:val="24"/>
                          </w:rPr>
                          <w:t>8.29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，占本集团全部营业收入的比例为 </w:t>
                        </w:r>
                        <w:r>
                          <w:rPr>
                            <w:rFonts w:ascii="Arial" w:hAnsi="Arial" w:cs="Arial" w:eastAsia="Arial" w:hint="default"/>
                            <w:spacing w:val="-3"/>
                            <w:sz w:val="24"/>
                            <w:szCs w:val="24"/>
                          </w:rPr>
                          <w:t>1.21%(2011</w:t>
                        </w:r>
                        <w:r>
                          <w:rPr>
                            <w:rFonts w:ascii="Arial" w:hAnsi="Arial" w:cs="Arial" w:eastAsia="Arial" w:hint="default"/>
                            <w:spacing w:val="-33"/>
                            <w:sz w:val="24"/>
                            <w:szCs w:val="24"/>
                          </w:rPr>
                          <w:t> </w:t>
                        </w:r>
                        <w:r>
                          <w:rPr>
                            <w:rFonts w:ascii="宋体" w:hAnsi="宋体" w:cs="宋体" w:eastAsia="宋体" w:hint="default"/>
                            <w:sz w:val="24"/>
                            <w:szCs w:val="24"/>
                          </w:rPr>
                          <w:t>年：</w:t>
                        </w:r>
                        <w:r>
                          <w:rPr>
                            <w:rFonts w:ascii="Arial" w:hAnsi="Arial" w:cs="Arial" w:eastAsia="Arial" w:hint="default"/>
                            <w:sz w:val="24"/>
                            <w:szCs w:val="24"/>
                          </w:rPr>
                          <w:t>0.88%)</w:t>
                        </w:r>
                        <w:r>
                          <w:rPr>
                            <w:rFonts w:ascii="宋体" w:hAnsi="宋体" w:cs="宋体" w:eastAsia="宋体" w:hint="default"/>
                            <w:sz w:val="24"/>
                            <w:szCs w:val="24"/>
                          </w:rPr>
                          <w:t>，具体 情况如下：</w:t>
                        </w:r>
                      </w:p>
                    </w:tc>
                  </w:tr>
                  <w:tr>
                    <w:trPr>
                      <w:trHeight w:val="1104" w:hRule="exact"/>
                    </w:trPr>
                    <w:tc>
                      <w:tcPr>
                        <w:tcW w:w="783" w:type="dxa"/>
                        <w:tcBorders>
                          <w:top w:val="nil" w:sz="6" w:space="0" w:color="auto"/>
                          <w:left w:val="nil" w:sz="6" w:space="0" w:color="auto"/>
                          <w:bottom w:val="nil" w:sz="6" w:space="0" w:color="auto"/>
                          <w:right w:val="nil" w:sz="6" w:space="0" w:color="auto"/>
                        </w:tcBorders>
                      </w:tcPr>
                      <w:p>
                        <w:pPr/>
                      </w:p>
                    </w:tc>
                    <w:tc>
                      <w:tcPr>
                        <w:tcW w:w="3377"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0"/>
                          <w:ind w:right="55"/>
                          <w:jc w:val="right"/>
                          <w:rPr>
                            <w:rFonts w:ascii="宋体" w:hAnsi="宋体" w:cs="宋体" w:eastAsia="宋体" w:hint="default"/>
                            <w:sz w:val="24"/>
                            <w:szCs w:val="24"/>
                          </w:rPr>
                        </w:pPr>
                        <w:r>
                          <w:rPr>
                            <w:rFonts w:ascii="宋体" w:hAnsi="宋体" w:cs="宋体" w:eastAsia="宋体" w:hint="default"/>
                            <w:sz w:val="24"/>
                            <w:szCs w:val="24"/>
                          </w:rPr>
                          <w:t>营业收入</w:t>
                        </w:r>
                      </w:p>
                    </w:tc>
                    <w:tc>
                      <w:tcPr>
                        <w:tcW w:w="134"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68" w:lineRule="auto" w:before="180"/>
                          <w:ind w:left="672" w:right="53" w:hanging="347"/>
                          <w:jc w:val="left"/>
                          <w:rPr>
                            <w:rFonts w:ascii="Arial" w:hAnsi="Arial" w:cs="Arial" w:eastAsia="Arial" w:hint="default"/>
                            <w:sz w:val="24"/>
                            <w:szCs w:val="24"/>
                          </w:rPr>
                        </w:pPr>
                        <w:r>
                          <w:rPr>
                            <w:rFonts w:ascii="宋体" w:hAnsi="宋体" w:cs="宋体" w:eastAsia="宋体" w:hint="default"/>
                            <w:sz w:val="24"/>
                            <w:szCs w:val="24"/>
                          </w:rPr>
                          <w:t>占本集团全部营业 收入的比例</w:t>
                        </w:r>
                        <w:r>
                          <w:rPr>
                            <w:rFonts w:ascii="Arial" w:hAnsi="Arial" w:cs="Arial" w:eastAsia="Arial" w:hint="default"/>
                            <w:sz w:val="24"/>
                            <w:szCs w:val="24"/>
                          </w:rPr>
                          <w:t>(%)</w:t>
                        </w:r>
                      </w:p>
                    </w:tc>
                  </w:tr>
                  <w:tr>
                    <w:trPr>
                      <w:trHeight w:val="577" w:hRule="exact"/>
                    </w:trPr>
                    <w:tc>
                      <w:tcPr>
                        <w:tcW w:w="783" w:type="dxa"/>
                        <w:tcBorders>
                          <w:top w:val="nil" w:sz="6" w:space="0" w:color="auto"/>
                          <w:left w:val="nil" w:sz="6" w:space="0" w:color="auto"/>
                          <w:bottom w:val="nil" w:sz="6" w:space="0" w:color="auto"/>
                          <w:right w:val="nil" w:sz="6" w:space="0" w:color="auto"/>
                        </w:tcBorders>
                      </w:tcPr>
                      <w:p>
                        <w:pPr/>
                      </w:p>
                    </w:tc>
                    <w:tc>
                      <w:tcPr>
                        <w:tcW w:w="3377"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55" w:right="0"/>
                          <w:jc w:val="left"/>
                          <w:rPr>
                            <w:rFonts w:ascii="宋体" w:hAnsi="宋体" w:cs="宋体" w:eastAsia="宋体" w:hint="default"/>
                            <w:sz w:val="24"/>
                            <w:szCs w:val="24"/>
                          </w:rPr>
                        </w:pPr>
                        <w:r>
                          <w:rPr>
                            <w:rFonts w:ascii="宋体" w:hAnsi="宋体" w:cs="宋体" w:eastAsia="宋体" w:hint="default"/>
                            <w:sz w:val="24"/>
                            <w:szCs w:val="24"/>
                          </w:rPr>
                          <w:t>青海合一商贸有限公司</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5"/>
                          <w:jc w:val="right"/>
                          <w:rPr>
                            <w:rFonts w:ascii="Arial" w:hAnsi="Arial" w:cs="Arial" w:eastAsia="Arial" w:hint="default"/>
                            <w:sz w:val="24"/>
                            <w:szCs w:val="24"/>
                          </w:rPr>
                        </w:pPr>
                        <w:r>
                          <w:rPr>
                            <w:rFonts w:ascii="Arial"/>
                            <w:spacing w:val="-1"/>
                            <w:sz w:val="24"/>
                          </w:rPr>
                          <w:t>427,222</w:t>
                        </w:r>
                      </w:p>
                    </w:tc>
                    <w:tc>
                      <w:tcPr>
                        <w:tcW w:w="134"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0"/>
                          <w:jc w:val="right"/>
                          <w:rPr>
                            <w:rFonts w:ascii="Arial" w:hAnsi="Arial" w:cs="Arial" w:eastAsia="Arial" w:hint="default"/>
                            <w:sz w:val="24"/>
                            <w:szCs w:val="24"/>
                          </w:rPr>
                        </w:pPr>
                        <w:r>
                          <w:rPr>
                            <w:rFonts w:ascii="Arial"/>
                            <w:w w:val="95"/>
                            <w:sz w:val="24"/>
                          </w:rPr>
                          <w:t>0.43%</w:t>
                        </w:r>
                        <w:r>
                          <w:rPr>
                            <w:rFonts w:ascii="Arial"/>
                            <w:sz w:val="24"/>
                          </w:rPr>
                        </w:r>
                      </w:p>
                    </w:tc>
                  </w:tr>
                  <w:tr>
                    <w:trPr>
                      <w:trHeight w:val="391" w:hRule="exact"/>
                    </w:trPr>
                    <w:tc>
                      <w:tcPr>
                        <w:tcW w:w="783" w:type="dxa"/>
                        <w:tcBorders>
                          <w:top w:val="nil" w:sz="6" w:space="0" w:color="auto"/>
                          <w:left w:val="nil" w:sz="6" w:space="0" w:color="auto"/>
                          <w:bottom w:val="nil" w:sz="6" w:space="0" w:color="auto"/>
                          <w:right w:val="nil" w:sz="6" w:space="0" w:color="auto"/>
                        </w:tcBorders>
                      </w:tcPr>
                      <w:p>
                        <w:pPr/>
                      </w:p>
                    </w:tc>
                    <w:tc>
                      <w:tcPr>
                        <w:tcW w:w="3377" w:type="dxa"/>
                        <w:tcBorders>
                          <w:top w:val="nil" w:sz="6" w:space="0" w:color="auto"/>
                          <w:left w:val="nil" w:sz="6" w:space="0" w:color="auto"/>
                          <w:bottom w:val="nil" w:sz="6" w:space="0" w:color="auto"/>
                          <w:right w:val="nil" w:sz="6" w:space="0" w:color="auto"/>
                        </w:tcBorders>
                      </w:tcPr>
                      <w:p>
                        <w:pPr>
                          <w:pStyle w:val="TableParagraph"/>
                          <w:spacing w:line="301" w:lineRule="exact"/>
                          <w:ind w:left="155" w:right="0"/>
                          <w:jc w:val="left"/>
                          <w:rPr>
                            <w:rFonts w:ascii="宋体" w:hAnsi="宋体" w:cs="宋体" w:eastAsia="宋体" w:hint="default"/>
                            <w:sz w:val="24"/>
                            <w:szCs w:val="24"/>
                          </w:rPr>
                        </w:pPr>
                        <w:r>
                          <w:rPr>
                            <w:rFonts w:ascii="宋体" w:hAnsi="宋体" w:cs="宋体" w:eastAsia="宋体" w:hint="default"/>
                            <w:sz w:val="24"/>
                            <w:szCs w:val="24"/>
                          </w:rPr>
                          <w:t>好享购物股份有限公司</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5"/>
                          <w:jc w:val="right"/>
                          <w:rPr>
                            <w:rFonts w:ascii="Arial" w:hAnsi="Arial" w:cs="Arial" w:eastAsia="Arial" w:hint="default"/>
                            <w:sz w:val="24"/>
                            <w:szCs w:val="24"/>
                          </w:rPr>
                        </w:pPr>
                        <w:r>
                          <w:rPr>
                            <w:rFonts w:ascii="Arial"/>
                            <w:spacing w:val="-1"/>
                            <w:sz w:val="24"/>
                          </w:rPr>
                          <w:t>213,710</w:t>
                        </w:r>
                      </w:p>
                    </w:tc>
                    <w:tc>
                      <w:tcPr>
                        <w:tcW w:w="134"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1"/>
                          <w:jc w:val="right"/>
                          <w:rPr>
                            <w:rFonts w:ascii="Arial" w:hAnsi="Arial" w:cs="Arial" w:eastAsia="Arial" w:hint="default"/>
                            <w:sz w:val="24"/>
                            <w:szCs w:val="24"/>
                          </w:rPr>
                        </w:pPr>
                        <w:r>
                          <w:rPr>
                            <w:rFonts w:ascii="Arial"/>
                            <w:sz w:val="24"/>
                          </w:rPr>
                          <w:t>0.22%</w:t>
                        </w:r>
                      </w:p>
                    </w:tc>
                  </w:tr>
                  <w:tr>
                    <w:trPr>
                      <w:trHeight w:val="391" w:hRule="exact"/>
                    </w:trPr>
                    <w:tc>
                      <w:tcPr>
                        <w:tcW w:w="783" w:type="dxa"/>
                        <w:tcBorders>
                          <w:top w:val="nil" w:sz="6" w:space="0" w:color="auto"/>
                          <w:left w:val="nil" w:sz="6" w:space="0" w:color="auto"/>
                          <w:bottom w:val="nil" w:sz="6" w:space="0" w:color="auto"/>
                          <w:right w:val="nil" w:sz="6" w:space="0" w:color="auto"/>
                        </w:tcBorders>
                      </w:tcPr>
                      <w:p>
                        <w:pPr/>
                      </w:p>
                    </w:tc>
                    <w:tc>
                      <w:tcPr>
                        <w:tcW w:w="3377" w:type="dxa"/>
                        <w:tcBorders>
                          <w:top w:val="nil" w:sz="6" w:space="0" w:color="auto"/>
                          <w:left w:val="nil" w:sz="6" w:space="0" w:color="auto"/>
                          <w:bottom w:val="nil" w:sz="6" w:space="0" w:color="auto"/>
                          <w:right w:val="nil" w:sz="6" w:space="0" w:color="auto"/>
                        </w:tcBorders>
                      </w:tcPr>
                      <w:p>
                        <w:pPr>
                          <w:pStyle w:val="TableParagraph"/>
                          <w:spacing w:line="301" w:lineRule="exact"/>
                          <w:ind w:left="155" w:right="0"/>
                          <w:jc w:val="left"/>
                          <w:rPr>
                            <w:rFonts w:ascii="宋体" w:hAnsi="宋体" w:cs="宋体" w:eastAsia="宋体" w:hint="default"/>
                            <w:sz w:val="24"/>
                            <w:szCs w:val="24"/>
                          </w:rPr>
                        </w:pPr>
                        <w:r>
                          <w:rPr>
                            <w:rFonts w:ascii="宋体" w:hAnsi="宋体" w:cs="宋体" w:eastAsia="宋体" w:hint="default"/>
                            <w:sz w:val="24"/>
                            <w:szCs w:val="24"/>
                          </w:rPr>
                          <w:t>天津市正泰实业总公司</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5"/>
                          <w:jc w:val="right"/>
                          <w:rPr>
                            <w:rFonts w:ascii="Arial" w:hAnsi="Arial" w:cs="Arial" w:eastAsia="Arial" w:hint="default"/>
                            <w:sz w:val="24"/>
                            <w:szCs w:val="24"/>
                          </w:rPr>
                        </w:pPr>
                        <w:r>
                          <w:rPr>
                            <w:rFonts w:ascii="Arial"/>
                            <w:spacing w:val="-1"/>
                            <w:sz w:val="24"/>
                          </w:rPr>
                          <w:t>196,436</w:t>
                        </w:r>
                      </w:p>
                    </w:tc>
                    <w:tc>
                      <w:tcPr>
                        <w:tcW w:w="134"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1"/>
                          <w:jc w:val="right"/>
                          <w:rPr>
                            <w:rFonts w:ascii="Arial" w:hAnsi="Arial" w:cs="Arial" w:eastAsia="Arial" w:hint="default"/>
                            <w:sz w:val="24"/>
                            <w:szCs w:val="24"/>
                          </w:rPr>
                        </w:pPr>
                        <w:r>
                          <w:rPr>
                            <w:rFonts w:ascii="Arial"/>
                            <w:sz w:val="24"/>
                          </w:rPr>
                          <w:t>0.20%</w:t>
                        </w:r>
                      </w:p>
                    </w:tc>
                  </w:tr>
                  <w:tr>
                    <w:trPr>
                      <w:trHeight w:val="393" w:hRule="exact"/>
                    </w:trPr>
                    <w:tc>
                      <w:tcPr>
                        <w:tcW w:w="783" w:type="dxa"/>
                        <w:tcBorders>
                          <w:top w:val="nil" w:sz="6" w:space="0" w:color="auto"/>
                          <w:left w:val="nil" w:sz="6" w:space="0" w:color="auto"/>
                          <w:bottom w:val="nil" w:sz="6" w:space="0" w:color="auto"/>
                          <w:right w:val="nil" w:sz="6" w:space="0" w:color="auto"/>
                        </w:tcBorders>
                      </w:tcPr>
                      <w:p>
                        <w:pPr/>
                      </w:p>
                    </w:tc>
                    <w:tc>
                      <w:tcPr>
                        <w:tcW w:w="3377" w:type="dxa"/>
                        <w:tcBorders>
                          <w:top w:val="nil" w:sz="6" w:space="0" w:color="auto"/>
                          <w:left w:val="nil" w:sz="6" w:space="0" w:color="auto"/>
                          <w:bottom w:val="nil" w:sz="6" w:space="0" w:color="auto"/>
                          <w:right w:val="nil" w:sz="6" w:space="0" w:color="auto"/>
                        </w:tcBorders>
                      </w:tcPr>
                      <w:p>
                        <w:pPr>
                          <w:pStyle w:val="TableParagraph"/>
                          <w:spacing w:line="302" w:lineRule="exact"/>
                          <w:ind w:left="155" w:right="0"/>
                          <w:jc w:val="left"/>
                          <w:rPr>
                            <w:rFonts w:ascii="宋体" w:hAnsi="宋体" w:cs="宋体" w:eastAsia="宋体" w:hint="default"/>
                            <w:sz w:val="24"/>
                            <w:szCs w:val="24"/>
                          </w:rPr>
                        </w:pPr>
                        <w:r>
                          <w:rPr>
                            <w:rFonts w:ascii="宋体" w:hAnsi="宋体" w:cs="宋体" w:eastAsia="宋体" w:hint="default"/>
                            <w:sz w:val="24"/>
                            <w:szCs w:val="24"/>
                          </w:rPr>
                          <w:t>天津百货商务贸易总公司</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5"/>
                          <w:jc w:val="right"/>
                          <w:rPr>
                            <w:rFonts w:ascii="Arial" w:hAnsi="Arial" w:cs="Arial" w:eastAsia="Arial" w:hint="default"/>
                            <w:sz w:val="24"/>
                            <w:szCs w:val="24"/>
                          </w:rPr>
                        </w:pPr>
                        <w:r>
                          <w:rPr>
                            <w:rFonts w:ascii="Arial"/>
                            <w:spacing w:val="-1"/>
                            <w:sz w:val="24"/>
                          </w:rPr>
                          <w:t>187,945</w:t>
                        </w:r>
                      </w:p>
                    </w:tc>
                    <w:tc>
                      <w:tcPr>
                        <w:tcW w:w="134"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1"/>
                          <w:jc w:val="right"/>
                          <w:rPr>
                            <w:rFonts w:ascii="Arial" w:hAnsi="Arial" w:cs="Arial" w:eastAsia="Arial" w:hint="default"/>
                            <w:sz w:val="24"/>
                            <w:szCs w:val="24"/>
                          </w:rPr>
                        </w:pPr>
                        <w:r>
                          <w:rPr>
                            <w:rFonts w:ascii="Arial"/>
                            <w:sz w:val="24"/>
                          </w:rPr>
                          <w:t>0.19%</w:t>
                        </w:r>
                      </w:p>
                    </w:tc>
                  </w:tr>
                  <w:tr>
                    <w:trPr>
                      <w:trHeight w:val="384" w:hRule="exact"/>
                    </w:trPr>
                    <w:tc>
                      <w:tcPr>
                        <w:tcW w:w="783" w:type="dxa"/>
                        <w:tcBorders>
                          <w:top w:val="nil" w:sz="6" w:space="0" w:color="auto"/>
                          <w:left w:val="nil" w:sz="6" w:space="0" w:color="auto"/>
                          <w:bottom w:val="nil" w:sz="6" w:space="0" w:color="auto"/>
                          <w:right w:val="nil" w:sz="6" w:space="0" w:color="auto"/>
                        </w:tcBorders>
                      </w:tcPr>
                      <w:p>
                        <w:pPr/>
                      </w:p>
                    </w:tc>
                    <w:tc>
                      <w:tcPr>
                        <w:tcW w:w="3377" w:type="dxa"/>
                        <w:tcBorders>
                          <w:top w:val="nil" w:sz="6" w:space="0" w:color="auto"/>
                          <w:left w:val="nil" w:sz="6" w:space="0" w:color="auto"/>
                          <w:bottom w:val="nil" w:sz="6" w:space="0" w:color="auto"/>
                          <w:right w:val="nil" w:sz="6" w:space="0" w:color="auto"/>
                        </w:tcBorders>
                      </w:tcPr>
                      <w:p>
                        <w:pPr>
                          <w:pStyle w:val="TableParagraph"/>
                          <w:spacing w:line="303" w:lineRule="exact"/>
                          <w:ind w:left="155" w:right="0"/>
                          <w:jc w:val="left"/>
                          <w:rPr>
                            <w:rFonts w:ascii="宋体" w:hAnsi="宋体" w:cs="宋体" w:eastAsia="宋体" w:hint="default"/>
                            <w:sz w:val="24"/>
                            <w:szCs w:val="24"/>
                          </w:rPr>
                        </w:pPr>
                        <w:r>
                          <w:rPr>
                            <w:rFonts w:ascii="宋体" w:hAnsi="宋体" w:cs="宋体" w:eastAsia="宋体" w:hint="default"/>
                            <w:sz w:val="24"/>
                            <w:szCs w:val="24"/>
                          </w:rPr>
                          <w:t>大唐高鸿信息技术有限公司</w:t>
                        </w:r>
                      </w:p>
                    </w:tc>
                    <w:tc>
                      <w:tcPr>
                        <w:tcW w:w="2477"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55"/>
                          <w:jc w:val="right"/>
                          <w:rPr>
                            <w:rFonts w:ascii="Arial" w:hAnsi="Arial" w:cs="Arial" w:eastAsia="Arial" w:hint="default"/>
                            <w:sz w:val="24"/>
                            <w:szCs w:val="24"/>
                          </w:rPr>
                        </w:pPr>
                        <w:r>
                          <w:rPr>
                            <w:rFonts w:ascii="Arial"/>
                            <w:spacing w:val="-1"/>
                            <w:sz w:val="24"/>
                          </w:rPr>
                          <w:t>167,590</w:t>
                        </w:r>
                      </w:p>
                    </w:tc>
                    <w:tc>
                      <w:tcPr>
                        <w:tcW w:w="134"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51"/>
                          <w:jc w:val="right"/>
                          <w:rPr>
                            <w:rFonts w:ascii="Arial" w:hAnsi="Arial" w:cs="Arial" w:eastAsia="Arial" w:hint="default"/>
                            <w:sz w:val="24"/>
                            <w:szCs w:val="24"/>
                          </w:rPr>
                        </w:pPr>
                        <w:r>
                          <w:rPr>
                            <w:rFonts w:ascii="Arial"/>
                            <w:sz w:val="24"/>
                          </w:rPr>
                          <w:t>0.17%</w:t>
                        </w:r>
                      </w:p>
                    </w:tc>
                  </w:tr>
                  <w:tr>
                    <w:trPr>
                      <w:trHeight w:val="374" w:hRule="exact"/>
                    </w:trPr>
                    <w:tc>
                      <w:tcPr>
                        <w:tcW w:w="783" w:type="dxa"/>
                        <w:tcBorders>
                          <w:top w:val="nil" w:sz="6" w:space="0" w:color="auto"/>
                          <w:left w:val="nil" w:sz="6" w:space="0" w:color="auto"/>
                          <w:bottom w:val="nil" w:sz="6" w:space="0" w:color="auto"/>
                          <w:right w:val="nil" w:sz="6" w:space="0" w:color="auto"/>
                        </w:tcBorders>
                      </w:tcPr>
                      <w:p>
                        <w:pPr/>
                      </w:p>
                    </w:tc>
                    <w:tc>
                      <w:tcPr>
                        <w:tcW w:w="3377" w:type="dxa"/>
                        <w:tcBorders>
                          <w:top w:val="nil" w:sz="6" w:space="0" w:color="auto"/>
                          <w:left w:val="nil" w:sz="6" w:space="0" w:color="auto"/>
                          <w:bottom w:val="nil" w:sz="6" w:space="0" w:color="auto"/>
                          <w:right w:val="nil" w:sz="6" w:space="0" w:color="auto"/>
                        </w:tcBorders>
                      </w:tcPr>
                      <w:p>
                        <w:pPr/>
                      </w:p>
                    </w:tc>
                    <w:tc>
                      <w:tcPr>
                        <w:tcW w:w="2477"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55"/>
                          <w:jc w:val="right"/>
                          <w:rPr>
                            <w:rFonts w:ascii="Arial" w:hAnsi="Arial" w:cs="Arial" w:eastAsia="Arial" w:hint="default"/>
                            <w:sz w:val="24"/>
                            <w:szCs w:val="24"/>
                          </w:rPr>
                        </w:pPr>
                        <w:r>
                          <w:rPr>
                            <w:rFonts w:ascii="Arial"/>
                            <w:spacing w:val="-1"/>
                            <w:sz w:val="24"/>
                          </w:rPr>
                          <w:t>1,192,903</w:t>
                        </w:r>
                      </w:p>
                    </w:tc>
                    <w:tc>
                      <w:tcPr>
                        <w:tcW w:w="134" w:type="dxa"/>
                        <w:tcBorders>
                          <w:top w:val="nil" w:sz="6" w:space="0" w:color="auto"/>
                          <w:left w:val="nil" w:sz="6" w:space="0" w:color="auto"/>
                          <w:bottom w:val="nil" w:sz="6" w:space="0" w:color="auto"/>
                          <w:right w:val="nil" w:sz="6" w:space="0" w:color="auto"/>
                        </w:tcBorders>
                      </w:tcPr>
                      <w:p>
                        <w:pPr/>
                      </w:p>
                    </w:tc>
                    <w:tc>
                      <w:tcPr>
                        <w:tcW w:w="2302"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51"/>
                          <w:jc w:val="right"/>
                          <w:rPr>
                            <w:rFonts w:ascii="Arial" w:hAnsi="Arial" w:cs="Arial" w:eastAsia="Arial" w:hint="default"/>
                            <w:sz w:val="24"/>
                            <w:szCs w:val="24"/>
                          </w:rPr>
                        </w:pPr>
                        <w:r>
                          <w:rPr>
                            <w:rFonts w:ascii="Arial"/>
                            <w:sz w:val="24"/>
                          </w:rPr>
                          <w:t>1.21%</w:t>
                        </w:r>
                      </w:p>
                    </w:tc>
                  </w:tr>
                </w:tbl>
                <w:p>
                  <w:pPr/>
                </w:p>
              </w:txbxContent>
            </v:textbox>
            <w10:wrap type="none"/>
          </v:shape>
        </w:pict>
      </w:r>
      <w:r>
        <w:rPr/>
        <w:t>情</w:t>
      </w:r>
    </w:p>
    <w:p>
      <w:pPr>
        <w:spacing w:after="0" w:line="240" w:lineRule="auto"/>
        <w:jc w:val="center"/>
        <w:sectPr>
          <w:footerReference w:type="default" r:id="rId96"/>
          <w:pgSz w:w="11910" w:h="16850"/>
          <w:pgMar w:footer="1340" w:header="795" w:top="2020" w:bottom="1540" w:left="1420" w:right="0"/>
          <w:pgNumType w:start="186"/>
        </w:sectPr>
      </w:pPr>
    </w:p>
    <w:p>
      <w:pPr>
        <w:spacing w:line="240" w:lineRule="auto" w:before="9"/>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806"/>
        <w:gridCol w:w="2336"/>
        <w:gridCol w:w="1739"/>
        <w:gridCol w:w="242"/>
        <w:gridCol w:w="295"/>
        <w:gridCol w:w="1613"/>
        <w:gridCol w:w="2057"/>
      </w:tblGrid>
      <w:tr>
        <w:trPr>
          <w:trHeight w:val="415"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4075"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1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
        </w:tc>
      </w:tr>
      <w:tr>
        <w:trPr>
          <w:trHeight w:val="585"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64" w:right="0"/>
              <w:jc w:val="left"/>
              <w:rPr>
                <w:rFonts w:ascii="Arial" w:hAnsi="Arial" w:cs="Arial" w:eastAsia="Arial" w:hint="default"/>
                <w:sz w:val="24"/>
                <w:szCs w:val="24"/>
              </w:rPr>
            </w:pPr>
            <w:r>
              <w:rPr>
                <w:rFonts w:ascii="Arial"/>
                <w:sz w:val="24"/>
              </w:rPr>
              <w:t>(39)</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13" w:right="0"/>
              <w:jc w:val="left"/>
              <w:rPr>
                <w:rFonts w:ascii="黑体" w:hAnsi="黑体" w:cs="黑体" w:eastAsia="黑体" w:hint="default"/>
                <w:sz w:val="24"/>
                <w:szCs w:val="24"/>
              </w:rPr>
            </w:pPr>
            <w:r>
              <w:rPr>
                <w:rFonts w:ascii="黑体" w:hAnsi="黑体" w:cs="黑体" w:eastAsia="黑体" w:hint="default"/>
                <w:sz w:val="24"/>
                <w:szCs w:val="24"/>
              </w:rPr>
              <w:t>营业税金及附加</w:t>
            </w: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
        </w:tc>
      </w:tr>
      <w:tr>
        <w:trPr>
          <w:trHeight w:val="603"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1"/>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989" w:right="0"/>
              <w:jc w:val="left"/>
              <w:rPr>
                <w:rFonts w:ascii="宋体" w:hAnsi="宋体" w:cs="宋体" w:eastAsia="宋体" w:hint="default"/>
                <w:sz w:val="24"/>
                <w:szCs w:val="24"/>
              </w:rPr>
            </w:pPr>
            <w:r>
              <w:rPr>
                <w:rFonts w:ascii="宋体" w:hAnsi="宋体" w:cs="宋体" w:eastAsia="宋体" w:hint="default"/>
                <w:sz w:val="24"/>
                <w:szCs w:val="24"/>
              </w:rPr>
              <w:t>计缴标准</w:t>
            </w:r>
          </w:p>
        </w:tc>
      </w:tr>
      <w:tr>
        <w:trPr>
          <w:trHeight w:val="473"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0"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39"/>
              <w:jc w:val="right"/>
              <w:rPr>
                <w:rFonts w:ascii="Arial" w:hAnsi="Arial" w:cs="Arial" w:eastAsia="Arial" w:hint="default"/>
                <w:sz w:val="24"/>
                <w:szCs w:val="24"/>
              </w:rPr>
            </w:pPr>
            <w:r>
              <w:rPr>
                <w:rFonts w:ascii="Arial"/>
                <w:spacing w:val="-1"/>
                <w:sz w:val="24"/>
              </w:rPr>
              <w:t>100,677</w:t>
            </w: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424" w:right="0"/>
              <w:jc w:val="left"/>
              <w:rPr>
                <w:rFonts w:ascii="Arial" w:hAnsi="Arial" w:cs="Arial" w:eastAsia="Arial" w:hint="default"/>
                <w:sz w:val="24"/>
                <w:szCs w:val="24"/>
              </w:rPr>
            </w:pPr>
            <w:r>
              <w:rPr>
                <w:rFonts w:ascii="Arial"/>
                <w:sz w:val="24"/>
              </w:rPr>
              <w:t>96,765</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487" w:right="0"/>
              <w:jc w:val="left"/>
              <w:rPr>
                <w:rFonts w:ascii="宋体" w:hAnsi="宋体" w:cs="宋体" w:eastAsia="宋体" w:hint="default"/>
                <w:sz w:val="24"/>
                <w:szCs w:val="24"/>
              </w:rPr>
            </w:pPr>
            <w:r>
              <w:rPr>
                <w:rFonts w:ascii="宋体" w:hAnsi="宋体" w:cs="宋体" w:eastAsia="宋体" w:hint="default"/>
                <w:sz w:val="24"/>
                <w:szCs w:val="24"/>
              </w:rPr>
              <w:t>应纳税营业额</w:t>
            </w:r>
          </w:p>
        </w:tc>
      </w:tr>
      <w:tr>
        <w:trPr>
          <w:trHeight w:val="627"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40"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40" w:lineRule="auto"/>
              <w:ind w:right="39"/>
              <w:jc w:val="right"/>
              <w:rPr>
                <w:rFonts w:ascii="Arial" w:hAnsi="Arial" w:cs="Arial" w:eastAsia="Arial" w:hint="default"/>
                <w:sz w:val="24"/>
                <w:szCs w:val="24"/>
              </w:rPr>
            </w:pPr>
            <w:r>
              <w:rPr>
                <w:rFonts w:ascii="Arial"/>
                <w:spacing w:val="-1"/>
                <w:sz w:val="24"/>
              </w:rPr>
              <w:t>121,554</w:t>
            </w: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40" w:lineRule="auto"/>
              <w:ind w:left="290" w:right="0"/>
              <w:jc w:val="left"/>
              <w:rPr>
                <w:rFonts w:ascii="Arial" w:hAnsi="Arial" w:cs="Arial" w:eastAsia="Arial" w:hint="default"/>
                <w:sz w:val="24"/>
                <w:szCs w:val="24"/>
              </w:rPr>
            </w:pPr>
            <w:r>
              <w:rPr>
                <w:rFonts w:ascii="Arial"/>
                <w:sz w:val="24"/>
              </w:rPr>
              <w:t>162,479</w:t>
            </w:r>
          </w:p>
        </w:tc>
        <w:tc>
          <w:tcPr>
            <w:tcW w:w="2057" w:type="dxa"/>
            <w:tcBorders>
              <w:top w:val="nil" w:sz="6" w:space="0" w:color="auto"/>
              <w:left w:val="nil" w:sz="6" w:space="0" w:color="auto"/>
              <w:bottom w:val="nil" w:sz="6" w:space="0" w:color="auto"/>
              <w:right w:val="nil" w:sz="6" w:space="0" w:color="auto"/>
            </w:tcBorders>
          </w:tcPr>
          <w:p>
            <w:pPr>
              <w:pStyle w:val="TableParagraph"/>
              <w:spacing w:line="273" w:lineRule="exact"/>
              <w:ind w:left="7" w:right="0" w:firstLine="346"/>
              <w:jc w:val="left"/>
              <w:rPr>
                <w:rFonts w:ascii="Arial" w:hAnsi="Arial" w:cs="Arial" w:eastAsia="Arial" w:hint="default"/>
                <w:sz w:val="24"/>
                <w:szCs w:val="24"/>
              </w:rPr>
            </w:pPr>
            <w:r>
              <w:rPr>
                <w:rFonts w:ascii="宋体" w:hAnsi="宋体" w:cs="宋体" w:eastAsia="宋体" w:hint="default"/>
                <w:sz w:val="24"/>
                <w:szCs w:val="24"/>
              </w:rPr>
              <w:t>营业税</w:t>
            </w:r>
            <w:r>
              <w:rPr>
                <w:rFonts w:ascii="Arial" w:hAnsi="Arial" w:cs="Arial" w:eastAsia="Arial" w:hint="default"/>
                <w:sz w:val="24"/>
                <w:szCs w:val="24"/>
              </w:rPr>
              <w:t>/</w:t>
            </w:r>
            <w:r>
              <w:rPr>
                <w:rFonts w:ascii="宋体" w:hAnsi="宋体" w:cs="宋体" w:eastAsia="宋体" w:hint="default"/>
                <w:sz w:val="24"/>
                <w:szCs w:val="24"/>
              </w:rPr>
              <w:t>增值税</w:t>
            </w:r>
            <w:r>
              <w:rPr>
                <w:rFonts w:ascii="Arial" w:hAnsi="Arial" w:cs="Arial" w:eastAsia="Arial" w:hint="default"/>
                <w:sz w:val="24"/>
                <w:szCs w:val="24"/>
              </w:rPr>
              <w:t>/</w:t>
            </w:r>
          </w:p>
          <w:p>
            <w:pPr>
              <w:pStyle w:val="TableParagraph"/>
              <w:spacing w:line="303" w:lineRule="exact"/>
              <w:ind w:left="7" w:right="0"/>
              <w:jc w:val="left"/>
              <w:rPr>
                <w:rFonts w:ascii="宋体" w:hAnsi="宋体" w:cs="宋体" w:eastAsia="宋体" w:hint="default"/>
                <w:sz w:val="24"/>
                <w:szCs w:val="24"/>
              </w:rPr>
            </w:pPr>
            <w:r>
              <w:rPr>
                <w:rFonts w:ascii="宋体" w:hAnsi="宋体" w:cs="宋体" w:eastAsia="宋体" w:hint="default"/>
                <w:sz w:val="24"/>
                <w:szCs w:val="24"/>
              </w:rPr>
              <w:t>消费税的应纳税额</w:t>
            </w:r>
          </w:p>
        </w:tc>
      </w:tr>
      <w:tr>
        <w:trPr>
          <w:trHeight w:val="625"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40"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tabs>
                <w:tab w:pos="962" w:val="left" w:leader="none"/>
              </w:tabs>
              <w:spacing w:line="240" w:lineRule="auto"/>
              <w:ind w:left="-36" w:right="3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90,850</w:t>
            </w:r>
            <w:r>
              <w:rPr>
                <w:rFonts w:ascii="Arial"/>
                <w:spacing w:val="-1"/>
                <w:sz w:val="24"/>
              </w:rPr>
            </w: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tabs>
                <w:tab w:pos="309" w:val="left" w:leader="none"/>
              </w:tabs>
              <w:spacing w:line="240" w:lineRule="auto"/>
              <w:ind w:left="-296"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3"/>
                <w:sz w:val="24"/>
                <w:u w:val="single" w:color="000000"/>
              </w:rPr>
              <w:t>110,507</w:t>
            </w:r>
            <w:r>
              <w:rPr>
                <w:rFonts w:ascii="Arial"/>
                <w:spacing w:val="-3"/>
                <w:sz w:val="24"/>
              </w:rPr>
            </w:r>
          </w:p>
        </w:tc>
        <w:tc>
          <w:tcPr>
            <w:tcW w:w="2057" w:type="dxa"/>
            <w:tcBorders>
              <w:top w:val="nil" w:sz="6" w:space="0" w:color="auto"/>
              <w:left w:val="nil" w:sz="6" w:space="0" w:color="auto"/>
              <w:bottom w:val="nil" w:sz="6" w:space="0" w:color="auto"/>
              <w:right w:val="nil" w:sz="6" w:space="0" w:color="auto"/>
            </w:tcBorders>
          </w:tcPr>
          <w:p>
            <w:pPr>
              <w:pStyle w:val="TableParagraph"/>
              <w:spacing w:line="270" w:lineRule="exact"/>
              <w:ind w:left="7" w:right="0" w:firstLine="346"/>
              <w:jc w:val="left"/>
              <w:rPr>
                <w:rFonts w:ascii="Arial" w:hAnsi="Arial" w:cs="Arial" w:eastAsia="Arial" w:hint="default"/>
                <w:sz w:val="24"/>
                <w:szCs w:val="24"/>
              </w:rPr>
            </w:pPr>
            <w:r>
              <w:rPr>
                <w:rFonts w:ascii="宋体" w:hAnsi="宋体" w:cs="宋体" w:eastAsia="宋体" w:hint="default"/>
                <w:sz w:val="24"/>
                <w:szCs w:val="24"/>
              </w:rPr>
              <w:t>营业税</w:t>
            </w:r>
            <w:r>
              <w:rPr>
                <w:rFonts w:ascii="Arial" w:hAnsi="Arial" w:cs="Arial" w:eastAsia="Arial" w:hint="default"/>
                <w:sz w:val="24"/>
                <w:szCs w:val="24"/>
              </w:rPr>
              <w:t>/</w:t>
            </w:r>
            <w:r>
              <w:rPr>
                <w:rFonts w:ascii="宋体" w:hAnsi="宋体" w:cs="宋体" w:eastAsia="宋体" w:hint="default"/>
                <w:sz w:val="24"/>
                <w:szCs w:val="24"/>
              </w:rPr>
              <w:t>增值税</w:t>
            </w:r>
            <w:r>
              <w:rPr>
                <w:rFonts w:ascii="Arial" w:hAnsi="Arial" w:cs="Arial" w:eastAsia="Arial" w:hint="default"/>
                <w:sz w:val="24"/>
                <w:szCs w:val="24"/>
              </w:rPr>
              <w:t>/</w:t>
            </w:r>
          </w:p>
          <w:p>
            <w:pPr>
              <w:pStyle w:val="TableParagraph"/>
              <w:spacing w:line="304" w:lineRule="exact"/>
              <w:ind w:left="7" w:right="0"/>
              <w:jc w:val="left"/>
              <w:rPr>
                <w:rFonts w:ascii="宋体" w:hAnsi="宋体" w:cs="宋体" w:eastAsia="宋体" w:hint="default"/>
                <w:sz w:val="24"/>
                <w:szCs w:val="24"/>
              </w:rPr>
            </w:pPr>
            <w:r>
              <w:rPr>
                <w:rFonts w:ascii="宋体" w:hAnsi="宋体" w:cs="宋体" w:eastAsia="宋体" w:hint="default"/>
                <w:sz w:val="24"/>
                <w:szCs w:val="24"/>
              </w:rPr>
              <w:t>消费税的应纳税额</w:t>
            </w:r>
          </w:p>
        </w:tc>
      </w:tr>
      <w:tr>
        <w:trPr>
          <w:trHeight w:val="287" w:hRule="exact"/>
        </w:trPr>
        <w:tc>
          <w:tcPr>
            <w:tcW w:w="806" w:type="dxa"/>
            <w:tcBorders>
              <w:top w:val="nil" w:sz="6" w:space="0" w:color="auto"/>
              <w:left w:val="nil" w:sz="6" w:space="0" w:color="auto"/>
              <w:bottom w:val="nil" w:sz="6" w:space="0" w:color="auto"/>
              <w:right w:val="nil" w:sz="6" w:space="0" w:color="auto"/>
            </w:tcBorders>
          </w:tcPr>
          <w:p>
            <w:pPr/>
          </w:p>
        </w:tc>
        <w:tc>
          <w:tcPr>
            <w:tcW w:w="4075"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right="41"/>
              <w:jc w:val="right"/>
              <w:rPr>
                <w:rFonts w:ascii="Arial" w:hAnsi="Arial" w:cs="Arial" w:eastAsia="Arial" w:hint="default"/>
                <w:sz w:val="24"/>
                <w:szCs w:val="24"/>
              </w:rPr>
            </w:pPr>
            <w:r>
              <w:rPr>
                <w:rFonts w:ascii="Arial"/>
                <w:spacing w:val="-1"/>
                <w:sz w:val="24"/>
              </w:rPr>
              <w:t>313,081</w:t>
            </w: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single" w:sz="12" w:space="0" w:color="000000"/>
              <w:right w:val="nil" w:sz="6" w:space="0" w:color="auto"/>
            </w:tcBorders>
          </w:tcPr>
          <w:p>
            <w:pPr/>
          </w:p>
        </w:tc>
        <w:tc>
          <w:tcPr>
            <w:tcW w:w="1613" w:type="dxa"/>
            <w:tcBorders>
              <w:top w:val="nil" w:sz="6" w:space="0" w:color="auto"/>
              <w:left w:val="nil" w:sz="6" w:space="0" w:color="auto"/>
              <w:bottom w:val="single" w:sz="12" w:space="0" w:color="000000"/>
              <w:right w:val="nil" w:sz="6" w:space="0" w:color="auto"/>
            </w:tcBorders>
          </w:tcPr>
          <w:p>
            <w:pPr>
              <w:pStyle w:val="TableParagraph"/>
              <w:spacing w:line="268" w:lineRule="exact"/>
              <w:ind w:left="287" w:right="0"/>
              <w:jc w:val="left"/>
              <w:rPr>
                <w:rFonts w:ascii="Arial" w:hAnsi="Arial" w:cs="Arial" w:eastAsia="Arial" w:hint="default"/>
                <w:sz w:val="24"/>
                <w:szCs w:val="24"/>
              </w:rPr>
            </w:pPr>
            <w:r>
              <w:rPr>
                <w:rFonts w:ascii="Arial"/>
                <w:sz w:val="24"/>
              </w:rPr>
              <w:t>369,751</w:t>
            </w:r>
          </w:p>
        </w:tc>
        <w:tc>
          <w:tcPr>
            <w:tcW w:w="2057" w:type="dxa"/>
            <w:tcBorders>
              <w:top w:val="nil" w:sz="6" w:space="0" w:color="auto"/>
              <w:left w:val="nil" w:sz="6" w:space="0" w:color="auto"/>
              <w:bottom w:val="nil" w:sz="6" w:space="0" w:color="auto"/>
              <w:right w:val="nil" w:sz="6" w:space="0" w:color="auto"/>
            </w:tcBorders>
          </w:tcPr>
          <w:p>
            <w:pPr/>
          </w:p>
        </w:tc>
      </w:tr>
      <w:tr>
        <w:trPr>
          <w:trHeight w:val="738"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64" w:right="0"/>
              <w:jc w:val="left"/>
              <w:rPr>
                <w:rFonts w:ascii="Arial" w:hAnsi="Arial" w:cs="Arial" w:eastAsia="Arial" w:hint="default"/>
                <w:sz w:val="24"/>
                <w:szCs w:val="24"/>
              </w:rPr>
            </w:pPr>
            <w:r>
              <w:rPr>
                <w:rFonts w:ascii="Arial"/>
                <w:sz w:val="24"/>
              </w:rPr>
              <w:t>(40)</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78" w:right="0"/>
              <w:jc w:val="left"/>
              <w:rPr>
                <w:rFonts w:ascii="黑体" w:hAnsi="黑体" w:cs="黑体" w:eastAsia="黑体" w:hint="default"/>
                <w:sz w:val="24"/>
                <w:szCs w:val="24"/>
              </w:rPr>
            </w:pPr>
            <w:r>
              <w:rPr>
                <w:rFonts w:ascii="黑体" w:hAnsi="黑体" w:cs="黑体" w:eastAsia="黑体" w:hint="default"/>
                <w:sz w:val="24"/>
                <w:szCs w:val="24"/>
              </w:rPr>
              <w:t>销售费用</w:t>
            </w:r>
          </w:p>
        </w:tc>
        <w:tc>
          <w:tcPr>
            <w:tcW w:w="1739" w:type="dxa"/>
            <w:tcBorders>
              <w:top w:val="single" w:sz="12" w:space="0" w:color="000000"/>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single" w:sz="12" w:space="0" w:color="000000"/>
              <w:left w:val="nil" w:sz="6" w:space="0" w:color="auto"/>
              <w:bottom w:val="nil" w:sz="6" w:space="0" w:color="auto"/>
              <w:right w:val="nil" w:sz="6" w:space="0" w:color="auto"/>
            </w:tcBorders>
          </w:tcPr>
          <w:p>
            <w:pPr/>
          </w:p>
        </w:tc>
        <w:tc>
          <w:tcPr>
            <w:tcW w:w="1613" w:type="dxa"/>
            <w:tcBorders>
              <w:top w:val="single" w:sz="12" w:space="0" w:color="000000"/>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
        </w:tc>
      </w:tr>
      <w:tr>
        <w:trPr>
          <w:trHeight w:val="594"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893"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456"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76"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9"/>
              <w:jc w:val="right"/>
              <w:rPr>
                <w:rFonts w:ascii="Arial" w:hAnsi="Arial" w:cs="Arial" w:eastAsia="Arial" w:hint="default"/>
                <w:sz w:val="24"/>
                <w:szCs w:val="24"/>
              </w:rPr>
            </w:pPr>
            <w:r>
              <w:rPr>
                <w:rFonts w:ascii="Arial"/>
                <w:spacing w:val="-1"/>
                <w:sz w:val="24"/>
              </w:rPr>
              <w:t>4,398,014</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876" w:right="0"/>
              <w:jc w:val="left"/>
              <w:rPr>
                <w:rFonts w:ascii="Arial" w:hAnsi="Arial" w:cs="Arial" w:eastAsia="Arial" w:hint="default"/>
                <w:sz w:val="24"/>
                <w:szCs w:val="24"/>
              </w:rPr>
            </w:pPr>
            <w:r>
              <w:rPr>
                <w:rFonts w:ascii="Arial"/>
                <w:sz w:val="24"/>
              </w:rPr>
              <w:t>3,545,842</w:t>
            </w:r>
          </w:p>
        </w:tc>
      </w:tr>
      <w:tr>
        <w:trPr>
          <w:trHeight w:val="312" w:hRule="exact"/>
        </w:trPr>
        <w:tc>
          <w:tcPr>
            <w:tcW w:w="806" w:type="dxa"/>
            <w:tcBorders>
              <w:top w:val="nil" w:sz="6" w:space="0" w:color="auto"/>
              <w:left w:val="nil" w:sz="6" w:space="0" w:color="auto"/>
              <w:bottom w:val="nil" w:sz="6" w:space="0" w:color="auto"/>
              <w:right w:val="nil" w:sz="6" w:space="0" w:color="auto"/>
            </w:tcBorders>
          </w:tcPr>
          <w:p>
            <w:pPr/>
          </w:p>
        </w:tc>
        <w:tc>
          <w:tcPr>
            <w:tcW w:w="4075" w:type="dxa"/>
            <w:gridSpan w:val="2"/>
            <w:tcBorders>
              <w:top w:val="nil" w:sz="6" w:space="0" w:color="auto"/>
              <w:left w:val="nil" w:sz="6" w:space="0" w:color="auto"/>
              <w:bottom w:val="nil" w:sz="6" w:space="0" w:color="auto"/>
              <w:right w:val="nil" w:sz="6" w:space="0" w:color="auto"/>
            </w:tcBorders>
          </w:tcPr>
          <w:p>
            <w:pPr>
              <w:pStyle w:val="TableParagraph"/>
              <w:spacing w:line="262" w:lineRule="exact"/>
              <w:ind w:left="176" w:right="0"/>
              <w:jc w:val="left"/>
              <w:rPr>
                <w:rFonts w:ascii="宋体" w:hAnsi="宋体" w:cs="宋体" w:eastAsia="宋体" w:hint="default"/>
                <w:sz w:val="24"/>
                <w:szCs w:val="24"/>
              </w:rPr>
            </w:pPr>
            <w:r>
              <w:rPr>
                <w:rFonts w:ascii="宋体" w:hAnsi="宋体" w:cs="宋体" w:eastAsia="宋体" w:hint="default"/>
                <w:sz w:val="24"/>
                <w:szCs w:val="24"/>
              </w:rPr>
              <w:t>工资、奖金、津贴和补贴</w:t>
            </w: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
              <w:jc w:val="right"/>
              <w:rPr>
                <w:rFonts w:ascii="Arial" w:hAnsi="Arial" w:cs="Arial" w:eastAsia="Arial" w:hint="default"/>
                <w:sz w:val="24"/>
                <w:szCs w:val="24"/>
              </w:rPr>
            </w:pPr>
            <w:r>
              <w:rPr>
                <w:rFonts w:ascii="Arial"/>
                <w:spacing w:val="-1"/>
                <w:sz w:val="24"/>
              </w:rPr>
              <w:t>2,373,506</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76" w:right="0"/>
              <w:jc w:val="left"/>
              <w:rPr>
                <w:rFonts w:ascii="Arial" w:hAnsi="Arial" w:cs="Arial" w:eastAsia="Arial" w:hint="default"/>
                <w:sz w:val="24"/>
                <w:szCs w:val="24"/>
              </w:rPr>
            </w:pPr>
            <w:r>
              <w:rPr>
                <w:rFonts w:ascii="Arial"/>
                <w:sz w:val="24"/>
              </w:rPr>
              <w:t>1,934,759</w:t>
            </w:r>
          </w:p>
        </w:tc>
      </w:tr>
      <w:tr>
        <w:trPr>
          <w:trHeight w:val="312"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62" w:lineRule="exact"/>
              <w:ind w:left="176" w:right="0"/>
              <w:jc w:val="left"/>
              <w:rPr>
                <w:rFonts w:ascii="宋体" w:hAnsi="宋体" w:cs="宋体" w:eastAsia="宋体" w:hint="default"/>
                <w:sz w:val="24"/>
                <w:szCs w:val="24"/>
              </w:rPr>
            </w:pPr>
            <w:r>
              <w:rPr>
                <w:rFonts w:ascii="宋体" w:hAnsi="宋体" w:cs="宋体" w:eastAsia="宋体" w:hint="default"/>
                <w:sz w:val="24"/>
                <w:szCs w:val="24"/>
              </w:rPr>
              <w:t>广告费及市场推广费</w:t>
            </w: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
              <w:jc w:val="right"/>
              <w:rPr>
                <w:rFonts w:ascii="Arial" w:hAnsi="Arial" w:cs="Arial" w:eastAsia="Arial" w:hint="default"/>
                <w:sz w:val="24"/>
                <w:szCs w:val="24"/>
              </w:rPr>
            </w:pPr>
            <w:r>
              <w:rPr>
                <w:rFonts w:ascii="Arial"/>
                <w:spacing w:val="-1"/>
                <w:sz w:val="24"/>
              </w:rPr>
              <w:t>1,493,923</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78" w:right="0"/>
              <w:jc w:val="left"/>
              <w:rPr>
                <w:rFonts w:ascii="Arial" w:hAnsi="Arial" w:cs="Arial" w:eastAsia="Arial" w:hint="default"/>
                <w:sz w:val="24"/>
                <w:szCs w:val="24"/>
              </w:rPr>
            </w:pPr>
            <w:r>
              <w:rPr>
                <w:rFonts w:ascii="Arial"/>
                <w:sz w:val="24"/>
              </w:rPr>
              <w:t>1,173,872</w:t>
            </w:r>
          </w:p>
        </w:tc>
      </w:tr>
      <w:tr>
        <w:trPr>
          <w:trHeight w:val="310"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62" w:lineRule="exact"/>
              <w:ind w:left="176" w:right="0"/>
              <w:jc w:val="left"/>
              <w:rPr>
                <w:rFonts w:ascii="宋体" w:hAnsi="宋体" w:cs="宋体" w:eastAsia="宋体" w:hint="default"/>
                <w:sz w:val="24"/>
                <w:szCs w:val="24"/>
              </w:rPr>
            </w:pPr>
            <w:r>
              <w:rPr>
                <w:rFonts w:ascii="宋体" w:hAnsi="宋体" w:cs="宋体" w:eastAsia="宋体" w:hint="default"/>
                <w:sz w:val="24"/>
                <w:szCs w:val="24"/>
              </w:rPr>
              <w:t>运输费</w:t>
            </w: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
              <w:jc w:val="right"/>
              <w:rPr>
                <w:rFonts w:ascii="Arial" w:hAnsi="Arial" w:cs="Arial" w:eastAsia="Arial" w:hint="default"/>
                <w:sz w:val="24"/>
                <w:szCs w:val="24"/>
              </w:rPr>
            </w:pPr>
            <w:r>
              <w:rPr>
                <w:rFonts w:ascii="Arial"/>
                <w:spacing w:val="-1"/>
                <w:sz w:val="24"/>
              </w:rPr>
              <w:t>693,643</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78" w:right="0"/>
              <w:jc w:val="left"/>
              <w:rPr>
                <w:rFonts w:ascii="Arial" w:hAnsi="Arial" w:cs="Arial" w:eastAsia="Arial" w:hint="default"/>
                <w:sz w:val="24"/>
                <w:szCs w:val="24"/>
              </w:rPr>
            </w:pPr>
            <w:r>
              <w:rPr>
                <w:rFonts w:ascii="Arial"/>
                <w:sz w:val="24"/>
              </w:rPr>
              <w:t>475,422</w:t>
            </w:r>
          </w:p>
        </w:tc>
      </w:tr>
      <w:tr>
        <w:trPr>
          <w:trHeight w:val="312"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62" w:lineRule="exact"/>
              <w:ind w:left="176" w:right="0"/>
              <w:jc w:val="left"/>
              <w:rPr>
                <w:rFonts w:ascii="宋体" w:hAnsi="宋体" w:cs="宋体" w:eastAsia="宋体" w:hint="default"/>
                <w:sz w:val="24"/>
                <w:szCs w:val="24"/>
              </w:rPr>
            </w:pPr>
            <w:r>
              <w:rPr>
                <w:rFonts w:ascii="宋体" w:hAnsi="宋体" w:cs="宋体" w:eastAsia="宋体" w:hint="default"/>
                <w:sz w:val="24"/>
                <w:szCs w:val="24"/>
              </w:rPr>
              <w:t>电费</w:t>
            </w: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
              <w:jc w:val="right"/>
              <w:rPr>
                <w:rFonts w:ascii="Arial" w:hAnsi="Arial" w:cs="Arial" w:eastAsia="Arial" w:hint="default"/>
                <w:sz w:val="24"/>
                <w:szCs w:val="24"/>
              </w:rPr>
            </w:pPr>
            <w:r>
              <w:rPr>
                <w:rFonts w:ascii="Arial"/>
                <w:spacing w:val="-1"/>
                <w:sz w:val="24"/>
              </w:rPr>
              <w:t>583,887</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75" w:right="0"/>
              <w:jc w:val="left"/>
              <w:rPr>
                <w:rFonts w:ascii="Arial" w:hAnsi="Arial" w:cs="Arial" w:eastAsia="Arial" w:hint="default"/>
                <w:sz w:val="24"/>
                <w:szCs w:val="24"/>
              </w:rPr>
            </w:pPr>
            <w:r>
              <w:rPr>
                <w:rFonts w:ascii="Arial"/>
                <w:sz w:val="24"/>
              </w:rPr>
              <w:t>513,802</w:t>
            </w:r>
          </w:p>
        </w:tc>
      </w:tr>
      <w:tr>
        <w:trPr>
          <w:trHeight w:val="312"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62" w:lineRule="exact"/>
              <w:ind w:left="176" w:right="0"/>
              <w:jc w:val="left"/>
              <w:rPr>
                <w:rFonts w:ascii="宋体" w:hAnsi="宋体" w:cs="宋体" w:eastAsia="宋体" w:hint="default"/>
                <w:sz w:val="24"/>
                <w:szCs w:val="24"/>
              </w:rPr>
            </w:pPr>
            <w:r>
              <w:rPr>
                <w:rFonts w:ascii="宋体" w:hAnsi="宋体" w:cs="宋体" w:eastAsia="宋体" w:hint="default"/>
                <w:sz w:val="24"/>
                <w:szCs w:val="24"/>
              </w:rPr>
              <w:t>门店装修费摊销</w:t>
            </w: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
              <w:jc w:val="right"/>
              <w:rPr>
                <w:rFonts w:ascii="Arial" w:hAnsi="Arial" w:cs="Arial" w:eastAsia="Arial" w:hint="default"/>
                <w:sz w:val="24"/>
                <w:szCs w:val="24"/>
              </w:rPr>
            </w:pPr>
            <w:r>
              <w:rPr>
                <w:rFonts w:ascii="Arial"/>
                <w:spacing w:val="-1"/>
                <w:sz w:val="24"/>
              </w:rPr>
              <w:t>573,317</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75" w:right="0"/>
              <w:jc w:val="left"/>
              <w:rPr>
                <w:rFonts w:ascii="Arial" w:hAnsi="Arial" w:cs="Arial" w:eastAsia="Arial" w:hint="default"/>
                <w:sz w:val="24"/>
                <w:szCs w:val="24"/>
              </w:rPr>
            </w:pPr>
            <w:r>
              <w:rPr>
                <w:rFonts w:ascii="Arial"/>
                <w:sz w:val="24"/>
              </w:rPr>
              <w:t>402,256</w:t>
            </w:r>
          </w:p>
        </w:tc>
      </w:tr>
      <w:tr>
        <w:trPr>
          <w:trHeight w:val="310"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62" w:lineRule="exact"/>
              <w:ind w:left="176" w:right="0"/>
              <w:jc w:val="left"/>
              <w:rPr>
                <w:rFonts w:ascii="宋体" w:hAnsi="宋体" w:cs="宋体" w:eastAsia="宋体" w:hint="default"/>
                <w:sz w:val="24"/>
                <w:szCs w:val="24"/>
              </w:rPr>
            </w:pPr>
            <w:r>
              <w:rPr>
                <w:rFonts w:ascii="宋体" w:hAnsi="宋体" w:cs="宋体" w:eastAsia="宋体" w:hint="default"/>
                <w:sz w:val="24"/>
                <w:szCs w:val="24"/>
              </w:rPr>
              <w:t>社会保险费</w:t>
            </w: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
              <w:jc w:val="right"/>
              <w:rPr>
                <w:rFonts w:ascii="Arial" w:hAnsi="Arial" w:cs="Arial" w:eastAsia="Arial" w:hint="default"/>
                <w:sz w:val="24"/>
                <w:szCs w:val="24"/>
              </w:rPr>
            </w:pPr>
            <w:r>
              <w:rPr>
                <w:rFonts w:ascii="Arial"/>
                <w:spacing w:val="-1"/>
                <w:sz w:val="24"/>
              </w:rPr>
              <w:t>373,878</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75" w:right="0"/>
              <w:jc w:val="left"/>
              <w:rPr>
                <w:rFonts w:ascii="Arial" w:hAnsi="Arial" w:cs="Arial" w:eastAsia="Arial" w:hint="default"/>
                <w:sz w:val="24"/>
                <w:szCs w:val="24"/>
              </w:rPr>
            </w:pPr>
            <w:r>
              <w:rPr>
                <w:rFonts w:ascii="Arial"/>
                <w:sz w:val="24"/>
              </w:rPr>
              <w:t>308,064</w:t>
            </w:r>
          </w:p>
        </w:tc>
      </w:tr>
      <w:tr>
        <w:trPr>
          <w:trHeight w:val="312"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62" w:lineRule="exact"/>
              <w:ind w:left="176" w:right="0"/>
              <w:jc w:val="left"/>
              <w:rPr>
                <w:rFonts w:ascii="宋体" w:hAnsi="宋体" w:cs="宋体" w:eastAsia="宋体" w:hint="default"/>
                <w:sz w:val="24"/>
                <w:szCs w:val="24"/>
              </w:rPr>
            </w:pPr>
            <w:r>
              <w:rPr>
                <w:rFonts w:ascii="宋体" w:hAnsi="宋体" w:cs="宋体" w:eastAsia="宋体" w:hint="default"/>
                <w:sz w:val="24"/>
                <w:szCs w:val="24"/>
              </w:rPr>
              <w:t>固定资产折旧费</w:t>
            </w: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
              <w:jc w:val="right"/>
              <w:rPr>
                <w:rFonts w:ascii="Arial" w:hAnsi="Arial" w:cs="Arial" w:eastAsia="Arial" w:hint="default"/>
                <w:sz w:val="24"/>
                <w:szCs w:val="24"/>
              </w:rPr>
            </w:pPr>
            <w:r>
              <w:rPr>
                <w:rFonts w:ascii="Arial"/>
                <w:spacing w:val="-1"/>
                <w:sz w:val="24"/>
              </w:rPr>
              <w:t>322,390</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75" w:right="0"/>
              <w:jc w:val="left"/>
              <w:rPr>
                <w:rFonts w:ascii="Arial" w:hAnsi="Arial" w:cs="Arial" w:eastAsia="Arial" w:hint="default"/>
                <w:sz w:val="24"/>
                <w:szCs w:val="24"/>
              </w:rPr>
            </w:pPr>
            <w:r>
              <w:rPr>
                <w:rFonts w:ascii="Arial"/>
                <w:sz w:val="24"/>
              </w:rPr>
              <w:t>240,074</w:t>
            </w:r>
          </w:p>
        </w:tc>
      </w:tr>
      <w:tr>
        <w:trPr>
          <w:trHeight w:val="312"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62" w:lineRule="exact"/>
              <w:ind w:left="176" w:right="0"/>
              <w:jc w:val="left"/>
              <w:rPr>
                <w:rFonts w:ascii="宋体" w:hAnsi="宋体" w:cs="宋体" w:eastAsia="宋体" w:hint="default"/>
                <w:sz w:val="24"/>
                <w:szCs w:val="24"/>
              </w:rPr>
            </w:pPr>
            <w:r>
              <w:rPr>
                <w:rFonts w:ascii="宋体" w:hAnsi="宋体" w:cs="宋体" w:eastAsia="宋体" w:hint="default"/>
                <w:sz w:val="24"/>
                <w:szCs w:val="24"/>
              </w:rPr>
              <w:t>店面物料费</w:t>
            </w: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
              <w:jc w:val="right"/>
              <w:rPr>
                <w:rFonts w:ascii="Arial" w:hAnsi="Arial" w:cs="Arial" w:eastAsia="Arial" w:hint="default"/>
                <w:sz w:val="24"/>
                <w:szCs w:val="24"/>
              </w:rPr>
            </w:pPr>
            <w:r>
              <w:rPr>
                <w:rFonts w:ascii="Arial"/>
                <w:spacing w:val="-1"/>
                <w:sz w:val="24"/>
              </w:rPr>
              <w:t>93,405</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10" w:right="0"/>
              <w:jc w:val="left"/>
              <w:rPr>
                <w:rFonts w:ascii="Arial" w:hAnsi="Arial" w:cs="Arial" w:eastAsia="Arial" w:hint="default"/>
                <w:sz w:val="24"/>
                <w:szCs w:val="24"/>
              </w:rPr>
            </w:pPr>
            <w:r>
              <w:rPr>
                <w:rFonts w:ascii="Arial"/>
                <w:sz w:val="24"/>
              </w:rPr>
              <w:t>82,255</w:t>
            </w:r>
          </w:p>
        </w:tc>
      </w:tr>
      <w:tr>
        <w:trPr>
          <w:trHeight w:val="310"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62" w:lineRule="exact"/>
              <w:ind w:left="176" w:right="0"/>
              <w:jc w:val="left"/>
              <w:rPr>
                <w:rFonts w:ascii="宋体" w:hAnsi="宋体" w:cs="宋体" w:eastAsia="宋体" w:hint="default"/>
                <w:sz w:val="24"/>
                <w:szCs w:val="24"/>
              </w:rPr>
            </w:pPr>
            <w:r>
              <w:rPr>
                <w:rFonts w:ascii="宋体" w:hAnsi="宋体" w:cs="宋体" w:eastAsia="宋体" w:hint="default"/>
                <w:sz w:val="24"/>
                <w:szCs w:val="24"/>
              </w:rPr>
              <w:t>能源费</w:t>
            </w: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
              <w:jc w:val="right"/>
              <w:rPr>
                <w:rFonts w:ascii="Arial" w:hAnsi="Arial" w:cs="Arial" w:eastAsia="Arial" w:hint="default"/>
                <w:sz w:val="24"/>
                <w:szCs w:val="24"/>
              </w:rPr>
            </w:pPr>
            <w:r>
              <w:rPr>
                <w:rFonts w:ascii="Arial"/>
                <w:spacing w:val="-1"/>
                <w:sz w:val="24"/>
              </w:rPr>
              <w:t>88,169</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12" w:right="0"/>
              <w:jc w:val="left"/>
              <w:rPr>
                <w:rFonts w:ascii="Arial" w:hAnsi="Arial" w:cs="Arial" w:eastAsia="Arial" w:hint="default"/>
                <w:sz w:val="24"/>
                <w:szCs w:val="24"/>
              </w:rPr>
            </w:pPr>
            <w:r>
              <w:rPr>
                <w:rFonts w:ascii="Arial"/>
                <w:sz w:val="24"/>
              </w:rPr>
              <w:t>78,418</w:t>
            </w:r>
          </w:p>
        </w:tc>
      </w:tr>
      <w:tr>
        <w:trPr>
          <w:trHeight w:val="312"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62" w:lineRule="exact"/>
              <w:ind w:left="176" w:right="0"/>
              <w:jc w:val="left"/>
              <w:rPr>
                <w:rFonts w:ascii="宋体" w:hAnsi="宋体" w:cs="宋体" w:eastAsia="宋体" w:hint="default"/>
                <w:sz w:val="24"/>
                <w:szCs w:val="24"/>
              </w:rPr>
            </w:pPr>
            <w:r>
              <w:rPr>
                <w:rFonts w:ascii="宋体" w:hAnsi="宋体" w:cs="宋体" w:eastAsia="宋体" w:hint="default"/>
                <w:sz w:val="24"/>
                <w:szCs w:val="24"/>
              </w:rPr>
              <w:t>印刷费</w:t>
            </w: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
              <w:jc w:val="right"/>
              <w:rPr>
                <w:rFonts w:ascii="Arial" w:hAnsi="Arial" w:cs="Arial" w:eastAsia="Arial" w:hint="default"/>
                <w:sz w:val="24"/>
                <w:szCs w:val="24"/>
              </w:rPr>
            </w:pPr>
            <w:r>
              <w:rPr>
                <w:rFonts w:ascii="Arial"/>
                <w:spacing w:val="-1"/>
                <w:sz w:val="24"/>
              </w:rPr>
              <w:t>87,505</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12" w:right="0"/>
              <w:jc w:val="left"/>
              <w:rPr>
                <w:rFonts w:ascii="Arial" w:hAnsi="Arial" w:cs="Arial" w:eastAsia="Arial" w:hint="default"/>
                <w:sz w:val="24"/>
                <w:szCs w:val="24"/>
              </w:rPr>
            </w:pPr>
            <w:r>
              <w:rPr>
                <w:rFonts w:ascii="Arial"/>
                <w:sz w:val="24"/>
              </w:rPr>
              <w:t>93,928</w:t>
            </w:r>
          </w:p>
        </w:tc>
      </w:tr>
      <w:tr>
        <w:trPr>
          <w:trHeight w:val="312"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62" w:lineRule="exact"/>
              <w:ind w:left="176" w:right="0"/>
              <w:jc w:val="left"/>
              <w:rPr>
                <w:rFonts w:ascii="宋体" w:hAnsi="宋体" w:cs="宋体" w:eastAsia="宋体" w:hint="default"/>
                <w:sz w:val="24"/>
                <w:szCs w:val="24"/>
              </w:rPr>
            </w:pPr>
            <w:r>
              <w:rPr>
                <w:rFonts w:ascii="宋体" w:hAnsi="宋体" w:cs="宋体" w:eastAsia="宋体" w:hint="default"/>
                <w:sz w:val="24"/>
                <w:szCs w:val="24"/>
              </w:rPr>
              <w:t>住房公积金</w:t>
            </w: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
              <w:jc w:val="right"/>
              <w:rPr>
                <w:rFonts w:ascii="Arial" w:hAnsi="Arial" w:cs="Arial" w:eastAsia="Arial" w:hint="default"/>
                <w:sz w:val="24"/>
                <w:szCs w:val="24"/>
              </w:rPr>
            </w:pPr>
            <w:r>
              <w:rPr>
                <w:rFonts w:ascii="Arial"/>
                <w:spacing w:val="-1"/>
                <w:sz w:val="24"/>
              </w:rPr>
              <w:t>63,934</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10" w:right="0"/>
              <w:jc w:val="left"/>
              <w:rPr>
                <w:rFonts w:ascii="Arial" w:hAnsi="Arial" w:cs="Arial" w:eastAsia="Arial" w:hint="default"/>
                <w:sz w:val="24"/>
                <w:szCs w:val="24"/>
              </w:rPr>
            </w:pPr>
            <w:r>
              <w:rPr>
                <w:rFonts w:ascii="Arial"/>
                <w:sz w:val="24"/>
              </w:rPr>
              <w:t>57,231</w:t>
            </w:r>
          </w:p>
        </w:tc>
      </w:tr>
      <w:tr>
        <w:trPr>
          <w:trHeight w:val="310"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62" w:lineRule="exact"/>
              <w:ind w:left="176"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
              <w:jc w:val="right"/>
              <w:rPr>
                <w:rFonts w:ascii="Arial" w:hAnsi="Arial" w:cs="Arial" w:eastAsia="Arial" w:hint="default"/>
                <w:sz w:val="24"/>
                <w:szCs w:val="24"/>
              </w:rPr>
            </w:pPr>
            <w:r>
              <w:rPr>
                <w:rFonts w:ascii="Arial"/>
                <w:spacing w:val="-1"/>
                <w:sz w:val="24"/>
              </w:rPr>
              <w:t>63,408</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10" w:right="0"/>
              <w:jc w:val="left"/>
              <w:rPr>
                <w:rFonts w:ascii="Arial" w:hAnsi="Arial" w:cs="Arial" w:eastAsia="Arial" w:hint="default"/>
                <w:sz w:val="24"/>
                <w:szCs w:val="24"/>
              </w:rPr>
            </w:pPr>
            <w:r>
              <w:rPr>
                <w:rFonts w:ascii="Arial"/>
                <w:sz w:val="24"/>
              </w:rPr>
              <w:t>62,468</w:t>
            </w:r>
          </w:p>
        </w:tc>
      </w:tr>
      <w:tr>
        <w:trPr>
          <w:trHeight w:val="312"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62" w:lineRule="exact"/>
              <w:ind w:left="176" w:right="0"/>
              <w:jc w:val="left"/>
              <w:rPr>
                <w:rFonts w:ascii="宋体" w:hAnsi="宋体" w:cs="宋体" w:eastAsia="宋体" w:hint="default"/>
                <w:sz w:val="24"/>
                <w:szCs w:val="24"/>
              </w:rPr>
            </w:pPr>
            <w:r>
              <w:rPr>
                <w:rFonts w:ascii="宋体" w:hAnsi="宋体" w:cs="宋体" w:eastAsia="宋体" w:hint="default"/>
                <w:sz w:val="24"/>
                <w:szCs w:val="24"/>
              </w:rPr>
              <w:t>职工福利费</w:t>
            </w: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
              <w:jc w:val="right"/>
              <w:rPr>
                <w:rFonts w:ascii="Arial" w:hAnsi="Arial" w:cs="Arial" w:eastAsia="Arial" w:hint="default"/>
                <w:sz w:val="24"/>
                <w:szCs w:val="24"/>
              </w:rPr>
            </w:pPr>
            <w:r>
              <w:rPr>
                <w:rFonts w:ascii="Arial"/>
                <w:spacing w:val="-1"/>
                <w:sz w:val="24"/>
              </w:rPr>
              <w:t>55,274</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10" w:right="0"/>
              <w:jc w:val="left"/>
              <w:rPr>
                <w:rFonts w:ascii="Arial" w:hAnsi="Arial" w:cs="Arial" w:eastAsia="Arial" w:hint="default"/>
                <w:sz w:val="24"/>
                <w:szCs w:val="24"/>
              </w:rPr>
            </w:pPr>
            <w:r>
              <w:rPr>
                <w:rFonts w:ascii="Arial"/>
                <w:sz w:val="24"/>
              </w:rPr>
              <w:t>70,581</w:t>
            </w:r>
          </w:p>
        </w:tc>
      </w:tr>
      <w:tr>
        <w:trPr>
          <w:trHeight w:val="312"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62" w:lineRule="exact"/>
              <w:ind w:left="176"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
              <w:jc w:val="right"/>
              <w:rPr>
                <w:rFonts w:ascii="Arial" w:hAnsi="Arial" w:cs="Arial" w:eastAsia="Arial" w:hint="default"/>
                <w:sz w:val="24"/>
                <w:szCs w:val="24"/>
              </w:rPr>
            </w:pPr>
            <w:r>
              <w:rPr>
                <w:rFonts w:ascii="Arial"/>
                <w:spacing w:val="-1"/>
                <w:sz w:val="24"/>
              </w:rPr>
              <w:t>50,989</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10" w:right="0"/>
              <w:jc w:val="left"/>
              <w:rPr>
                <w:rFonts w:ascii="Arial" w:hAnsi="Arial" w:cs="Arial" w:eastAsia="Arial" w:hint="default"/>
                <w:sz w:val="24"/>
                <w:szCs w:val="24"/>
              </w:rPr>
            </w:pPr>
            <w:r>
              <w:rPr>
                <w:rFonts w:ascii="Arial"/>
                <w:sz w:val="24"/>
              </w:rPr>
              <w:t>28,497</w:t>
            </w:r>
          </w:p>
        </w:tc>
      </w:tr>
      <w:tr>
        <w:trPr>
          <w:trHeight w:val="312"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62" w:lineRule="exact"/>
              <w:ind w:left="176"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
              <w:jc w:val="right"/>
              <w:rPr>
                <w:rFonts w:ascii="Arial" w:hAnsi="Arial" w:cs="Arial" w:eastAsia="Arial" w:hint="default"/>
                <w:sz w:val="24"/>
                <w:szCs w:val="24"/>
              </w:rPr>
            </w:pPr>
            <w:r>
              <w:rPr>
                <w:rFonts w:ascii="Arial"/>
                <w:spacing w:val="-1"/>
                <w:sz w:val="24"/>
              </w:rPr>
              <w:t>26,917</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10" w:right="0"/>
              <w:jc w:val="left"/>
              <w:rPr>
                <w:rFonts w:ascii="Arial" w:hAnsi="Arial" w:cs="Arial" w:eastAsia="Arial" w:hint="default"/>
                <w:sz w:val="24"/>
                <w:szCs w:val="24"/>
              </w:rPr>
            </w:pPr>
            <w:r>
              <w:rPr>
                <w:rFonts w:ascii="Arial"/>
                <w:sz w:val="24"/>
              </w:rPr>
              <w:t>24,083</w:t>
            </w:r>
          </w:p>
        </w:tc>
      </w:tr>
      <w:tr>
        <w:trPr>
          <w:trHeight w:val="310"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62" w:lineRule="exact"/>
              <w:ind w:left="176"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
              <w:jc w:val="right"/>
              <w:rPr>
                <w:rFonts w:ascii="Arial" w:hAnsi="Arial" w:cs="Arial" w:eastAsia="Arial" w:hint="default"/>
                <w:sz w:val="24"/>
                <w:szCs w:val="24"/>
              </w:rPr>
            </w:pPr>
            <w:r>
              <w:rPr>
                <w:rFonts w:ascii="Arial"/>
                <w:spacing w:val="-1"/>
                <w:sz w:val="24"/>
              </w:rPr>
              <w:t>9,242</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44" w:right="0"/>
              <w:jc w:val="left"/>
              <w:rPr>
                <w:rFonts w:ascii="Arial" w:hAnsi="Arial" w:cs="Arial" w:eastAsia="Arial" w:hint="default"/>
                <w:sz w:val="24"/>
                <w:szCs w:val="24"/>
              </w:rPr>
            </w:pPr>
            <w:r>
              <w:rPr>
                <w:rFonts w:ascii="Arial"/>
                <w:sz w:val="24"/>
              </w:rPr>
              <w:t>7,538</w:t>
            </w:r>
          </w:p>
        </w:tc>
      </w:tr>
      <w:tr>
        <w:trPr>
          <w:trHeight w:val="312"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62" w:lineRule="exact"/>
              <w:ind w:left="176" w:right="0"/>
              <w:jc w:val="left"/>
              <w:rPr>
                <w:rFonts w:ascii="宋体" w:hAnsi="宋体" w:cs="宋体" w:eastAsia="宋体" w:hint="default"/>
                <w:sz w:val="24"/>
                <w:szCs w:val="24"/>
              </w:rPr>
            </w:pPr>
            <w:r>
              <w:rPr>
                <w:rFonts w:ascii="宋体" w:hAnsi="宋体" w:cs="宋体" w:eastAsia="宋体" w:hint="default"/>
                <w:sz w:val="24"/>
                <w:szCs w:val="24"/>
              </w:rPr>
              <w:t>税费</w:t>
            </w: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
              <w:jc w:val="right"/>
              <w:rPr>
                <w:rFonts w:ascii="Arial" w:hAnsi="Arial" w:cs="Arial" w:eastAsia="Arial" w:hint="default"/>
                <w:sz w:val="24"/>
                <w:szCs w:val="24"/>
              </w:rPr>
            </w:pPr>
            <w:r>
              <w:rPr>
                <w:rFonts w:ascii="Arial"/>
                <w:spacing w:val="-1"/>
                <w:sz w:val="24"/>
              </w:rPr>
              <w:t>8,078</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344" w:right="0"/>
              <w:jc w:val="left"/>
              <w:rPr>
                <w:rFonts w:ascii="Arial" w:hAnsi="Arial" w:cs="Arial" w:eastAsia="Arial" w:hint="default"/>
                <w:sz w:val="24"/>
                <w:szCs w:val="24"/>
              </w:rPr>
            </w:pPr>
            <w:r>
              <w:rPr>
                <w:rFonts w:ascii="Arial"/>
                <w:sz w:val="24"/>
              </w:rPr>
              <w:t>9,765</w:t>
            </w:r>
          </w:p>
        </w:tc>
      </w:tr>
      <w:tr>
        <w:trPr>
          <w:trHeight w:val="313"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62" w:lineRule="exact"/>
              <w:ind w:left="159"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tabs>
                <w:tab w:pos="734" w:val="left" w:leader="none"/>
                <w:tab w:pos="1694" w:val="left" w:leader="none"/>
              </w:tabs>
              <w:spacing w:line="240" w:lineRule="auto" w:before="19"/>
              <w:ind w:right="-82"/>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451,462</w:t>
              <w:tab/>
            </w:r>
            <w:r>
              <w:rPr>
                <w:rFonts w:ascii="Arial"/>
                <w:spacing w:val="-1"/>
                <w:sz w:val="24"/>
              </w:rPr>
            </w:r>
          </w:p>
        </w:tc>
        <w:tc>
          <w:tcPr>
            <w:tcW w:w="2057" w:type="dxa"/>
            <w:tcBorders>
              <w:top w:val="nil" w:sz="6" w:space="0" w:color="auto"/>
              <w:left w:val="nil" w:sz="6" w:space="0" w:color="auto"/>
              <w:bottom w:val="nil" w:sz="6" w:space="0" w:color="auto"/>
              <w:right w:val="nil" w:sz="6" w:space="0" w:color="auto"/>
            </w:tcBorders>
          </w:tcPr>
          <w:p>
            <w:pPr>
              <w:pStyle w:val="TableParagraph"/>
              <w:tabs>
                <w:tab w:pos="1075" w:val="left" w:leader="none"/>
                <w:tab w:pos="2057" w:val="left" w:leader="none"/>
              </w:tabs>
              <w:spacing w:line="240" w:lineRule="auto" w:before="19"/>
              <w:ind w:left="350"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258,491</w:t>
              <w:tab/>
            </w:r>
            <w:r>
              <w:rPr>
                <w:rFonts w:ascii="Arial"/>
                <w:sz w:val="24"/>
              </w:rPr>
            </w:r>
          </w:p>
        </w:tc>
      </w:tr>
      <w:tr>
        <w:trPr>
          <w:trHeight w:val="287" w:hRule="exact"/>
        </w:trPr>
        <w:tc>
          <w:tcPr>
            <w:tcW w:w="80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single" w:sz="12" w:space="0" w:color="000000"/>
              <w:right w:val="nil" w:sz="6" w:space="0" w:color="auto"/>
            </w:tcBorders>
          </w:tcPr>
          <w:p>
            <w:pPr>
              <w:pStyle w:val="TableParagraph"/>
              <w:spacing w:line="268" w:lineRule="exact"/>
              <w:ind w:right="7"/>
              <w:jc w:val="right"/>
              <w:rPr>
                <w:rFonts w:ascii="Arial" w:hAnsi="Arial" w:cs="Arial" w:eastAsia="Arial" w:hint="default"/>
                <w:sz w:val="24"/>
                <w:szCs w:val="24"/>
              </w:rPr>
            </w:pPr>
            <w:r>
              <w:rPr>
                <w:rFonts w:ascii="Arial"/>
                <w:spacing w:val="-3"/>
                <w:sz w:val="24"/>
              </w:rPr>
              <w:t>11,810,941</w:t>
            </w:r>
          </w:p>
        </w:tc>
        <w:tc>
          <w:tcPr>
            <w:tcW w:w="2057" w:type="dxa"/>
            <w:tcBorders>
              <w:top w:val="nil" w:sz="6" w:space="0" w:color="auto"/>
              <w:left w:val="nil" w:sz="6" w:space="0" w:color="auto"/>
              <w:bottom w:val="single" w:sz="12" w:space="0" w:color="000000"/>
              <w:right w:val="nil" w:sz="6" w:space="0" w:color="auto"/>
            </w:tcBorders>
          </w:tcPr>
          <w:p>
            <w:pPr>
              <w:pStyle w:val="TableParagraph"/>
              <w:spacing w:line="268" w:lineRule="exact"/>
              <w:ind w:left="878" w:right="0"/>
              <w:jc w:val="left"/>
              <w:rPr>
                <w:rFonts w:ascii="Arial" w:hAnsi="Arial" w:cs="Arial" w:eastAsia="Arial" w:hint="default"/>
                <w:sz w:val="24"/>
                <w:szCs w:val="24"/>
              </w:rPr>
            </w:pPr>
            <w:r>
              <w:rPr>
                <w:rFonts w:ascii="Arial"/>
                <w:sz w:val="24"/>
              </w:rPr>
              <w:t>9,367,346</w:t>
            </w:r>
          </w:p>
        </w:tc>
      </w:tr>
    </w:tbl>
    <w:p>
      <w:pPr>
        <w:spacing w:after="0" w:line="268" w:lineRule="exact"/>
        <w:jc w:val="left"/>
        <w:rPr>
          <w:rFonts w:ascii="Arial" w:hAnsi="Arial" w:cs="Arial" w:eastAsia="Arial"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774"/>
        <w:gridCol w:w="4577"/>
        <w:gridCol w:w="1728"/>
        <w:gridCol w:w="238"/>
        <w:gridCol w:w="1706"/>
      </w:tblGrid>
      <w:tr>
        <w:trPr>
          <w:trHeight w:val="495"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4577" w:type="dxa"/>
            <w:tcBorders>
              <w:top w:val="nil" w:sz="6" w:space="0" w:color="auto"/>
              <w:left w:val="nil" w:sz="6" w:space="0" w:color="auto"/>
              <w:bottom w:val="nil" w:sz="6" w:space="0" w:color="auto"/>
              <w:right w:val="nil" w:sz="6" w:space="0" w:color="auto"/>
            </w:tcBorders>
          </w:tcPr>
          <w:p>
            <w:pPr>
              <w:pStyle w:val="TableParagraph"/>
              <w:spacing w:line="257" w:lineRule="exact"/>
              <w:ind w:left="14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2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r>
      <w:tr>
        <w:trPr>
          <w:trHeight w:val="567"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(41)</w:t>
            </w:r>
          </w:p>
        </w:tc>
        <w:tc>
          <w:tcPr>
            <w:tcW w:w="457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6" w:right="0"/>
              <w:jc w:val="left"/>
              <w:rPr>
                <w:rFonts w:ascii="黑体" w:hAnsi="黑体" w:cs="黑体" w:eastAsia="黑体" w:hint="default"/>
                <w:sz w:val="24"/>
                <w:szCs w:val="24"/>
              </w:rPr>
            </w:pPr>
            <w:r>
              <w:rPr>
                <w:rFonts w:ascii="黑体" w:hAnsi="黑体" w:cs="黑体" w:eastAsia="黑体" w:hint="default"/>
                <w:sz w:val="24"/>
                <w:szCs w:val="24"/>
              </w:rPr>
              <w:t>管理费用</w:t>
            </w:r>
          </w:p>
        </w:tc>
        <w:tc>
          <w:tcPr>
            <w:tcW w:w="172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r>
      <w:tr>
        <w:trPr>
          <w:trHeight w:val="575"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1"/>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577"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46" w:right="0"/>
              <w:jc w:val="left"/>
              <w:rPr>
                <w:rFonts w:ascii="宋体" w:hAnsi="宋体" w:cs="宋体" w:eastAsia="宋体" w:hint="default"/>
                <w:sz w:val="24"/>
                <w:szCs w:val="24"/>
              </w:rPr>
            </w:pPr>
            <w:r>
              <w:rPr>
                <w:rFonts w:ascii="宋体" w:hAnsi="宋体" w:cs="宋体" w:eastAsia="宋体" w:hint="default"/>
                <w:sz w:val="24"/>
                <w:szCs w:val="24"/>
              </w:rPr>
              <w:t>工资、奖金、津贴和补贴</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Arial" w:hAnsi="Arial" w:cs="Arial" w:eastAsia="Arial" w:hint="default"/>
                <w:sz w:val="24"/>
                <w:szCs w:val="24"/>
              </w:rPr>
            </w:pPr>
            <w:r>
              <w:rPr>
                <w:rFonts w:ascii="Arial"/>
                <w:spacing w:val="-1"/>
                <w:sz w:val="24"/>
              </w:rPr>
              <w:t>878,463</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Arial" w:hAnsi="Arial" w:cs="Arial" w:eastAsia="Arial" w:hint="default"/>
                <w:sz w:val="24"/>
                <w:szCs w:val="24"/>
              </w:rPr>
            </w:pPr>
            <w:r>
              <w:rPr>
                <w:rFonts w:ascii="Arial"/>
                <w:spacing w:val="-1"/>
                <w:sz w:val="24"/>
              </w:rPr>
              <w:t>851,460</w:t>
            </w:r>
          </w:p>
        </w:tc>
      </w:tr>
      <w:tr>
        <w:trPr>
          <w:trHeight w:val="392"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Style w:val="TableParagraph"/>
              <w:spacing w:line="301" w:lineRule="exact"/>
              <w:ind w:left="146" w:right="0"/>
              <w:jc w:val="left"/>
              <w:rPr>
                <w:rFonts w:ascii="宋体" w:hAnsi="宋体" w:cs="宋体" w:eastAsia="宋体" w:hint="default"/>
                <w:sz w:val="24"/>
                <w:szCs w:val="24"/>
              </w:rPr>
            </w:pPr>
            <w:r>
              <w:rPr>
                <w:rFonts w:ascii="宋体" w:hAnsi="宋体" w:cs="宋体" w:eastAsia="宋体" w:hint="default"/>
                <w:sz w:val="24"/>
                <w:szCs w:val="24"/>
              </w:rPr>
              <w:t>固定资产折旧费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Arial" w:hAnsi="Arial" w:cs="Arial" w:eastAsia="Arial" w:hint="default"/>
                <w:sz w:val="24"/>
                <w:szCs w:val="24"/>
              </w:rPr>
            </w:pPr>
            <w:r>
              <w:rPr>
                <w:rFonts w:ascii="Arial"/>
                <w:spacing w:val="-1"/>
                <w:sz w:val="24"/>
              </w:rPr>
              <w:t>229,512</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Arial" w:hAnsi="Arial" w:cs="Arial" w:eastAsia="Arial" w:hint="default"/>
                <w:sz w:val="24"/>
                <w:szCs w:val="24"/>
              </w:rPr>
            </w:pPr>
            <w:r>
              <w:rPr>
                <w:rFonts w:ascii="Arial"/>
                <w:spacing w:val="-1"/>
                <w:sz w:val="24"/>
              </w:rPr>
              <w:t>134,726</w:t>
            </w:r>
          </w:p>
        </w:tc>
      </w:tr>
      <w:tr>
        <w:trPr>
          <w:trHeight w:val="392"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社会保险费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Arial" w:hAnsi="Arial" w:cs="Arial" w:eastAsia="Arial" w:hint="default"/>
                <w:sz w:val="24"/>
                <w:szCs w:val="24"/>
              </w:rPr>
            </w:pPr>
            <w:r>
              <w:rPr>
                <w:rFonts w:ascii="Arial"/>
                <w:spacing w:val="-1"/>
                <w:sz w:val="24"/>
              </w:rPr>
              <w:t>193,776</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Arial" w:hAnsi="Arial" w:cs="Arial" w:eastAsia="Arial" w:hint="default"/>
                <w:sz w:val="24"/>
                <w:szCs w:val="24"/>
              </w:rPr>
            </w:pPr>
            <w:r>
              <w:rPr>
                <w:rFonts w:ascii="Arial"/>
                <w:spacing w:val="-1"/>
                <w:sz w:val="24"/>
              </w:rPr>
              <w:t>150,423</w:t>
            </w:r>
          </w:p>
        </w:tc>
      </w:tr>
      <w:tr>
        <w:trPr>
          <w:trHeight w:val="391"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Style w:val="TableParagraph"/>
              <w:spacing w:line="301" w:lineRule="exact"/>
              <w:ind w:left="146"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Arial" w:hAnsi="Arial" w:cs="Arial" w:eastAsia="Arial" w:hint="default"/>
                <w:sz w:val="24"/>
                <w:szCs w:val="24"/>
              </w:rPr>
            </w:pPr>
            <w:r>
              <w:rPr>
                <w:rFonts w:ascii="Arial"/>
                <w:spacing w:val="-1"/>
                <w:sz w:val="24"/>
              </w:rPr>
              <w:t>120,006</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95,281</w:t>
            </w:r>
          </w:p>
        </w:tc>
      </w:tr>
      <w:tr>
        <w:trPr>
          <w:trHeight w:val="391"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Style w:val="TableParagraph"/>
              <w:spacing w:line="301" w:lineRule="exact"/>
              <w:ind w:left="146" w:right="0"/>
              <w:jc w:val="left"/>
              <w:rPr>
                <w:rFonts w:ascii="宋体" w:hAnsi="宋体" w:cs="宋体" w:eastAsia="宋体" w:hint="default"/>
                <w:sz w:val="24"/>
                <w:szCs w:val="24"/>
              </w:rPr>
            </w:pPr>
            <w:r>
              <w:rPr>
                <w:rFonts w:ascii="宋体" w:hAnsi="宋体" w:cs="宋体" w:eastAsia="宋体" w:hint="default"/>
                <w:sz w:val="24"/>
                <w:szCs w:val="24"/>
              </w:rPr>
              <w:t>税费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Arial" w:hAnsi="Arial" w:cs="Arial" w:eastAsia="Arial" w:hint="default"/>
                <w:sz w:val="24"/>
                <w:szCs w:val="24"/>
              </w:rPr>
            </w:pPr>
            <w:r>
              <w:rPr>
                <w:rFonts w:ascii="Arial"/>
                <w:spacing w:val="-1"/>
                <w:sz w:val="24"/>
              </w:rPr>
              <w:t>136,999</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Arial" w:hAnsi="Arial" w:cs="Arial" w:eastAsia="Arial" w:hint="default"/>
                <w:sz w:val="24"/>
                <w:szCs w:val="24"/>
              </w:rPr>
            </w:pPr>
            <w:r>
              <w:rPr>
                <w:rFonts w:ascii="Arial"/>
                <w:spacing w:val="-1"/>
                <w:sz w:val="24"/>
              </w:rPr>
              <w:t>100,172</w:t>
            </w:r>
          </w:p>
        </w:tc>
      </w:tr>
      <w:tr>
        <w:trPr>
          <w:trHeight w:val="391"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Style w:val="TableParagraph"/>
              <w:spacing w:line="301" w:lineRule="exact"/>
              <w:ind w:left="146" w:right="0"/>
              <w:jc w:val="left"/>
              <w:rPr>
                <w:rFonts w:ascii="宋体" w:hAnsi="宋体" w:cs="宋体" w:eastAsia="宋体" w:hint="default"/>
                <w:sz w:val="24"/>
                <w:szCs w:val="24"/>
              </w:rPr>
            </w:pPr>
            <w:r>
              <w:rPr>
                <w:rFonts w:ascii="宋体" w:hAnsi="宋体" w:cs="宋体" w:eastAsia="宋体" w:hint="default"/>
                <w:sz w:val="24"/>
                <w:szCs w:val="24"/>
              </w:rPr>
              <w:t>职工福利费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84,075</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Arial" w:hAnsi="Arial" w:cs="Arial" w:eastAsia="Arial" w:hint="default"/>
                <w:sz w:val="24"/>
                <w:szCs w:val="24"/>
              </w:rPr>
            </w:pPr>
            <w:r>
              <w:rPr>
                <w:rFonts w:ascii="Arial"/>
                <w:spacing w:val="-1"/>
                <w:sz w:val="24"/>
              </w:rPr>
              <w:t>103,544</w:t>
            </w:r>
          </w:p>
        </w:tc>
      </w:tr>
      <w:tr>
        <w:trPr>
          <w:trHeight w:val="391"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Style w:val="TableParagraph"/>
              <w:spacing w:line="301" w:lineRule="exact"/>
              <w:ind w:left="146" w:right="0"/>
              <w:jc w:val="left"/>
              <w:rPr>
                <w:rFonts w:ascii="宋体" w:hAnsi="宋体" w:cs="宋体" w:eastAsia="宋体" w:hint="default"/>
                <w:sz w:val="24"/>
                <w:szCs w:val="24"/>
              </w:rPr>
            </w:pPr>
            <w:r>
              <w:rPr>
                <w:rFonts w:ascii="宋体" w:hAnsi="宋体" w:cs="宋体" w:eastAsia="宋体" w:hint="default"/>
                <w:sz w:val="24"/>
                <w:szCs w:val="24"/>
              </w:rPr>
              <w:t>咨询费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77,633</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54,456</w:t>
            </w:r>
          </w:p>
        </w:tc>
      </w:tr>
      <w:tr>
        <w:trPr>
          <w:trHeight w:val="391"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Style w:val="TableParagraph"/>
              <w:spacing w:line="301" w:lineRule="exact"/>
              <w:ind w:left="146"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56,046</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50,869</w:t>
            </w:r>
          </w:p>
        </w:tc>
      </w:tr>
      <w:tr>
        <w:trPr>
          <w:trHeight w:val="391"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Style w:val="TableParagraph"/>
              <w:spacing w:line="301" w:lineRule="exact"/>
              <w:ind w:left="146" w:right="0"/>
              <w:jc w:val="left"/>
              <w:rPr>
                <w:rFonts w:ascii="宋体" w:hAnsi="宋体" w:cs="宋体" w:eastAsia="宋体" w:hint="default"/>
                <w:sz w:val="24"/>
                <w:szCs w:val="24"/>
              </w:rPr>
            </w:pPr>
            <w:r>
              <w:rPr>
                <w:rFonts w:ascii="宋体" w:hAnsi="宋体" w:cs="宋体" w:eastAsia="宋体" w:hint="default"/>
                <w:sz w:val="24"/>
                <w:szCs w:val="24"/>
              </w:rPr>
              <w:t>网络月租费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47,256</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48,423</w:t>
            </w:r>
          </w:p>
        </w:tc>
      </w:tr>
      <w:tr>
        <w:trPr>
          <w:trHeight w:val="391"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Style w:val="TableParagraph"/>
              <w:spacing w:line="301" w:lineRule="exact"/>
              <w:ind w:left="146"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43,105</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6,039</w:t>
            </w:r>
          </w:p>
        </w:tc>
      </w:tr>
      <w:tr>
        <w:trPr>
          <w:trHeight w:val="393"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Style w:val="TableParagraph"/>
              <w:spacing w:line="301" w:lineRule="exact"/>
              <w:ind w:left="146" w:right="0"/>
              <w:jc w:val="left"/>
              <w:rPr>
                <w:rFonts w:ascii="宋体" w:hAnsi="宋体" w:cs="宋体" w:eastAsia="宋体" w:hint="default"/>
                <w:sz w:val="24"/>
                <w:szCs w:val="24"/>
              </w:rPr>
            </w:pPr>
            <w:r>
              <w:rPr>
                <w:rFonts w:ascii="宋体" w:hAnsi="宋体" w:cs="宋体" w:eastAsia="宋体" w:hint="default"/>
                <w:sz w:val="24"/>
                <w:szCs w:val="24"/>
              </w:rPr>
              <w:t>住房公积金</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32,808</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26,463</w:t>
            </w:r>
          </w:p>
        </w:tc>
      </w:tr>
      <w:tr>
        <w:trPr>
          <w:trHeight w:val="391"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Style w:val="TableParagraph"/>
              <w:spacing w:line="303" w:lineRule="exact"/>
              <w:ind w:left="146"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2"/>
              <w:jc w:val="right"/>
              <w:rPr>
                <w:rFonts w:ascii="Arial" w:hAnsi="Arial" w:cs="Arial" w:eastAsia="Arial" w:hint="default"/>
                <w:sz w:val="24"/>
                <w:szCs w:val="24"/>
              </w:rPr>
            </w:pPr>
            <w:r>
              <w:rPr>
                <w:rFonts w:ascii="Arial"/>
                <w:spacing w:val="-1"/>
                <w:sz w:val="24"/>
              </w:rPr>
              <w:t>28,317</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sz w:val="24"/>
              </w:rPr>
              <w:t>41,275</w:t>
            </w:r>
          </w:p>
        </w:tc>
      </w:tr>
      <w:tr>
        <w:trPr>
          <w:trHeight w:val="391"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Style w:val="TableParagraph"/>
              <w:spacing w:line="303" w:lineRule="exact"/>
              <w:ind w:left="146" w:right="0"/>
              <w:jc w:val="left"/>
              <w:rPr>
                <w:rFonts w:ascii="宋体" w:hAnsi="宋体" w:cs="宋体" w:eastAsia="宋体" w:hint="default"/>
                <w:sz w:val="24"/>
                <w:szCs w:val="24"/>
              </w:rPr>
            </w:pPr>
            <w:r>
              <w:rPr>
                <w:rFonts w:ascii="宋体" w:hAnsi="宋体" w:cs="宋体" w:eastAsia="宋体" w:hint="default"/>
                <w:sz w:val="24"/>
                <w:szCs w:val="24"/>
              </w:rPr>
              <w:t>电费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2"/>
              <w:jc w:val="right"/>
              <w:rPr>
                <w:rFonts w:ascii="Arial" w:hAnsi="Arial" w:cs="Arial" w:eastAsia="Arial" w:hint="default"/>
                <w:sz w:val="24"/>
                <w:szCs w:val="24"/>
              </w:rPr>
            </w:pPr>
            <w:r>
              <w:rPr>
                <w:rFonts w:ascii="Arial"/>
                <w:spacing w:val="-1"/>
                <w:sz w:val="24"/>
              </w:rPr>
              <w:t>28,059</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sz w:val="24"/>
              </w:rPr>
              <w:t>19,525</w:t>
            </w:r>
          </w:p>
        </w:tc>
      </w:tr>
      <w:tr>
        <w:trPr>
          <w:trHeight w:val="391"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Style w:val="TableParagraph"/>
              <w:spacing w:line="303" w:lineRule="exact"/>
              <w:ind w:left="146" w:right="0"/>
              <w:jc w:val="left"/>
              <w:rPr>
                <w:rFonts w:ascii="宋体" w:hAnsi="宋体" w:cs="宋体" w:eastAsia="宋体" w:hint="default"/>
                <w:sz w:val="24"/>
                <w:szCs w:val="24"/>
              </w:rPr>
            </w:pPr>
            <w:r>
              <w:rPr>
                <w:rFonts w:ascii="宋体" w:hAnsi="宋体" w:cs="宋体" w:eastAsia="宋体" w:hint="default"/>
                <w:sz w:val="24"/>
                <w:szCs w:val="24"/>
              </w:rPr>
              <w:t>办公区装修费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2"/>
              <w:jc w:val="right"/>
              <w:rPr>
                <w:rFonts w:ascii="Arial" w:hAnsi="Arial" w:cs="Arial" w:eastAsia="Arial" w:hint="default"/>
                <w:sz w:val="24"/>
                <w:szCs w:val="24"/>
              </w:rPr>
            </w:pPr>
            <w:r>
              <w:rPr>
                <w:rFonts w:ascii="Arial"/>
                <w:spacing w:val="-1"/>
                <w:sz w:val="24"/>
              </w:rPr>
              <w:t>25,158</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sz w:val="24"/>
              </w:rPr>
              <w:t>13,467</w:t>
            </w:r>
          </w:p>
        </w:tc>
      </w:tr>
      <w:tr>
        <w:trPr>
          <w:trHeight w:val="391"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Style w:val="TableParagraph"/>
              <w:spacing w:line="303" w:lineRule="exact"/>
              <w:ind w:left="146"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2"/>
              <w:jc w:val="right"/>
              <w:rPr>
                <w:rFonts w:ascii="Arial" w:hAnsi="Arial" w:cs="Arial" w:eastAsia="Arial" w:hint="default"/>
                <w:sz w:val="24"/>
                <w:szCs w:val="24"/>
              </w:rPr>
            </w:pPr>
            <w:r>
              <w:rPr>
                <w:rFonts w:ascii="Arial"/>
                <w:spacing w:val="-1"/>
                <w:sz w:val="24"/>
              </w:rPr>
              <w:t>8,383</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sz w:val="24"/>
              </w:rPr>
              <w:t>5,265</w:t>
            </w:r>
          </w:p>
        </w:tc>
      </w:tr>
      <w:tr>
        <w:trPr>
          <w:trHeight w:val="389"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Style w:val="TableParagraph"/>
              <w:spacing w:line="303" w:lineRule="exact"/>
              <w:ind w:left="14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728" w:type="dxa"/>
            <w:tcBorders>
              <w:top w:val="nil" w:sz="6" w:space="0" w:color="auto"/>
              <w:left w:val="nil" w:sz="6" w:space="0" w:color="auto"/>
              <w:bottom w:val="single" w:sz="8" w:space="0" w:color="000000"/>
              <w:right w:val="nil" w:sz="6" w:space="0" w:color="auto"/>
            </w:tcBorders>
          </w:tcPr>
          <w:p>
            <w:pPr>
              <w:pStyle w:val="TableParagraph"/>
              <w:spacing w:line="240" w:lineRule="auto" w:before="58"/>
              <w:ind w:right="102"/>
              <w:jc w:val="right"/>
              <w:rPr>
                <w:rFonts w:ascii="Arial" w:hAnsi="Arial" w:cs="Arial" w:eastAsia="Arial" w:hint="default"/>
                <w:sz w:val="24"/>
                <w:szCs w:val="24"/>
              </w:rPr>
            </w:pPr>
            <w:r>
              <w:rPr>
                <w:rFonts w:ascii="Arial"/>
                <w:spacing w:val="-3"/>
                <w:sz w:val="24"/>
              </w:rPr>
              <w:t>360,511</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8" w:space="0" w:color="000000"/>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spacing w:val="-1"/>
                <w:sz w:val="24"/>
              </w:rPr>
              <w:t>387,249</w:t>
            </w:r>
          </w:p>
        </w:tc>
      </w:tr>
      <w:tr>
        <w:trPr>
          <w:trHeight w:val="379"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
        </w:tc>
        <w:tc>
          <w:tcPr>
            <w:tcW w:w="1728" w:type="dxa"/>
            <w:tcBorders>
              <w:top w:val="single" w:sz="8" w:space="0" w:color="000000"/>
              <w:left w:val="nil" w:sz="6" w:space="0" w:color="auto"/>
              <w:bottom w:val="single" w:sz="12" w:space="0" w:color="000000"/>
              <w:right w:val="nil" w:sz="6" w:space="0" w:color="auto"/>
            </w:tcBorders>
          </w:tcPr>
          <w:p>
            <w:pPr>
              <w:pStyle w:val="TableParagraph"/>
              <w:spacing w:line="240" w:lineRule="auto" w:before="36"/>
              <w:ind w:right="103"/>
              <w:jc w:val="right"/>
              <w:rPr>
                <w:rFonts w:ascii="Arial" w:hAnsi="Arial" w:cs="Arial" w:eastAsia="Arial" w:hint="default"/>
                <w:sz w:val="24"/>
                <w:szCs w:val="24"/>
              </w:rPr>
            </w:pPr>
            <w:r>
              <w:rPr>
                <w:rFonts w:ascii="Arial"/>
                <w:spacing w:val="-1"/>
                <w:sz w:val="24"/>
              </w:rPr>
              <w:t>2,350,107</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single" w:sz="8" w:space="0" w:color="000000"/>
              <w:left w:val="nil" w:sz="6" w:space="0" w:color="auto"/>
              <w:bottom w:val="single" w:sz="12" w:space="0" w:color="000000"/>
              <w:right w:val="nil" w:sz="6" w:space="0" w:color="auto"/>
            </w:tcBorders>
          </w:tcPr>
          <w:p>
            <w:pPr>
              <w:pStyle w:val="TableParagraph"/>
              <w:spacing w:line="240" w:lineRule="auto" w:before="36"/>
              <w:ind w:right="105"/>
              <w:jc w:val="right"/>
              <w:rPr>
                <w:rFonts w:ascii="Arial" w:hAnsi="Arial" w:cs="Arial" w:eastAsia="Arial" w:hint="default"/>
                <w:sz w:val="24"/>
                <w:szCs w:val="24"/>
              </w:rPr>
            </w:pPr>
            <w:r>
              <w:rPr>
                <w:rFonts w:ascii="Arial"/>
                <w:spacing w:val="-1"/>
                <w:sz w:val="24"/>
              </w:rPr>
              <w:t>2,088,637</w:t>
            </w:r>
          </w:p>
        </w:tc>
      </w:tr>
      <w:tr>
        <w:trPr>
          <w:trHeight w:val="946"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(42)</w:t>
            </w:r>
          </w:p>
        </w:tc>
        <w:tc>
          <w:tcPr>
            <w:tcW w:w="45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89" w:right="0"/>
              <w:jc w:val="left"/>
              <w:rPr>
                <w:rFonts w:ascii="黑体" w:hAnsi="黑体" w:cs="黑体" w:eastAsia="黑体" w:hint="default"/>
                <w:sz w:val="24"/>
                <w:szCs w:val="24"/>
              </w:rPr>
            </w:pPr>
            <w:r>
              <w:rPr>
                <w:rFonts w:ascii="黑体" w:hAnsi="黑体" w:cs="黑体" w:eastAsia="黑体" w:hint="default"/>
                <w:sz w:val="24"/>
                <w:szCs w:val="24"/>
              </w:rPr>
              <w:t>财务收入</w:t>
            </w:r>
            <w:r>
              <w:rPr>
                <w:rFonts w:ascii="Arial" w:hAnsi="Arial" w:cs="Arial" w:eastAsia="Arial" w:hint="default"/>
                <w:sz w:val="24"/>
                <w:szCs w:val="24"/>
              </w:rPr>
              <w:t>-</w:t>
            </w:r>
            <w:r>
              <w:rPr>
                <w:rFonts w:ascii="黑体" w:hAnsi="黑体" w:cs="黑体" w:eastAsia="黑体" w:hint="default"/>
                <w:sz w:val="24"/>
                <w:szCs w:val="24"/>
              </w:rPr>
              <w:t>净额</w:t>
            </w:r>
          </w:p>
        </w:tc>
        <w:tc>
          <w:tcPr>
            <w:tcW w:w="1728" w:type="dxa"/>
            <w:tcBorders>
              <w:top w:val="single" w:sz="12"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single" w:sz="12" w:space="0" w:color="000000"/>
              <w:left w:val="nil" w:sz="6" w:space="0" w:color="auto"/>
              <w:bottom w:val="nil" w:sz="6" w:space="0" w:color="auto"/>
              <w:right w:val="nil" w:sz="6" w:space="0" w:color="auto"/>
            </w:tcBorders>
          </w:tcPr>
          <w:p>
            <w:pPr/>
          </w:p>
        </w:tc>
      </w:tr>
      <w:tr>
        <w:trPr>
          <w:trHeight w:val="748"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101"/>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10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577"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24"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20"/>
              <w:jc w:val="right"/>
              <w:rPr>
                <w:rFonts w:ascii="Arial" w:hAnsi="Arial" w:cs="Arial" w:eastAsia="Arial" w:hint="default"/>
                <w:sz w:val="24"/>
                <w:szCs w:val="24"/>
              </w:rPr>
            </w:pPr>
            <w:r>
              <w:rPr>
                <w:rFonts w:ascii="Arial"/>
                <w:spacing w:val="-1"/>
                <w:sz w:val="24"/>
              </w:rPr>
              <w:t>650,803</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17"/>
              <w:jc w:val="right"/>
              <w:rPr>
                <w:rFonts w:ascii="Arial" w:hAnsi="Arial" w:cs="Arial" w:eastAsia="Arial" w:hint="default"/>
                <w:sz w:val="24"/>
                <w:szCs w:val="24"/>
              </w:rPr>
            </w:pPr>
            <w:r>
              <w:rPr>
                <w:rFonts w:ascii="Arial"/>
                <w:spacing w:val="-1"/>
                <w:sz w:val="24"/>
              </w:rPr>
              <w:t>766,840</w:t>
            </w:r>
          </w:p>
        </w:tc>
      </w:tr>
      <w:tr>
        <w:trPr>
          <w:trHeight w:val="392"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Style w:val="TableParagraph"/>
              <w:spacing w:line="303" w:lineRule="exact"/>
              <w:ind w:left="124" w:right="0"/>
              <w:jc w:val="left"/>
              <w:rPr>
                <w:rFonts w:ascii="宋体" w:hAnsi="宋体" w:cs="宋体" w:eastAsia="宋体" w:hint="default"/>
                <w:sz w:val="24"/>
                <w:szCs w:val="24"/>
              </w:rPr>
            </w:pPr>
            <w:r>
              <w:rPr>
                <w:rFonts w:ascii="宋体" w:hAnsi="宋体" w:cs="宋体" w:eastAsia="宋体" w:hint="default"/>
                <w:sz w:val="24"/>
                <w:szCs w:val="24"/>
              </w:rPr>
              <w:t>减：利息支出</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
              <w:jc w:val="right"/>
              <w:rPr>
                <w:rFonts w:ascii="Arial" w:hAnsi="Arial" w:cs="Arial" w:eastAsia="Arial" w:hint="default"/>
                <w:sz w:val="24"/>
                <w:szCs w:val="24"/>
              </w:rPr>
            </w:pPr>
            <w:r>
              <w:rPr>
                <w:rFonts w:ascii="Arial"/>
                <w:spacing w:val="-1"/>
                <w:sz w:val="24"/>
              </w:rPr>
              <w:t>(92,864)</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2"/>
              <w:jc w:val="right"/>
              <w:rPr>
                <w:rFonts w:ascii="Arial" w:hAnsi="Arial" w:cs="Arial" w:eastAsia="Arial" w:hint="default"/>
                <w:sz w:val="24"/>
                <w:szCs w:val="24"/>
              </w:rPr>
            </w:pPr>
            <w:r>
              <w:rPr>
                <w:rFonts w:ascii="Arial"/>
                <w:spacing w:val="-3"/>
                <w:sz w:val="24"/>
              </w:rPr>
              <w:t>(11,558)</w:t>
            </w:r>
          </w:p>
        </w:tc>
      </w:tr>
      <w:tr>
        <w:trPr>
          <w:trHeight w:val="391"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Style w:val="TableParagraph"/>
              <w:spacing w:line="318" w:lineRule="exact"/>
              <w:ind w:left="124" w:right="0"/>
              <w:jc w:val="left"/>
              <w:rPr>
                <w:rFonts w:ascii="Arial" w:hAnsi="Arial" w:cs="Arial" w:eastAsia="Arial" w:hint="default"/>
                <w:sz w:val="24"/>
                <w:szCs w:val="24"/>
              </w:rPr>
            </w:pPr>
            <w:r>
              <w:rPr>
                <w:rFonts w:ascii="宋体" w:hAnsi="宋体" w:cs="宋体" w:eastAsia="宋体" w:hint="default"/>
                <w:sz w:val="24"/>
                <w:szCs w:val="24"/>
              </w:rPr>
              <w:t>汇兑净收益</w:t>
            </w:r>
            <w:r>
              <w:rPr>
                <w:rFonts w:ascii="Arial" w:hAnsi="Arial" w:cs="Arial" w:eastAsia="Arial" w:hint="default"/>
                <w:sz w:val="24"/>
                <w:szCs w:val="24"/>
              </w:rPr>
              <w:t>/(</w:t>
            </w:r>
            <w:r>
              <w:rPr>
                <w:rFonts w:ascii="宋体" w:hAnsi="宋体" w:cs="宋体" w:eastAsia="宋体" w:hint="default"/>
                <w:sz w:val="24"/>
                <w:szCs w:val="24"/>
              </w:rPr>
              <w:t>损失</w:t>
            </w:r>
            <w:r>
              <w:rPr>
                <w:rFonts w:ascii="Arial" w:hAnsi="Arial" w:cs="Arial" w:eastAsia="Arial" w:hint="default"/>
                <w:sz w:val="24"/>
                <w:szCs w:val="24"/>
              </w:rPr>
              <w:t>)</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9"/>
              <w:jc w:val="right"/>
              <w:rPr>
                <w:rFonts w:ascii="Arial" w:hAnsi="Arial" w:cs="Arial" w:eastAsia="Arial" w:hint="default"/>
                <w:sz w:val="24"/>
                <w:szCs w:val="24"/>
              </w:rPr>
            </w:pPr>
            <w:r>
              <w:rPr>
                <w:rFonts w:ascii="Arial"/>
                <w:spacing w:val="-1"/>
                <w:sz w:val="24"/>
              </w:rPr>
              <w:t>3,984</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1"/>
              <w:jc w:val="right"/>
              <w:rPr>
                <w:rFonts w:ascii="Arial" w:hAnsi="Arial" w:cs="Arial" w:eastAsia="Arial" w:hint="default"/>
                <w:sz w:val="24"/>
                <w:szCs w:val="24"/>
              </w:rPr>
            </w:pPr>
            <w:r>
              <w:rPr>
                <w:rFonts w:ascii="Arial"/>
                <w:sz w:val="24"/>
              </w:rPr>
              <w:t>(2,849)</w:t>
            </w:r>
          </w:p>
        </w:tc>
      </w:tr>
      <w:tr>
        <w:trPr>
          <w:trHeight w:val="383"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Style w:val="TableParagraph"/>
              <w:spacing w:line="301" w:lineRule="exact"/>
              <w:ind w:left="124"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172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35"/>
              <w:jc w:val="right"/>
              <w:rPr>
                <w:rFonts w:ascii="Arial" w:hAnsi="Arial" w:cs="Arial" w:eastAsia="Arial" w:hint="default"/>
                <w:sz w:val="24"/>
                <w:szCs w:val="24"/>
              </w:rPr>
            </w:pPr>
            <w:r>
              <w:rPr>
                <w:rFonts w:ascii="Arial"/>
                <w:spacing w:val="-1"/>
                <w:sz w:val="24"/>
              </w:rPr>
              <w:t>(375,840)</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63"/>
              <w:jc w:val="right"/>
              <w:rPr>
                <w:rFonts w:ascii="Arial" w:hAnsi="Arial" w:cs="Arial" w:eastAsia="Arial" w:hint="default"/>
                <w:sz w:val="24"/>
                <w:szCs w:val="24"/>
              </w:rPr>
            </w:pPr>
            <w:r>
              <w:rPr>
                <w:rFonts w:ascii="Arial"/>
                <w:spacing w:val="-1"/>
                <w:sz w:val="24"/>
              </w:rPr>
              <w:t>(349,197)</w:t>
            </w:r>
          </w:p>
        </w:tc>
      </w:tr>
      <w:tr>
        <w:trPr>
          <w:trHeight w:val="374" w:hRule="exact"/>
        </w:trPr>
        <w:tc>
          <w:tcPr>
            <w:tcW w:w="774" w:type="dxa"/>
            <w:tcBorders>
              <w:top w:val="nil" w:sz="6" w:space="0" w:color="auto"/>
              <w:left w:val="nil" w:sz="6" w:space="0" w:color="auto"/>
              <w:bottom w:val="nil" w:sz="6" w:space="0" w:color="auto"/>
              <w:right w:val="nil" w:sz="6" w:space="0" w:color="auto"/>
            </w:tcBorders>
          </w:tcPr>
          <w:p>
            <w:pPr/>
          </w:p>
        </w:tc>
        <w:tc>
          <w:tcPr>
            <w:tcW w:w="4577" w:type="dxa"/>
            <w:tcBorders>
              <w:top w:val="nil" w:sz="6" w:space="0" w:color="auto"/>
              <w:left w:val="nil" w:sz="6" w:space="0" w:color="auto"/>
              <w:bottom w:val="nil" w:sz="6" w:space="0" w:color="auto"/>
              <w:right w:val="nil" w:sz="6" w:space="0" w:color="auto"/>
            </w:tcBorders>
          </w:tcPr>
          <w:p>
            <w:pPr/>
          </w:p>
        </w:tc>
        <w:tc>
          <w:tcPr>
            <w:tcW w:w="1728"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18"/>
              <w:jc w:val="right"/>
              <w:rPr>
                <w:rFonts w:ascii="Arial" w:hAnsi="Arial" w:cs="Arial" w:eastAsia="Arial" w:hint="default"/>
                <w:sz w:val="24"/>
                <w:szCs w:val="24"/>
              </w:rPr>
            </w:pPr>
            <w:r>
              <w:rPr>
                <w:rFonts w:ascii="Arial"/>
                <w:spacing w:val="-1"/>
                <w:sz w:val="24"/>
              </w:rPr>
              <w:t>186,083</w:t>
            </w:r>
          </w:p>
        </w:tc>
        <w:tc>
          <w:tcPr>
            <w:tcW w:w="238" w:type="dxa"/>
            <w:tcBorders>
              <w:top w:val="nil" w:sz="6" w:space="0" w:color="auto"/>
              <w:left w:val="nil" w:sz="6" w:space="0" w:color="auto"/>
              <w:bottom w:val="nil" w:sz="6" w:space="0" w:color="auto"/>
              <w:right w:val="nil" w:sz="6" w:space="0" w:color="auto"/>
            </w:tcBorders>
          </w:tcPr>
          <w:p>
            <w:pPr/>
          </w:p>
        </w:tc>
        <w:tc>
          <w:tcPr>
            <w:tcW w:w="1706"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17"/>
              <w:jc w:val="right"/>
              <w:rPr>
                <w:rFonts w:ascii="Arial" w:hAnsi="Arial" w:cs="Arial" w:eastAsia="Arial" w:hint="default"/>
                <w:sz w:val="24"/>
                <w:szCs w:val="24"/>
              </w:rPr>
            </w:pPr>
            <w:r>
              <w:rPr>
                <w:rFonts w:ascii="Arial"/>
                <w:spacing w:val="-1"/>
                <w:sz w:val="24"/>
              </w:rPr>
              <w:t>403,236</w:t>
            </w:r>
          </w:p>
        </w:tc>
      </w:tr>
    </w:tbl>
    <w:p>
      <w:pPr>
        <w:spacing w:after="0" w:line="240" w:lineRule="auto"/>
        <w:jc w:val="right"/>
        <w:rPr>
          <w:rFonts w:ascii="Arial" w:hAnsi="Arial" w:cs="Arial" w:eastAsia="Arial" w:hint="default"/>
          <w:sz w:val="24"/>
          <w:szCs w:val="24"/>
        </w:rPr>
        <w:sectPr>
          <w:pgSz w:w="11910" w:h="16850"/>
          <w:pgMar w:header="795" w:footer="1340" w:top="2020" w:bottom="1540" w:left="148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1595272" type="#_x0000_t75" stroked="false">
            <v:imagedata r:id="rId10" o:title=""/>
          </v:shape>
        </w:pict>
      </w: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807"/>
        <w:gridCol w:w="2198"/>
        <w:gridCol w:w="1519"/>
        <w:gridCol w:w="1472"/>
        <w:gridCol w:w="1039"/>
        <w:gridCol w:w="235"/>
        <w:gridCol w:w="1820"/>
      </w:tblGrid>
      <w:tr>
        <w:trPr>
          <w:trHeight w:val="416" w:hRule="exact"/>
        </w:trPr>
        <w:tc>
          <w:tcPr>
            <w:tcW w:w="80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718"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1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72"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586" w:hRule="exact"/>
        </w:trPr>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64" w:right="0"/>
              <w:jc w:val="left"/>
              <w:rPr>
                <w:rFonts w:ascii="Arial" w:hAnsi="Arial" w:cs="Arial" w:eastAsia="Arial" w:hint="default"/>
                <w:sz w:val="24"/>
                <w:szCs w:val="24"/>
              </w:rPr>
            </w:pPr>
            <w:r>
              <w:rPr>
                <w:rFonts w:ascii="Arial"/>
                <w:sz w:val="24"/>
              </w:rPr>
              <w:t>(43)</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79" w:right="0"/>
              <w:jc w:val="left"/>
              <w:rPr>
                <w:rFonts w:ascii="黑体" w:hAnsi="黑体" w:cs="黑体" w:eastAsia="黑体" w:hint="default"/>
                <w:sz w:val="24"/>
                <w:szCs w:val="24"/>
              </w:rPr>
            </w:pPr>
            <w:r>
              <w:rPr>
                <w:rFonts w:ascii="黑体" w:hAnsi="黑体" w:cs="黑体" w:eastAsia="黑体" w:hint="default"/>
                <w:sz w:val="24"/>
                <w:szCs w:val="24"/>
              </w:rPr>
              <w:t>投资收益</w:t>
            </w:r>
          </w:p>
        </w:tc>
        <w:tc>
          <w:tcPr>
            <w:tcW w:w="1519"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593" w:hRule="exact"/>
        </w:trPr>
        <w:tc>
          <w:tcPr>
            <w:tcW w:w="807"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25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330"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35"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457" w:hRule="exact"/>
        </w:trPr>
        <w:tc>
          <w:tcPr>
            <w:tcW w:w="807" w:type="dxa"/>
            <w:tcBorders>
              <w:top w:val="nil" w:sz="6" w:space="0" w:color="auto"/>
              <w:left w:val="nil" w:sz="6" w:space="0" w:color="auto"/>
              <w:bottom w:val="nil" w:sz="6" w:space="0" w:color="auto"/>
              <w:right w:val="nil" w:sz="6" w:space="0" w:color="auto"/>
            </w:tcBorders>
          </w:tcPr>
          <w:p>
            <w:pPr/>
          </w:p>
        </w:tc>
        <w:tc>
          <w:tcPr>
            <w:tcW w:w="518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3"/>
              <w:ind w:left="114" w:right="0"/>
              <w:jc w:val="left"/>
              <w:rPr>
                <w:rFonts w:ascii="Arial" w:hAnsi="Arial" w:cs="Arial" w:eastAsia="Arial" w:hint="default"/>
                <w:sz w:val="24"/>
                <w:szCs w:val="24"/>
              </w:rPr>
            </w:pPr>
            <w:r>
              <w:rPr>
                <w:rFonts w:ascii="宋体" w:hAnsi="宋体" w:cs="宋体" w:eastAsia="宋体" w:hint="default"/>
                <w:sz w:val="24"/>
                <w:szCs w:val="24"/>
              </w:rPr>
              <w:t>成本法核算的长期股权投资收益</w:t>
            </w:r>
            <w:r>
              <w:rPr>
                <w:rFonts w:ascii="Arial" w:hAnsi="Arial" w:cs="Arial" w:eastAsia="Arial" w:hint="default"/>
                <w:sz w:val="24"/>
                <w:szCs w:val="24"/>
              </w:rPr>
              <w:t>(a)</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40"/>
              <w:jc w:val="right"/>
              <w:rPr>
                <w:rFonts w:ascii="Arial" w:hAnsi="Arial" w:cs="Arial" w:eastAsia="Arial" w:hint="default"/>
                <w:sz w:val="24"/>
                <w:szCs w:val="24"/>
              </w:rPr>
            </w:pPr>
            <w:r>
              <w:rPr>
                <w:rFonts w:ascii="Arial"/>
                <w:spacing w:val="-1"/>
                <w:sz w:val="24"/>
              </w:rPr>
              <w:t>12,000</w:t>
            </w:r>
          </w:p>
        </w:tc>
        <w:tc>
          <w:tcPr>
            <w:tcW w:w="235"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93"/>
              <w:jc w:val="right"/>
              <w:rPr>
                <w:rFonts w:ascii="Arial" w:hAnsi="Arial" w:cs="Arial" w:eastAsia="Arial" w:hint="default"/>
                <w:sz w:val="24"/>
                <w:szCs w:val="24"/>
              </w:rPr>
            </w:pPr>
            <w:r>
              <w:rPr>
                <w:rFonts w:ascii="Arial"/>
                <w:spacing w:val="-1"/>
                <w:sz w:val="24"/>
              </w:rPr>
              <w:t>12,000</w:t>
            </w:r>
          </w:p>
        </w:tc>
      </w:tr>
      <w:tr>
        <w:trPr>
          <w:trHeight w:val="622" w:hRule="exact"/>
        </w:trPr>
        <w:tc>
          <w:tcPr>
            <w:tcW w:w="807" w:type="dxa"/>
            <w:tcBorders>
              <w:top w:val="nil" w:sz="6" w:space="0" w:color="auto"/>
              <w:left w:val="nil" w:sz="6" w:space="0" w:color="auto"/>
              <w:bottom w:val="nil" w:sz="6" w:space="0" w:color="auto"/>
              <w:right w:val="nil" w:sz="6" w:space="0" w:color="auto"/>
            </w:tcBorders>
          </w:tcPr>
          <w:p>
            <w:pPr/>
          </w:p>
        </w:tc>
        <w:tc>
          <w:tcPr>
            <w:tcW w:w="5189" w:type="dxa"/>
            <w:gridSpan w:val="3"/>
            <w:tcBorders>
              <w:top w:val="nil" w:sz="6" w:space="0" w:color="auto"/>
              <w:left w:val="nil" w:sz="6" w:space="0" w:color="auto"/>
              <w:bottom w:val="nil" w:sz="6" w:space="0" w:color="auto"/>
              <w:right w:val="nil" w:sz="6" w:space="0" w:color="auto"/>
            </w:tcBorders>
          </w:tcPr>
          <w:p>
            <w:pPr>
              <w:pStyle w:val="TableParagraph"/>
              <w:spacing w:line="261" w:lineRule="exact"/>
              <w:ind w:left="114" w:right="0"/>
              <w:jc w:val="left"/>
              <w:rPr>
                <w:rFonts w:ascii="宋体" w:hAnsi="宋体" w:cs="宋体" w:eastAsia="宋体" w:hint="default"/>
                <w:sz w:val="24"/>
                <w:szCs w:val="24"/>
              </w:rPr>
            </w:pPr>
            <w:r>
              <w:rPr>
                <w:rFonts w:ascii="宋体" w:hAnsi="宋体" w:cs="宋体" w:eastAsia="宋体" w:hint="default"/>
                <w:spacing w:val="3"/>
                <w:sz w:val="24"/>
                <w:szCs w:val="24"/>
              </w:rPr>
              <w:t>处置可供出售金融资产等期间取得的投资</w:t>
            </w:r>
          </w:p>
          <w:p>
            <w:pPr>
              <w:pStyle w:val="TableParagraph"/>
              <w:spacing w:line="313" w:lineRule="exact"/>
              <w:ind w:left="357" w:right="0"/>
              <w:jc w:val="left"/>
              <w:rPr>
                <w:rFonts w:ascii="宋体" w:hAnsi="宋体" w:cs="宋体" w:eastAsia="宋体" w:hint="default"/>
                <w:sz w:val="24"/>
                <w:szCs w:val="24"/>
              </w:rPr>
            </w:pPr>
            <w:r>
              <w:rPr>
                <w:rFonts w:ascii="宋体" w:hAnsi="宋体" w:cs="宋体" w:eastAsia="宋体" w:hint="default"/>
                <w:sz w:val="24"/>
                <w:szCs w:val="24"/>
              </w:rPr>
              <w:t>收益</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8"/>
              <w:jc w:val="right"/>
              <w:rPr>
                <w:rFonts w:ascii="Arial" w:hAnsi="Arial" w:cs="Arial" w:eastAsia="Arial" w:hint="default"/>
                <w:sz w:val="24"/>
                <w:szCs w:val="24"/>
              </w:rPr>
            </w:pPr>
            <w:r>
              <w:rPr>
                <w:rFonts w:ascii="Arial"/>
                <w:w w:val="95"/>
                <w:sz w:val="24"/>
              </w:rPr>
              <w:t>508</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3"/>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807" w:type="dxa"/>
            <w:tcBorders>
              <w:top w:val="nil" w:sz="6" w:space="0" w:color="auto"/>
              <w:left w:val="nil" w:sz="6" w:space="0" w:color="auto"/>
              <w:bottom w:val="nil" w:sz="6" w:space="0" w:color="auto"/>
              <w:right w:val="nil" w:sz="6" w:space="0" w:color="auto"/>
            </w:tcBorders>
          </w:tcPr>
          <w:p>
            <w:pPr/>
          </w:p>
        </w:tc>
        <w:tc>
          <w:tcPr>
            <w:tcW w:w="3718" w:type="dxa"/>
            <w:gridSpan w:val="2"/>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权益法核算的长期股权投资损失</w:t>
            </w:r>
          </w:p>
        </w:tc>
        <w:tc>
          <w:tcPr>
            <w:tcW w:w="1472"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2"/>
              <w:jc w:val="right"/>
              <w:rPr>
                <w:rFonts w:ascii="Arial" w:hAnsi="Arial" w:cs="Arial" w:eastAsia="Arial" w:hint="default"/>
                <w:sz w:val="24"/>
                <w:szCs w:val="24"/>
              </w:rPr>
            </w:pPr>
            <w:r>
              <w:rPr>
                <w:rFonts w:ascii="Arial"/>
                <w:w w:val="99"/>
                <w:sz w:val="24"/>
              </w:rPr>
              <w:t>-</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
              <w:jc w:val="right"/>
              <w:rPr>
                <w:rFonts w:ascii="Arial" w:hAnsi="Arial" w:cs="Arial" w:eastAsia="Arial" w:hint="default"/>
                <w:sz w:val="24"/>
                <w:szCs w:val="24"/>
              </w:rPr>
            </w:pPr>
            <w:r>
              <w:rPr>
                <w:rFonts w:ascii="Arial"/>
                <w:spacing w:val="-1"/>
                <w:sz w:val="24"/>
              </w:rPr>
              <w:t>(39,031)</w:t>
            </w:r>
          </w:p>
        </w:tc>
      </w:tr>
      <w:tr>
        <w:trPr>
          <w:trHeight w:val="313" w:hRule="exact"/>
        </w:trPr>
        <w:tc>
          <w:tcPr>
            <w:tcW w:w="807" w:type="dxa"/>
            <w:tcBorders>
              <w:top w:val="nil" w:sz="6" w:space="0" w:color="auto"/>
              <w:left w:val="nil" w:sz="6" w:space="0" w:color="auto"/>
              <w:bottom w:val="nil" w:sz="6" w:space="0" w:color="auto"/>
              <w:right w:val="nil" w:sz="6" w:space="0" w:color="auto"/>
            </w:tcBorders>
          </w:tcPr>
          <w:p>
            <w:pPr/>
          </w:p>
        </w:tc>
        <w:tc>
          <w:tcPr>
            <w:tcW w:w="5189" w:type="dxa"/>
            <w:gridSpan w:val="3"/>
            <w:tcBorders>
              <w:top w:val="nil" w:sz="6" w:space="0" w:color="auto"/>
              <w:left w:val="nil" w:sz="6" w:space="0" w:color="auto"/>
              <w:bottom w:val="nil" w:sz="6" w:space="0" w:color="auto"/>
              <w:right w:val="nil" w:sz="6" w:space="0" w:color="auto"/>
            </w:tcBorders>
          </w:tcPr>
          <w:p>
            <w:pPr>
              <w:pStyle w:val="TableParagraph"/>
              <w:tabs>
                <w:tab w:pos="4541" w:val="left" w:leader="none"/>
                <w:tab w:pos="6084" w:val="left" w:leader="none"/>
              </w:tabs>
              <w:spacing w:line="259" w:lineRule="exact"/>
              <w:ind w:left="114" w:right="-896"/>
              <w:jc w:val="left"/>
              <w:rPr>
                <w:rFonts w:ascii="Arial" w:hAnsi="Arial" w:cs="Arial" w:eastAsia="Arial" w:hint="default"/>
                <w:sz w:val="24"/>
                <w:szCs w:val="24"/>
              </w:rPr>
            </w:pPr>
            <w:r>
              <w:rPr>
                <w:rFonts w:ascii="宋体" w:hAnsi="宋体" w:cs="宋体" w:eastAsia="宋体" w:hint="default"/>
                <w:position w:val="2"/>
                <w:sz w:val="24"/>
                <w:szCs w:val="24"/>
              </w:rPr>
              <w:t>处置长期股权投资产生的投资收益</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2"/>
              <w:jc w:val="right"/>
              <w:rPr>
                <w:rFonts w:ascii="Arial" w:hAnsi="Arial" w:cs="Arial" w:eastAsia="Arial" w:hint="default"/>
                <w:sz w:val="24"/>
                <w:szCs w:val="24"/>
              </w:rPr>
            </w:pPr>
            <w:r>
              <w:rPr>
                <w:rFonts w:ascii="Arial"/>
                <w:w w:val="99"/>
                <w:sz w:val="24"/>
              </w:rPr>
            </w:r>
            <w:r>
              <w:rPr>
                <w:rFonts w:ascii="Arial"/>
                <w:w w:val="99"/>
                <w:sz w:val="24"/>
                <w:u w:val="single" w:color="000000"/>
              </w:rPr>
              <w:t>-</w:t>
            </w:r>
            <w:r>
              <w:rPr>
                <w:rFonts w:ascii="Arial"/>
                <w:w w:val="99"/>
                <w:sz w:val="24"/>
              </w:rPr>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tabs>
                <w:tab w:pos="854" w:val="left" w:leader="none"/>
                <w:tab w:pos="1819" w:val="left" w:leader="none"/>
              </w:tabs>
              <w:spacing w:line="240" w:lineRule="auto" w:before="19"/>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179,223</w:t>
              <w:tab/>
            </w:r>
            <w:r>
              <w:rPr>
                <w:rFonts w:ascii="Arial"/>
                <w:spacing w:val="-1"/>
                <w:sz w:val="24"/>
              </w:rPr>
            </w:r>
          </w:p>
        </w:tc>
      </w:tr>
      <w:tr>
        <w:trPr>
          <w:trHeight w:val="287" w:hRule="exact"/>
        </w:trPr>
        <w:tc>
          <w:tcPr>
            <w:tcW w:w="807"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2511"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right="41"/>
              <w:jc w:val="right"/>
              <w:rPr>
                <w:rFonts w:ascii="Arial" w:hAnsi="Arial" w:cs="Arial" w:eastAsia="Arial" w:hint="default"/>
                <w:sz w:val="24"/>
                <w:szCs w:val="24"/>
              </w:rPr>
            </w:pPr>
            <w:r>
              <w:rPr>
                <w:rFonts w:ascii="Arial"/>
                <w:spacing w:val="-1"/>
                <w:sz w:val="24"/>
              </w:rPr>
              <w:t>12,508</w:t>
            </w:r>
          </w:p>
        </w:tc>
        <w:tc>
          <w:tcPr>
            <w:tcW w:w="235"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single" w:sz="12" w:space="0" w:color="000000"/>
              <w:right w:val="nil" w:sz="6" w:space="0" w:color="auto"/>
            </w:tcBorders>
          </w:tcPr>
          <w:p>
            <w:pPr>
              <w:pStyle w:val="TableParagraph"/>
              <w:spacing w:line="268" w:lineRule="exact"/>
              <w:ind w:right="93"/>
              <w:jc w:val="right"/>
              <w:rPr>
                <w:rFonts w:ascii="Arial" w:hAnsi="Arial" w:cs="Arial" w:eastAsia="Arial" w:hint="default"/>
                <w:sz w:val="24"/>
                <w:szCs w:val="24"/>
              </w:rPr>
            </w:pPr>
            <w:r>
              <w:rPr>
                <w:rFonts w:ascii="Arial"/>
                <w:spacing w:val="-1"/>
                <w:sz w:val="24"/>
              </w:rPr>
              <w:t>152,192</w:t>
            </w:r>
          </w:p>
        </w:tc>
      </w:tr>
      <w:tr>
        <w:trPr>
          <w:trHeight w:val="734" w:hRule="exact"/>
        </w:trPr>
        <w:tc>
          <w:tcPr>
            <w:tcW w:w="9091"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87" w:right="0"/>
              <w:jc w:val="left"/>
              <w:rPr>
                <w:rFonts w:ascii="宋体" w:hAnsi="宋体" w:cs="宋体" w:eastAsia="宋体" w:hint="default"/>
                <w:sz w:val="24"/>
                <w:szCs w:val="24"/>
              </w:rPr>
            </w:pPr>
            <w:r>
              <w:rPr>
                <w:rFonts w:ascii="宋体" w:hAnsi="宋体" w:cs="宋体" w:eastAsia="宋体" w:hint="default"/>
                <w:sz w:val="24"/>
                <w:szCs w:val="24"/>
              </w:rPr>
              <w:t>本集团不存在投资收益汇回的重大限制。</w:t>
            </w:r>
          </w:p>
        </w:tc>
      </w:tr>
      <w:tr>
        <w:trPr>
          <w:trHeight w:val="592" w:hRule="exact"/>
        </w:trPr>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64" w:right="0"/>
              <w:jc w:val="left"/>
              <w:rPr>
                <w:rFonts w:ascii="Arial" w:hAnsi="Arial" w:cs="Arial" w:eastAsia="Arial" w:hint="default"/>
                <w:sz w:val="24"/>
                <w:szCs w:val="24"/>
              </w:rPr>
            </w:pPr>
            <w:r>
              <w:rPr>
                <w:rFonts w:ascii="Arial"/>
                <w:sz w:val="24"/>
              </w:rPr>
              <w:t>(a)</w:t>
            </w:r>
          </w:p>
        </w:tc>
        <w:tc>
          <w:tcPr>
            <w:tcW w:w="37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79" w:right="0"/>
              <w:jc w:val="left"/>
              <w:rPr>
                <w:rFonts w:ascii="宋体" w:hAnsi="宋体" w:cs="宋体" w:eastAsia="宋体" w:hint="default"/>
                <w:sz w:val="24"/>
                <w:szCs w:val="24"/>
              </w:rPr>
            </w:pPr>
            <w:r>
              <w:rPr>
                <w:rFonts w:ascii="宋体" w:hAnsi="宋体" w:cs="宋体" w:eastAsia="宋体" w:hint="default"/>
                <w:sz w:val="24"/>
                <w:szCs w:val="24"/>
              </w:rPr>
              <w:t>成本法核算的长期股权投资收益</w:t>
            </w:r>
          </w:p>
        </w:tc>
        <w:tc>
          <w:tcPr>
            <w:tcW w:w="1472"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461" w:hRule="exact"/>
        </w:trPr>
        <w:tc>
          <w:tcPr>
            <w:tcW w:w="807" w:type="dxa"/>
            <w:tcBorders>
              <w:top w:val="nil" w:sz="6" w:space="0" w:color="auto"/>
              <w:left w:val="nil" w:sz="6" w:space="0" w:color="auto"/>
              <w:bottom w:val="nil" w:sz="6" w:space="0" w:color="auto"/>
              <w:right w:val="nil" w:sz="6" w:space="0" w:color="auto"/>
            </w:tcBorders>
          </w:tcPr>
          <w:p>
            <w:pPr/>
          </w:p>
        </w:tc>
        <w:tc>
          <w:tcPr>
            <w:tcW w:w="37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2040"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70"/>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309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172" w:right="0"/>
              <w:jc w:val="left"/>
              <w:rPr>
                <w:rFonts w:ascii="宋体" w:hAnsi="宋体" w:cs="宋体" w:eastAsia="宋体" w:hint="default"/>
                <w:sz w:val="24"/>
                <w:szCs w:val="24"/>
              </w:rPr>
            </w:pPr>
            <w:r>
              <w:rPr>
                <w:rFonts w:ascii="宋体" w:hAnsi="宋体" w:cs="宋体" w:eastAsia="宋体" w:hint="default"/>
                <w:sz w:val="24"/>
                <w:szCs w:val="24"/>
              </w:rPr>
              <w:t>本年比上年增减变动的原因</w:t>
            </w:r>
          </w:p>
        </w:tc>
      </w:tr>
      <w:tr>
        <w:trPr>
          <w:trHeight w:val="784" w:hRule="exact"/>
        </w:trPr>
        <w:tc>
          <w:tcPr>
            <w:tcW w:w="807"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nil" w:sz="6" w:space="0" w:color="auto"/>
              <w:right w:val="nil" w:sz="6" w:space="0" w:color="auto"/>
            </w:tcBorders>
          </w:tcPr>
          <w:p>
            <w:pPr>
              <w:pStyle w:val="TableParagraph"/>
              <w:spacing w:line="271" w:lineRule="exact"/>
              <w:ind w:left="114" w:right="-123"/>
              <w:jc w:val="left"/>
              <w:rPr>
                <w:rFonts w:ascii="宋体" w:hAnsi="宋体" w:cs="宋体" w:eastAsia="宋体" w:hint="default"/>
                <w:sz w:val="24"/>
                <w:szCs w:val="24"/>
              </w:rPr>
            </w:pPr>
            <w:r>
              <w:rPr>
                <w:rFonts w:ascii="宋体" w:hAnsi="宋体" w:cs="宋体" w:eastAsia="宋体" w:hint="default"/>
                <w:spacing w:val="7"/>
                <w:sz w:val="24"/>
                <w:szCs w:val="24"/>
              </w:rPr>
              <w:t>江苏银行股份</w:t>
            </w:r>
          </w:p>
          <w:p>
            <w:pPr>
              <w:pStyle w:val="TableParagraph"/>
              <w:tabs>
                <w:tab w:pos="1641" w:val="left" w:leader="none"/>
                <w:tab w:pos="2320" w:val="left" w:leader="none"/>
              </w:tabs>
              <w:spacing w:line="310" w:lineRule="exact"/>
              <w:ind w:left="364" w:right="-123"/>
              <w:jc w:val="left"/>
              <w:rPr>
                <w:rFonts w:ascii="Arial" w:hAnsi="Arial" w:cs="Arial" w:eastAsia="Arial" w:hint="default"/>
                <w:sz w:val="24"/>
                <w:szCs w:val="24"/>
              </w:rPr>
            </w:pPr>
            <w:r>
              <w:rPr>
                <w:rFonts w:ascii="宋体" w:hAnsi="宋体" w:cs="宋体" w:eastAsia="宋体" w:hint="default"/>
                <w:position w:val="2"/>
                <w:sz w:val="24"/>
                <w:szCs w:val="24"/>
              </w:rPr>
              <w:t>有限公司</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tabs>
                <w:tab w:pos="1217" w:val="left" w:leader="none"/>
                <w:tab w:pos="1997" w:val="left" w:leader="none"/>
              </w:tabs>
              <w:spacing w:line="240" w:lineRule="auto"/>
              <w:ind w:left="122" w:right="-479"/>
              <w:jc w:val="left"/>
              <w:rPr>
                <w:rFonts w:ascii="Arial" w:hAnsi="Arial" w:cs="Arial" w:eastAsia="Arial" w:hint="default"/>
                <w:sz w:val="24"/>
                <w:szCs w:val="24"/>
              </w:rPr>
            </w:pPr>
            <w:r>
              <w:rPr>
                <w:rFonts w:ascii="Arial"/>
                <w:w w:val="99"/>
                <w:sz w:val="24"/>
              </w:rPr>
            </w:r>
            <w:r>
              <w:rPr>
                <w:rFonts w:ascii="Arial"/>
                <w:sz w:val="24"/>
                <w:u w:val="thick" w:color="000000"/>
              </w:rPr>
              <w:t>12,000</w:t>
            </w:r>
            <w:r>
              <w:rPr>
                <w:rFonts w:ascii="Arial"/>
                <w:spacing w:val="32"/>
                <w:sz w:val="24"/>
                <w:u w:val="thick" w:color="000000"/>
              </w:rPr>
              <w:t> </w:t>
            </w:r>
            <w:r>
              <w:rPr>
                <w:rFonts w:ascii="Arial"/>
                <w:spacing w:val="32"/>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tabs>
                <w:tab w:pos="804" w:val="left" w:leader="none"/>
              </w:tabs>
              <w:spacing w:line="240" w:lineRule="auto"/>
              <w:ind w:right="187"/>
              <w:jc w:val="right"/>
              <w:rPr>
                <w:rFonts w:ascii="Arial" w:hAnsi="Arial" w:cs="Arial" w:eastAsia="Arial" w:hint="default"/>
                <w:sz w:val="24"/>
                <w:szCs w:val="24"/>
              </w:rPr>
            </w:pPr>
            <w:r>
              <w:rPr>
                <w:rFonts w:ascii="Arial"/>
                <w:w w:val="99"/>
                <w:sz w:val="24"/>
              </w:rPr>
            </w:r>
            <w:r>
              <w:rPr>
                <w:rFonts w:ascii="Arial"/>
                <w:spacing w:val="-1"/>
                <w:sz w:val="24"/>
                <w:u w:val="thick" w:color="000000"/>
              </w:rPr>
              <w:t>12,000</w:t>
              <w:tab/>
            </w:r>
            <w:r>
              <w:rPr>
                <w:rFonts w:ascii="Arial"/>
                <w:spacing w:val="-1"/>
                <w:sz w:val="24"/>
              </w:rPr>
            </w:r>
          </w:p>
        </w:tc>
        <w:tc>
          <w:tcPr>
            <w:tcW w:w="103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1"/>
              <w:jc w:val="right"/>
              <w:rPr>
                <w:rFonts w:ascii="宋体" w:hAnsi="宋体" w:cs="宋体" w:eastAsia="宋体" w:hint="default"/>
                <w:sz w:val="24"/>
                <w:szCs w:val="24"/>
              </w:rPr>
            </w:pPr>
            <w:r>
              <w:rPr>
                <w:rFonts w:ascii="宋体" w:hAnsi="宋体" w:cs="宋体" w:eastAsia="宋体" w:hint="default"/>
                <w:sz w:val="24"/>
                <w:szCs w:val="24"/>
              </w:rPr>
              <w:t>没有变动</w:t>
            </w:r>
          </w:p>
        </w:tc>
      </w:tr>
      <w:tr>
        <w:trPr>
          <w:trHeight w:val="592" w:hRule="exact"/>
        </w:trPr>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(44)</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55" w:right="0"/>
              <w:jc w:val="left"/>
              <w:rPr>
                <w:rFonts w:ascii="黑体" w:hAnsi="黑体" w:cs="黑体" w:eastAsia="黑体" w:hint="default"/>
                <w:sz w:val="24"/>
                <w:szCs w:val="24"/>
              </w:rPr>
            </w:pPr>
            <w:r>
              <w:rPr>
                <w:rFonts w:ascii="黑体" w:hAnsi="黑体" w:cs="黑体" w:eastAsia="黑体" w:hint="default"/>
                <w:sz w:val="24"/>
                <w:szCs w:val="24"/>
              </w:rPr>
              <w:t>资产减值损失</w:t>
            </w:r>
          </w:p>
        </w:tc>
        <w:tc>
          <w:tcPr>
            <w:tcW w:w="1519"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456" w:hRule="exact"/>
        </w:trPr>
        <w:tc>
          <w:tcPr>
            <w:tcW w:w="807"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25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907"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35"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6"/>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318" w:hRule="exact"/>
        </w:trPr>
        <w:tc>
          <w:tcPr>
            <w:tcW w:w="807"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nil" w:sz="6" w:space="0" w:color="auto"/>
              <w:right w:val="nil" w:sz="6" w:space="0" w:color="auto"/>
            </w:tcBorders>
          </w:tcPr>
          <w:p>
            <w:pPr>
              <w:pStyle w:val="TableParagraph"/>
              <w:spacing w:line="270" w:lineRule="exact"/>
              <w:ind w:left="155" w:right="0"/>
              <w:jc w:val="left"/>
              <w:rPr>
                <w:rFonts w:ascii="宋体" w:hAnsi="宋体" w:cs="宋体" w:eastAsia="宋体" w:hint="default"/>
                <w:sz w:val="24"/>
                <w:szCs w:val="24"/>
              </w:rPr>
            </w:pPr>
            <w:r>
              <w:rPr>
                <w:rFonts w:ascii="宋体" w:hAnsi="宋体" w:cs="宋体" w:eastAsia="宋体" w:hint="default"/>
                <w:sz w:val="24"/>
                <w:szCs w:val="24"/>
              </w:rPr>
              <w:t>存货跌价损失</w:t>
            </w:r>
          </w:p>
        </w:tc>
        <w:tc>
          <w:tcPr>
            <w:tcW w:w="1519" w:type="dxa"/>
            <w:tcBorders>
              <w:top w:val="nil" w:sz="6" w:space="0" w:color="auto"/>
              <w:left w:val="nil" w:sz="6" w:space="0" w:color="auto"/>
              <w:bottom w:val="nil" w:sz="6" w:space="0" w:color="auto"/>
              <w:right w:val="nil" w:sz="6" w:space="0" w:color="auto"/>
            </w:tcBorders>
          </w:tcPr>
          <w:p>
            <w:pPr/>
          </w:p>
        </w:tc>
        <w:tc>
          <w:tcPr>
            <w:tcW w:w="25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1246" w:right="0"/>
              <w:jc w:val="left"/>
              <w:rPr>
                <w:rFonts w:ascii="Arial" w:hAnsi="Arial" w:cs="Arial" w:eastAsia="Arial" w:hint="default"/>
                <w:sz w:val="24"/>
                <w:szCs w:val="24"/>
              </w:rPr>
            </w:pPr>
            <w:r>
              <w:rPr>
                <w:rFonts w:ascii="Arial"/>
                <w:sz w:val="24"/>
              </w:rPr>
              <w:t>91,787</w:t>
            </w:r>
          </w:p>
        </w:tc>
        <w:tc>
          <w:tcPr>
            <w:tcW w:w="235"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0"/>
              <w:jc w:val="right"/>
              <w:rPr>
                <w:rFonts w:ascii="Arial" w:hAnsi="Arial" w:cs="Arial" w:eastAsia="Arial" w:hint="default"/>
                <w:sz w:val="24"/>
                <w:szCs w:val="24"/>
              </w:rPr>
            </w:pPr>
            <w:r>
              <w:rPr>
                <w:rFonts w:ascii="Arial"/>
                <w:spacing w:val="-1"/>
                <w:sz w:val="24"/>
              </w:rPr>
              <w:t>34,445</w:t>
            </w:r>
          </w:p>
        </w:tc>
      </w:tr>
      <w:tr>
        <w:trPr>
          <w:trHeight w:val="312" w:hRule="exact"/>
        </w:trPr>
        <w:tc>
          <w:tcPr>
            <w:tcW w:w="807"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nil" w:sz="6" w:space="0" w:color="auto"/>
              <w:right w:val="nil" w:sz="6" w:space="0" w:color="auto"/>
            </w:tcBorders>
          </w:tcPr>
          <w:p>
            <w:pPr>
              <w:pStyle w:val="TableParagraph"/>
              <w:spacing w:line="262" w:lineRule="exact"/>
              <w:ind w:left="155" w:right="0"/>
              <w:jc w:val="left"/>
              <w:rPr>
                <w:rFonts w:ascii="宋体" w:hAnsi="宋体" w:cs="宋体" w:eastAsia="宋体" w:hint="default"/>
                <w:sz w:val="24"/>
                <w:szCs w:val="24"/>
              </w:rPr>
            </w:pPr>
            <w:r>
              <w:rPr>
                <w:rFonts w:ascii="宋体" w:hAnsi="宋体" w:cs="宋体" w:eastAsia="宋体" w:hint="default"/>
                <w:sz w:val="24"/>
                <w:szCs w:val="24"/>
              </w:rPr>
              <w:t>商誉减值损失</w:t>
            </w:r>
          </w:p>
        </w:tc>
        <w:tc>
          <w:tcPr>
            <w:tcW w:w="1519" w:type="dxa"/>
            <w:tcBorders>
              <w:top w:val="nil" w:sz="6" w:space="0" w:color="auto"/>
              <w:left w:val="nil" w:sz="6" w:space="0" w:color="auto"/>
              <w:bottom w:val="nil" w:sz="6" w:space="0" w:color="auto"/>
              <w:right w:val="nil" w:sz="6" w:space="0" w:color="auto"/>
            </w:tcBorders>
          </w:tcPr>
          <w:p>
            <w:pPr/>
          </w:p>
        </w:tc>
        <w:tc>
          <w:tcPr>
            <w:tcW w:w="25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1246" w:right="0"/>
              <w:jc w:val="left"/>
              <w:rPr>
                <w:rFonts w:ascii="Arial" w:hAnsi="Arial" w:cs="Arial" w:eastAsia="Arial" w:hint="default"/>
                <w:sz w:val="24"/>
                <w:szCs w:val="24"/>
              </w:rPr>
            </w:pPr>
            <w:r>
              <w:rPr>
                <w:rFonts w:ascii="Arial"/>
                <w:sz w:val="24"/>
              </w:rPr>
              <w:t>42,098</w:t>
            </w:r>
          </w:p>
        </w:tc>
        <w:tc>
          <w:tcPr>
            <w:tcW w:w="235"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807"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nil" w:sz="6" w:space="0" w:color="auto"/>
              <w:right w:val="nil" w:sz="6" w:space="0" w:color="auto"/>
            </w:tcBorders>
          </w:tcPr>
          <w:p>
            <w:pPr>
              <w:pStyle w:val="TableParagraph"/>
              <w:spacing w:line="262" w:lineRule="exact"/>
              <w:ind w:left="155" w:right="0"/>
              <w:jc w:val="left"/>
              <w:rPr>
                <w:rFonts w:ascii="宋体" w:hAnsi="宋体" w:cs="宋体" w:eastAsia="宋体" w:hint="default"/>
                <w:sz w:val="24"/>
                <w:szCs w:val="24"/>
              </w:rPr>
            </w:pPr>
            <w:r>
              <w:rPr>
                <w:rFonts w:ascii="宋体" w:hAnsi="宋体" w:cs="宋体" w:eastAsia="宋体" w:hint="default"/>
                <w:sz w:val="24"/>
                <w:szCs w:val="24"/>
              </w:rPr>
              <w:t>固定资产减值损失</w:t>
            </w:r>
          </w:p>
        </w:tc>
        <w:tc>
          <w:tcPr>
            <w:tcW w:w="1519" w:type="dxa"/>
            <w:tcBorders>
              <w:top w:val="nil" w:sz="6" w:space="0" w:color="auto"/>
              <w:left w:val="nil" w:sz="6" w:space="0" w:color="auto"/>
              <w:bottom w:val="nil" w:sz="6" w:space="0" w:color="auto"/>
              <w:right w:val="nil" w:sz="6" w:space="0" w:color="auto"/>
            </w:tcBorders>
          </w:tcPr>
          <w:p>
            <w:pPr/>
          </w:p>
        </w:tc>
        <w:tc>
          <w:tcPr>
            <w:tcW w:w="25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1246" w:right="0"/>
              <w:jc w:val="left"/>
              <w:rPr>
                <w:rFonts w:ascii="Arial" w:hAnsi="Arial" w:cs="Arial" w:eastAsia="Arial" w:hint="default"/>
                <w:sz w:val="24"/>
                <w:szCs w:val="24"/>
              </w:rPr>
            </w:pPr>
            <w:r>
              <w:rPr>
                <w:rFonts w:ascii="Arial"/>
                <w:sz w:val="24"/>
              </w:rPr>
              <w:t>21,233</w:t>
            </w:r>
          </w:p>
        </w:tc>
        <w:tc>
          <w:tcPr>
            <w:tcW w:w="235"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
              <w:jc w:val="right"/>
              <w:rPr>
                <w:rFonts w:ascii="Arial" w:hAnsi="Arial" w:cs="Arial" w:eastAsia="Arial" w:hint="default"/>
                <w:sz w:val="24"/>
                <w:szCs w:val="24"/>
              </w:rPr>
            </w:pPr>
            <w:r>
              <w:rPr>
                <w:rFonts w:ascii="Arial"/>
                <w:spacing w:val="-1"/>
                <w:sz w:val="24"/>
              </w:rPr>
              <w:t>12,037</w:t>
            </w:r>
          </w:p>
        </w:tc>
      </w:tr>
      <w:tr>
        <w:trPr>
          <w:trHeight w:val="312" w:hRule="exact"/>
        </w:trPr>
        <w:tc>
          <w:tcPr>
            <w:tcW w:w="807" w:type="dxa"/>
            <w:tcBorders>
              <w:top w:val="nil" w:sz="6" w:space="0" w:color="auto"/>
              <w:left w:val="nil" w:sz="6" w:space="0" w:color="auto"/>
              <w:bottom w:val="nil" w:sz="6" w:space="0" w:color="auto"/>
              <w:right w:val="nil" w:sz="6" w:space="0" w:color="auto"/>
            </w:tcBorders>
          </w:tcPr>
          <w:p>
            <w:pPr/>
          </w:p>
        </w:tc>
        <w:tc>
          <w:tcPr>
            <w:tcW w:w="3718" w:type="dxa"/>
            <w:gridSpan w:val="2"/>
            <w:tcBorders>
              <w:top w:val="nil" w:sz="6" w:space="0" w:color="auto"/>
              <w:left w:val="nil" w:sz="6" w:space="0" w:color="auto"/>
              <w:bottom w:val="nil" w:sz="6" w:space="0" w:color="auto"/>
              <w:right w:val="nil" w:sz="6" w:space="0" w:color="auto"/>
            </w:tcBorders>
          </w:tcPr>
          <w:p>
            <w:pPr>
              <w:pStyle w:val="TableParagraph"/>
              <w:spacing w:line="262" w:lineRule="exact"/>
              <w:ind w:left="155" w:right="0"/>
              <w:jc w:val="left"/>
              <w:rPr>
                <w:rFonts w:ascii="宋体" w:hAnsi="宋体" w:cs="宋体" w:eastAsia="宋体" w:hint="default"/>
                <w:sz w:val="24"/>
                <w:szCs w:val="24"/>
              </w:rPr>
            </w:pPr>
            <w:r>
              <w:rPr>
                <w:rFonts w:ascii="宋体" w:hAnsi="宋体" w:cs="宋体" w:eastAsia="宋体" w:hint="default"/>
                <w:sz w:val="24"/>
                <w:szCs w:val="24"/>
              </w:rPr>
              <w:t>长期待摊费用减值损失</w:t>
            </w:r>
          </w:p>
        </w:tc>
        <w:tc>
          <w:tcPr>
            <w:tcW w:w="25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1246" w:right="0"/>
              <w:jc w:val="left"/>
              <w:rPr>
                <w:rFonts w:ascii="Arial" w:hAnsi="Arial" w:cs="Arial" w:eastAsia="Arial" w:hint="default"/>
                <w:sz w:val="24"/>
                <w:szCs w:val="24"/>
              </w:rPr>
            </w:pPr>
            <w:r>
              <w:rPr>
                <w:rFonts w:ascii="Arial"/>
                <w:sz w:val="24"/>
              </w:rPr>
              <w:t>15,390</w:t>
            </w:r>
          </w:p>
        </w:tc>
        <w:tc>
          <w:tcPr>
            <w:tcW w:w="235"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807"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nil" w:sz="6" w:space="0" w:color="auto"/>
              <w:right w:val="nil" w:sz="6" w:space="0" w:color="auto"/>
            </w:tcBorders>
          </w:tcPr>
          <w:p>
            <w:pPr>
              <w:pStyle w:val="TableParagraph"/>
              <w:spacing w:line="262" w:lineRule="exact"/>
              <w:ind w:left="155" w:right="0"/>
              <w:jc w:val="left"/>
              <w:rPr>
                <w:rFonts w:ascii="宋体" w:hAnsi="宋体" w:cs="宋体" w:eastAsia="宋体" w:hint="default"/>
                <w:sz w:val="24"/>
                <w:szCs w:val="24"/>
              </w:rPr>
            </w:pPr>
            <w:r>
              <w:rPr>
                <w:rFonts w:ascii="宋体" w:hAnsi="宋体" w:cs="宋体" w:eastAsia="宋体" w:hint="default"/>
                <w:sz w:val="24"/>
                <w:szCs w:val="24"/>
              </w:rPr>
              <w:t>坏账损失</w:t>
            </w:r>
          </w:p>
        </w:tc>
        <w:tc>
          <w:tcPr>
            <w:tcW w:w="1519" w:type="dxa"/>
            <w:tcBorders>
              <w:top w:val="nil" w:sz="6" w:space="0" w:color="auto"/>
              <w:left w:val="nil" w:sz="6" w:space="0" w:color="auto"/>
              <w:bottom w:val="nil" w:sz="6" w:space="0" w:color="auto"/>
              <w:right w:val="nil" w:sz="6" w:space="0" w:color="auto"/>
            </w:tcBorders>
          </w:tcPr>
          <w:p>
            <w:pPr/>
          </w:p>
        </w:tc>
        <w:tc>
          <w:tcPr>
            <w:tcW w:w="2511" w:type="dxa"/>
            <w:gridSpan w:val="2"/>
            <w:tcBorders>
              <w:top w:val="nil" w:sz="6" w:space="0" w:color="auto"/>
              <w:left w:val="nil" w:sz="6" w:space="0" w:color="auto"/>
              <w:bottom w:val="nil" w:sz="6" w:space="0" w:color="auto"/>
              <w:right w:val="nil" w:sz="6" w:space="0" w:color="auto"/>
            </w:tcBorders>
          </w:tcPr>
          <w:p>
            <w:pPr>
              <w:pStyle w:val="TableParagraph"/>
              <w:tabs>
                <w:tab w:pos="1380" w:val="left" w:leader="none"/>
              </w:tabs>
              <w:spacing w:line="240" w:lineRule="auto" w:before="17"/>
              <w:ind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9,040</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tabs>
                <w:tab w:pos="1010" w:val="left" w:leader="none"/>
                <w:tab w:pos="1819" w:val="left" w:leader="none"/>
              </w:tabs>
              <w:spacing w:line="240" w:lineRule="auto" w:before="17"/>
              <w:ind w:left="-176"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23,055</w:t>
              <w:tab/>
            </w:r>
            <w:r>
              <w:rPr>
                <w:rFonts w:ascii="Arial"/>
                <w:spacing w:val="-1"/>
                <w:sz w:val="24"/>
              </w:rPr>
            </w:r>
          </w:p>
        </w:tc>
      </w:tr>
      <w:tr>
        <w:trPr>
          <w:trHeight w:val="289" w:hRule="exact"/>
        </w:trPr>
        <w:tc>
          <w:tcPr>
            <w:tcW w:w="807"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2511"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left="1111" w:right="0"/>
              <w:jc w:val="left"/>
              <w:rPr>
                <w:rFonts w:ascii="Arial" w:hAnsi="Arial" w:cs="Arial" w:eastAsia="Arial" w:hint="default"/>
                <w:sz w:val="24"/>
                <w:szCs w:val="24"/>
              </w:rPr>
            </w:pPr>
            <w:r>
              <w:rPr>
                <w:rFonts w:ascii="Arial"/>
                <w:sz w:val="24"/>
              </w:rPr>
              <w:t>179,548</w:t>
            </w:r>
          </w:p>
        </w:tc>
        <w:tc>
          <w:tcPr>
            <w:tcW w:w="235" w:type="dxa"/>
            <w:tcBorders>
              <w:top w:val="nil" w:sz="6" w:space="0" w:color="auto"/>
              <w:left w:val="nil" w:sz="6" w:space="0" w:color="auto"/>
              <w:bottom w:val="single" w:sz="12" w:space="0" w:color="000000"/>
              <w:right w:val="nil" w:sz="6" w:space="0" w:color="auto"/>
            </w:tcBorders>
          </w:tcPr>
          <w:p>
            <w:pPr/>
          </w:p>
        </w:tc>
        <w:tc>
          <w:tcPr>
            <w:tcW w:w="1820" w:type="dxa"/>
            <w:tcBorders>
              <w:top w:val="nil" w:sz="6" w:space="0" w:color="auto"/>
              <w:left w:val="nil" w:sz="6" w:space="0" w:color="auto"/>
              <w:bottom w:val="single" w:sz="12" w:space="0" w:color="000000"/>
              <w:right w:val="nil" w:sz="6" w:space="0" w:color="auto"/>
            </w:tcBorders>
          </w:tcPr>
          <w:p>
            <w:pPr>
              <w:pStyle w:val="TableParagraph"/>
              <w:spacing w:line="268" w:lineRule="exact"/>
              <w:ind w:right="37"/>
              <w:jc w:val="right"/>
              <w:rPr>
                <w:rFonts w:ascii="Arial" w:hAnsi="Arial" w:cs="Arial" w:eastAsia="Arial" w:hint="default"/>
                <w:sz w:val="24"/>
                <w:szCs w:val="24"/>
              </w:rPr>
            </w:pPr>
            <w:r>
              <w:rPr>
                <w:rFonts w:ascii="Arial"/>
                <w:spacing w:val="-1"/>
                <w:sz w:val="24"/>
              </w:rPr>
              <w:t>69,537</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903"/>
        <w:gridCol w:w="2881"/>
        <w:gridCol w:w="1296"/>
        <w:gridCol w:w="274"/>
        <w:gridCol w:w="1286"/>
        <w:gridCol w:w="230"/>
        <w:gridCol w:w="2213"/>
      </w:tblGrid>
      <w:tr>
        <w:trPr>
          <w:trHeight w:val="502" w:hRule="exact"/>
        </w:trPr>
        <w:tc>
          <w:tcPr>
            <w:tcW w:w="903"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(45)</w:t>
            </w:r>
          </w:p>
        </w:tc>
        <w:tc>
          <w:tcPr>
            <w:tcW w:w="2881" w:type="dxa"/>
            <w:tcBorders>
              <w:top w:val="nil" w:sz="6" w:space="0" w:color="auto"/>
              <w:left w:val="nil" w:sz="6" w:space="0" w:color="auto"/>
              <w:bottom w:val="nil" w:sz="6" w:space="0" w:color="auto"/>
              <w:right w:val="nil" w:sz="6" w:space="0" w:color="auto"/>
            </w:tcBorders>
          </w:tcPr>
          <w:p>
            <w:pPr>
              <w:pStyle w:val="TableParagraph"/>
              <w:spacing w:line="247" w:lineRule="exact"/>
              <w:ind w:left="57" w:right="0"/>
              <w:jc w:val="left"/>
              <w:rPr>
                <w:rFonts w:ascii="黑体" w:hAnsi="黑体" w:cs="黑体" w:eastAsia="黑体" w:hint="default"/>
                <w:sz w:val="24"/>
                <w:szCs w:val="24"/>
              </w:rPr>
            </w:pPr>
            <w:r>
              <w:rPr>
                <w:rFonts w:ascii="黑体" w:hAnsi="黑体" w:cs="黑体" w:eastAsia="黑体" w:hint="default"/>
                <w:sz w:val="24"/>
                <w:szCs w:val="24"/>
              </w:rPr>
              <w:t>营业外收入</w:t>
            </w:r>
          </w:p>
        </w:tc>
        <w:tc>
          <w:tcPr>
            <w:tcW w:w="1296" w:type="dxa"/>
            <w:tcBorders>
              <w:top w:val="nil" w:sz="6" w:space="0" w:color="auto"/>
              <w:left w:val="nil" w:sz="6" w:space="0" w:color="auto"/>
              <w:bottom w:val="nil" w:sz="6" w:space="0" w:color="auto"/>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
        </w:tc>
      </w:tr>
      <w:tr>
        <w:trPr>
          <w:trHeight w:val="1069" w:hRule="exact"/>
        </w:trPr>
        <w:tc>
          <w:tcPr>
            <w:tcW w:w="903" w:type="dxa"/>
            <w:tcBorders>
              <w:top w:val="nil" w:sz="6" w:space="0" w:color="auto"/>
              <w:left w:val="nil" w:sz="6" w:space="0" w:color="auto"/>
              <w:bottom w:val="nil" w:sz="6" w:space="0" w:color="auto"/>
              <w:right w:val="nil" w:sz="6" w:space="0" w:color="auto"/>
            </w:tcBorders>
          </w:tcPr>
          <w:p>
            <w:pPr/>
          </w:p>
        </w:tc>
        <w:tc>
          <w:tcPr>
            <w:tcW w:w="2881"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48"/>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74"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50"/>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30"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310" w:lineRule="exact" w:before="212"/>
              <w:ind w:left="478" w:right="50" w:hanging="414"/>
              <w:jc w:val="left"/>
              <w:rPr>
                <w:rFonts w:ascii="宋体" w:hAnsi="宋体" w:cs="宋体" w:eastAsia="宋体" w:hint="default"/>
                <w:sz w:val="24"/>
                <w:szCs w:val="24"/>
              </w:rPr>
            </w:pPr>
            <w:r>
              <w:rPr>
                <w:rFonts w:ascii="宋体" w:hAnsi="宋体" w:cs="宋体" w:eastAsia="宋体" w:hint="default"/>
                <w:sz w:val="24"/>
                <w:szCs w:val="24"/>
              </w:rPr>
              <w:t>计入</w:t>
            </w:r>
            <w:r>
              <w:rPr>
                <w:rFonts w:ascii="宋体" w:hAnsi="宋体" w:cs="宋体" w:eastAsia="宋体" w:hint="default"/>
                <w:spacing w:val="-61"/>
                <w:sz w:val="24"/>
                <w:szCs w:val="24"/>
              </w:rPr>
              <w:t> </w:t>
            </w: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年度非经 常性损益的金额</w:t>
            </w:r>
          </w:p>
        </w:tc>
      </w:tr>
      <w:tr>
        <w:trPr>
          <w:trHeight w:val="570" w:hRule="exact"/>
        </w:trPr>
        <w:tc>
          <w:tcPr>
            <w:tcW w:w="903" w:type="dxa"/>
            <w:tcBorders>
              <w:top w:val="nil" w:sz="6" w:space="0" w:color="auto"/>
              <w:left w:val="nil" w:sz="6" w:space="0" w:color="auto"/>
              <w:bottom w:val="nil" w:sz="6" w:space="0" w:color="auto"/>
              <w:right w:val="nil" w:sz="6" w:space="0" w:color="auto"/>
            </w:tcBorders>
          </w:tcPr>
          <w:p>
            <w:pPr/>
          </w:p>
        </w:tc>
        <w:tc>
          <w:tcPr>
            <w:tcW w:w="2881" w:type="dxa"/>
            <w:tcBorders>
              <w:top w:val="nil" w:sz="6" w:space="0" w:color="auto"/>
              <w:left w:val="nil" w:sz="6" w:space="0" w:color="auto"/>
              <w:bottom w:val="single" w:sz="4" w:space="0" w:color="000000"/>
              <w:right w:val="nil" w:sz="6" w:space="0" w:color="auto"/>
            </w:tcBorders>
          </w:tcPr>
          <w:p>
            <w:pPr>
              <w:pStyle w:val="TableParagraph"/>
              <w:spacing w:line="240" w:lineRule="auto" w:before="174"/>
              <w:ind w:left="93" w:right="0"/>
              <w:jc w:val="left"/>
              <w:rPr>
                <w:rFonts w:ascii="宋体" w:hAnsi="宋体" w:cs="宋体" w:eastAsia="宋体" w:hint="default"/>
                <w:sz w:val="24"/>
                <w:szCs w:val="24"/>
              </w:rPr>
            </w:pPr>
            <w:r>
              <w:rPr>
                <w:rFonts w:ascii="宋体" w:hAnsi="宋体" w:cs="宋体" w:eastAsia="宋体" w:hint="default"/>
                <w:sz w:val="24"/>
                <w:szCs w:val="24"/>
              </w:rPr>
              <w:t>非流动资产处置利得</w:t>
            </w:r>
          </w:p>
        </w:tc>
        <w:tc>
          <w:tcPr>
            <w:tcW w:w="1296"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50"/>
              <w:jc w:val="right"/>
              <w:rPr>
                <w:rFonts w:ascii="Arial" w:hAnsi="Arial" w:cs="Arial" w:eastAsia="Arial" w:hint="default"/>
                <w:sz w:val="24"/>
                <w:szCs w:val="24"/>
              </w:rPr>
            </w:pPr>
            <w:r>
              <w:rPr>
                <w:rFonts w:ascii="Arial"/>
                <w:spacing w:val="-1"/>
                <w:sz w:val="24"/>
              </w:rPr>
              <w:t>59,861</w:t>
            </w:r>
          </w:p>
        </w:tc>
        <w:tc>
          <w:tcPr>
            <w:tcW w:w="274" w:type="dxa"/>
            <w:tcBorders>
              <w:top w:val="nil" w:sz="6" w:space="0" w:color="auto"/>
              <w:left w:val="nil" w:sz="6" w:space="0" w:color="auto"/>
              <w:bottom w:val="single" w:sz="4" w:space="0" w:color="000000"/>
              <w:right w:val="nil" w:sz="6" w:space="0" w:color="auto"/>
            </w:tcBorders>
          </w:tcPr>
          <w:p>
            <w:pPr/>
          </w:p>
        </w:tc>
        <w:tc>
          <w:tcPr>
            <w:tcW w:w="1286"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90"/>
              <w:jc w:val="right"/>
              <w:rPr>
                <w:rFonts w:ascii="Arial" w:hAnsi="Arial" w:cs="Arial" w:eastAsia="Arial" w:hint="default"/>
                <w:sz w:val="24"/>
                <w:szCs w:val="24"/>
              </w:rPr>
            </w:pPr>
            <w:r>
              <w:rPr>
                <w:rFonts w:ascii="Arial"/>
                <w:spacing w:val="-1"/>
                <w:sz w:val="24"/>
              </w:rPr>
              <w:t>2,469</w:t>
            </w:r>
          </w:p>
        </w:tc>
        <w:tc>
          <w:tcPr>
            <w:tcW w:w="230" w:type="dxa"/>
            <w:tcBorders>
              <w:top w:val="nil" w:sz="6" w:space="0" w:color="auto"/>
              <w:left w:val="nil" w:sz="6" w:space="0" w:color="auto"/>
              <w:bottom w:val="single" w:sz="4" w:space="0" w:color="000000"/>
              <w:right w:val="nil" w:sz="6" w:space="0" w:color="auto"/>
            </w:tcBorders>
          </w:tcPr>
          <w:p>
            <w:pPr/>
          </w:p>
        </w:tc>
        <w:tc>
          <w:tcPr>
            <w:tcW w:w="2213"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52"/>
              <w:jc w:val="right"/>
              <w:rPr>
                <w:rFonts w:ascii="Arial" w:hAnsi="Arial" w:cs="Arial" w:eastAsia="Arial" w:hint="default"/>
                <w:sz w:val="24"/>
                <w:szCs w:val="24"/>
              </w:rPr>
            </w:pPr>
            <w:r>
              <w:rPr>
                <w:rFonts w:ascii="Arial"/>
                <w:spacing w:val="-1"/>
                <w:sz w:val="24"/>
              </w:rPr>
              <w:t>59,861</w:t>
            </w:r>
          </w:p>
        </w:tc>
      </w:tr>
      <w:tr>
        <w:trPr>
          <w:trHeight w:val="401" w:hRule="exact"/>
        </w:trPr>
        <w:tc>
          <w:tcPr>
            <w:tcW w:w="903" w:type="dxa"/>
            <w:tcBorders>
              <w:top w:val="nil" w:sz="6" w:space="0" w:color="auto"/>
              <w:left w:val="nil" w:sz="6" w:space="0" w:color="auto"/>
              <w:bottom w:val="nil" w:sz="6" w:space="0" w:color="auto"/>
              <w:right w:val="single" w:sz="4" w:space="0" w:color="000000"/>
            </w:tcBorders>
          </w:tcPr>
          <w:p>
            <w:pPr/>
          </w:p>
        </w:tc>
        <w:tc>
          <w:tcPr>
            <w:tcW w:w="288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88" w:right="0"/>
              <w:jc w:val="left"/>
              <w:rPr>
                <w:rFonts w:ascii="宋体" w:hAnsi="宋体" w:cs="宋体" w:eastAsia="宋体" w:hint="default"/>
                <w:sz w:val="24"/>
                <w:szCs w:val="24"/>
              </w:rPr>
            </w:pPr>
            <w:r>
              <w:rPr>
                <w:rFonts w:ascii="宋体" w:hAnsi="宋体" w:cs="宋体" w:eastAsia="宋体" w:hint="default"/>
                <w:sz w:val="24"/>
                <w:szCs w:val="24"/>
              </w:rPr>
              <w:t>其中：固定资产处置利得</w:t>
            </w:r>
          </w:p>
        </w:tc>
        <w:tc>
          <w:tcPr>
            <w:tcW w:w="1296"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50"/>
              <w:jc w:val="right"/>
              <w:rPr>
                <w:rFonts w:ascii="Arial" w:hAnsi="Arial" w:cs="Arial" w:eastAsia="Arial" w:hint="default"/>
                <w:sz w:val="24"/>
                <w:szCs w:val="24"/>
              </w:rPr>
            </w:pPr>
            <w:r>
              <w:rPr>
                <w:rFonts w:ascii="Arial"/>
                <w:spacing w:val="-1"/>
                <w:sz w:val="24"/>
              </w:rPr>
              <w:t>59,861</w:t>
            </w:r>
          </w:p>
        </w:tc>
        <w:tc>
          <w:tcPr>
            <w:tcW w:w="274" w:type="dxa"/>
            <w:tcBorders>
              <w:top w:val="single" w:sz="4" w:space="0" w:color="000000"/>
              <w:left w:val="nil" w:sz="6" w:space="0" w:color="auto"/>
              <w:bottom w:val="single" w:sz="4" w:space="0" w:color="000000"/>
              <w:right w:val="nil" w:sz="6" w:space="0" w:color="auto"/>
            </w:tcBorders>
          </w:tcPr>
          <w:p>
            <w:pPr/>
          </w:p>
        </w:tc>
        <w:tc>
          <w:tcPr>
            <w:tcW w:w="1286"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90"/>
              <w:jc w:val="right"/>
              <w:rPr>
                <w:rFonts w:ascii="Arial" w:hAnsi="Arial" w:cs="Arial" w:eastAsia="Arial" w:hint="default"/>
                <w:sz w:val="24"/>
                <w:szCs w:val="24"/>
              </w:rPr>
            </w:pPr>
            <w:r>
              <w:rPr>
                <w:rFonts w:ascii="Arial"/>
                <w:spacing w:val="-1"/>
                <w:sz w:val="24"/>
              </w:rPr>
              <w:t>2,469</w:t>
            </w:r>
          </w:p>
        </w:tc>
        <w:tc>
          <w:tcPr>
            <w:tcW w:w="230" w:type="dxa"/>
            <w:tcBorders>
              <w:top w:val="single" w:sz="4" w:space="0" w:color="000000"/>
              <w:left w:val="nil" w:sz="6" w:space="0" w:color="auto"/>
              <w:bottom w:val="single" w:sz="4" w:space="0" w:color="000000"/>
              <w:right w:val="nil" w:sz="6" w:space="0" w:color="auto"/>
            </w:tcBorders>
          </w:tcPr>
          <w:p>
            <w:pPr/>
          </w:p>
        </w:tc>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right="47"/>
              <w:jc w:val="right"/>
              <w:rPr>
                <w:rFonts w:ascii="Arial" w:hAnsi="Arial" w:cs="Arial" w:eastAsia="Arial" w:hint="default"/>
                <w:sz w:val="24"/>
                <w:szCs w:val="24"/>
              </w:rPr>
            </w:pPr>
            <w:r>
              <w:rPr>
                <w:rFonts w:ascii="Arial"/>
                <w:spacing w:val="-1"/>
                <w:sz w:val="24"/>
              </w:rPr>
              <w:t>59,861</w:t>
            </w:r>
          </w:p>
        </w:tc>
      </w:tr>
      <w:tr>
        <w:trPr>
          <w:trHeight w:val="409" w:hRule="exact"/>
        </w:trPr>
        <w:tc>
          <w:tcPr>
            <w:tcW w:w="903" w:type="dxa"/>
            <w:tcBorders>
              <w:top w:val="nil" w:sz="6" w:space="0" w:color="auto"/>
              <w:left w:val="nil" w:sz="6" w:space="0" w:color="auto"/>
              <w:bottom w:val="nil" w:sz="6" w:space="0" w:color="auto"/>
              <w:right w:val="nil" w:sz="6" w:space="0" w:color="auto"/>
            </w:tcBorders>
          </w:tcPr>
          <w:p>
            <w:pPr/>
          </w:p>
        </w:tc>
        <w:tc>
          <w:tcPr>
            <w:tcW w:w="2881" w:type="dxa"/>
            <w:tcBorders>
              <w:top w:val="single" w:sz="4" w:space="0" w:color="000000"/>
              <w:left w:val="nil" w:sz="6" w:space="0" w:color="auto"/>
              <w:bottom w:val="nil" w:sz="6" w:space="0" w:color="auto"/>
              <w:right w:val="nil" w:sz="6" w:space="0" w:color="auto"/>
            </w:tcBorders>
          </w:tcPr>
          <w:p>
            <w:pPr>
              <w:pStyle w:val="TableParagraph"/>
              <w:spacing w:line="240" w:lineRule="auto"/>
              <w:ind w:left="93" w:right="0"/>
              <w:jc w:val="left"/>
              <w:rPr>
                <w:rFonts w:ascii="Arial" w:hAnsi="Arial" w:cs="Arial" w:eastAsia="Arial" w:hint="default"/>
                <w:sz w:val="24"/>
                <w:szCs w:val="24"/>
              </w:rPr>
            </w:pPr>
            <w:r>
              <w:rPr>
                <w:rFonts w:ascii="宋体" w:hAnsi="宋体" w:cs="宋体" w:eastAsia="宋体" w:hint="default"/>
                <w:sz w:val="24"/>
                <w:szCs w:val="24"/>
              </w:rPr>
              <w:t>政府补助</w:t>
            </w:r>
            <w:r>
              <w:rPr>
                <w:rFonts w:ascii="Arial" w:hAnsi="Arial" w:cs="Arial" w:eastAsia="Arial" w:hint="default"/>
                <w:sz w:val="24"/>
                <w:szCs w:val="24"/>
              </w:rPr>
              <w:t>(a)</w:t>
            </w:r>
          </w:p>
        </w:tc>
        <w:tc>
          <w:tcPr>
            <w:tcW w:w="129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51"/>
              <w:jc w:val="right"/>
              <w:rPr>
                <w:rFonts w:ascii="Arial" w:hAnsi="Arial" w:cs="Arial" w:eastAsia="Arial" w:hint="default"/>
                <w:sz w:val="24"/>
                <w:szCs w:val="24"/>
              </w:rPr>
            </w:pPr>
            <w:r>
              <w:rPr>
                <w:rFonts w:ascii="Arial"/>
                <w:spacing w:val="-1"/>
                <w:sz w:val="24"/>
              </w:rPr>
              <w:t>221,423</w:t>
            </w:r>
          </w:p>
        </w:tc>
        <w:tc>
          <w:tcPr>
            <w:tcW w:w="274" w:type="dxa"/>
            <w:tcBorders>
              <w:top w:val="single" w:sz="4" w:space="0" w:color="000000"/>
              <w:left w:val="nil" w:sz="6" w:space="0" w:color="auto"/>
              <w:bottom w:val="nil" w:sz="6" w:space="0" w:color="auto"/>
              <w:right w:val="nil" w:sz="6" w:space="0" w:color="auto"/>
            </w:tcBorders>
          </w:tcPr>
          <w:p>
            <w:pPr/>
          </w:p>
        </w:tc>
        <w:tc>
          <w:tcPr>
            <w:tcW w:w="128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90"/>
              <w:jc w:val="right"/>
              <w:rPr>
                <w:rFonts w:ascii="Arial" w:hAnsi="Arial" w:cs="Arial" w:eastAsia="Arial" w:hint="default"/>
                <w:sz w:val="24"/>
                <w:szCs w:val="24"/>
              </w:rPr>
            </w:pPr>
            <w:r>
              <w:rPr>
                <w:rFonts w:ascii="Arial"/>
                <w:spacing w:val="-1"/>
                <w:sz w:val="24"/>
              </w:rPr>
              <w:t>83,566</w:t>
            </w:r>
          </w:p>
        </w:tc>
        <w:tc>
          <w:tcPr>
            <w:tcW w:w="230" w:type="dxa"/>
            <w:tcBorders>
              <w:top w:val="single" w:sz="4" w:space="0" w:color="000000"/>
              <w:left w:val="nil" w:sz="6" w:space="0" w:color="auto"/>
              <w:bottom w:val="nil" w:sz="6" w:space="0" w:color="auto"/>
              <w:right w:val="nil" w:sz="6" w:space="0" w:color="auto"/>
            </w:tcBorders>
          </w:tcPr>
          <w:p>
            <w:pPr/>
          </w:p>
        </w:tc>
        <w:tc>
          <w:tcPr>
            <w:tcW w:w="2213"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52"/>
              <w:jc w:val="right"/>
              <w:rPr>
                <w:rFonts w:ascii="Arial" w:hAnsi="Arial" w:cs="Arial" w:eastAsia="Arial" w:hint="default"/>
                <w:sz w:val="24"/>
                <w:szCs w:val="24"/>
              </w:rPr>
            </w:pPr>
            <w:r>
              <w:rPr>
                <w:rFonts w:ascii="Arial"/>
                <w:spacing w:val="-1"/>
                <w:sz w:val="24"/>
              </w:rPr>
              <w:t>221,423</w:t>
            </w:r>
          </w:p>
        </w:tc>
      </w:tr>
      <w:tr>
        <w:trPr>
          <w:trHeight w:val="383" w:hRule="exact"/>
        </w:trPr>
        <w:tc>
          <w:tcPr>
            <w:tcW w:w="903" w:type="dxa"/>
            <w:tcBorders>
              <w:top w:val="nil" w:sz="6" w:space="0" w:color="auto"/>
              <w:left w:val="nil" w:sz="6" w:space="0" w:color="auto"/>
              <w:bottom w:val="nil" w:sz="6" w:space="0" w:color="auto"/>
              <w:right w:val="nil" w:sz="6" w:space="0" w:color="auto"/>
            </w:tcBorders>
          </w:tcPr>
          <w:p>
            <w:pPr/>
          </w:p>
        </w:tc>
        <w:tc>
          <w:tcPr>
            <w:tcW w:w="2881" w:type="dxa"/>
            <w:tcBorders>
              <w:top w:val="nil" w:sz="6" w:space="0" w:color="auto"/>
              <w:left w:val="nil" w:sz="6" w:space="0" w:color="auto"/>
              <w:bottom w:val="nil" w:sz="6" w:space="0" w:color="auto"/>
              <w:right w:val="nil" w:sz="6" w:space="0" w:color="auto"/>
            </w:tcBorders>
          </w:tcPr>
          <w:p>
            <w:pPr>
              <w:pStyle w:val="TableParagraph"/>
              <w:spacing w:line="301" w:lineRule="exact"/>
              <w:ind w:left="9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29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50"/>
              <w:jc w:val="right"/>
              <w:rPr>
                <w:rFonts w:ascii="Arial" w:hAnsi="Arial" w:cs="Arial" w:eastAsia="Arial" w:hint="default"/>
                <w:sz w:val="24"/>
                <w:szCs w:val="24"/>
              </w:rPr>
            </w:pPr>
            <w:r>
              <w:rPr>
                <w:rFonts w:ascii="Arial"/>
                <w:spacing w:val="-1"/>
                <w:sz w:val="24"/>
              </w:rPr>
              <w:t>73,161</w:t>
            </w:r>
          </w:p>
        </w:tc>
        <w:tc>
          <w:tcPr>
            <w:tcW w:w="274"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90"/>
              <w:jc w:val="right"/>
              <w:rPr>
                <w:rFonts w:ascii="Arial" w:hAnsi="Arial" w:cs="Arial" w:eastAsia="Arial" w:hint="default"/>
                <w:sz w:val="24"/>
                <w:szCs w:val="24"/>
              </w:rPr>
            </w:pPr>
            <w:r>
              <w:rPr>
                <w:rFonts w:ascii="Arial"/>
                <w:spacing w:val="-1"/>
                <w:sz w:val="24"/>
              </w:rPr>
              <w:t>31,520</w:t>
            </w:r>
          </w:p>
        </w:tc>
        <w:tc>
          <w:tcPr>
            <w:tcW w:w="230"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52"/>
              <w:jc w:val="right"/>
              <w:rPr>
                <w:rFonts w:ascii="Arial" w:hAnsi="Arial" w:cs="Arial" w:eastAsia="Arial" w:hint="default"/>
                <w:sz w:val="24"/>
                <w:szCs w:val="24"/>
              </w:rPr>
            </w:pPr>
            <w:r>
              <w:rPr>
                <w:rFonts w:ascii="Arial"/>
                <w:spacing w:val="-1"/>
                <w:sz w:val="24"/>
              </w:rPr>
              <w:t>73,161</w:t>
            </w:r>
          </w:p>
        </w:tc>
      </w:tr>
      <w:tr>
        <w:trPr>
          <w:trHeight w:val="377" w:hRule="exact"/>
        </w:trPr>
        <w:tc>
          <w:tcPr>
            <w:tcW w:w="903" w:type="dxa"/>
            <w:tcBorders>
              <w:top w:val="nil" w:sz="6" w:space="0" w:color="auto"/>
              <w:left w:val="nil" w:sz="6" w:space="0" w:color="auto"/>
              <w:bottom w:val="nil" w:sz="6" w:space="0" w:color="auto"/>
              <w:right w:val="nil" w:sz="6" w:space="0" w:color="auto"/>
            </w:tcBorders>
          </w:tcPr>
          <w:p>
            <w:pPr/>
          </w:p>
        </w:tc>
        <w:tc>
          <w:tcPr>
            <w:tcW w:w="2881" w:type="dxa"/>
            <w:tcBorders>
              <w:top w:val="nil" w:sz="6" w:space="0" w:color="auto"/>
              <w:left w:val="nil" w:sz="6" w:space="0" w:color="auto"/>
              <w:bottom w:val="nil" w:sz="6" w:space="0" w:color="auto"/>
              <w:right w:val="nil" w:sz="6" w:space="0" w:color="auto"/>
            </w:tcBorders>
          </w:tcPr>
          <w:p>
            <w:pPr/>
          </w:p>
        </w:tc>
        <w:tc>
          <w:tcPr>
            <w:tcW w:w="1296"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51"/>
              <w:jc w:val="right"/>
              <w:rPr>
                <w:rFonts w:ascii="Arial" w:hAnsi="Arial" w:cs="Arial" w:eastAsia="Arial" w:hint="default"/>
                <w:sz w:val="24"/>
                <w:szCs w:val="24"/>
              </w:rPr>
            </w:pPr>
            <w:r>
              <w:rPr>
                <w:rFonts w:ascii="Arial"/>
                <w:spacing w:val="-1"/>
                <w:sz w:val="24"/>
              </w:rPr>
              <w:t>354,445</w:t>
            </w:r>
          </w:p>
        </w:tc>
        <w:tc>
          <w:tcPr>
            <w:tcW w:w="274" w:type="dxa"/>
            <w:tcBorders>
              <w:top w:val="nil" w:sz="6" w:space="0" w:color="auto"/>
              <w:left w:val="nil" w:sz="6" w:space="0" w:color="auto"/>
              <w:bottom w:val="nil" w:sz="6" w:space="0" w:color="auto"/>
              <w:right w:val="nil" w:sz="6" w:space="0" w:color="auto"/>
            </w:tcBorders>
          </w:tcPr>
          <w:p>
            <w:pPr/>
          </w:p>
        </w:tc>
        <w:tc>
          <w:tcPr>
            <w:tcW w:w="1286"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90"/>
              <w:jc w:val="right"/>
              <w:rPr>
                <w:rFonts w:ascii="Arial" w:hAnsi="Arial" w:cs="Arial" w:eastAsia="Arial" w:hint="default"/>
                <w:sz w:val="24"/>
                <w:szCs w:val="24"/>
              </w:rPr>
            </w:pPr>
            <w:r>
              <w:rPr>
                <w:rFonts w:ascii="Arial"/>
                <w:spacing w:val="-3"/>
                <w:sz w:val="24"/>
              </w:rPr>
              <w:t>117,555</w:t>
            </w:r>
          </w:p>
        </w:tc>
        <w:tc>
          <w:tcPr>
            <w:tcW w:w="230" w:type="dxa"/>
            <w:tcBorders>
              <w:top w:val="nil" w:sz="6" w:space="0" w:color="auto"/>
              <w:left w:val="nil" w:sz="6" w:space="0" w:color="auto"/>
              <w:bottom w:val="nil" w:sz="6" w:space="0" w:color="auto"/>
              <w:right w:val="nil" w:sz="6" w:space="0" w:color="auto"/>
            </w:tcBorders>
          </w:tcPr>
          <w:p>
            <w:pPr/>
          </w:p>
        </w:tc>
        <w:tc>
          <w:tcPr>
            <w:tcW w:w="2213"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52"/>
              <w:jc w:val="right"/>
              <w:rPr>
                <w:rFonts w:ascii="Arial" w:hAnsi="Arial" w:cs="Arial" w:eastAsia="Arial" w:hint="default"/>
                <w:sz w:val="24"/>
                <w:szCs w:val="24"/>
              </w:rPr>
            </w:pPr>
            <w:r>
              <w:rPr>
                <w:rFonts w:ascii="Arial"/>
                <w:spacing w:val="-1"/>
                <w:sz w:val="24"/>
              </w:rPr>
              <w:t>354,445</w:t>
            </w:r>
          </w:p>
        </w:tc>
      </w:tr>
    </w:tbl>
    <w:p>
      <w:pPr>
        <w:spacing w:after="0" w:line="240" w:lineRule="auto"/>
        <w:jc w:val="right"/>
        <w:rPr>
          <w:rFonts w:ascii="Arial" w:hAnsi="Arial" w:cs="Arial" w:eastAsia="Arial" w:hint="default"/>
          <w:sz w:val="24"/>
          <w:szCs w:val="24"/>
        </w:rPr>
        <w:sectPr>
          <w:footerReference w:type="default" r:id="rId97"/>
          <w:pgSz w:w="11910" w:h="16850"/>
          <w:pgMar w:footer="708" w:header="795" w:top="2020" w:bottom="900" w:left="1420" w:right="0"/>
          <w:pgNumType w:start="189"/>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3928" type="#_x0000_t75" stroked="false">
            <v:imagedata r:id="rId10" o:title=""/>
          </v:shape>
        </w:pict>
      </w: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903"/>
        <w:gridCol w:w="2957"/>
        <w:gridCol w:w="1316"/>
        <w:gridCol w:w="242"/>
        <w:gridCol w:w="1222"/>
        <w:gridCol w:w="238"/>
        <w:gridCol w:w="2197"/>
      </w:tblGrid>
      <w:tr>
        <w:trPr>
          <w:trHeight w:val="497" w:hRule="exact"/>
        </w:trPr>
        <w:tc>
          <w:tcPr>
            <w:tcW w:w="90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2957" w:type="dxa"/>
            <w:tcBorders>
              <w:top w:val="nil" w:sz="6" w:space="0" w:color="auto"/>
              <w:left w:val="nil" w:sz="6" w:space="0" w:color="auto"/>
              <w:bottom w:val="nil" w:sz="6" w:space="0" w:color="auto"/>
              <w:right w:val="nil" w:sz="6" w:space="0" w:color="auto"/>
            </w:tcBorders>
          </w:tcPr>
          <w:p>
            <w:pPr>
              <w:pStyle w:val="TableParagraph"/>
              <w:spacing w:line="257" w:lineRule="exact"/>
              <w:ind w:left="57"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16"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97" w:type="dxa"/>
            <w:tcBorders>
              <w:top w:val="nil" w:sz="6" w:space="0" w:color="auto"/>
              <w:left w:val="nil" w:sz="6" w:space="0" w:color="auto"/>
              <w:bottom w:val="nil" w:sz="6" w:space="0" w:color="auto"/>
              <w:right w:val="nil" w:sz="6" w:space="0" w:color="auto"/>
            </w:tcBorders>
          </w:tcPr>
          <w:p>
            <w:pPr/>
          </w:p>
        </w:tc>
      </w:tr>
      <w:tr>
        <w:trPr>
          <w:trHeight w:val="748" w:hRule="exact"/>
        </w:trPr>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(45)</w:t>
            </w:r>
          </w:p>
        </w:tc>
        <w:tc>
          <w:tcPr>
            <w:tcW w:w="2957"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57" w:right="0"/>
              <w:jc w:val="left"/>
              <w:rPr>
                <w:rFonts w:ascii="Arial" w:hAnsi="Arial" w:cs="Arial" w:eastAsia="Arial" w:hint="default"/>
                <w:sz w:val="24"/>
                <w:szCs w:val="24"/>
              </w:rPr>
            </w:pPr>
            <w:r>
              <w:rPr>
                <w:rFonts w:ascii="黑体" w:hAnsi="黑体" w:cs="黑体" w:eastAsia="黑体" w:hint="default"/>
                <w:sz w:val="24"/>
                <w:szCs w:val="24"/>
              </w:rPr>
              <w:t>营业外收入</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16"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97" w:type="dxa"/>
            <w:tcBorders>
              <w:top w:val="nil" w:sz="6" w:space="0" w:color="auto"/>
              <w:left w:val="nil" w:sz="6" w:space="0" w:color="auto"/>
              <w:bottom w:val="nil" w:sz="6" w:space="0" w:color="auto"/>
              <w:right w:val="nil" w:sz="6" w:space="0" w:color="auto"/>
            </w:tcBorders>
          </w:tcPr>
          <w:p>
            <w:pPr/>
          </w:p>
        </w:tc>
      </w:tr>
      <w:tr>
        <w:trPr>
          <w:trHeight w:val="744" w:hRule="exact"/>
        </w:trPr>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(a)</w:t>
            </w:r>
          </w:p>
        </w:tc>
        <w:tc>
          <w:tcPr>
            <w:tcW w:w="295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57" w:right="0"/>
              <w:jc w:val="left"/>
              <w:rPr>
                <w:rFonts w:ascii="宋体" w:hAnsi="宋体" w:cs="宋体" w:eastAsia="宋体" w:hint="default"/>
                <w:sz w:val="24"/>
                <w:szCs w:val="24"/>
              </w:rPr>
            </w:pPr>
            <w:r>
              <w:rPr>
                <w:rFonts w:ascii="宋体" w:hAnsi="宋体" w:cs="宋体" w:eastAsia="宋体" w:hint="default"/>
                <w:sz w:val="24"/>
                <w:szCs w:val="24"/>
              </w:rPr>
              <w:t>政府补助明细</w:t>
            </w:r>
          </w:p>
        </w:tc>
        <w:tc>
          <w:tcPr>
            <w:tcW w:w="1316"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97" w:type="dxa"/>
            <w:tcBorders>
              <w:top w:val="nil" w:sz="6" w:space="0" w:color="auto"/>
              <w:left w:val="nil" w:sz="6" w:space="0" w:color="auto"/>
              <w:bottom w:val="nil" w:sz="6" w:space="0" w:color="auto"/>
              <w:right w:val="nil" w:sz="6" w:space="0" w:color="auto"/>
            </w:tcBorders>
          </w:tcPr>
          <w:p>
            <w:pPr/>
          </w:p>
        </w:tc>
      </w:tr>
      <w:tr>
        <w:trPr>
          <w:trHeight w:val="766" w:hRule="exact"/>
        </w:trPr>
        <w:tc>
          <w:tcPr>
            <w:tcW w:w="903"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1"/>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42"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0"/>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38" w:type="dxa"/>
            <w:tcBorders>
              <w:top w:val="nil" w:sz="6" w:space="0" w:color="auto"/>
              <w:left w:val="nil" w:sz="6" w:space="0" w:color="auto"/>
              <w:bottom w:val="nil" w:sz="6" w:space="0" w:color="auto"/>
              <w:right w:val="nil" w:sz="6" w:space="0" w:color="auto"/>
            </w:tcBorders>
          </w:tcPr>
          <w:p>
            <w:pP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43"/>
              <w:jc w:val="right"/>
              <w:rPr>
                <w:rFonts w:ascii="宋体" w:hAnsi="宋体" w:cs="宋体" w:eastAsia="宋体" w:hint="default"/>
                <w:sz w:val="24"/>
                <w:szCs w:val="24"/>
              </w:rPr>
            </w:pPr>
            <w:r>
              <w:rPr>
                <w:rFonts w:ascii="宋体" w:hAnsi="宋体" w:cs="宋体" w:eastAsia="宋体" w:hint="default"/>
                <w:sz w:val="24"/>
                <w:szCs w:val="24"/>
              </w:rPr>
              <w:t>说明</w:t>
            </w:r>
          </w:p>
        </w:tc>
      </w:tr>
      <w:tr>
        <w:trPr>
          <w:trHeight w:val="904" w:hRule="exact"/>
        </w:trPr>
        <w:tc>
          <w:tcPr>
            <w:tcW w:w="903"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57" w:right="0"/>
              <w:jc w:val="left"/>
              <w:rPr>
                <w:rFonts w:ascii="宋体" w:hAnsi="宋体" w:cs="宋体" w:eastAsia="宋体" w:hint="default"/>
                <w:sz w:val="24"/>
                <w:szCs w:val="24"/>
              </w:rPr>
            </w:pPr>
            <w:r>
              <w:rPr>
                <w:rFonts w:ascii="宋体" w:hAnsi="宋体" w:cs="宋体" w:eastAsia="宋体" w:hint="default"/>
                <w:sz w:val="24"/>
                <w:szCs w:val="24"/>
              </w:rPr>
              <w:t>财政补贴</w:t>
            </w:r>
          </w:p>
        </w:tc>
        <w:tc>
          <w:tcPr>
            <w:tcW w:w="1316"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53"/>
              <w:jc w:val="right"/>
              <w:rPr>
                <w:rFonts w:ascii="Arial" w:hAnsi="Arial" w:cs="Arial" w:eastAsia="Arial" w:hint="default"/>
                <w:sz w:val="24"/>
                <w:szCs w:val="24"/>
              </w:rPr>
            </w:pPr>
            <w:r>
              <w:rPr>
                <w:rFonts w:ascii="Arial"/>
                <w:spacing w:val="-1"/>
                <w:sz w:val="24"/>
              </w:rPr>
              <w:t>221,423</w:t>
            </w:r>
          </w:p>
        </w:tc>
        <w:tc>
          <w:tcPr>
            <w:tcW w:w="242"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88"/>
              <w:jc w:val="right"/>
              <w:rPr>
                <w:rFonts w:ascii="Arial" w:hAnsi="Arial" w:cs="Arial" w:eastAsia="Arial" w:hint="default"/>
                <w:sz w:val="24"/>
                <w:szCs w:val="24"/>
              </w:rPr>
            </w:pPr>
            <w:r>
              <w:rPr>
                <w:rFonts w:ascii="Arial"/>
                <w:spacing w:val="-1"/>
                <w:sz w:val="24"/>
              </w:rPr>
              <w:t>83,566</w:t>
            </w:r>
          </w:p>
        </w:tc>
        <w:tc>
          <w:tcPr>
            <w:tcW w:w="238" w:type="dxa"/>
            <w:tcBorders>
              <w:top w:val="nil" w:sz="6" w:space="0" w:color="auto"/>
              <w:left w:val="nil" w:sz="6" w:space="0" w:color="auto"/>
              <w:bottom w:val="nil" w:sz="6" w:space="0" w:color="auto"/>
              <w:right w:val="nil" w:sz="6" w:space="0" w:color="auto"/>
            </w:tcBorders>
          </w:tcPr>
          <w:p>
            <w:pP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0" w:lineRule="exact"/>
              <w:ind w:left="711" w:right="43" w:hanging="481"/>
              <w:jc w:val="left"/>
              <w:rPr>
                <w:rFonts w:ascii="宋体" w:hAnsi="宋体" w:cs="宋体" w:eastAsia="宋体" w:hint="default"/>
                <w:sz w:val="24"/>
                <w:szCs w:val="24"/>
              </w:rPr>
            </w:pPr>
            <w:r>
              <w:rPr>
                <w:rFonts w:ascii="宋体" w:hAnsi="宋体" w:cs="宋体" w:eastAsia="宋体" w:hint="default"/>
                <w:sz w:val="24"/>
                <w:szCs w:val="24"/>
              </w:rPr>
              <w:t>各公司当地财政部 门给予的补助</w:t>
            </w:r>
          </w:p>
        </w:tc>
      </w:tr>
      <w:tr>
        <w:trPr>
          <w:trHeight w:val="939" w:hRule="exact"/>
        </w:trPr>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(46)</w:t>
            </w:r>
          </w:p>
        </w:tc>
        <w:tc>
          <w:tcPr>
            <w:tcW w:w="29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left="57" w:right="0"/>
              <w:jc w:val="left"/>
              <w:rPr>
                <w:rFonts w:ascii="黑体" w:hAnsi="黑体" w:cs="黑体" w:eastAsia="黑体" w:hint="default"/>
                <w:sz w:val="24"/>
                <w:szCs w:val="24"/>
              </w:rPr>
            </w:pPr>
            <w:r>
              <w:rPr>
                <w:rFonts w:ascii="黑体" w:hAnsi="黑体" w:cs="黑体" w:eastAsia="黑体" w:hint="default"/>
                <w:sz w:val="24"/>
                <w:szCs w:val="24"/>
              </w:rPr>
              <w:t>营业外支出</w:t>
            </w:r>
          </w:p>
        </w:tc>
        <w:tc>
          <w:tcPr>
            <w:tcW w:w="1316" w:type="dxa"/>
            <w:tcBorders>
              <w:top w:val="single" w:sz="12" w:space="0" w:color="000000"/>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222" w:type="dxa"/>
            <w:tcBorders>
              <w:top w:val="single" w:sz="12"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97" w:type="dxa"/>
            <w:tcBorders>
              <w:top w:val="nil" w:sz="6" w:space="0" w:color="auto"/>
              <w:left w:val="nil" w:sz="6" w:space="0" w:color="auto"/>
              <w:bottom w:val="nil" w:sz="6" w:space="0" w:color="auto"/>
              <w:right w:val="nil" w:sz="6" w:space="0" w:color="auto"/>
            </w:tcBorders>
          </w:tcPr>
          <w:p>
            <w:pPr/>
          </w:p>
        </w:tc>
      </w:tr>
      <w:tr>
        <w:trPr>
          <w:trHeight w:val="1069" w:hRule="exact"/>
        </w:trPr>
        <w:tc>
          <w:tcPr>
            <w:tcW w:w="903"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53"/>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42"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50"/>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38" w:type="dxa"/>
            <w:tcBorders>
              <w:top w:val="nil" w:sz="6" w:space="0" w:color="auto"/>
              <w:left w:val="nil" w:sz="6" w:space="0" w:color="auto"/>
              <w:bottom w:val="nil" w:sz="6" w:space="0" w:color="auto"/>
              <w:right w:val="nil" w:sz="6" w:space="0" w:color="auto"/>
            </w:tcBorders>
          </w:tcPr>
          <w:p>
            <w:pPr/>
          </w:p>
        </w:tc>
        <w:tc>
          <w:tcPr>
            <w:tcW w:w="2197" w:type="dxa"/>
            <w:tcBorders>
              <w:top w:val="nil" w:sz="6" w:space="0" w:color="auto"/>
              <w:left w:val="nil" w:sz="6" w:space="0" w:color="auto"/>
              <w:bottom w:val="nil" w:sz="6" w:space="0" w:color="auto"/>
              <w:right w:val="nil" w:sz="6" w:space="0" w:color="auto"/>
            </w:tcBorders>
          </w:tcPr>
          <w:p>
            <w:pPr>
              <w:pStyle w:val="TableParagraph"/>
              <w:spacing w:line="310" w:lineRule="exact" w:before="212"/>
              <w:ind w:left="461" w:right="50" w:hanging="404"/>
              <w:jc w:val="left"/>
              <w:rPr>
                <w:rFonts w:ascii="宋体" w:hAnsi="宋体" w:cs="宋体" w:eastAsia="宋体" w:hint="default"/>
                <w:sz w:val="24"/>
                <w:szCs w:val="24"/>
              </w:rPr>
            </w:pPr>
            <w:r>
              <w:rPr>
                <w:rFonts w:ascii="宋体" w:hAnsi="宋体" w:cs="宋体" w:eastAsia="宋体" w:hint="default"/>
                <w:sz w:val="24"/>
                <w:szCs w:val="24"/>
              </w:rPr>
              <w:t>计入</w:t>
            </w:r>
            <w:r>
              <w:rPr>
                <w:rFonts w:ascii="宋体" w:hAnsi="宋体" w:cs="宋体" w:eastAsia="宋体" w:hint="default"/>
                <w:spacing w:val="-66"/>
                <w:sz w:val="24"/>
                <w:szCs w:val="24"/>
              </w:rPr>
              <w:t> </w:t>
            </w:r>
            <w:r>
              <w:rPr>
                <w:rFonts w:ascii="Arial" w:hAnsi="Arial" w:cs="Arial" w:eastAsia="Arial" w:hint="default"/>
                <w:sz w:val="24"/>
                <w:szCs w:val="24"/>
              </w:rPr>
              <w:t>2012</w:t>
            </w:r>
            <w:r>
              <w:rPr>
                <w:rFonts w:ascii="Arial" w:hAnsi="Arial" w:cs="Arial" w:eastAsia="Arial" w:hint="default"/>
                <w:spacing w:val="-12"/>
                <w:sz w:val="24"/>
                <w:szCs w:val="24"/>
              </w:rPr>
              <w:t> </w:t>
            </w:r>
            <w:r>
              <w:rPr>
                <w:rFonts w:ascii="宋体" w:hAnsi="宋体" w:cs="宋体" w:eastAsia="宋体" w:hint="default"/>
                <w:sz w:val="24"/>
                <w:szCs w:val="24"/>
              </w:rPr>
              <w:t>年度非经 常性损益的金额</w:t>
            </w:r>
          </w:p>
        </w:tc>
      </w:tr>
      <w:tr>
        <w:trPr>
          <w:trHeight w:val="570" w:hRule="exact"/>
        </w:trPr>
        <w:tc>
          <w:tcPr>
            <w:tcW w:w="903"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single" w:sz="4" w:space="0" w:color="000000"/>
              <w:right w:val="nil" w:sz="6" w:space="0" w:color="auto"/>
            </w:tcBorders>
          </w:tcPr>
          <w:p>
            <w:pPr>
              <w:pStyle w:val="TableParagraph"/>
              <w:spacing w:line="240" w:lineRule="auto" w:before="174"/>
              <w:ind w:left="93" w:right="0"/>
              <w:jc w:val="left"/>
              <w:rPr>
                <w:rFonts w:ascii="宋体" w:hAnsi="宋体" w:cs="宋体" w:eastAsia="宋体" w:hint="default"/>
                <w:sz w:val="24"/>
                <w:szCs w:val="24"/>
              </w:rPr>
            </w:pPr>
            <w:r>
              <w:rPr>
                <w:rFonts w:ascii="宋体" w:hAnsi="宋体" w:cs="宋体" w:eastAsia="宋体" w:hint="default"/>
                <w:sz w:val="24"/>
                <w:szCs w:val="24"/>
              </w:rPr>
              <w:t>非流动资产处置损失</w:t>
            </w:r>
          </w:p>
        </w:tc>
        <w:tc>
          <w:tcPr>
            <w:tcW w:w="131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24"/>
                <w:szCs w:val="24"/>
              </w:rPr>
            </w:pPr>
            <w:r>
              <w:rPr>
                <w:rFonts w:ascii="Arial"/>
                <w:w w:val="95"/>
                <w:sz w:val="24"/>
              </w:rPr>
              <w:t>5,841</w:t>
            </w:r>
            <w:r>
              <w:rPr>
                <w:rFonts w:ascii="Arial"/>
                <w:sz w:val="24"/>
              </w:rPr>
            </w:r>
          </w:p>
        </w:tc>
        <w:tc>
          <w:tcPr>
            <w:tcW w:w="242" w:type="dxa"/>
            <w:tcBorders>
              <w:top w:val="nil" w:sz="6" w:space="0" w:color="auto"/>
              <w:left w:val="nil" w:sz="6" w:space="0" w:color="auto"/>
              <w:bottom w:val="single" w:sz="4" w:space="0" w:color="000000"/>
              <w:right w:val="nil" w:sz="6" w:space="0" w:color="auto"/>
            </w:tcBorders>
          </w:tcPr>
          <w:p>
            <w:pPr/>
          </w:p>
        </w:tc>
        <w:tc>
          <w:tcPr>
            <w:tcW w:w="122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52"/>
              <w:jc w:val="right"/>
              <w:rPr>
                <w:rFonts w:ascii="Arial" w:hAnsi="Arial" w:cs="Arial" w:eastAsia="Arial" w:hint="default"/>
                <w:sz w:val="24"/>
                <w:szCs w:val="24"/>
              </w:rPr>
            </w:pPr>
            <w:r>
              <w:rPr>
                <w:rFonts w:ascii="Arial"/>
                <w:spacing w:val="-1"/>
                <w:sz w:val="24"/>
              </w:rPr>
              <w:t>4,439</w:t>
            </w:r>
          </w:p>
        </w:tc>
        <w:tc>
          <w:tcPr>
            <w:tcW w:w="238" w:type="dxa"/>
            <w:tcBorders>
              <w:top w:val="nil" w:sz="6" w:space="0" w:color="auto"/>
              <w:left w:val="nil" w:sz="6" w:space="0" w:color="auto"/>
              <w:bottom w:val="single" w:sz="4" w:space="0" w:color="000000"/>
              <w:right w:val="nil" w:sz="6" w:space="0" w:color="auto"/>
            </w:tcBorders>
          </w:tcPr>
          <w:p>
            <w:pPr/>
          </w:p>
        </w:tc>
        <w:tc>
          <w:tcPr>
            <w:tcW w:w="219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51"/>
              <w:jc w:val="right"/>
              <w:rPr>
                <w:rFonts w:ascii="Arial" w:hAnsi="Arial" w:cs="Arial" w:eastAsia="Arial" w:hint="default"/>
                <w:sz w:val="24"/>
                <w:szCs w:val="24"/>
              </w:rPr>
            </w:pPr>
            <w:r>
              <w:rPr>
                <w:rFonts w:ascii="Arial"/>
                <w:w w:val="95"/>
                <w:sz w:val="24"/>
              </w:rPr>
              <w:t>5,841</w:t>
            </w:r>
            <w:r>
              <w:rPr>
                <w:rFonts w:ascii="Arial"/>
                <w:sz w:val="24"/>
              </w:rPr>
            </w:r>
          </w:p>
        </w:tc>
      </w:tr>
      <w:tr>
        <w:trPr>
          <w:trHeight w:val="401" w:hRule="exact"/>
        </w:trPr>
        <w:tc>
          <w:tcPr>
            <w:tcW w:w="903" w:type="dxa"/>
            <w:tcBorders>
              <w:top w:val="nil" w:sz="6" w:space="0" w:color="auto"/>
              <w:left w:val="nil" w:sz="6" w:space="0" w:color="auto"/>
              <w:bottom w:val="nil" w:sz="6" w:space="0" w:color="auto"/>
              <w:right w:val="single" w:sz="4" w:space="0" w:color="000000"/>
            </w:tcBorders>
          </w:tcPr>
          <w:p>
            <w:pP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88" w:right="0"/>
              <w:jc w:val="left"/>
              <w:rPr>
                <w:rFonts w:ascii="宋体" w:hAnsi="宋体" w:cs="宋体" w:eastAsia="宋体" w:hint="default"/>
                <w:sz w:val="24"/>
                <w:szCs w:val="24"/>
              </w:rPr>
            </w:pPr>
            <w:r>
              <w:rPr>
                <w:rFonts w:ascii="宋体" w:hAnsi="宋体" w:cs="宋体" w:eastAsia="宋体" w:hint="default"/>
                <w:sz w:val="24"/>
                <w:szCs w:val="24"/>
              </w:rPr>
              <w:t>其中：固定资产处置损失</w:t>
            </w:r>
          </w:p>
        </w:tc>
        <w:tc>
          <w:tcPr>
            <w:tcW w:w="1316"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54"/>
              <w:jc w:val="right"/>
              <w:rPr>
                <w:rFonts w:ascii="Arial" w:hAnsi="Arial" w:cs="Arial" w:eastAsia="Arial" w:hint="default"/>
                <w:sz w:val="24"/>
                <w:szCs w:val="24"/>
              </w:rPr>
            </w:pPr>
            <w:r>
              <w:rPr>
                <w:rFonts w:ascii="Arial"/>
                <w:w w:val="95"/>
                <w:sz w:val="24"/>
              </w:rPr>
              <w:t>5,841</w:t>
            </w:r>
            <w:r>
              <w:rPr>
                <w:rFonts w:ascii="Arial"/>
                <w:sz w:val="24"/>
              </w:rPr>
            </w:r>
          </w:p>
        </w:tc>
        <w:tc>
          <w:tcPr>
            <w:tcW w:w="242" w:type="dxa"/>
            <w:tcBorders>
              <w:top w:val="single" w:sz="4" w:space="0" w:color="000000"/>
              <w:left w:val="nil" w:sz="6" w:space="0" w:color="auto"/>
              <w:bottom w:val="single" w:sz="4" w:space="0" w:color="000000"/>
              <w:right w:val="nil" w:sz="6" w:space="0" w:color="auto"/>
            </w:tcBorders>
          </w:tcPr>
          <w:p>
            <w:pPr/>
          </w:p>
        </w:tc>
        <w:tc>
          <w:tcPr>
            <w:tcW w:w="12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52"/>
              <w:jc w:val="right"/>
              <w:rPr>
                <w:rFonts w:ascii="Arial" w:hAnsi="Arial" w:cs="Arial" w:eastAsia="Arial" w:hint="default"/>
                <w:sz w:val="24"/>
                <w:szCs w:val="24"/>
              </w:rPr>
            </w:pPr>
            <w:r>
              <w:rPr>
                <w:rFonts w:ascii="Arial"/>
                <w:spacing w:val="-1"/>
                <w:sz w:val="24"/>
              </w:rPr>
              <w:t>4,439</w:t>
            </w:r>
          </w:p>
        </w:tc>
        <w:tc>
          <w:tcPr>
            <w:tcW w:w="238" w:type="dxa"/>
            <w:tcBorders>
              <w:top w:val="single" w:sz="4" w:space="0" w:color="000000"/>
              <w:left w:val="nil" w:sz="6" w:space="0" w:color="auto"/>
              <w:bottom w:val="single" w:sz="4" w:space="0" w:color="000000"/>
              <w:right w:val="nil" w:sz="6" w:space="0" w:color="auto"/>
            </w:tcBorders>
          </w:tcPr>
          <w:p>
            <w:pPr/>
          </w:p>
        </w:tc>
        <w:tc>
          <w:tcPr>
            <w:tcW w:w="2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right="47"/>
              <w:jc w:val="right"/>
              <w:rPr>
                <w:rFonts w:ascii="Arial" w:hAnsi="Arial" w:cs="Arial" w:eastAsia="Arial" w:hint="default"/>
                <w:sz w:val="24"/>
                <w:szCs w:val="24"/>
              </w:rPr>
            </w:pPr>
            <w:r>
              <w:rPr>
                <w:rFonts w:ascii="Arial"/>
                <w:spacing w:val="-1"/>
                <w:sz w:val="24"/>
              </w:rPr>
              <w:t>5,841</w:t>
            </w:r>
          </w:p>
        </w:tc>
      </w:tr>
      <w:tr>
        <w:trPr>
          <w:trHeight w:val="409" w:hRule="exact"/>
        </w:trPr>
        <w:tc>
          <w:tcPr>
            <w:tcW w:w="903" w:type="dxa"/>
            <w:tcBorders>
              <w:top w:val="nil" w:sz="6" w:space="0" w:color="auto"/>
              <w:left w:val="nil" w:sz="6" w:space="0" w:color="auto"/>
              <w:bottom w:val="nil" w:sz="6" w:space="0" w:color="auto"/>
              <w:right w:val="nil" w:sz="6" w:space="0" w:color="auto"/>
            </w:tcBorders>
          </w:tcPr>
          <w:p>
            <w:pPr/>
          </w:p>
        </w:tc>
        <w:tc>
          <w:tcPr>
            <w:tcW w:w="2957" w:type="dxa"/>
            <w:tcBorders>
              <w:top w:val="single" w:sz="4" w:space="0" w:color="000000"/>
              <w:left w:val="nil" w:sz="6" w:space="0" w:color="auto"/>
              <w:bottom w:val="nil" w:sz="6" w:space="0" w:color="auto"/>
              <w:right w:val="nil" w:sz="6" w:space="0" w:color="auto"/>
            </w:tcBorders>
          </w:tcPr>
          <w:p>
            <w:pPr>
              <w:pStyle w:val="TableParagraph"/>
              <w:spacing w:line="240" w:lineRule="auto"/>
              <w:ind w:left="93" w:right="0"/>
              <w:jc w:val="left"/>
              <w:rPr>
                <w:rFonts w:ascii="宋体" w:hAnsi="宋体" w:cs="宋体" w:eastAsia="宋体" w:hint="default"/>
                <w:sz w:val="24"/>
                <w:szCs w:val="24"/>
              </w:rPr>
            </w:pPr>
            <w:r>
              <w:rPr>
                <w:rFonts w:ascii="宋体" w:hAnsi="宋体" w:cs="宋体" w:eastAsia="宋体" w:hint="default"/>
                <w:sz w:val="24"/>
                <w:szCs w:val="24"/>
              </w:rPr>
              <w:t>对外捐赠</w:t>
            </w:r>
          </w:p>
        </w:tc>
        <w:tc>
          <w:tcPr>
            <w:tcW w:w="131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54"/>
              <w:jc w:val="right"/>
              <w:rPr>
                <w:rFonts w:ascii="Arial" w:hAnsi="Arial" w:cs="Arial" w:eastAsia="Arial" w:hint="default"/>
                <w:sz w:val="24"/>
                <w:szCs w:val="24"/>
              </w:rPr>
            </w:pPr>
            <w:r>
              <w:rPr>
                <w:rFonts w:ascii="Arial"/>
                <w:w w:val="95"/>
                <w:sz w:val="24"/>
              </w:rPr>
              <w:t>19,993</w:t>
            </w:r>
            <w:r>
              <w:rPr>
                <w:rFonts w:ascii="Arial"/>
                <w:sz w:val="24"/>
              </w:rPr>
            </w:r>
          </w:p>
        </w:tc>
        <w:tc>
          <w:tcPr>
            <w:tcW w:w="242" w:type="dxa"/>
            <w:tcBorders>
              <w:top w:val="single" w:sz="4" w:space="0" w:color="000000"/>
              <w:left w:val="nil" w:sz="6" w:space="0" w:color="auto"/>
              <w:bottom w:val="nil" w:sz="6" w:space="0" w:color="auto"/>
              <w:right w:val="nil" w:sz="6" w:space="0" w:color="auto"/>
            </w:tcBorders>
          </w:tcPr>
          <w:p>
            <w:pPr/>
          </w:p>
        </w:tc>
        <w:tc>
          <w:tcPr>
            <w:tcW w:w="122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52"/>
              <w:jc w:val="right"/>
              <w:rPr>
                <w:rFonts w:ascii="Arial" w:hAnsi="Arial" w:cs="Arial" w:eastAsia="Arial" w:hint="default"/>
                <w:sz w:val="24"/>
                <w:szCs w:val="24"/>
              </w:rPr>
            </w:pPr>
            <w:r>
              <w:rPr>
                <w:rFonts w:ascii="Arial"/>
                <w:spacing w:val="-1"/>
                <w:sz w:val="24"/>
              </w:rPr>
              <w:t>19,645</w:t>
            </w:r>
          </w:p>
        </w:tc>
        <w:tc>
          <w:tcPr>
            <w:tcW w:w="238" w:type="dxa"/>
            <w:tcBorders>
              <w:top w:val="single" w:sz="4" w:space="0" w:color="000000"/>
              <w:left w:val="nil" w:sz="6" w:space="0" w:color="auto"/>
              <w:bottom w:val="nil" w:sz="6" w:space="0" w:color="auto"/>
              <w:right w:val="nil" w:sz="6" w:space="0" w:color="auto"/>
            </w:tcBorders>
          </w:tcPr>
          <w:p>
            <w:pPr/>
          </w:p>
        </w:tc>
        <w:tc>
          <w:tcPr>
            <w:tcW w:w="2197"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51"/>
              <w:jc w:val="right"/>
              <w:rPr>
                <w:rFonts w:ascii="Arial" w:hAnsi="Arial" w:cs="Arial" w:eastAsia="Arial" w:hint="default"/>
                <w:sz w:val="24"/>
                <w:szCs w:val="24"/>
              </w:rPr>
            </w:pPr>
            <w:r>
              <w:rPr>
                <w:rFonts w:ascii="Arial"/>
                <w:w w:val="95"/>
                <w:sz w:val="24"/>
              </w:rPr>
              <w:t>19,993</w:t>
            </w:r>
            <w:r>
              <w:rPr>
                <w:rFonts w:ascii="Arial"/>
                <w:sz w:val="24"/>
              </w:rPr>
            </w:r>
          </w:p>
        </w:tc>
      </w:tr>
      <w:tr>
        <w:trPr>
          <w:trHeight w:val="391" w:hRule="exact"/>
        </w:trPr>
        <w:tc>
          <w:tcPr>
            <w:tcW w:w="903"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nil" w:sz="6" w:space="0" w:color="auto"/>
              <w:right w:val="nil" w:sz="6" w:space="0" w:color="auto"/>
            </w:tcBorders>
          </w:tcPr>
          <w:p>
            <w:pPr>
              <w:pStyle w:val="TableParagraph"/>
              <w:spacing w:line="301" w:lineRule="exact"/>
              <w:ind w:left="93" w:right="0"/>
              <w:jc w:val="left"/>
              <w:rPr>
                <w:rFonts w:ascii="宋体" w:hAnsi="宋体" w:cs="宋体" w:eastAsia="宋体" w:hint="default"/>
                <w:sz w:val="24"/>
                <w:szCs w:val="24"/>
              </w:rPr>
            </w:pPr>
            <w:r>
              <w:rPr>
                <w:rFonts w:ascii="宋体" w:hAnsi="宋体" w:cs="宋体" w:eastAsia="宋体" w:hint="default"/>
                <w:sz w:val="24"/>
                <w:szCs w:val="24"/>
              </w:rPr>
              <w:t>罚款支出</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4"/>
              <w:jc w:val="right"/>
              <w:rPr>
                <w:rFonts w:ascii="Arial" w:hAnsi="Arial" w:cs="Arial" w:eastAsia="Arial" w:hint="default"/>
                <w:sz w:val="24"/>
                <w:szCs w:val="24"/>
              </w:rPr>
            </w:pPr>
            <w:r>
              <w:rPr>
                <w:rFonts w:ascii="Arial"/>
                <w:w w:val="95"/>
                <w:sz w:val="24"/>
              </w:rPr>
              <w:t>19,753</w:t>
            </w:r>
            <w:r>
              <w:rPr>
                <w:rFonts w:ascii="Arial"/>
                <w:sz w:val="24"/>
              </w:rPr>
            </w:r>
          </w:p>
        </w:tc>
        <w:tc>
          <w:tcPr>
            <w:tcW w:w="242"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2"/>
              <w:jc w:val="right"/>
              <w:rPr>
                <w:rFonts w:ascii="Arial" w:hAnsi="Arial" w:cs="Arial" w:eastAsia="Arial" w:hint="default"/>
                <w:sz w:val="24"/>
                <w:szCs w:val="24"/>
              </w:rPr>
            </w:pPr>
            <w:r>
              <w:rPr>
                <w:rFonts w:ascii="Arial"/>
                <w:spacing w:val="-1"/>
                <w:sz w:val="24"/>
              </w:rPr>
              <w:t>7,226</w:t>
            </w:r>
          </w:p>
        </w:tc>
        <w:tc>
          <w:tcPr>
            <w:tcW w:w="238" w:type="dxa"/>
            <w:tcBorders>
              <w:top w:val="nil" w:sz="6" w:space="0" w:color="auto"/>
              <w:left w:val="nil" w:sz="6" w:space="0" w:color="auto"/>
              <w:bottom w:val="nil" w:sz="6" w:space="0" w:color="auto"/>
              <w:right w:val="nil" w:sz="6" w:space="0" w:color="auto"/>
            </w:tcBorders>
          </w:tcPr>
          <w:p>
            <w:pP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1"/>
              <w:jc w:val="right"/>
              <w:rPr>
                <w:rFonts w:ascii="Arial" w:hAnsi="Arial" w:cs="Arial" w:eastAsia="Arial" w:hint="default"/>
                <w:sz w:val="24"/>
                <w:szCs w:val="24"/>
              </w:rPr>
            </w:pPr>
            <w:r>
              <w:rPr>
                <w:rFonts w:ascii="Arial"/>
                <w:w w:val="95"/>
                <w:sz w:val="24"/>
              </w:rPr>
              <w:t>19,753</w:t>
            </w:r>
            <w:r>
              <w:rPr>
                <w:rFonts w:ascii="Arial"/>
                <w:sz w:val="24"/>
              </w:rPr>
            </w:r>
          </w:p>
        </w:tc>
      </w:tr>
      <w:tr>
        <w:trPr>
          <w:trHeight w:val="383" w:hRule="exact"/>
        </w:trPr>
        <w:tc>
          <w:tcPr>
            <w:tcW w:w="903"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nil" w:sz="6" w:space="0" w:color="auto"/>
              <w:right w:val="nil" w:sz="6" w:space="0" w:color="auto"/>
            </w:tcBorders>
          </w:tcPr>
          <w:p>
            <w:pPr>
              <w:pStyle w:val="TableParagraph"/>
              <w:spacing w:line="301" w:lineRule="exact"/>
              <w:ind w:left="9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31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55"/>
              <w:jc w:val="right"/>
              <w:rPr>
                <w:rFonts w:ascii="Arial" w:hAnsi="Arial" w:cs="Arial" w:eastAsia="Arial" w:hint="default"/>
                <w:sz w:val="24"/>
                <w:szCs w:val="24"/>
              </w:rPr>
            </w:pPr>
            <w:r>
              <w:rPr>
                <w:rFonts w:ascii="Arial"/>
                <w:spacing w:val="-1"/>
                <w:sz w:val="24"/>
              </w:rPr>
              <w:t>80,863</w:t>
            </w:r>
          </w:p>
        </w:tc>
        <w:tc>
          <w:tcPr>
            <w:tcW w:w="242"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52"/>
              <w:jc w:val="right"/>
              <w:rPr>
                <w:rFonts w:ascii="Arial" w:hAnsi="Arial" w:cs="Arial" w:eastAsia="Arial" w:hint="default"/>
                <w:sz w:val="24"/>
                <w:szCs w:val="24"/>
              </w:rPr>
            </w:pPr>
            <w:r>
              <w:rPr>
                <w:rFonts w:ascii="Arial"/>
                <w:spacing w:val="-1"/>
                <w:sz w:val="24"/>
              </w:rPr>
              <w:t>57,100</w:t>
            </w:r>
          </w:p>
        </w:tc>
        <w:tc>
          <w:tcPr>
            <w:tcW w:w="238" w:type="dxa"/>
            <w:tcBorders>
              <w:top w:val="nil" w:sz="6" w:space="0" w:color="auto"/>
              <w:left w:val="nil" w:sz="6" w:space="0" w:color="auto"/>
              <w:bottom w:val="nil" w:sz="6" w:space="0" w:color="auto"/>
              <w:right w:val="nil" w:sz="6" w:space="0" w:color="auto"/>
            </w:tcBorders>
          </w:tcPr>
          <w:p>
            <w:pPr/>
          </w:p>
        </w:tc>
        <w:tc>
          <w:tcPr>
            <w:tcW w:w="219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52"/>
              <w:jc w:val="right"/>
              <w:rPr>
                <w:rFonts w:ascii="Arial" w:hAnsi="Arial" w:cs="Arial" w:eastAsia="Arial" w:hint="default"/>
                <w:sz w:val="24"/>
                <w:szCs w:val="24"/>
              </w:rPr>
            </w:pPr>
            <w:r>
              <w:rPr>
                <w:rFonts w:ascii="Arial"/>
                <w:spacing w:val="-1"/>
                <w:sz w:val="24"/>
              </w:rPr>
              <w:t>80,863</w:t>
            </w:r>
          </w:p>
        </w:tc>
      </w:tr>
      <w:tr>
        <w:trPr>
          <w:trHeight w:val="377" w:hRule="exact"/>
        </w:trPr>
        <w:tc>
          <w:tcPr>
            <w:tcW w:w="903"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nil" w:sz="6" w:space="0" w:color="auto"/>
              <w:right w:val="nil" w:sz="6" w:space="0" w:color="auto"/>
            </w:tcBorders>
          </w:tcPr>
          <w:p>
            <w:pPr/>
          </w:p>
        </w:tc>
        <w:tc>
          <w:tcPr>
            <w:tcW w:w="1316"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54"/>
              <w:jc w:val="right"/>
              <w:rPr>
                <w:rFonts w:ascii="Arial" w:hAnsi="Arial" w:cs="Arial" w:eastAsia="Arial" w:hint="default"/>
                <w:sz w:val="24"/>
                <w:szCs w:val="24"/>
              </w:rPr>
            </w:pPr>
            <w:r>
              <w:rPr>
                <w:rFonts w:ascii="Arial"/>
                <w:w w:val="95"/>
                <w:sz w:val="24"/>
              </w:rPr>
              <w:t>126,450</w:t>
            </w:r>
            <w:r>
              <w:rPr>
                <w:rFonts w:ascii="Arial"/>
                <w:sz w:val="24"/>
              </w:rPr>
            </w:r>
          </w:p>
        </w:tc>
        <w:tc>
          <w:tcPr>
            <w:tcW w:w="242" w:type="dxa"/>
            <w:tcBorders>
              <w:top w:val="nil" w:sz="6" w:space="0" w:color="auto"/>
              <w:left w:val="nil" w:sz="6" w:space="0" w:color="auto"/>
              <w:bottom w:val="nil" w:sz="6" w:space="0" w:color="auto"/>
              <w:right w:val="nil" w:sz="6" w:space="0" w:color="auto"/>
            </w:tcBorders>
          </w:tcPr>
          <w:p>
            <w:pPr/>
          </w:p>
        </w:tc>
        <w:tc>
          <w:tcPr>
            <w:tcW w:w="1222"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52"/>
              <w:jc w:val="right"/>
              <w:rPr>
                <w:rFonts w:ascii="Arial" w:hAnsi="Arial" w:cs="Arial" w:eastAsia="Arial" w:hint="default"/>
                <w:sz w:val="24"/>
                <w:szCs w:val="24"/>
              </w:rPr>
            </w:pPr>
            <w:r>
              <w:rPr>
                <w:rFonts w:ascii="Arial"/>
                <w:spacing w:val="-1"/>
                <w:sz w:val="24"/>
              </w:rPr>
              <w:t>88,410</w:t>
            </w:r>
          </w:p>
        </w:tc>
        <w:tc>
          <w:tcPr>
            <w:tcW w:w="238" w:type="dxa"/>
            <w:tcBorders>
              <w:top w:val="nil" w:sz="6" w:space="0" w:color="auto"/>
              <w:left w:val="nil" w:sz="6" w:space="0" w:color="auto"/>
              <w:bottom w:val="nil" w:sz="6" w:space="0" w:color="auto"/>
              <w:right w:val="nil" w:sz="6" w:space="0" w:color="auto"/>
            </w:tcBorders>
          </w:tcPr>
          <w:p>
            <w:pPr/>
          </w:p>
        </w:tc>
        <w:tc>
          <w:tcPr>
            <w:tcW w:w="2197"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52"/>
              <w:jc w:val="right"/>
              <w:rPr>
                <w:rFonts w:ascii="Arial" w:hAnsi="Arial" w:cs="Arial" w:eastAsia="Arial" w:hint="default"/>
                <w:sz w:val="24"/>
                <w:szCs w:val="24"/>
              </w:rPr>
            </w:pPr>
            <w:r>
              <w:rPr>
                <w:rFonts w:ascii="Arial"/>
                <w:spacing w:val="-1"/>
                <w:sz w:val="24"/>
              </w:rPr>
              <w:t>126,450</w:t>
            </w:r>
          </w:p>
        </w:tc>
      </w:tr>
    </w:tbl>
    <w:p>
      <w:pPr>
        <w:spacing w:after="0" w:line="240" w:lineRule="auto"/>
        <w:jc w:val="right"/>
        <w:rPr>
          <w:rFonts w:ascii="Arial" w:hAnsi="Arial" w:cs="Arial" w:eastAsia="Arial"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73"/>
        <w:gridCol w:w="4286"/>
        <w:gridCol w:w="1841"/>
        <w:gridCol w:w="254"/>
        <w:gridCol w:w="1870"/>
      </w:tblGrid>
      <w:tr>
        <w:trPr>
          <w:trHeight w:val="497"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4286" w:type="dxa"/>
            <w:tcBorders>
              <w:top w:val="nil" w:sz="6" w:space="0" w:color="auto"/>
              <w:left w:val="nil" w:sz="6" w:space="0" w:color="auto"/>
              <w:bottom w:val="nil" w:sz="6" w:space="0" w:color="auto"/>
              <w:right w:val="nil" w:sz="6" w:space="0" w:color="auto"/>
            </w:tcBorders>
          </w:tcPr>
          <w:p>
            <w:pPr>
              <w:pStyle w:val="TableParagraph"/>
              <w:spacing w:line="257" w:lineRule="exact"/>
              <w:ind w:left="14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841"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r>
      <w:tr>
        <w:trPr>
          <w:trHeight w:val="745"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(47)</w:t>
            </w:r>
          </w:p>
        </w:tc>
        <w:tc>
          <w:tcPr>
            <w:tcW w:w="4286"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44" w:right="0"/>
              <w:jc w:val="left"/>
              <w:rPr>
                <w:rFonts w:ascii="黑体" w:hAnsi="黑体" w:cs="黑体" w:eastAsia="黑体" w:hint="default"/>
                <w:sz w:val="24"/>
                <w:szCs w:val="24"/>
              </w:rPr>
            </w:pPr>
            <w:r>
              <w:rPr>
                <w:rFonts w:ascii="黑体" w:hAnsi="黑体" w:cs="黑体" w:eastAsia="黑体" w:hint="default"/>
                <w:sz w:val="24"/>
                <w:szCs w:val="24"/>
              </w:rPr>
              <w:t>所得税费用</w:t>
            </w:r>
          </w:p>
        </w:tc>
        <w:tc>
          <w:tcPr>
            <w:tcW w:w="1841"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r>
      <w:tr>
        <w:trPr>
          <w:trHeight w:val="752" w:hRule="exact"/>
        </w:trPr>
        <w:tc>
          <w:tcPr>
            <w:tcW w:w="773" w:type="dxa"/>
            <w:tcBorders>
              <w:top w:val="nil" w:sz="6" w:space="0" w:color="auto"/>
              <w:left w:val="nil" w:sz="6" w:space="0" w:color="auto"/>
              <w:bottom w:val="nil" w:sz="6" w:space="0" w:color="auto"/>
              <w:right w:val="nil" w:sz="6" w:space="0" w:color="auto"/>
            </w:tcBorders>
          </w:tcPr>
          <w:p>
            <w:pPr/>
          </w:p>
        </w:tc>
        <w:tc>
          <w:tcPr>
            <w:tcW w:w="4286"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27"/>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54"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578" w:hRule="exact"/>
        </w:trPr>
        <w:tc>
          <w:tcPr>
            <w:tcW w:w="773" w:type="dxa"/>
            <w:tcBorders>
              <w:top w:val="nil" w:sz="6" w:space="0" w:color="auto"/>
              <w:left w:val="nil" w:sz="6" w:space="0" w:color="auto"/>
              <w:bottom w:val="nil" w:sz="6" w:space="0" w:color="auto"/>
              <w:right w:val="nil" w:sz="6" w:space="0" w:color="auto"/>
            </w:tcBorders>
          </w:tcPr>
          <w:p>
            <w:pPr/>
          </w:p>
        </w:tc>
        <w:tc>
          <w:tcPr>
            <w:tcW w:w="4286"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80" w:right="0"/>
              <w:jc w:val="left"/>
              <w:rPr>
                <w:rFonts w:ascii="宋体" w:hAnsi="宋体" w:cs="宋体" w:eastAsia="宋体" w:hint="default"/>
                <w:sz w:val="24"/>
                <w:szCs w:val="24"/>
              </w:rPr>
            </w:pPr>
            <w:r>
              <w:rPr>
                <w:rFonts w:ascii="宋体" w:hAnsi="宋体" w:cs="宋体" w:eastAsia="宋体" w:hint="default"/>
                <w:sz w:val="24"/>
                <w:szCs w:val="24"/>
              </w:rPr>
              <w:t>当年度所得税</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7"/>
              <w:jc w:val="right"/>
              <w:rPr>
                <w:rFonts w:ascii="Arial" w:hAnsi="Arial" w:cs="Arial" w:eastAsia="Arial" w:hint="default"/>
                <w:sz w:val="24"/>
                <w:szCs w:val="24"/>
              </w:rPr>
            </w:pPr>
            <w:r>
              <w:rPr>
                <w:rFonts w:ascii="Arial"/>
                <w:spacing w:val="-1"/>
                <w:sz w:val="24"/>
              </w:rPr>
              <w:t>1,015,867</w:t>
            </w:r>
          </w:p>
        </w:tc>
        <w:tc>
          <w:tcPr>
            <w:tcW w:w="254"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24"/>
                <w:szCs w:val="24"/>
              </w:rPr>
            </w:pPr>
            <w:r>
              <w:rPr>
                <w:rFonts w:ascii="Arial"/>
                <w:spacing w:val="-1"/>
                <w:sz w:val="24"/>
              </w:rPr>
              <w:t>1,813,658</w:t>
            </w:r>
          </w:p>
        </w:tc>
      </w:tr>
      <w:tr>
        <w:trPr>
          <w:trHeight w:val="383" w:hRule="exact"/>
        </w:trPr>
        <w:tc>
          <w:tcPr>
            <w:tcW w:w="773" w:type="dxa"/>
            <w:tcBorders>
              <w:top w:val="nil" w:sz="6" w:space="0" w:color="auto"/>
              <w:left w:val="nil" w:sz="6" w:space="0" w:color="auto"/>
              <w:bottom w:val="nil" w:sz="6" w:space="0" w:color="auto"/>
              <w:right w:val="nil" w:sz="6" w:space="0" w:color="auto"/>
            </w:tcBorders>
          </w:tcPr>
          <w:p>
            <w:pPr/>
          </w:p>
        </w:tc>
        <w:tc>
          <w:tcPr>
            <w:tcW w:w="4286" w:type="dxa"/>
            <w:tcBorders>
              <w:top w:val="nil" w:sz="6" w:space="0" w:color="auto"/>
              <w:left w:val="nil" w:sz="6" w:space="0" w:color="auto"/>
              <w:bottom w:val="nil" w:sz="6" w:space="0" w:color="auto"/>
              <w:right w:val="nil" w:sz="6" w:space="0" w:color="auto"/>
            </w:tcBorders>
          </w:tcPr>
          <w:p>
            <w:pPr>
              <w:pStyle w:val="TableParagraph"/>
              <w:spacing w:line="302" w:lineRule="exact"/>
              <w:ind w:left="180" w:right="0"/>
              <w:jc w:val="left"/>
              <w:rPr>
                <w:rFonts w:ascii="宋体" w:hAnsi="宋体" w:cs="宋体" w:eastAsia="宋体" w:hint="default"/>
                <w:sz w:val="24"/>
                <w:szCs w:val="24"/>
              </w:rPr>
            </w:pPr>
            <w:r>
              <w:rPr>
                <w:rFonts w:ascii="宋体" w:hAnsi="宋体" w:cs="宋体" w:eastAsia="宋体" w:hint="default"/>
                <w:sz w:val="24"/>
                <w:szCs w:val="24"/>
              </w:rPr>
              <w:t>递延所得税</w:t>
            </w:r>
          </w:p>
        </w:tc>
        <w:tc>
          <w:tcPr>
            <w:tcW w:w="184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43"/>
              <w:jc w:val="right"/>
              <w:rPr>
                <w:rFonts w:ascii="Arial" w:hAnsi="Arial" w:cs="Arial" w:eastAsia="Arial" w:hint="default"/>
                <w:sz w:val="24"/>
                <w:szCs w:val="24"/>
              </w:rPr>
            </w:pPr>
            <w:r>
              <w:rPr>
                <w:rFonts w:ascii="Arial"/>
                <w:spacing w:val="-1"/>
                <w:sz w:val="24"/>
              </w:rPr>
              <w:t>(279,731)</w:t>
            </w:r>
          </w:p>
        </w:tc>
        <w:tc>
          <w:tcPr>
            <w:tcW w:w="254"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3"/>
              <w:jc w:val="right"/>
              <w:rPr>
                <w:rFonts w:ascii="Arial" w:hAnsi="Arial" w:cs="Arial" w:eastAsia="Arial" w:hint="default"/>
                <w:sz w:val="24"/>
                <w:szCs w:val="24"/>
              </w:rPr>
            </w:pPr>
            <w:r>
              <w:rPr>
                <w:rFonts w:ascii="Arial"/>
                <w:spacing w:val="-1"/>
                <w:sz w:val="24"/>
              </w:rPr>
              <w:t>(226,438)</w:t>
            </w:r>
          </w:p>
        </w:tc>
      </w:tr>
      <w:tr>
        <w:trPr>
          <w:trHeight w:val="377" w:hRule="exact"/>
        </w:trPr>
        <w:tc>
          <w:tcPr>
            <w:tcW w:w="773" w:type="dxa"/>
            <w:tcBorders>
              <w:top w:val="nil" w:sz="6" w:space="0" w:color="auto"/>
              <w:left w:val="nil" w:sz="6" w:space="0" w:color="auto"/>
              <w:bottom w:val="nil" w:sz="6" w:space="0" w:color="auto"/>
              <w:right w:val="nil" w:sz="6" w:space="0" w:color="auto"/>
            </w:tcBorders>
          </w:tcPr>
          <w:p>
            <w:pPr/>
          </w:p>
        </w:tc>
        <w:tc>
          <w:tcPr>
            <w:tcW w:w="4286" w:type="dxa"/>
            <w:tcBorders>
              <w:top w:val="nil" w:sz="6" w:space="0" w:color="auto"/>
              <w:left w:val="nil" w:sz="6" w:space="0" w:color="auto"/>
              <w:bottom w:val="nil" w:sz="6" w:space="0" w:color="auto"/>
              <w:right w:val="nil" w:sz="6" w:space="0" w:color="auto"/>
            </w:tcBorders>
          </w:tcPr>
          <w:p>
            <w:pPr/>
          </w:p>
        </w:tc>
        <w:tc>
          <w:tcPr>
            <w:tcW w:w="1841"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28"/>
              <w:jc w:val="right"/>
              <w:rPr>
                <w:rFonts w:ascii="Arial" w:hAnsi="Arial" w:cs="Arial" w:eastAsia="Arial" w:hint="default"/>
                <w:sz w:val="24"/>
                <w:szCs w:val="24"/>
              </w:rPr>
            </w:pPr>
            <w:r>
              <w:rPr>
                <w:rFonts w:ascii="Arial"/>
                <w:spacing w:val="-1"/>
                <w:sz w:val="24"/>
              </w:rPr>
              <w:t>736,136</w:t>
            </w:r>
          </w:p>
        </w:tc>
        <w:tc>
          <w:tcPr>
            <w:tcW w:w="254"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4"/>
              <w:jc w:val="right"/>
              <w:rPr>
                <w:rFonts w:ascii="Arial" w:hAnsi="Arial" w:cs="Arial" w:eastAsia="Arial" w:hint="default"/>
                <w:sz w:val="24"/>
                <w:szCs w:val="24"/>
              </w:rPr>
            </w:pPr>
            <w:r>
              <w:rPr>
                <w:rFonts w:ascii="Arial"/>
                <w:spacing w:val="-1"/>
                <w:sz w:val="24"/>
              </w:rPr>
              <w:t>1,587,220</w:t>
            </w:r>
          </w:p>
        </w:tc>
      </w:tr>
      <w:tr>
        <w:trPr>
          <w:trHeight w:val="1260" w:hRule="exact"/>
        </w:trPr>
        <w:tc>
          <w:tcPr>
            <w:tcW w:w="773" w:type="dxa"/>
            <w:tcBorders>
              <w:top w:val="nil" w:sz="6" w:space="0" w:color="auto"/>
              <w:left w:val="nil" w:sz="6" w:space="0" w:color="auto"/>
              <w:bottom w:val="nil" w:sz="6" w:space="0" w:color="auto"/>
              <w:right w:val="nil" w:sz="6" w:space="0" w:color="auto"/>
            </w:tcBorders>
          </w:tcPr>
          <w:p>
            <w:pPr/>
          </w:p>
        </w:tc>
        <w:tc>
          <w:tcPr>
            <w:tcW w:w="825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5"/>
                <w:szCs w:val="35"/>
              </w:rPr>
            </w:pPr>
          </w:p>
          <w:p>
            <w:pPr>
              <w:pStyle w:val="TableParagraph"/>
              <w:spacing w:line="310" w:lineRule="exact"/>
              <w:ind w:left="144" w:right="114"/>
              <w:jc w:val="left"/>
              <w:rPr>
                <w:rFonts w:ascii="宋体" w:hAnsi="宋体" w:cs="宋体" w:eastAsia="宋体" w:hint="default"/>
                <w:sz w:val="24"/>
                <w:szCs w:val="24"/>
              </w:rPr>
            </w:pPr>
            <w:r>
              <w:rPr>
                <w:rFonts w:ascii="宋体" w:hAnsi="宋体" w:cs="宋体" w:eastAsia="宋体" w:hint="default"/>
                <w:spacing w:val="9"/>
                <w:sz w:val="24"/>
                <w:szCs w:val="24"/>
              </w:rPr>
              <w:t>将基于合并利润表的利润总额采用适用税率计算的所得税调节为所得税费</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用：</w:t>
            </w:r>
          </w:p>
        </w:tc>
      </w:tr>
      <w:tr>
        <w:trPr>
          <w:trHeight w:val="763" w:hRule="exact"/>
        </w:trPr>
        <w:tc>
          <w:tcPr>
            <w:tcW w:w="773" w:type="dxa"/>
            <w:tcBorders>
              <w:top w:val="nil" w:sz="6" w:space="0" w:color="auto"/>
              <w:left w:val="nil" w:sz="6" w:space="0" w:color="auto"/>
              <w:bottom w:val="nil" w:sz="6" w:space="0" w:color="auto"/>
              <w:right w:val="nil" w:sz="6" w:space="0" w:color="auto"/>
            </w:tcBorders>
          </w:tcPr>
          <w:p>
            <w:pPr/>
          </w:p>
        </w:tc>
        <w:tc>
          <w:tcPr>
            <w:tcW w:w="4286"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90"/>
              <w:ind w:right="87"/>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54"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90"/>
              <w:ind w:right="10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569" w:hRule="exact"/>
        </w:trPr>
        <w:tc>
          <w:tcPr>
            <w:tcW w:w="773" w:type="dxa"/>
            <w:tcBorders>
              <w:top w:val="nil" w:sz="6" w:space="0" w:color="auto"/>
              <w:left w:val="nil" w:sz="6" w:space="0" w:color="auto"/>
              <w:bottom w:val="nil" w:sz="6" w:space="0" w:color="auto"/>
              <w:right w:val="nil" w:sz="6" w:space="0" w:color="auto"/>
            </w:tcBorders>
          </w:tcPr>
          <w:p>
            <w:pPr/>
          </w:p>
        </w:tc>
        <w:tc>
          <w:tcPr>
            <w:tcW w:w="4286"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44"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184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89"/>
              <w:jc w:val="right"/>
              <w:rPr>
                <w:rFonts w:ascii="Arial" w:hAnsi="Arial" w:cs="Arial" w:eastAsia="Arial" w:hint="default"/>
                <w:sz w:val="24"/>
                <w:szCs w:val="24"/>
              </w:rPr>
            </w:pPr>
            <w:r>
              <w:rPr>
                <w:rFonts w:ascii="Arial"/>
                <w:spacing w:val="-1"/>
                <w:sz w:val="24"/>
              </w:rPr>
              <w:t>3,241,598</w:t>
            </w:r>
          </w:p>
        </w:tc>
        <w:tc>
          <w:tcPr>
            <w:tcW w:w="254"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24"/>
                <w:szCs w:val="24"/>
              </w:rPr>
            </w:pPr>
            <w:r>
              <w:rPr>
                <w:rFonts w:ascii="Arial"/>
                <w:spacing w:val="-1"/>
                <w:sz w:val="24"/>
              </w:rPr>
              <w:t>6,473,226</w:t>
            </w:r>
          </w:p>
        </w:tc>
      </w:tr>
      <w:tr>
        <w:trPr>
          <w:trHeight w:val="411" w:hRule="exact"/>
        </w:trPr>
        <w:tc>
          <w:tcPr>
            <w:tcW w:w="773" w:type="dxa"/>
            <w:tcBorders>
              <w:top w:val="nil" w:sz="6" w:space="0" w:color="auto"/>
              <w:left w:val="nil" w:sz="6" w:space="0" w:color="auto"/>
              <w:bottom w:val="nil" w:sz="6" w:space="0" w:color="auto"/>
              <w:right w:val="nil" w:sz="6" w:space="0" w:color="auto"/>
            </w:tcBorders>
          </w:tcPr>
          <w:p>
            <w:pPr/>
          </w:p>
        </w:tc>
        <w:tc>
          <w:tcPr>
            <w:tcW w:w="428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44" w:right="0"/>
              <w:jc w:val="left"/>
              <w:rPr>
                <w:rFonts w:ascii="宋体" w:hAnsi="宋体" w:cs="宋体" w:eastAsia="宋体" w:hint="default"/>
                <w:sz w:val="24"/>
                <w:szCs w:val="24"/>
              </w:rPr>
            </w:pPr>
            <w:r>
              <w:rPr>
                <w:rFonts w:ascii="宋体" w:hAnsi="宋体" w:cs="宋体" w:eastAsia="宋体" w:hint="default"/>
                <w:sz w:val="24"/>
                <w:szCs w:val="24"/>
              </w:rPr>
              <w:t>按适用税率计算的所得税</w:t>
            </w:r>
          </w:p>
        </w:tc>
        <w:tc>
          <w:tcPr>
            <w:tcW w:w="184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9"/>
              <w:jc w:val="right"/>
              <w:rPr>
                <w:rFonts w:ascii="Arial" w:hAnsi="Arial" w:cs="Arial" w:eastAsia="Arial" w:hint="default"/>
                <w:sz w:val="24"/>
                <w:szCs w:val="24"/>
              </w:rPr>
            </w:pPr>
            <w:r>
              <w:rPr>
                <w:rFonts w:ascii="Arial"/>
                <w:spacing w:val="-1"/>
                <w:sz w:val="24"/>
              </w:rPr>
              <w:t>792,388</w:t>
            </w:r>
          </w:p>
        </w:tc>
        <w:tc>
          <w:tcPr>
            <w:tcW w:w="254"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5"/>
              <w:jc w:val="right"/>
              <w:rPr>
                <w:rFonts w:ascii="Arial" w:hAnsi="Arial" w:cs="Arial" w:eastAsia="Arial" w:hint="default"/>
                <w:sz w:val="24"/>
                <w:szCs w:val="24"/>
              </w:rPr>
            </w:pPr>
            <w:r>
              <w:rPr>
                <w:rFonts w:ascii="Arial"/>
                <w:spacing w:val="-1"/>
                <w:sz w:val="24"/>
              </w:rPr>
              <w:t>1,618,307</w:t>
            </w:r>
          </w:p>
        </w:tc>
      </w:tr>
      <w:tr>
        <w:trPr>
          <w:trHeight w:val="391" w:hRule="exact"/>
        </w:trPr>
        <w:tc>
          <w:tcPr>
            <w:tcW w:w="773" w:type="dxa"/>
            <w:tcBorders>
              <w:top w:val="nil" w:sz="6" w:space="0" w:color="auto"/>
              <w:left w:val="nil" w:sz="6" w:space="0" w:color="auto"/>
              <w:bottom w:val="nil" w:sz="6" w:space="0" w:color="auto"/>
              <w:right w:val="nil" w:sz="6" w:space="0" w:color="auto"/>
            </w:tcBorders>
          </w:tcPr>
          <w:p>
            <w:pPr/>
          </w:p>
        </w:tc>
        <w:tc>
          <w:tcPr>
            <w:tcW w:w="4286" w:type="dxa"/>
            <w:tcBorders>
              <w:top w:val="nil" w:sz="6" w:space="0" w:color="auto"/>
              <w:left w:val="nil" w:sz="6" w:space="0" w:color="auto"/>
              <w:bottom w:val="nil" w:sz="6" w:space="0" w:color="auto"/>
              <w:right w:val="nil" w:sz="6" w:space="0" w:color="auto"/>
            </w:tcBorders>
          </w:tcPr>
          <w:p>
            <w:pPr>
              <w:pStyle w:val="TableParagraph"/>
              <w:spacing w:line="303" w:lineRule="exact"/>
              <w:ind w:left="144" w:right="0"/>
              <w:jc w:val="left"/>
              <w:rPr>
                <w:rFonts w:ascii="宋体" w:hAnsi="宋体" w:cs="宋体" w:eastAsia="宋体" w:hint="default"/>
                <w:sz w:val="24"/>
                <w:szCs w:val="24"/>
              </w:rPr>
            </w:pPr>
            <w:r>
              <w:rPr>
                <w:rFonts w:ascii="宋体" w:hAnsi="宋体" w:cs="宋体" w:eastAsia="宋体" w:hint="default"/>
                <w:sz w:val="24"/>
                <w:szCs w:val="24"/>
              </w:rPr>
              <w:t>部分子公司之优惠税率影响</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7"/>
              <w:jc w:val="right"/>
              <w:rPr>
                <w:rFonts w:ascii="Arial" w:hAnsi="Arial" w:cs="Arial" w:eastAsia="Arial" w:hint="default"/>
                <w:sz w:val="24"/>
                <w:szCs w:val="24"/>
              </w:rPr>
            </w:pPr>
            <w:r>
              <w:rPr>
                <w:rFonts w:ascii="Arial"/>
                <w:spacing w:val="-1"/>
                <w:sz w:val="24"/>
              </w:rPr>
              <w:t>(71,130)</w:t>
            </w:r>
          </w:p>
        </w:tc>
        <w:tc>
          <w:tcPr>
            <w:tcW w:w="254"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1"/>
              <w:jc w:val="right"/>
              <w:rPr>
                <w:rFonts w:ascii="Arial" w:hAnsi="Arial" w:cs="Arial" w:eastAsia="Arial" w:hint="default"/>
                <w:sz w:val="24"/>
                <w:szCs w:val="24"/>
              </w:rPr>
            </w:pPr>
            <w:r>
              <w:rPr>
                <w:rFonts w:ascii="Arial"/>
                <w:spacing w:val="-1"/>
                <w:sz w:val="24"/>
              </w:rPr>
              <w:t>(65,378)</w:t>
            </w:r>
          </w:p>
        </w:tc>
      </w:tr>
      <w:tr>
        <w:trPr>
          <w:trHeight w:val="391" w:hRule="exact"/>
        </w:trPr>
        <w:tc>
          <w:tcPr>
            <w:tcW w:w="773" w:type="dxa"/>
            <w:tcBorders>
              <w:top w:val="nil" w:sz="6" w:space="0" w:color="auto"/>
              <w:left w:val="nil" w:sz="6" w:space="0" w:color="auto"/>
              <w:bottom w:val="nil" w:sz="6" w:space="0" w:color="auto"/>
              <w:right w:val="nil" w:sz="6" w:space="0" w:color="auto"/>
            </w:tcBorders>
          </w:tcPr>
          <w:p>
            <w:pPr/>
          </w:p>
        </w:tc>
        <w:tc>
          <w:tcPr>
            <w:tcW w:w="4286" w:type="dxa"/>
            <w:tcBorders>
              <w:top w:val="nil" w:sz="6" w:space="0" w:color="auto"/>
              <w:left w:val="nil" w:sz="6" w:space="0" w:color="auto"/>
              <w:bottom w:val="nil" w:sz="6" w:space="0" w:color="auto"/>
              <w:right w:val="nil" w:sz="6" w:space="0" w:color="auto"/>
            </w:tcBorders>
          </w:tcPr>
          <w:p>
            <w:pPr>
              <w:pStyle w:val="TableParagraph"/>
              <w:spacing w:line="303" w:lineRule="exact"/>
              <w:ind w:left="144" w:right="0"/>
              <w:jc w:val="left"/>
              <w:rPr>
                <w:rFonts w:ascii="宋体" w:hAnsi="宋体" w:cs="宋体" w:eastAsia="宋体" w:hint="default"/>
                <w:sz w:val="24"/>
                <w:szCs w:val="24"/>
              </w:rPr>
            </w:pPr>
            <w:r>
              <w:rPr>
                <w:rFonts w:ascii="宋体" w:hAnsi="宋体" w:cs="宋体" w:eastAsia="宋体" w:hint="default"/>
                <w:sz w:val="24"/>
                <w:szCs w:val="24"/>
              </w:rPr>
              <w:t>税率变动的影响</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4"/>
              <w:jc w:val="right"/>
              <w:rPr>
                <w:rFonts w:ascii="Arial" w:hAnsi="Arial" w:cs="Arial" w:eastAsia="Arial" w:hint="default"/>
                <w:sz w:val="24"/>
                <w:szCs w:val="24"/>
              </w:rPr>
            </w:pPr>
            <w:r>
              <w:rPr>
                <w:rFonts w:ascii="Arial"/>
                <w:spacing w:val="-1"/>
                <w:sz w:val="24"/>
              </w:rPr>
              <w:t>(18,010)</w:t>
            </w:r>
          </w:p>
        </w:tc>
        <w:tc>
          <w:tcPr>
            <w:tcW w:w="254"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0"/>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773" w:type="dxa"/>
            <w:tcBorders>
              <w:top w:val="nil" w:sz="6" w:space="0" w:color="auto"/>
              <w:left w:val="nil" w:sz="6" w:space="0" w:color="auto"/>
              <w:bottom w:val="nil" w:sz="6" w:space="0" w:color="auto"/>
              <w:right w:val="nil" w:sz="6" w:space="0" w:color="auto"/>
            </w:tcBorders>
          </w:tcPr>
          <w:p>
            <w:pPr/>
          </w:p>
        </w:tc>
        <w:tc>
          <w:tcPr>
            <w:tcW w:w="4286" w:type="dxa"/>
            <w:tcBorders>
              <w:top w:val="nil" w:sz="6" w:space="0" w:color="auto"/>
              <w:left w:val="nil" w:sz="6" w:space="0" w:color="auto"/>
              <w:bottom w:val="nil" w:sz="6" w:space="0" w:color="auto"/>
              <w:right w:val="nil" w:sz="6" w:space="0" w:color="auto"/>
            </w:tcBorders>
          </w:tcPr>
          <w:p>
            <w:pPr>
              <w:pStyle w:val="TableParagraph"/>
              <w:spacing w:line="303" w:lineRule="exact"/>
              <w:ind w:left="144" w:right="0"/>
              <w:jc w:val="left"/>
              <w:rPr>
                <w:rFonts w:ascii="宋体" w:hAnsi="宋体" w:cs="宋体" w:eastAsia="宋体" w:hint="default"/>
                <w:sz w:val="24"/>
                <w:szCs w:val="24"/>
              </w:rPr>
            </w:pPr>
            <w:r>
              <w:rPr>
                <w:rFonts w:ascii="宋体" w:hAnsi="宋体" w:cs="宋体" w:eastAsia="宋体" w:hint="default"/>
                <w:sz w:val="24"/>
                <w:szCs w:val="24"/>
              </w:rPr>
              <w:t>非应纳税收入</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
              <w:jc w:val="right"/>
              <w:rPr>
                <w:rFonts w:ascii="Arial" w:hAnsi="Arial" w:cs="Arial" w:eastAsia="Arial" w:hint="default"/>
                <w:sz w:val="24"/>
                <w:szCs w:val="24"/>
              </w:rPr>
            </w:pPr>
            <w:r>
              <w:rPr>
                <w:rFonts w:ascii="Arial"/>
                <w:spacing w:val="-3"/>
                <w:sz w:val="24"/>
              </w:rPr>
              <w:t>(14,113)</w:t>
            </w:r>
          </w:p>
        </w:tc>
        <w:tc>
          <w:tcPr>
            <w:tcW w:w="254"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0"/>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773" w:type="dxa"/>
            <w:tcBorders>
              <w:top w:val="nil" w:sz="6" w:space="0" w:color="auto"/>
              <w:left w:val="nil" w:sz="6" w:space="0" w:color="auto"/>
              <w:bottom w:val="nil" w:sz="6" w:space="0" w:color="auto"/>
              <w:right w:val="nil" w:sz="6" w:space="0" w:color="auto"/>
            </w:tcBorders>
          </w:tcPr>
          <w:p>
            <w:pPr/>
          </w:p>
        </w:tc>
        <w:tc>
          <w:tcPr>
            <w:tcW w:w="4286" w:type="dxa"/>
            <w:tcBorders>
              <w:top w:val="nil" w:sz="6" w:space="0" w:color="auto"/>
              <w:left w:val="nil" w:sz="6" w:space="0" w:color="auto"/>
              <w:bottom w:val="nil" w:sz="6" w:space="0" w:color="auto"/>
              <w:right w:val="nil" w:sz="6" w:space="0" w:color="auto"/>
            </w:tcBorders>
          </w:tcPr>
          <w:p>
            <w:pPr>
              <w:pStyle w:val="TableParagraph"/>
              <w:spacing w:line="303" w:lineRule="exact"/>
              <w:ind w:left="144" w:right="0"/>
              <w:jc w:val="left"/>
              <w:rPr>
                <w:rFonts w:ascii="宋体" w:hAnsi="宋体" w:cs="宋体" w:eastAsia="宋体" w:hint="default"/>
                <w:sz w:val="24"/>
                <w:szCs w:val="24"/>
              </w:rPr>
            </w:pPr>
            <w:r>
              <w:rPr>
                <w:rFonts w:ascii="宋体" w:hAnsi="宋体" w:cs="宋体" w:eastAsia="宋体" w:hint="default"/>
                <w:sz w:val="24"/>
                <w:szCs w:val="24"/>
              </w:rPr>
              <w:t>不得扣除的成本、费用和损失</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8"/>
              <w:jc w:val="right"/>
              <w:rPr>
                <w:rFonts w:ascii="Arial" w:hAnsi="Arial" w:cs="Arial" w:eastAsia="Arial" w:hint="default"/>
                <w:sz w:val="24"/>
                <w:szCs w:val="24"/>
              </w:rPr>
            </w:pPr>
            <w:r>
              <w:rPr>
                <w:rFonts w:ascii="Arial"/>
                <w:spacing w:val="-4"/>
                <w:sz w:val="24"/>
              </w:rPr>
              <w:t>24,114</w:t>
            </w:r>
          </w:p>
        </w:tc>
        <w:tc>
          <w:tcPr>
            <w:tcW w:w="254"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spacing w:val="-1"/>
                <w:sz w:val="24"/>
              </w:rPr>
              <w:t>32,814</w:t>
            </w:r>
          </w:p>
        </w:tc>
      </w:tr>
      <w:tr>
        <w:trPr>
          <w:trHeight w:val="391" w:hRule="exact"/>
        </w:trPr>
        <w:tc>
          <w:tcPr>
            <w:tcW w:w="773" w:type="dxa"/>
            <w:tcBorders>
              <w:top w:val="nil" w:sz="6" w:space="0" w:color="auto"/>
              <w:left w:val="nil" w:sz="6" w:space="0" w:color="auto"/>
              <w:bottom w:val="nil" w:sz="6" w:space="0" w:color="auto"/>
              <w:right w:val="nil" w:sz="6" w:space="0" w:color="auto"/>
            </w:tcBorders>
          </w:tcPr>
          <w:p>
            <w:pPr/>
          </w:p>
        </w:tc>
        <w:tc>
          <w:tcPr>
            <w:tcW w:w="4286" w:type="dxa"/>
            <w:tcBorders>
              <w:top w:val="nil" w:sz="6" w:space="0" w:color="auto"/>
              <w:left w:val="nil" w:sz="6" w:space="0" w:color="auto"/>
              <w:bottom w:val="nil" w:sz="6" w:space="0" w:color="auto"/>
              <w:right w:val="nil" w:sz="6" w:space="0" w:color="auto"/>
            </w:tcBorders>
          </w:tcPr>
          <w:p>
            <w:pPr>
              <w:pStyle w:val="TableParagraph"/>
              <w:spacing w:line="303" w:lineRule="exact"/>
              <w:ind w:left="144" w:right="0"/>
              <w:jc w:val="left"/>
              <w:rPr>
                <w:rFonts w:ascii="宋体" w:hAnsi="宋体" w:cs="宋体" w:eastAsia="宋体" w:hint="default"/>
                <w:sz w:val="24"/>
                <w:szCs w:val="24"/>
              </w:rPr>
            </w:pPr>
            <w:r>
              <w:rPr>
                <w:rFonts w:ascii="宋体" w:hAnsi="宋体" w:cs="宋体" w:eastAsia="宋体" w:hint="default"/>
                <w:sz w:val="24"/>
                <w:szCs w:val="24"/>
              </w:rPr>
              <w:t>所得税汇算清缴差异</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
              <w:jc w:val="right"/>
              <w:rPr>
                <w:rFonts w:ascii="Arial" w:hAnsi="Arial" w:cs="Arial" w:eastAsia="Arial" w:hint="default"/>
                <w:sz w:val="24"/>
                <w:szCs w:val="24"/>
              </w:rPr>
            </w:pPr>
            <w:r>
              <w:rPr>
                <w:rFonts w:ascii="Arial"/>
                <w:sz w:val="24"/>
              </w:rPr>
              <w:t>(7,388)</w:t>
            </w:r>
          </w:p>
        </w:tc>
        <w:tc>
          <w:tcPr>
            <w:tcW w:w="254"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4"/>
              <w:jc w:val="right"/>
              <w:rPr>
                <w:rFonts w:ascii="Arial" w:hAnsi="Arial" w:cs="Arial" w:eastAsia="Arial" w:hint="default"/>
                <w:sz w:val="24"/>
                <w:szCs w:val="24"/>
              </w:rPr>
            </w:pPr>
            <w:r>
              <w:rPr>
                <w:rFonts w:ascii="Arial"/>
                <w:spacing w:val="-1"/>
                <w:sz w:val="24"/>
              </w:rPr>
              <w:t>1,477</w:t>
            </w:r>
          </w:p>
        </w:tc>
      </w:tr>
      <w:tr>
        <w:trPr>
          <w:trHeight w:val="702" w:hRule="exact"/>
        </w:trPr>
        <w:tc>
          <w:tcPr>
            <w:tcW w:w="773" w:type="dxa"/>
            <w:tcBorders>
              <w:top w:val="nil" w:sz="6" w:space="0" w:color="auto"/>
              <w:left w:val="nil" w:sz="6" w:space="0" w:color="auto"/>
              <w:bottom w:val="nil" w:sz="6" w:space="0" w:color="auto"/>
              <w:right w:val="nil" w:sz="6" w:space="0" w:color="auto"/>
            </w:tcBorders>
          </w:tcPr>
          <w:p>
            <w:pPr/>
          </w:p>
        </w:tc>
        <w:tc>
          <w:tcPr>
            <w:tcW w:w="4286" w:type="dxa"/>
            <w:tcBorders>
              <w:top w:val="nil" w:sz="6" w:space="0" w:color="auto"/>
              <w:left w:val="nil" w:sz="6" w:space="0" w:color="auto"/>
              <w:bottom w:val="nil" w:sz="6" w:space="0" w:color="auto"/>
              <w:right w:val="nil" w:sz="6" w:space="0" w:color="auto"/>
            </w:tcBorders>
          </w:tcPr>
          <w:p>
            <w:pPr>
              <w:pStyle w:val="TableParagraph"/>
              <w:spacing w:line="310" w:lineRule="exact" w:before="20"/>
              <w:ind w:left="428" w:right="106" w:hanging="284"/>
              <w:jc w:val="left"/>
              <w:rPr>
                <w:rFonts w:ascii="宋体" w:hAnsi="宋体" w:cs="宋体" w:eastAsia="宋体" w:hint="default"/>
                <w:sz w:val="24"/>
                <w:szCs w:val="24"/>
              </w:rPr>
            </w:pPr>
            <w:r>
              <w:rPr>
                <w:rFonts w:ascii="宋体" w:hAnsi="宋体" w:cs="宋体" w:eastAsia="宋体" w:hint="default"/>
                <w:spacing w:val="12"/>
                <w:sz w:val="24"/>
                <w:szCs w:val="24"/>
              </w:rPr>
              <w:t>当期未确认递延所得税资产的暂时性 </w:t>
            </w:r>
            <w:r>
              <w:rPr>
                <w:rFonts w:ascii="宋体" w:hAnsi="宋体" w:cs="宋体" w:eastAsia="宋体" w:hint="default"/>
                <w:sz w:val="24"/>
                <w:szCs w:val="24"/>
              </w:rPr>
              <w:t>差异</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79"/>
              <w:jc w:val="right"/>
              <w:rPr>
                <w:rFonts w:ascii="Arial" w:hAnsi="Arial" w:cs="Arial" w:eastAsia="Arial" w:hint="default"/>
                <w:sz w:val="24"/>
                <w:szCs w:val="24"/>
              </w:rPr>
            </w:pPr>
            <w:r>
              <w:rPr>
                <w:rFonts w:ascii="Arial"/>
                <w:spacing w:val="-1"/>
                <w:sz w:val="24"/>
              </w:rPr>
              <w:t>10,433</w:t>
            </w:r>
          </w:p>
        </w:tc>
        <w:tc>
          <w:tcPr>
            <w:tcW w:w="254"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150"/>
              <w:jc w:val="right"/>
              <w:rPr>
                <w:rFonts w:ascii="Arial" w:hAnsi="Arial" w:cs="Arial" w:eastAsia="Arial" w:hint="default"/>
                <w:sz w:val="24"/>
                <w:szCs w:val="24"/>
              </w:rPr>
            </w:pPr>
            <w:r>
              <w:rPr>
                <w:rFonts w:ascii="Arial"/>
                <w:w w:val="99"/>
                <w:sz w:val="24"/>
              </w:rPr>
              <w:t>-</w:t>
            </w:r>
            <w:r>
              <w:rPr>
                <w:rFonts w:ascii="Arial"/>
                <w:sz w:val="24"/>
              </w:rPr>
            </w:r>
          </w:p>
        </w:tc>
      </w:tr>
      <w:tr>
        <w:trPr>
          <w:trHeight w:val="695" w:hRule="exact"/>
        </w:trPr>
        <w:tc>
          <w:tcPr>
            <w:tcW w:w="773" w:type="dxa"/>
            <w:tcBorders>
              <w:top w:val="nil" w:sz="6" w:space="0" w:color="auto"/>
              <w:left w:val="nil" w:sz="6" w:space="0" w:color="auto"/>
              <w:bottom w:val="nil" w:sz="6" w:space="0" w:color="auto"/>
              <w:right w:val="nil" w:sz="6" w:space="0" w:color="auto"/>
            </w:tcBorders>
          </w:tcPr>
          <w:p>
            <w:pPr/>
          </w:p>
        </w:tc>
        <w:tc>
          <w:tcPr>
            <w:tcW w:w="4286" w:type="dxa"/>
            <w:tcBorders>
              <w:top w:val="nil" w:sz="6" w:space="0" w:color="auto"/>
              <w:left w:val="nil" w:sz="6" w:space="0" w:color="auto"/>
              <w:bottom w:val="nil" w:sz="6" w:space="0" w:color="auto"/>
              <w:right w:val="nil" w:sz="6" w:space="0" w:color="auto"/>
            </w:tcBorders>
          </w:tcPr>
          <w:p>
            <w:pPr>
              <w:pStyle w:val="TableParagraph"/>
              <w:spacing w:line="312" w:lineRule="exact" w:before="18"/>
              <w:ind w:left="416" w:right="108" w:hanging="272"/>
              <w:jc w:val="left"/>
              <w:rPr>
                <w:rFonts w:ascii="宋体" w:hAnsi="宋体" w:cs="宋体" w:eastAsia="宋体" w:hint="default"/>
                <w:sz w:val="24"/>
                <w:szCs w:val="24"/>
              </w:rPr>
            </w:pPr>
            <w:r>
              <w:rPr>
                <w:rFonts w:ascii="宋体" w:hAnsi="宋体" w:cs="宋体" w:eastAsia="宋体" w:hint="default"/>
                <w:spacing w:val="12"/>
                <w:sz w:val="24"/>
                <w:szCs w:val="24"/>
              </w:rPr>
              <w:t>当期未确认递延所得税资产的可抵扣 </w:t>
            </w:r>
            <w:r>
              <w:rPr>
                <w:rFonts w:ascii="宋体" w:hAnsi="宋体" w:cs="宋体" w:eastAsia="宋体" w:hint="default"/>
                <w:sz w:val="24"/>
                <w:szCs w:val="24"/>
              </w:rPr>
              <w:t>亏损</w:t>
            </w:r>
          </w:p>
        </w:tc>
        <w:tc>
          <w:tcPr>
            <w:tcW w:w="184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right="79"/>
              <w:jc w:val="right"/>
              <w:rPr>
                <w:rFonts w:ascii="Arial" w:hAnsi="Arial" w:cs="Arial" w:eastAsia="Arial" w:hint="default"/>
                <w:sz w:val="24"/>
                <w:szCs w:val="24"/>
              </w:rPr>
            </w:pPr>
            <w:r>
              <w:rPr>
                <w:rFonts w:ascii="Arial"/>
                <w:spacing w:val="-1"/>
                <w:sz w:val="24"/>
              </w:rPr>
              <w:t>19,842</w:t>
            </w:r>
          </w:p>
        </w:tc>
        <w:tc>
          <w:tcPr>
            <w:tcW w:w="254"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240" w:lineRule="auto"/>
              <w:ind w:right="150"/>
              <w:jc w:val="right"/>
              <w:rPr>
                <w:rFonts w:ascii="Arial" w:hAnsi="Arial" w:cs="Arial" w:eastAsia="Arial" w:hint="default"/>
                <w:sz w:val="24"/>
                <w:szCs w:val="24"/>
              </w:rPr>
            </w:pPr>
            <w:r>
              <w:rPr>
                <w:rFonts w:ascii="Arial"/>
                <w:w w:val="99"/>
                <w:sz w:val="24"/>
              </w:rPr>
              <w:t>-</w:t>
            </w:r>
            <w:r>
              <w:rPr>
                <w:rFonts w:ascii="Arial"/>
                <w:sz w:val="24"/>
              </w:rPr>
            </w:r>
          </w:p>
        </w:tc>
      </w:tr>
      <w:tr>
        <w:trPr>
          <w:trHeight w:val="410" w:hRule="exact"/>
        </w:trPr>
        <w:tc>
          <w:tcPr>
            <w:tcW w:w="773" w:type="dxa"/>
            <w:tcBorders>
              <w:top w:val="nil" w:sz="6" w:space="0" w:color="auto"/>
              <w:left w:val="nil" w:sz="6" w:space="0" w:color="auto"/>
              <w:bottom w:val="nil" w:sz="6" w:space="0" w:color="auto"/>
              <w:right w:val="nil" w:sz="6" w:space="0" w:color="auto"/>
            </w:tcBorders>
          </w:tcPr>
          <w:p>
            <w:pPr/>
          </w:p>
        </w:tc>
        <w:tc>
          <w:tcPr>
            <w:tcW w:w="42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4"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1841"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91"/>
              <w:jc w:val="right"/>
              <w:rPr>
                <w:rFonts w:ascii="Arial" w:hAnsi="Arial" w:cs="Arial" w:eastAsia="Arial" w:hint="default"/>
                <w:sz w:val="24"/>
                <w:szCs w:val="24"/>
              </w:rPr>
            </w:pPr>
            <w:r>
              <w:rPr>
                <w:rFonts w:ascii="Arial"/>
                <w:spacing w:val="-1"/>
                <w:sz w:val="24"/>
              </w:rPr>
              <w:t>736,136</w:t>
            </w:r>
          </w:p>
        </w:tc>
        <w:tc>
          <w:tcPr>
            <w:tcW w:w="254"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104"/>
              <w:jc w:val="right"/>
              <w:rPr>
                <w:rFonts w:ascii="Arial" w:hAnsi="Arial" w:cs="Arial" w:eastAsia="Arial" w:hint="default"/>
                <w:sz w:val="24"/>
                <w:szCs w:val="24"/>
              </w:rPr>
            </w:pPr>
            <w:r>
              <w:rPr>
                <w:rFonts w:ascii="Arial"/>
                <w:spacing w:val="-1"/>
                <w:sz w:val="24"/>
              </w:rPr>
              <w:t>1,587,220</w:t>
            </w:r>
          </w:p>
        </w:tc>
      </w:tr>
    </w:tbl>
    <w:p>
      <w:pPr>
        <w:spacing w:after="0" w:line="240" w:lineRule="auto"/>
        <w:jc w:val="right"/>
        <w:rPr>
          <w:rFonts w:ascii="Arial" w:hAnsi="Arial" w:cs="Arial" w:eastAsia="Arial" w:hint="default"/>
          <w:sz w:val="24"/>
          <w:szCs w:val="24"/>
        </w:rPr>
        <w:sectPr>
          <w:footerReference w:type="default" r:id="rId98"/>
          <w:pgSz w:w="11910" w:h="16850"/>
          <w:pgMar w:footer="1340" w:header="795" w:top="2020" w:bottom="1540" w:left="1420" w:right="0"/>
          <w:pgNumType w:start="191"/>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806"/>
        <w:gridCol w:w="4514"/>
        <w:gridCol w:w="1802"/>
        <w:gridCol w:w="243"/>
        <w:gridCol w:w="1790"/>
      </w:tblGrid>
      <w:tr>
        <w:trPr>
          <w:trHeight w:val="497"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4514" w:type="dxa"/>
            <w:tcBorders>
              <w:top w:val="nil" w:sz="6" w:space="0" w:color="auto"/>
              <w:left w:val="nil" w:sz="6" w:space="0" w:color="auto"/>
              <w:bottom w:val="nil" w:sz="6" w:space="0" w:color="auto"/>
              <w:right w:val="nil" w:sz="6" w:space="0" w:color="auto"/>
            </w:tcBorders>
          </w:tcPr>
          <w:p>
            <w:pPr>
              <w:pStyle w:val="TableParagraph"/>
              <w:spacing w:line="257" w:lineRule="exact"/>
              <w:ind w:left="11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802"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r>
      <w:tr>
        <w:trPr>
          <w:trHeight w:val="742"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64" w:right="0"/>
              <w:jc w:val="left"/>
              <w:rPr>
                <w:rFonts w:ascii="Arial" w:hAnsi="Arial" w:cs="Arial" w:eastAsia="Arial" w:hint="default"/>
                <w:sz w:val="24"/>
                <w:szCs w:val="24"/>
              </w:rPr>
            </w:pPr>
            <w:r>
              <w:rPr>
                <w:rFonts w:ascii="Arial"/>
                <w:sz w:val="24"/>
              </w:rPr>
              <w:t>(48)</w:t>
            </w:r>
          </w:p>
        </w:tc>
        <w:tc>
          <w:tcPr>
            <w:tcW w:w="4514"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78" w:right="0"/>
              <w:jc w:val="left"/>
              <w:rPr>
                <w:rFonts w:ascii="黑体" w:hAnsi="黑体" w:cs="黑体" w:eastAsia="黑体" w:hint="default"/>
                <w:sz w:val="24"/>
                <w:szCs w:val="24"/>
              </w:rPr>
            </w:pPr>
            <w:r>
              <w:rPr>
                <w:rFonts w:ascii="黑体" w:hAnsi="黑体" w:cs="黑体" w:eastAsia="黑体" w:hint="default"/>
                <w:sz w:val="24"/>
                <w:szCs w:val="24"/>
              </w:rPr>
              <w:t>每股收益</w:t>
            </w:r>
          </w:p>
        </w:tc>
        <w:tc>
          <w:tcPr>
            <w:tcW w:w="1802"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r>
      <w:tr>
        <w:trPr>
          <w:trHeight w:val="750"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64" w:right="0"/>
              <w:jc w:val="left"/>
              <w:rPr>
                <w:rFonts w:ascii="Arial" w:hAnsi="Arial" w:cs="Arial" w:eastAsia="Arial" w:hint="default"/>
                <w:sz w:val="24"/>
                <w:szCs w:val="24"/>
              </w:rPr>
            </w:pPr>
            <w:r>
              <w:rPr>
                <w:rFonts w:ascii="Arial"/>
                <w:sz w:val="24"/>
              </w:rPr>
              <w:t>(a)</w:t>
            </w:r>
          </w:p>
        </w:tc>
        <w:tc>
          <w:tcPr>
            <w:tcW w:w="4514"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78"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1802"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r>
      <w:tr>
        <w:trPr>
          <w:trHeight w:val="1059" w:hRule="exact"/>
        </w:trPr>
        <w:tc>
          <w:tcPr>
            <w:tcW w:w="915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79"/>
              <w:ind w:left="984" w:right="102"/>
              <w:jc w:val="left"/>
              <w:rPr>
                <w:rFonts w:ascii="宋体" w:hAnsi="宋体" w:cs="宋体" w:eastAsia="宋体" w:hint="default"/>
                <w:sz w:val="24"/>
                <w:szCs w:val="24"/>
              </w:rPr>
            </w:pPr>
            <w:r>
              <w:rPr>
                <w:rFonts w:ascii="宋体" w:hAnsi="宋体" w:cs="宋体" w:eastAsia="宋体" w:hint="default"/>
                <w:spacing w:val="3"/>
                <w:sz w:val="24"/>
                <w:szCs w:val="24"/>
              </w:rPr>
              <w:t>基本每股收益以归属于本公司普通股股东的合并净利润除以本公司发行在外</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普通股的加权平均数计算：</w:t>
            </w:r>
          </w:p>
        </w:tc>
      </w:tr>
      <w:tr>
        <w:trPr>
          <w:trHeight w:val="753" w:hRule="exact"/>
        </w:trPr>
        <w:tc>
          <w:tcPr>
            <w:tcW w:w="806" w:type="dxa"/>
            <w:tcBorders>
              <w:top w:val="nil" w:sz="6" w:space="0" w:color="auto"/>
              <w:left w:val="nil" w:sz="6" w:space="0" w:color="auto"/>
              <w:bottom w:val="nil" w:sz="6" w:space="0" w:color="auto"/>
              <w:right w:val="nil" w:sz="6" w:space="0" w:color="auto"/>
            </w:tcBorders>
          </w:tcPr>
          <w:p>
            <w:pPr/>
          </w:p>
        </w:tc>
        <w:tc>
          <w:tcPr>
            <w:tcW w:w="4514"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1"/>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43"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1"/>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888" w:hRule="exact"/>
        </w:trPr>
        <w:tc>
          <w:tcPr>
            <w:tcW w:w="806" w:type="dxa"/>
            <w:tcBorders>
              <w:top w:val="nil" w:sz="6" w:space="0" w:color="auto"/>
              <w:left w:val="nil" w:sz="6" w:space="0" w:color="auto"/>
              <w:bottom w:val="nil" w:sz="6" w:space="0" w:color="auto"/>
              <w:right w:val="nil" w:sz="6" w:space="0" w:color="auto"/>
            </w:tcBorders>
          </w:tcPr>
          <w:p>
            <w:pPr/>
          </w:p>
        </w:tc>
        <w:tc>
          <w:tcPr>
            <w:tcW w:w="4514" w:type="dxa"/>
            <w:tcBorders>
              <w:top w:val="nil" w:sz="6" w:space="0" w:color="auto"/>
              <w:left w:val="nil" w:sz="6" w:space="0" w:color="auto"/>
              <w:bottom w:val="nil" w:sz="6" w:space="0" w:color="auto"/>
              <w:right w:val="nil" w:sz="6" w:space="0" w:color="auto"/>
            </w:tcBorders>
          </w:tcPr>
          <w:p>
            <w:pPr>
              <w:pStyle w:val="TableParagraph"/>
              <w:spacing w:line="310" w:lineRule="exact" w:before="206"/>
              <w:ind w:left="432" w:right="704" w:hanging="284"/>
              <w:jc w:val="left"/>
              <w:rPr>
                <w:rFonts w:ascii="Arial" w:hAnsi="Arial" w:cs="Arial" w:eastAsia="Arial" w:hint="default"/>
                <w:sz w:val="24"/>
                <w:szCs w:val="24"/>
              </w:rPr>
            </w:pPr>
            <w:r>
              <w:rPr>
                <w:rFonts w:ascii="宋体" w:hAnsi="宋体" w:cs="宋体" w:eastAsia="宋体" w:hint="default"/>
                <w:spacing w:val="3"/>
                <w:sz w:val="24"/>
                <w:szCs w:val="24"/>
              </w:rPr>
              <w:t>归属于本公司普通股股东的合并净</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利润</w:t>
            </w:r>
            <w:r>
              <w:rPr>
                <w:rFonts w:ascii="Arial" w:hAnsi="Arial" w:cs="Arial" w:eastAsia="Arial" w:hint="default"/>
                <w:sz w:val="24"/>
                <w:szCs w:val="24"/>
              </w:rPr>
              <w:t>(</w:t>
            </w:r>
            <w:r>
              <w:rPr>
                <w:rFonts w:ascii="宋体" w:hAnsi="宋体" w:cs="宋体" w:eastAsia="宋体" w:hint="default"/>
                <w:sz w:val="24"/>
                <w:szCs w:val="24"/>
              </w:rPr>
              <w:t>千元</w:t>
            </w:r>
            <w:r>
              <w:rPr>
                <w:rFonts w:ascii="Arial" w:hAnsi="Arial" w:cs="Arial" w:eastAsia="Arial" w:hint="default"/>
                <w:sz w:val="24"/>
                <w:szCs w:val="24"/>
              </w:rPr>
              <w:t>)</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Arial" w:hAnsi="Arial" w:cs="Arial" w:eastAsia="Arial" w:hint="default"/>
                <w:sz w:val="24"/>
                <w:szCs w:val="24"/>
              </w:rPr>
            </w:pPr>
            <w:r>
              <w:rPr>
                <w:rFonts w:ascii="Arial"/>
                <w:spacing w:val="-3"/>
                <w:sz w:val="24"/>
              </w:rPr>
              <w:t>2,676,119</w:t>
            </w:r>
          </w:p>
        </w:tc>
        <w:tc>
          <w:tcPr>
            <w:tcW w:w="243"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12"/>
              <w:jc w:val="right"/>
              <w:rPr>
                <w:rFonts w:ascii="Arial" w:hAnsi="Arial" w:cs="Arial" w:eastAsia="Arial" w:hint="default"/>
                <w:sz w:val="24"/>
                <w:szCs w:val="24"/>
              </w:rPr>
            </w:pPr>
            <w:r>
              <w:rPr>
                <w:rFonts w:ascii="Arial"/>
                <w:spacing w:val="-1"/>
                <w:sz w:val="24"/>
              </w:rPr>
              <w:t>4,820,594</w:t>
            </w:r>
          </w:p>
        </w:tc>
      </w:tr>
      <w:tr>
        <w:trPr>
          <w:trHeight w:val="703" w:hRule="exact"/>
        </w:trPr>
        <w:tc>
          <w:tcPr>
            <w:tcW w:w="806" w:type="dxa"/>
            <w:tcBorders>
              <w:top w:val="nil" w:sz="6" w:space="0" w:color="auto"/>
              <w:left w:val="nil" w:sz="6" w:space="0" w:color="auto"/>
              <w:bottom w:val="nil" w:sz="6" w:space="0" w:color="auto"/>
              <w:right w:val="nil" w:sz="6" w:space="0" w:color="auto"/>
            </w:tcBorders>
          </w:tcPr>
          <w:p>
            <w:pPr/>
          </w:p>
        </w:tc>
        <w:tc>
          <w:tcPr>
            <w:tcW w:w="4514" w:type="dxa"/>
            <w:tcBorders>
              <w:top w:val="nil" w:sz="6" w:space="0" w:color="auto"/>
              <w:left w:val="nil" w:sz="6" w:space="0" w:color="auto"/>
              <w:bottom w:val="nil" w:sz="6" w:space="0" w:color="auto"/>
              <w:right w:val="nil" w:sz="6" w:space="0" w:color="auto"/>
            </w:tcBorders>
          </w:tcPr>
          <w:p>
            <w:pPr>
              <w:pStyle w:val="TableParagraph"/>
              <w:spacing w:line="312" w:lineRule="exact" w:before="18"/>
              <w:ind w:left="432" w:right="705" w:hanging="284"/>
              <w:jc w:val="left"/>
              <w:rPr>
                <w:rFonts w:ascii="Arial" w:hAnsi="Arial" w:cs="Arial" w:eastAsia="Arial" w:hint="default"/>
                <w:sz w:val="24"/>
                <w:szCs w:val="24"/>
              </w:rPr>
            </w:pPr>
            <w:r>
              <w:rPr>
                <w:rFonts w:ascii="宋体" w:hAnsi="宋体" w:cs="宋体" w:eastAsia="宋体" w:hint="default"/>
                <w:spacing w:val="3"/>
                <w:sz w:val="24"/>
                <w:szCs w:val="24"/>
              </w:rPr>
              <w:t>本公司发行在外普通股的加权平均</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数</w:t>
            </w:r>
            <w:r>
              <w:rPr>
                <w:rFonts w:ascii="Arial" w:hAnsi="Arial" w:cs="Arial" w:eastAsia="Arial" w:hint="default"/>
                <w:sz w:val="24"/>
                <w:szCs w:val="24"/>
              </w:rPr>
              <w:t>(</w:t>
            </w:r>
            <w:r>
              <w:rPr>
                <w:rFonts w:ascii="宋体" w:hAnsi="宋体" w:cs="宋体" w:eastAsia="宋体" w:hint="default"/>
                <w:sz w:val="24"/>
                <w:szCs w:val="24"/>
              </w:rPr>
              <w:t>千股</w:t>
            </w:r>
            <w:r>
              <w:rPr>
                <w:rFonts w:ascii="Arial" w:hAnsi="Arial" w:cs="Arial" w:eastAsia="Arial" w:hint="default"/>
                <w:sz w:val="24"/>
                <w:szCs w:val="24"/>
              </w:rPr>
              <w:t>)</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107"/>
              <w:jc w:val="right"/>
              <w:rPr>
                <w:rFonts w:ascii="Arial" w:hAnsi="Arial" w:cs="Arial" w:eastAsia="Arial" w:hint="default"/>
                <w:sz w:val="24"/>
                <w:szCs w:val="24"/>
              </w:rPr>
            </w:pPr>
            <w:r>
              <w:rPr>
                <w:rFonts w:ascii="Arial"/>
                <w:spacing w:val="-1"/>
                <w:sz w:val="24"/>
              </w:rPr>
              <w:t>7,189,628</w:t>
            </w:r>
          </w:p>
        </w:tc>
        <w:tc>
          <w:tcPr>
            <w:tcW w:w="243"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right="111"/>
              <w:jc w:val="right"/>
              <w:rPr>
                <w:rFonts w:ascii="Arial" w:hAnsi="Arial" w:cs="Arial" w:eastAsia="Arial" w:hint="default"/>
                <w:sz w:val="24"/>
                <w:szCs w:val="24"/>
              </w:rPr>
            </w:pPr>
            <w:r>
              <w:rPr>
                <w:rFonts w:ascii="Arial"/>
                <w:spacing w:val="-1"/>
                <w:sz w:val="24"/>
              </w:rPr>
              <w:t>6,996,212</w:t>
            </w:r>
          </w:p>
        </w:tc>
      </w:tr>
      <w:tr>
        <w:trPr>
          <w:trHeight w:val="392" w:hRule="exact"/>
        </w:trPr>
        <w:tc>
          <w:tcPr>
            <w:tcW w:w="806" w:type="dxa"/>
            <w:tcBorders>
              <w:top w:val="nil" w:sz="6" w:space="0" w:color="auto"/>
              <w:left w:val="nil" w:sz="6" w:space="0" w:color="auto"/>
              <w:bottom w:val="nil" w:sz="6" w:space="0" w:color="auto"/>
              <w:right w:val="nil" w:sz="6" w:space="0" w:color="auto"/>
            </w:tcBorders>
          </w:tcPr>
          <w:p>
            <w:pPr/>
          </w:p>
        </w:tc>
        <w:tc>
          <w:tcPr>
            <w:tcW w:w="4514" w:type="dxa"/>
            <w:tcBorders>
              <w:top w:val="nil" w:sz="6" w:space="0" w:color="auto"/>
              <w:left w:val="nil" w:sz="6" w:space="0" w:color="auto"/>
              <w:bottom w:val="nil" w:sz="6" w:space="0" w:color="auto"/>
              <w:right w:val="nil" w:sz="6" w:space="0" w:color="auto"/>
            </w:tcBorders>
          </w:tcPr>
          <w:p>
            <w:pPr>
              <w:pStyle w:val="TableParagraph"/>
              <w:spacing w:line="301" w:lineRule="exact"/>
              <w:ind w:left="113"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1802" w:type="dxa"/>
            <w:tcBorders>
              <w:top w:val="nil" w:sz="6" w:space="0" w:color="auto"/>
              <w:left w:val="nil" w:sz="6" w:space="0" w:color="auto"/>
              <w:bottom w:val="single" w:sz="12" w:space="0" w:color="000000"/>
              <w:right w:val="nil" w:sz="6" w:space="0" w:color="auto"/>
            </w:tcBorders>
          </w:tcPr>
          <w:p>
            <w:pPr>
              <w:pStyle w:val="TableParagraph"/>
              <w:spacing w:line="318" w:lineRule="exact"/>
              <w:ind w:right="36"/>
              <w:jc w:val="right"/>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0"/>
                <w:sz w:val="24"/>
                <w:szCs w:val="24"/>
              </w:rPr>
              <w:t> </w:t>
            </w:r>
            <w:r>
              <w:rPr>
                <w:rFonts w:ascii="Arial" w:hAnsi="Arial" w:cs="Arial" w:eastAsia="Arial" w:hint="default"/>
                <w:sz w:val="24"/>
                <w:szCs w:val="24"/>
              </w:rPr>
              <w:t>0.37</w:t>
            </w:r>
            <w:r>
              <w:rPr>
                <w:rFonts w:ascii="Arial" w:hAnsi="Arial" w:cs="Arial" w:eastAsia="Arial" w:hint="default"/>
                <w:spacing w:val="-6"/>
                <w:sz w:val="24"/>
                <w:szCs w:val="24"/>
              </w:rPr>
              <w:t> </w:t>
            </w:r>
            <w:r>
              <w:rPr>
                <w:rFonts w:ascii="宋体" w:hAnsi="宋体" w:cs="宋体" w:eastAsia="宋体" w:hint="default"/>
                <w:sz w:val="24"/>
                <w:szCs w:val="24"/>
              </w:rPr>
              <w:t>元</w:t>
            </w:r>
          </w:p>
        </w:tc>
        <w:tc>
          <w:tcPr>
            <w:tcW w:w="243"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single" w:sz="12" w:space="0" w:color="000000"/>
              <w:right w:val="nil" w:sz="6" w:space="0" w:color="auto"/>
            </w:tcBorders>
          </w:tcPr>
          <w:p>
            <w:pPr>
              <w:pStyle w:val="TableParagraph"/>
              <w:spacing w:line="318" w:lineRule="exact"/>
              <w:ind w:right="36"/>
              <w:jc w:val="right"/>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0"/>
                <w:sz w:val="24"/>
                <w:szCs w:val="24"/>
              </w:rPr>
              <w:t> </w:t>
            </w:r>
            <w:r>
              <w:rPr>
                <w:rFonts w:ascii="Arial" w:hAnsi="Arial" w:cs="Arial" w:eastAsia="Arial" w:hint="default"/>
                <w:sz w:val="24"/>
                <w:szCs w:val="24"/>
              </w:rPr>
              <w:t>0.69</w:t>
            </w:r>
            <w:r>
              <w:rPr>
                <w:rFonts w:ascii="Arial" w:hAnsi="Arial" w:cs="Arial" w:eastAsia="Arial" w:hint="default"/>
                <w:spacing w:val="-6"/>
                <w:sz w:val="24"/>
                <w:szCs w:val="24"/>
              </w:rPr>
              <w:t> </w:t>
            </w:r>
            <w:r>
              <w:rPr>
                <w:rFonts w:ascii="宋体" w:hAnsi="宋体" w:cs="宋体" w:eastAsia="宋体" w:hint="default"/>
                <w:sz w:val="24"/>
                <w:szCs w:val="24"/>
              </w:rPr>
              <w:t>元</w:t>
            </w:r>
          </w:p>
        </w:tc>
      </w:tr>
      <w:tr>
        <w:trPr>
          <w:trHeight w:val="940"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left="264" w:right="0"/>
              <w:jc w:val="left"/>
              <w:rPr>
                <w:rFonts w:ascii="Arial" w:hAnsi="Arial" w:cs="Arial" w:eastAsia="Arial" w:hint="default"/>
                <w:sz w:val="24"/>
                <w:szCs w:val="24"/>
              </w:rPr>
            </w:pPr>
            <w:r>
              <w:rPr>
                <w:rFonts w:ascii="Arial"/>
                <w:sz w:val="24"/>
              </w:rPr>
              <w:t>(b)</w:t>
            </w:r>
          </w:p>
        </w:tc>
        <w:tc>
          <w:tcPr>
            <w:tcW w:w="45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78" w:right="0"/>
              <w:jc w:val="left"/>
              <w:rPr>
                <w:rFonts w:ascii="宋体" w:hAnsi="宋体" w:cs="宋体" w:eastAsia="宋体" w:hint="default"/>
                <w:sz w:val="24"/>
                <w:szCs w:val="24"/>
              </w:rPr>
            </w:pPr>
            <w:r>
              <w:rPr>
                <w:rFonts w:ascii="宋体" w:hAnsi="宋体" w:cs="宋体" w:eastAsia="宋体" w:hint="default"/>
                <w:sz w:val="24"/>
                <w:szCs w:val="24"/>
              </w:rPr>
              <w:t>稀释每股收益</w:t>
            </w:r>
          </w:p>
        </w:tc>
        <w:tc>
          <w:tcPr>
            <w:tcW w:w="1802" w:type="dxa"/>
            <w:tcBorders>
              <w:top w:val="single" w:sz="12" w:space="0" w:color="000000"/>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1790" w:type="dxa"/>
            <w:tcBorders>
              <w:top w:val="single" w:sz="12" w:space="0" w:color="000000"/>
              <w:left w:val="nil" w:sz="6" w:space="0" w:color="auto"/>
              <w:bottom w:val="nil" w:sz="6" w:space="0" w:color="auto"/>
              <w:right w:val="nil" w:sz="6" w:space="0" w:color="auto"/>
            </w:tcBorders>
          </w:tcPr>
          <w:p>
            <w:pPr/>
          </w:p>
        </w:tc>
      </w:tr>
      <w:tr>
        <w:trPr>
          <w:trHeight w:val="2360" w:hRule="exact"/>
        </w:trPr>
        <w:tc>
          <w:tcPr>
            <w:tcW w:w="806" w:type="dxa"/>
            <w:tcBorders>
              <w:top w:val="nil" w:sz="6" w:space="0" w:color="auto"/>
              <w:left w:val="nil" w:sz="6" w:space="0" w:color="auto"/>
              <w:bottom w:val="nil" w:sz="6" w:space="0" w:color="auto"/>
              <w:right w:val="nil" w:sz="6" w:space="0" w:color="auto"/>
            </w:tcBorders>
          </w:tcPr>
          <w:p>
            <w:pPr/>
          </w:p>
        </w:tc>
        <w:tc>
          <w:tcPr>
            <w:tcW w:w="8350"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82"/>
              <w:ind w:left="178" w:right="103"/>
              <w:jc w:val="both"/>
              <w:rPr>
                <w:rFonts w:ascii="宋体" w:hAnsi="宋体" w:cs="宋体" w:eastAsia="宋体" w:hint="default"/>
                <w:sz w:val="24"/>
                <w:szCs w:val="24"/>
              </w:rPr>
            </w:pPr>
            <w:r>
              <w:rPr>
                <w:rFonts w:ascii="宋体" w:hAnsi="宋体" w:cs="宋体" w:eastAsia="宋体" w:hint="default"/>
                <w:spacing w:val="3"/>
                <w:sz w:val="24"/>
                <w:szCs w:val="24"/>
              </w:rPr>
              <w:t>稀释每股收益以根据稀释性潜在普通股调整后的归属于本公司普通股股东的</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3"/>
                <w:sz w:val="24"/>
                <w:szCs w:val="24"/>
              </w:rPr>
              <w:t>合并净利润除以调整后的本公司发行在外普通股的加权平均数计算。对于盈利</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企业，股票期权的行权价格低于当期普通股平均市场价格时，应当考虑其稀释</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性，并计算稀释每股收益。于</w:t>
            </w:r>
            <w:r>
              <w:rPr>
                <w:rFonts w:ascii="宋体" w:hAnsi="宋体" w:cs="宋体" w:eastAsia="宋体" w:hint="default"/>
                <w:spacing w:val="-78"/>
                <w:sz w:val="24"/>
                <w:szCs w:val="24"/>
              </w:rPr>
              <w:t> </w:t>
            </w:r>
            <w:r>
              <w:rPr>
                <w:rFonts w:ascii="Arial" w:hAnsi="Arial" w:cs="Arial" w:eastAsia="Arial" w:hint="default"/>
                <w:sz w:val="24"/>
                <w:szCs w:val="24"/>
              </w:rPr>
              <w:t>2012</w:t>
            </w:r>
            <w:r>
              <w:rPr>
                <w:rFonts w:ascii="Arial" w:hAnsi="Arial" w:cs="Arial" w:eastAsia="Arial" w:hint="default"/>
                <w:spacing w:val="-24"/>
                <w:sz w:val="24"/>
                <w:szCs w:val="24"/>
              </w:rPr>
              <w:t> </w:t>
            </w:r>
            <w:r>
              <w:rPr>
                <w:rFonts w:ascii="宋体" w:hAnsi="宋体" w:cs="宋体" w:eastAsia="宋体" w:hint="default"/>
                <w:sz w:val="24"/>
                <w:szCs w:val="24"/>
              </w:rPr>
              <w:t>年度，本公司授予的股票期权的行权价格</w:t>
            </w:r>
          </w:p>
          <w:p>
            <w:pPr>
              <w:pStyle w:val="TableParagraph"/>
              <w:spacing w:line="225" w:lineRule="auto"/>
              <w:ind w:left="178" w:right="101"/>
              <w:jc w:val="both"/>
              <w:rPr>
                <w:rFonts w:ascii="宋体" w:hAnsi="宋体" w:cs="宋体" w:eastAsia="宋体" w:hint="default"/>
                <w:sz w:val="24"/>
                <w:szCs w:val="24"/>
              </w:rPr>
            </w:pPr>
            <w:r>
              <w:rPr>
                <w:rFonts w:ascii="宋体" w:hAnsi="宋体" w:cs="宋体" w:eastAsia="宋体" w:hint="default"/>
                <w:sz w:val="24"/>
                <w:szCs w:val="24"/>
              </w:rPr>
              <w:t>高于当期公司普通股平均市场价格，因此该股票期权在</w:t>
            </w:r>
            <w:r>
              <w:rPr>
                <w:rFonts w:ascii="宋体" w:hAnsi="宋体" w:cs="宋体" w:eastAsia="宋体" w:hint="default"/>
                <w:spacing w:val="-75"/>
                <w:sz w:val="24"/>
                <w:szCs w:val="24"/>
              </w:rPr>
              <w:t> </w:t>
            </w:r>
            <w:r>
              <w:rPr>
                <w:rFonts w:ascii="Arial" w:hAnsi="Arial" w:cs="Arial" w:eastAsia="Arial" w:hint="default"/>
                <w:sz w:val="24"/>
                <w:szCs w:val="24"/>
              </w:rPr>
              <w:t>2012</w:t>
            </w:r>
            <w:r>
              <w:rPr>
                <w:rFonts w:ascii="Arial" w:hAnsi="Arial" w:cs="Arial" w:eastAsia="Arial" w:hint="default"/>
                <w:spacing w:val="-22"/>
                <w:sz w:val="24"/>
                <w:szCs w:val="24"/>
              </w:rPr>
              <w:t> </w:t>
            </w:r>
            <w:r>
              <w:rPr>
                <w:rFonts w:ascii="宋体" w:hAnsi="宋体" w:cs="宋体" w:eastAsia="宋体" w:hint="default"/>
                <w:sz w:val="24"/>
                <w:szCs w:val="24"/>
              </w:rPr>
              <w:t>年度不具有稀释 </w:t>
            </w:r>
            <w:r>
              <w:rPr>
                <w:rFonts w:ascii="宋体" w:hAnsi="宋体" w:cs="宋体" w:eastAsia="宋体" w:hint="default"/>
                <w:spacing w:val="-3"/>
                <w:sz w:val="24"/>
                <w:szCs w:val="24"/>
              </w:rPr>
              <w:t>性，但是在以后期间可能具有稀释性</w:t>
            </w:r>
            <w:r>
              <w:rPr>
                <w:rFonts w:ascii="Arial" w:hAnsi="Arial" w:cs="Arial" w:eastAsia="Arial" w:hint="default"/>
                <w:spacing w:val="-3"/>
                <w:sz w:val="24"/>
                <w:szCs w:val="24"/>
              </w:rPr>
              <w:t>(2011</w:t>
            </w:r>
            <w:r>
              <w:rPr>
                <w:rFonts w:ascii="Arial" w:hAnsi="Arial" w:cs="Arial" w:eastAsia="Arial" w:hint="default"/>
                <w:spacing w:val="14"/>
                <w:sz w:val="24"/>
                <w:szCs w:val="24"/>
              </w:rPr>
              <w:t> </w:t>
            </w:r>
            <w:r>
              <w:rPr>
                <w:rFonts w:ascii="宋体" w:hAnsi="宋体" w:cs="宋体" w:eastAsia="宋体" w:hint="default"/>
                <w:spacing w:val="-6"/>
                <w:sz w:val="24"/>
                <w:szCs w:val="24"/>
              </w:rPr>
              <w:t>年度：无</w:t>
            </w:r>
            <w:r>
              <w:rPr>
                <w:rFonts w:ascii="Arial" w:hAnsi="Arial" w:cs="Arial" w:eastAsia="Arial" w:hint="default"/>
                <w:spacing w:val="-6"/>
                <w:sz w:val="24"/>
                <w:szCs w:val="24"/>
              </w:rPr>
              <w:t>)</w:t>
            </w:r>
            <w:r>
              <w:rPr>
                <w:rFonts w:ascii="宋体" w:hAnsi="宋体" w:cs="宋体" w:eastAsia="宋体" w:hint="default"/>
                <w:spacing w:val="-6"/>
                <w:sz w:val="24"/>
                <w:szCs w:val="24"/>
              </w:rPr>
              <w:t>。因此，本年度稀释每股</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收益等于基本每股收益。</w:t>
            </w:r>
          </w:p>
        </w:tc>
      </w:tr>
    </w:tbl>
    <w:p>
      <w:pPr>
        <w:spacing w:after="0" w:line="225" w:lineRule="auto"/>
        <w:jc w:val="both"/>
        <w:rPr>
          <w:rFonts w:ascii="宋体" w:hAnsi="宋体" w:cs="宋体" w:eastAsia="宋体" w:hint="default"/>
          <w:sz w:val="24"/>
          <w:szCs w:val="24"/>
        </w:rPr>
        <w:sectPr>
          <w:pgSz w:w="11910" w:h="16850"/>
          <w:pgMar w:header="795" w:footer="1340" w:top="2020" w:bottom="1540" w:left="1420" w:right="0"/>
        </w:sectPr>
      </w:pPr>
    </w:p>
    <w:p>
      <w:pPr>
        <w:spacing w:line="240" w:lineRule="auto" w:before="9"/>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805"/>
        <w:gridCol w:w="4078"/>
        <w:gridCol w:w="1978"/>
        <w:gridCol w:w="271"/>
        <w:gridCol w:w="1956"/>
      </w:tblGrid>
      <w:tr>
        <w:trPr>
          <w:trHeight w:val="415"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4078" w:type="dxa"/>
            <w:tcBorders>
              <w:top w:val="nil" w:sz="6" w:space="0" w:color="auto"/>
              <w:left w:val="nil" w:sz="6" w:space="0" w:color="auto"/>
              <w:bottom w:val="nil" w:sz="6" w:space="0" w:color="auto"/>
              <w:right w:val="nil" w:sz="6" w:space="0" w:color="auto"/>
            </w:tcBorders>
          </w:tcPr>
          <w:p>
            <w:pPr>
              <w:pStyle w:val="TableParagraph"/>
              <w:spacing w:line="257" w:lineRule="exact"/>
              <w:ind w:left="112"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97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
        </w:tc>
      </w:tr>
      <w:tr>
        <w:trPr>
          <w:trHeight w:val="585"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00" w:right="0"/>
              <w:jc w:val="left"/>
              <w:rPr>
                <w:rFonts w:ascii="Arial" w:hAnsi="Arial" w:cs="Arial" w:eastAsia="Arial" w:hint="default"/>
                <w:sz w:val="24"/>
                <w:szCs w:val="24"/>
              </w:rPr>
            </w:pPr>
            <w:r>
              <w:rPr>
                <w:rFonts w:ascii="Arial"/>
                <w:sz w:val="24"/>
              </w:rPr>
              <w:t>(49)</w:t>
            </w:r>
          </w:p>
        </w:tc>
        <w:tc>
          <w:tcPr>
            <w:tcW w:w="407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12" w:right="0"/>
              <w:jc w:val="left"/>
              <w:rPr>
                <w:rFonts w:ascii="黑体" w:hAnsi="黑体" w:cs="黑体" w:eastAsia="黑体" w:hint="default"/>
                <w:sz w:val="24"/>
                <w:szCs w:val="24"/>
              </w:rPr>
            </w:pPr>
            <w:r>
              <w:rPr>
                <w:rFonts w:ascii="黑体" w:hAnsi="黑体" w:cs="黑体" w:eastAsia="黑体" w:hint="default"/>
                <w:sz w:val="24"/>
                <w:szCs w:val="24"/>
              </w:rPr>
              <w:t>其他综合收益</w:t>
            </w:r>
          </w:p>
        </w:tc>
        <w:tc>
          <w:tcPr>
            <w:tcW w:w="197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
        </w:tc>
      </w:tr>
      <w:tr>
        <w:trPr>
          <w:trHeight w:val="594"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6"/>
              <w:jc w:val="right"/>
              <w:rPr>
                <w:rFonts w:ascii="宋体" w:hAnsi="宋体" w:cs="宋体" w:eastAsia="宋体" w:hint="default"/>
                <w:sz w:val="24"/>
                <w:szCs w:val="24"/>
              </w:rPr>
            </w:pPr>
            <w:r>
              <w:rPr>
                <w:rFonts w:ascii="Arial" w:hAnsi="Arial" w:cs="Arial" w:eastAsia="Arial" w:hint="default"/>
                <w:spacing w:val="-1"/>
                <w:sz w:val="24"/>
                <w:szCs w:val="24"/>
              </w:rPr>
              <w:t>2012</w:t>
            </w:r>
            <w:r>
              <w:rPr>
                <w:rFonts w:ascii="宋体" w:hAnsi="宋体" w:cs="宋体" w:eastAsia="宋体" w:hint="default"/>
                <w:spacing w:val="-1"/>
                <w:sz w:val="24"/>
                <w:szCs w:val="24"/>
              </w:rPr>
              <w:t>年度</w:t>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8"/>
              <w:jc w:val="right"/>
              <w:rPr>
                <w:rFonts w:ascii="宋体" w:hAnsi="宋体" w:cs="宋体" w:eastAsia="宋体" w:hint="default"/>
                <w:sz w:val="24"/>
                <w:szCs w:val="24"/>
              </w:rPr>
            </w:pPr>
            <w:r>
              <w:rPr>
                <w:rFonts w:ascii="Arial" w:hAnsi="Arial" w:cs="Arial" w:eastAsia="Arial" w:hint="default"/>
                <w:spacing w:val="-3"/>
                <w:sz w:val="24"/>
                <w:szCs w:val="24"/>
              </w:rPr>
              <w:t>2011</w:t>
            </w:r>
            <w:r>
              <w:rPr>
                <w:rFonts w:ascii="宋体" w:hAnsi="宋体" w:cs="宋体" w:eastAsia="宋体" w:hint="default"/>
                <w:spacing w:val="-3"/>
                <w:sz w:val="24"/>
                <w:szCs w:val="24"/>
              </w:rPr>
              <w:t>年度</w:t>
            </w:r>
          </w:p>
        </w:tc>
      </w:tr>
      <w:tr>
        <w:trPr>
          <w:trHeight w:val="456"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2" w:right="0"/>
              <w:jc w:val="left"/>
              <w:rPr>
                <w:rFonts w:ascii="宋体" w:hAnsi="宋体" w:cs="宋体" w:eastAsia="宋体" w:hint="default"/>
                <w:sz w:val="24"/>
                <w:szCs w:val="24"/>
              </w:rPr>
            </w:pPr>
            <w:r>
              <w:rPr>
                <w:rFonts w:ascii="宋体" w:hAnsi="宋体" w:cs="宋体" w:eastAsia="宋体" w:hint="default"/>
                <w:sz w:val="24"/>
                <w:szCs w:val="24"/>
              </w:rPr>
              <w:t>外币财务报表折算差额</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36"/>
              <w:jc w:val="right"/>
              <w:rPr>
                <w:rFonts w:ascii="Arial" w:hAnsi="Arial" w:cs="Arial" w:eastAsia="Arial" w:hint="default"/>
                <w:sz w:val="24"/>
                <w:szCs w:val="24"/>
              </w:rPr>
            </w:pPr>
            <w:r>
              <w:rPr>
                <w:rFonts w:ascii="Arial"/>
                <w:spacing w:val="-1"/>
                <w:sz w:val="24"/>
              </w:rPr>
              <w:t>(88,326)</w:t>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42"/>
              <w:jc w:val="right"/>
              <w:rPr>
                <w:rFonts w:ascii="Arial" w:hAnsi="Arial" w:cs="Arial" w:eastAsia="Arial" w:hint="default"/>
                <w:sz w:val="24"/>
                <w:szCs w:val="24"/>
              </w:rPr>
            </w:pPr>
            <w:r>
              <w:rPr>
                <w:rFonts w:ascii="Arial"/>
                <w:w w:val="95"/>
                <w:sz w:val="24"/>
              </w:rPr>
              <w:t>(4,781)</w:t>
            </w:r>
            <w:r>
              <w:rPr>
                <w:rFonts w:ascii="Arial"/>
                <w:sz w:val="24"/>
              </w:rPr>
            </w:r>
          </w:p>
        </w:tc>
      </w:tr>
      <w:tr>
        <w:trPr>
          <w:trHeight w:val="313"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可供出售金融资产公允价值变动</w:t>
            </w:r>
          </w:p>
        </w:tc>
        <w:tc>
          <w:tcPr>
            <w:tcW w:w="1978" w:type="dxa"/>
            <w:tcBorders>
              <w:top w:val="nil" w:sz="6" w:space="0" w:color="auto"/>
              <w:left w:val="nil" w:sz="6" w:space="0" w:color="auto"/>
              <w:bottom w:val="nil" w:sz="6" w:space="0" w:color="auto"/>
              <w:right w:val="nil" w:sz="6" w:space="0" w:color="auto"/>
            </w:tcBorders>
          </w:tcPr>
          <w:p>
            <w:pPr>
              <w:pStyle w:val="TableParagraph"/>
              <w:tabs>
                <w:tab w:pos="1377" w:val="left" w:leader="none"/>
              </w:tabs>
              <w:spacing w:line="240" w:lineRule="auto" w:before="19"/>
              <w:ind w:right="3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(449)</w:t>
            </w:r>
            <w:r>
              <w:rPr>
                <w:rFonts w:ascii="Arial"/>
                <w:w w:val="95"/>
                <w:sz w:val="24"/>
              </w:rPr>
            </w:r>
            <w:r>
              <w:rPr>
                <w:rFonts w:ascii="Arial"/>
                <w:sz w:val="24"/>
              </w:rPr>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tabs>
                <w:tab w:pos="1442" w:val="left" w:leader="none"/>
                <w:tab w:pos="1956" w:val="left" w:leader="none"/>
              </w:tabs>
              <w:spacing w:line="240" w:lineRule="auto" w:before="19"/>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760</w:t>
            </w:r>
            <w:r>
              <w:rPr>
                <w:rFonts w:ascii="Arial"/>
                <w:sz w:val="24"/>
                <w:u w:val="single" w:color="000000"/>
              </w:rPr>
              <w:tab/>
            </w:r>
            <w:r>
              <w:rPr>
                <w:rFonts w:ascii="Arial"/>
                <w:sz w:val="24"/>
              </w:rPr>
            </w:r>
          </w:p>
        </w:tc>
      </w:tr>
      <w:tr>
        <w:trPr>
          <w:trHeight w:val="287" w:hRule="exact"/>
        </w:trPr>
        <w:tc>
          <w:tcPr>
            <w:tcW w:w="805" w:type="dxa"/>
            <w:tcBorders>
              <w:top w:val="nil" w:sz="6" w:space="0" w:color="auto"/>
              <w:left w:val="nil" w:sz="6" w:space="0" w:color="auto"/>
              <w:bottom w:val="nil" w:sz="6" w:space="0" w:color="auto"/>
              <w:right w:val="nil" w:sz="6" w:space="0" w:color="auto"/>
            </w:tcBorders>
          </w:tcPr>
          <w:p>
            <w:pPr/>
          </w:p>
        </w:tc>
        <w:tc>
          <w:tcPr>
            <w:tcW w:w="6056"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right="36"/>
              <w:jc w:val="right"/>
              <w:rPr>
                <w:rFonts w:ascii="Arial" w:hAnsi="Arial" w:cs="Arial" w:eastAsia="Arial" w:hint="default"/>
                <w:sz w:val="24"/>
                <w:szCs w:val="24"/>
              </w:rPr>
            </w:pPr>
            <w:r>
              <w:rPr>
                <w:rFonts w:ascii="Arial"/>
                <w:spacing w:val="-1"/>
                <w:sz w:val="24"/>
              </w:rPr>
              <w:t>(88,775)</w:t>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single" w:sz="12" w:space="0" w:color="000000"/>
              <w:right w:val="nil" w:sz="6" w:space="0" w:color="auto"/>
            </w:tcBorders>
          </w:tcPr>
          <w:p>
            <w:pPr>
              <w:pStyle w:val="TableParagraph"/>
              <w:spacing w:line="268" w:lineRule="exact"/>
              <w:ind w:right="35"/>
              <w:jc w:val="right"/>
              <w:rPr>
                <w:rFonts w:ascii="Arial" w:hAnsi="Arial" w:cs="Arial" w:eastAsia="Arial" w:hint="default"/>
                <w:sz w:val="24"/>
                <w:szCs w:val="24"/>
              </w:rPr>
            </w:pPr>
            <w:r>
              <w:rPr>
                <w:rFonts w:ascii="Arial"/>
                <w:sz w:val="24"/>
              </w:rPr>
              <w:t>(4,021)</w:t>
            </w:r>
          </w:p>
        </w:tc>
      </w:tr>
      <w:tr>
        <w:trPr>
          <w:trHeight w:val="736"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64" w:right="0"/>
              <w:jc w:val="left"/>
              <w:rPr>
                <w:rFonts w:ascii="Arial" w:hAnsi="Arial" w:cs="Arial" w:eastAsia="Arial" w:hint="default"/>
                <w:sz w:val="24"/>
                <w:szCs w:val="24"/>
              </w:rPr>
            </w:pPr>
            <w:r>
              <w:rPr>
                <w:rFonts w:ascii="Arial"/>
                <w:sz w:val="24"/>
              </w:rPr>
              <w:t>(50)</w:t>
            </w:r>
          </w:p>
        </w:tc>
        <w:tc>
          <w:tcPr>
            <w:tcW w:w="40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177" w:right="0"/>
              <w:jc w:val="left"/>
              <w:rPr>
                <w:rFonts w:ascii="黑体" w:hAnsi="黑体" w:cs="黑体" w:eastAsia="黑体" w:hint="default"/>
                <w:sz w:val="24"/>
                <w:szCs w:val="24"/>
              </w:rPr>
            </w:pPr>
            <w:r>
              <w:rPr>
                <w:rFonts w:ascii="黑体" w:hAnsi="黑体" w:cs="黑体" w:eastAsia="黑体" w:hint="default"/>
                <w:sz w:val="24"/>
                <w:szCs w:val="24"/>
              </w:rPr>
              <w:t>现金流量表项目注释</w:t>
            </w:r>
          </w:p>
        </w:tc>
        <w:tc>
          <w:tcPr>
            <w:tcW w:w="1978" w:type="dxa"/>
            <w:tcBorders>
              <w:top w:val="single" w:sz="12" w:space="0" w:color="000000"/>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single" w:sz="12" w:space="0" w:color="000000"/>
              <w:left w:val="nil" w:sz="6" w:space="0" w:color="auto"/>
              <w:bottom w:val="nil" w:sz="6" w:space="0" w:color="auto"/>
              <w:right w:val="nil" w:sz="6" w:space="0" w:color="auto"/>
            </w:tcBorders>
          </w:tcPr>
          <w:p>
            <w:pPr/>
          </w:p>
        </w:tc>
      </w:tr>
      <w:tr>
        <w:trPr>
          <w:trHeight w:val="591"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264" w:right="0"/>
              <w:jc w:val="left"/>
              <w:rPr>
                <w:rFonts w:ascii="Arial" w:hAnsi="Arial" w:cs="Arial" w:eastAsia="Arial" w:hint="default"/>
                <w:sz w:val="24"/>
                <w:szCs w:val="24"/>
              </w:rPr>
            </w:pPr>
            <w:r>
              <w:rPr>
                <w:rFonts w:ascii="Arial"/>
                <w:sz w:val="24"/>
              </w:rPr>
              <w:t>(a)</w:t>
            </w:r>
          </w:p>
        </w:tc>
        <w:tc>
          <w:tcPr>
            <w:tcW w:w="407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77" w:right="0"/>
              <w:jc w:val="left"/>
              <w:rPr>
                <w:rFonts w:ascii="宋体" w:hAnsi="宋体" w:cs="宋体" w:eastAsia="宋体" w:hint="default"/>
                <w:sz w:val="24"/>
                <w:szCs w:val="24"/>
              </w:rPr>
            </w:pPr>
            <w:r>
              <w:rPr>
                <w:rFonts w:ascii="宋体" w:hAnsi="宋体" w:cs="宋体" w:eastAsia="宋体" w:hint="default"/>
                <w:sz w:val="24"/>
                <w:szCs w:val="24"/>
              </w:rPr>
              <w:t>收到的其他与经营活动有关的现金</w:t>
            </w:r>
          </w:p>
        </w:tc>
        <w:tc>
          <w:tcPr>
            <w:tcW w:w="197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
        </w:tc>
      </w:tr>
      <w:tr>
        <w:trPr>
          <w:trHeight w:val="594"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6"/>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8"/>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456"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2" w:right="0"/>
              <w:jc w:val="left"/>
              <w:rPr>
                <w:rFonts w:ascii="宋体" w:hAnsi="宋体" w:cs="宋体" w:eastAsia="宋体" w:hint="default"/>
                <w:sz w:val="24"/>
                <w:szCs w:val="24"/>
              </w:rPr>
            </w:pPr>
            <w:r>
              <w:rPr>
                <w:rFonts w:ascii="宋体" w:hAnsi="宋体" w:cs="宋体" w:eastAsia="宋体" w:hint="default"/>
                <w:sz w:val="24"/>
                <w:szCs w:val="24"/>
              </w:rPr>
              <w:t>收到的各种保证金、押金</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91"/>
              <w:jc w:val="right"/>
              <w:rPr>
                <w:rFonts w:ascii="Arial" w:hAnsi="Arial" w:cs="Arial" w:eastAsia="Arial" w:hint="default"/>
                <w:sz w:val="24"/>
                <w:szCs w:val="24"/>
              </w:rPr>
            </w:pPr>
            <w:r>
              <w:rPr>
                <w:rFonts w:ascii="Arial"/>
                <w:spacing w:val="-1"/>
                <w:sz w:val="24"/>
              </w:rPr>
              <w:t>566,938</w:t>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92"/>
              <w:jc w:val="right"/>
              <w:rPr>
                <w:rFonts w:ascii="Arial" w:hAnsi="Arial" w:cs="Arial" w:eastAsia="Arial" w:hint="default"/>
                <w:sz w:val="24"/>
                <w:szCs w:val="24"/>
              </w:rPr>
            </w:pPr>
            <w:r>
              <w:rPr>
                <w:rFonts w:ascii="Arial"/>
                <w:spacing w:val="-1"/>
                <w:sz w:val="24"/>
              </w:rPr>
              <w:t>2,153,499</w:t>
            </w:r>
          </w:p>
        </w:tc>
      </w:tr>
      <w:tr>
        <w:trPr>
          <w:trHeight w:val="312"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
              <w:jc w:val="right"/>
              <w:rPr>
                <w:rFonts w:ascii="Arial" w:hAnsi="Arial" w:cs="Arial" w:eastAsia="Arial" w:hint="default"/>
                <w:sz w:val="24"/>
                <w:szCs w:val="24"/>
              </w:rPr>
            </w:pPr>
            <w:r>
              <w:rPr>
                <w:rFonts w:ascii="Arial"/>
                <w:spacing w:val="-1"/>
                <w:sz w:val="24"/>
              </w:rPr>
              <w:t>548,123</w:t>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
              <w:jc w:val="right"/>
              <w:rPr>
                <w:rFonts w:ascii="Arial" w:hAnsi="Arial" w:cs="Arial" w:eastAsia="Arial" w:hint="default"/>
                <w:sz w:val="24"/>
                <w:szCs w:val="24"/>
              </w:rPr>
            </w:pPr>
            <w:r>
              <w:rPr>
                <w:rFonts w:ascii="Arial"/>
                <w:spacing w:val="-1"/>
                <w:sz w:val="24"/>
              </w:rPr>
              <w:t>426,929</w:t>
            </w:r>
          </w:p>
        </w:tc>
      </w:tr>
      <w:tr>
        <w:trPr>
          <w:trHeight w:val="312"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补贴收入</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
              <w:jc w:val="right"/>
              <w:rPr>
                <w:rFonts w:ascii="Arial" w:hAnsi="Arial" w:cs="Arial" w:eastAsia="Arial" w:hint="default"/>
                <w:sz w:val="24"/>
                <w:szCs w:val="24"/>
              </w:rPr>
            </w:pPr>
            <w:r>
              <w:rPr>
                <w:rFonts w:ascii="Arial"/>
                <w:spacing w:val="-1"/>
                <w:sz w:val="24"/>
              </w:rPr>
              <w:t>359,181</w:t>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
              <w:jc w:val="right"/>
              <w:rPr>
                <w:rFonts w:ascii="Arial" w:hAnsi="Arial" w:cs="Arial" w:eastAsia="Arial" w:hint="default"/>
                <w:sz w:val="24"/>
                <w:szCs w:val="24"/>
              </w:rPr>
            </w:pPr>
            <w:r>
              <w:rPr>
                <w:rFonts w:ascii="Arial"/>
                <w:spacing w:val="-1"/>
                <w:sz w:val="24"/>
              </w:rPr>
              <w:t>188,839</w:t>
            </w:r>
          </w:p>
        </w:tc>
      </w:tr>
      <w:tr>
        <w:trPr>
          <w:trHeight w:val="450"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978" w:type="dxa"/>
            <w:tcBorders>
              <w:top w:val="nil" w:sz="6" w:space="0" w:color="auto"/>
              <w:left w:val="nil" w:sz="6" w:space="0" w:color="auto"/>
              <w:bottom w:val="nil" w:sz="6" w:space="0" w:color="auto"/>
              <w:right w:val="nil" w:sz="6" w:space="0" w:color="auto"/>
            </w:tcBorders>
          </w:tcPr>
          <w:p>
            <w:pPr>
              <w:pStyle w:val="TableParagraph"/>
              <w:tabs>
                <w:tab w:pos="1015" w:val="left" w:leader="none"/>
                <w:tab w:pos="1977" w:val="left" w:leader="none"/>
              </w:tabs>
              <w:spacing w:line="240" w:lineRule="auto" w:before="17"/>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130,096</w:t>
              <w:tab/>
            </w:r>
            <w:r>
              <w:rPr>
                <w:rFonts w:ascii="Arial"/>
                <w:spacing w:val="-1"/>
                <w:sz w:val="24"/>
              </w:rPr>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tabs>
                <w:tab w:pos="1128" w:val="left" w:leader="none"/>
                <w:tab w:pos="1956" w:val="left" w:leader="none"/>
              </w:tabs>
              <w:spacing w:line="240" w:lineRule="auto" w:before="17"/>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40,713</w:t>
              <w:tab/>
            </w:r>
            <w:r>
              <w:rPr>
                <w:rFonts w:ascii="Arial"/>
                <w:spacing w:val="-1"/>
                <w:sz w:val="24"/>
              </w:rPr>
            </w:r>
          </w:p>
        </w:tc>
      </w:tr>
      <w:tr>
        <w:trPr>
          <w:trHeight w:val="426"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single" w:sz="12" w:space="0" w:color="000000"/>
              <w:right w:val="nil" w:sz="6" w:space="0" w:color="auto"/>
            </w:tcBorders>
          </w:tcPr>
          <w:p>
            <w:pPr>
              <w:pStyle w:val="TableParagraph"/>
              <w:spacing w:line="240" w:lineRule="auto" w:before="131"/>
              <w:ind w:right="91"/>
              <w:jc w:val="right"/>
              <w:rPr>
                <w:rFonts w:ascii="Arial" w:hAnsi="Arial" w:cs="Arial" w:eastAsia="Arial" w:hint="default"/>
                <w:sz w:val="24"/>
                <w:szCs w:val="24"/>
              </w:rPr>
            </w:pPr>
            <w:r>
              <w:rPr>
                <w:rFonts w:ascii="Arial"/>
                <w:spacing w:val="-1"/>
                <w:sz w:val="24"/>
              </w:rPr>
              <w:t>1,604,338</w:t>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single" w:sz="12" w:space="0" w:color="000000"/>
              <w:right w:val="nil" w:sz="6" w:space="0" w:color="auto"/>
            </w:tcBorders>
          </w:tcPr>
          <w:p>
            <w:pPr>
              <w:pStyle w:val="TableParagraph"/>
              <w:spacing w:line="240" w:lineRule="auto" w:before="131"/>
              <w:ind w:right="92"/>
              <w:jc w:val="right"/>
              <w:rPr>
                <w:rFonts w:ascii="Arial" w:hAnsi="Arial" w:cs="Arial" w:eastAsia="Arial" w:hint="default"/>
                <w:sz w:val="24"/>
                <w:szCs w:val="24"/>
              </w:rPr>
            </w:pPr>
            <w:r>
              <w:rPr>
                <w:rFonts w:ascii="Arial"/>
                <w:spacing w:val="-1"/>
                <w:sz w:val="24"/>
              </w:rPr>
              <w:t>2,809,980</w:t>
            </w:r>
          </w:p>
        </w:tc>
      </w:tr>
      <w:tr>
        <w:trPr>
          <w:trHeight w:val="738"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64" w:right="0"/>
              <w:jc w:val="left"/>
              <w:rPr>
                <w:rFonts w:ascii="Arial" w:hAnsi="Arial" w:cs="Arial" w:eastAsia="Arial" w:hint="default"/>
                <w:sz w:val="24"/>
                <w:szCs w:val="24"/>
              </w:rPr>
            </w:pPr>
            <w:r>
              <w:rPr>
                <w:rFonts w:ascii="Arial"/>
                <w:sz w:val="24"/>
              </w:rPr>
              <w:t>(b)</w:t>
            </w:r>
          </w:p>
        </w:tc>
        <w:tc>
          <w:tcPr>
            <w:tcW w:w="40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宋体" w:hAnsi="宋体" w:cs="宋体" w:eastAsia="宋体" w:hint="default"/>
                <w:sz w:val="24"/>
                <w:szCs w:val="24"/>
              </w:rPr>
            </w:pPr>
            <w:r>
              <w:rPr>
                <w:rFonts w:ascii="宋体" w:hAnsi="宋体" w:cs="宋体" w:eastAsia="宋体" w:hint="default"/>
                <w:sz w:val="24"/>
                <w:szCs w:val="24"/>
              </w:rPr>
              <w:t>支付的其他与经营活动有关的现金</w:t>
            </w:r>
          </w:p>
        </w:tc>
        <w:tc>
          <w:tcPr>
            <w:tcW w:w="1978" w:type="dxa"/>
            <w:tcBorders>
              <w:top w:val="single" w:sz="12" w:space="0" w:color="000000"/>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single" w:sz="12" w:space="0" w:color="000000"/>
              <w:left w:val="nil" w:sz="6" w:space="0" w:color="auto"/>
              <w:bottom w:val="nil" w:sz="6" w:space="0" w:color="auto"/>
              <w:right w:val="nil" w:sz="6" w:space="0" w:color="auto"/>
            </w:tcBorders>
          </w:tcPr>
          <w:p>
            <w:pPr/>
          </w:p>
        </w:tc>
      </w:tr>
      <w:tr>
        <w:trPr>
          <w:trHeight w:val="593"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6"/>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8"/>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457"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2"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91"/>
              <w:jc w:val="right"/>
              <w:rPr>
                <w:rFonts w:ascii="Arial" w:hAnsi="Arial" w:cs="Arial" w:eastAsia="Arial" w:hint="default"/>
                <w:sz w:val="24"/>
                <w:szCs w:val="24"/>
              </w:rPr>
            </w:pPr>
            <w:r>
              <w:rPr>
                <w:rFonts w:ascii="Arial"/>
                <w:spacing w:val="-1"/>
                <w:sz w:val="24"/>
              </w:rPr>
              <w:t>4,312,668</w:t>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92"/>
              <w:jc w:val="right"/>
              <w:rPr>
                <w:rFonts w:ascii="Arial" w:hAnsi="Arial" w:cs="Arial" w:eastAsia="Arial" w:hint="default"/>
                <w:sz w:val="24"/>
                <w:szCs w:val="24"/>
              </w:rPr>
            </w:pPr>
            <w:r>
              <w:rPr>
                <w:rFonts w:ascii="Arial"/>
                <w:spacing w:val="-1"/>
                <w:sz w:val="24"/>
              </w:rPr>
              <w:t>3,980,435</w:t>
            </w:r>
          </w:p>
        </w:tc>
      </w:tr>
      <w:tr>
        <w:trPr>
          <w:trHeight w:val="312"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广告费</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
              <w:jc w:val="right"/>
              <w:rPr>
                <w:rFonts w:ascii="Arial" w:hAnsi="Arial" w:cs="Arial" w:eastAsia="Arial" w:hint="default"/>
                <w:sz w:val="24"/>
                <w:szCs w:val="24"/>
              </w:rPr>
            </w:pPr>
            <w:r>
              <w:rPr>
                <w:rFonts w:ascii="Arial"/>
                <w:spacing w:val="-1"/>
                <w:sz w:val="24"/>
              </w:rPr>
              <w:t>1,419,871</w:t>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
              <w:jc w:val="right"/>
              <w:rPr>
                <w:rFonts w:ascii="Arial" w:hAnsi="Arial" w:cs="Arial" w:eastAsia="Arial" w:hint="default"/>
                <w:sz w:val="24"/>
                <w:szCs w:val="24"/>
              </w:rPr>
            </w:pPr>
            <w:r>
              <w:rPr>
                <w:rFonts w:ascii="Arial"/>
                <w:spacing w:val="-1"/>
                <w:sz w:val="24"/>
              </w:rPr>
              <w:t>968,368</w:t>
            </w:r>
          </w:p>
        </w:tc>
      </w:tr>
      <w:tr>
        <w:trPr>
          <w:trHeight w:val="310"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水电费</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0"/>
              <w:jc w:val="right"/>
              <w:rPr>
                <w:rFonts w:ascii="Arial" w:hAnsi="Arial" w:cs="Arial" w:eastAsia="Arial" w:hint="default"/>
                <w:sz w:val="24"/>
                <w:szCs w:val="24"/>
              </w:rPr>
            </w:pPr>
            <w:r>
              <w:rPr>
                <w:rFonts w:ascii="Arial"/>
                <w:spacing w:val="-1"/>
                <w:sz w:val="24"/>
              </w:rPr>
              <w:t>606,614</w:t>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1"/>
              <w:jc w:val="right"/>
              <w:rPr>
                <w:rFonts w:ascii="Arial" w:hAnsi="Arial" w:cs="Arial" w:eastAsia="Arial" w:hint="default"/>
                <w:sz w:val="24"/>
                <w:szCs w:val="24"/>
              </w:rPr>
            </w:pPr>
            <w:r>
              <w:rPr>
                <w:rFonts w:ascii="Arial"/>
                <w:spacing w:val="-1"/>
                <w:sz w:val="24"/>
              </w:rPr>
              <w:t>480,629</w:t>
            </w:r>
          </w:p>
        </w:tc>
      </w:tr>
      <w:tr>
        <w:trPr>
          <w:trHeight w:val="312"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支付的各类保证金、订金及押金等</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
              <w:jc w:val="right"/>
              <w:rPr>
                <w:rFonts w:ascii="Arial" w:hAnsi="Arial" w:cs="Arial" w:eastAsia="Arial" w:hint="default"/>
                <w:sz w:val="24"/>
                <w:szCs w:val="24"/>
              </w:rPr>
            </w:pPr>
            <w:r>
              <w:rPr>
                <w:rFonts w:ascii="Arial"/>
                <w:spacing w:val="-1"/>
                <w:sz w:val="24"/>
              </w:rPr>
              <w:t>565,124</w:t>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2"/>
              <w:jc w:val="right"/>
              <w:rPr>
                <w:rFonts w:ascii="Arial" w:hAnsi="Arial" w:cs="Arial" w:eastAsia="Arial" w:hint="default"/>
                <w:sz w:val="24"/>
                <w:szCs w:val="24"/>
              </w:rPr>
            </w:pPr>
            <w:r>
              <w:rPr>
                <w:rFonts w:ascii="Arial"/>
                <w:spacing w:val="-1"/>
                <w:sz w:val="24"/>
              </w:rPr>
              <w:t>1,362,035</w:t>
            </w:r>
          </w:p>
        </w:tc>
      </w:tr>
      <w:tr>
        <w:trPr>
          <w:trHeight w:val="312"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运杂费</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1"/>
              <w:jc w:val="right"/>
              <w:rPr>
                <w:rFonts w:ascii="Arial" w:hAnsi="Arial" w:cs="Arial" w:eastAsia="Arial" w:hint="default"/>
                <w:sz w:val="24"/>
                <w:szCs w:val="24"/>
              </w:rPr>
            </w:pPr>
            <w:r>
              <w:rPr>
                <w:rFonts w:ascii="Arial"/>
                <w:spacing w:val="-1"/>
                <w:sz w:val="24"/>
              </w:rPr>
              <w:t>799,651</w:t>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3"/>
              <w:jc w:val="right"/>
              <w:rPr>
                <w:rFonts w:ascii="Arial" w:hAnsi="Arial" w:cs="Arial" w:eastAsia="Arial" w:hint="default"/>
                <w:sz w:val="24"/>
                <w:szCs w:val="24"/>
              </w:rPr>
            </w:pPr>
            <w:r>
              <w:rPr>
                <w:rFonts w:ascii="Arial"/>
                <w:spacing w:val="-1"/>
                <w:sz w:val="24"/>
              </w:rPr>
              <w:t>444,726</w:t>
            </w:r>
          </w:p>
        </w:tc>
      </w:tr>
      <w:tr>
        <w:trPr>
          <w:trHeight w:val="312"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3"/>
              <w:jc w:val="right"/>
              <w:rPr>
                <w:rFonts w:ascii="Arial" w:hAnsi="Arial" w:cs="Arial" w:eastAsia="Arial" w:hint="default"/>
                <w:sz w:val="24"/>
                <w:szCs w:val="24"/>
              </w:rPr>
            </w:pPr>
            <w:r>
              <w:rPr>
                <w:rFonts w:ascii="Arial"/>
                <w:spacing w:val="-1"/>
                <w:sz w:val="24"/>
              </w:rPr>
              <w:t>375,840</w:t>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
              <w:jc w:val="right"/>
              <w:rPr>
                <w:rFonts w:ascii="Arial" w:hAnsi="Arial" w:cs="Arial" w:eastAsia="Arial" w:hint="default"/>
                <w:sz w:val="24"/>
                <w:szCs w:val="24"/>
              </w:rPr>
            </w:pPr>
            <w:r>
              <w:rPr>
                <w:rFonts w:ascii="Arial"/>
                <w:spacing w:val="-1"/>
                <w:sz w:val="24"/>
              </w:rPr>
              <w:t>349,197</w:t>
            </w:r>
          </w:p>
        </w:tc>
      </w:tr>
      <w:tr>
        <w:trPr>
          <w:trHeight w:val="310"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0"/>
              <w:jc w:val="right"/>
              <w:rPr>
                <w:rFonts w:ascii="Arial" w:hAnsi="Arial" w:cs="Arial" w:eastAsia="Arial" w:hint="default"/>
                <w:sz w:val="24"/>
                <w:szCs w:val="24"/>
              </w:rPr>
            </w:pPr>
            <w:r>
              <w:rPr>
                <w:rFonts w:ascii="Arial"/>
                <w:spacing w:val="-1"/>
                <w:sz w:val="24"/>
              </w:rPr>
              <w:t>259,831</w:t>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3"/>
              <w:jc w:val="right"/>
              <w:rPr>
                <w:rFonts w:ascii="Arial" w:hAnsi="Arial" w:cs="Arial" w:eastAsia="Arial" w:hint="default"/>
                <w:sz w:val="24"/>
                <w:szCs w:val="24"/>
              </w:rPr>
            </w:pPr>
            <w:r>
              <w:rPr>
                <w:rFonts w:ascii="Arial"/>
                <w:spacing w:val="-1"/>
                <w:sz w:val="24"/>
              </w:rPr>
              <w:t>253,618</w:t>
            </w:r>
          </w:p>
        </w:tc>
      </w:tr>
      <w:tr>
        <w:trPr>
          <w:trHeight w:val="312"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日常维修及装潢</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0"/>
              <w:jc w:val="right"/>
              <w:rPr>
                <w:rFonts w:ascii="Arial" w:hAnsi="Arial" w:cs="Arial" w:eastAsia="Arial" w:hint="default"/>
                <w:sz w:val="24"/>
                <w:szCs w:val="24"/>
              </w:rPr>
            </w:pPr>
            <w:r>
              <w:rPr>
                <w:rFonts w:ascii="Arial"/>
                <w:spacing w:val="-1"/>
                <w:sz w:val="24"/>
              </w:rPr>
              <w:t>240,236</w:t>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
              <w:jc w:val="right"/>
              <w:rPr>
                <w:rFonts w:ascii="Arial" w:hAnsi="Arial" w:cs="Arial" w:eastAsia="Arial" w:hint="default"/>
                <w:sz w:val="24"/>
                <w:szCs w:val="24"/>
              </w:rPr>
            </w:pPr>
            <w:r>
              <w:rPr>
                <w:rFonts w:ascii="Arial"/>
                <w:spacing w:val="-1"/>
                <w:sz w:val="24"/>
              </w:rPr>
              <w:t>154,561</w:t>
            </w:r>
          </w:p>
        </w:tc>
      </w:tr>
      <w:tr>
        <w:trPr>
          <w:trHeight w:val="312"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市场推广费</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
              <w:jc w:val="right"/>
              <w:rPr>
                <w:rFonts w:ascii="Arial" w:hAnsi="Arial" w:cs="Arial" w:eastAsia="Arial" w:hint="default"/>
                <w:sz w:val="24"/>
                <w:szCs w:val="24"/>
              </w:rPr>
            </w:pPr>
            <w:r>
              <w:rPr>
                <w:rFonts w:ascii="Arial"/>
                <w:spacing w:val="-1"/>
                <w:sz w:val="24"/>
              </w:rPr>
              <w:t>122,512</w:t>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0"/>
              <w:jc w:val="right"/>
              <w:rPr>
                <w:rFonts w:ascii="Arial" w:hAnsi="Arial" w:cs="Arial" w:eastAsia="Arial" w:hint="default"/>
                <w:sz w:val="24"/>
                <w:szCs w:val="24"/>
              </w:rPr>
            </w:pPr>
            <w:r>
              <w:rPr>
                <w:rFonts w:ascii="Arial"/>
                <w:spacing w:val="-6"/>
                <w:sz w:val="24"/>
              </w:rPr>
              <w:t>111,298</w:t>
            </w:r>
          </w:p>
        </w:tc>
      </w:tr>
      <w:tr>
        <w:trPr>
          <w:trHeight w:val="311"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978" w:type="dxa"/>
            <w:tcBorders>
              <w:top w:val="nil" w:sz="6" w:space="0" w:color="auto"/>
              <w:left w:val="nil" w:sz="6" w:space="0" w:color="auto"/>
              <w:bottom w:val="nil" w:sz="6" w:space="0" w:color="auto"/>
              <w:right w:val="nil" w:sz="6" w:space="0" w:color="auto"/>
            </w:tcBorders>
          </w:tcPr>
          <w:p>
            <w:pPr>
              <w:pStyle w:val="TableParagraph"/>
              <w:tabs>
                <w:tab w:pos="1015" w:val="left" w:leader="none"/>
                <w:tab w:pos="1977" w:val="left" w:leader="none"/>
              </w:tabs>
              <w:spacing w:line="240" w:lineRule="auto" w:before="17"/>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680,513</w:t>
              <w:tab/>
            </w:r>
            <w:r>
              <w:rPr>
                <w:rFonts w:ascii="Arial"/>
                <w:spacing w:val="-1"/>
                <w:sz w:val="24"/>
              </w:rPr>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tabs>
                <w:tab w:pos="994" w:val="left" w:leader="none"/>
                <w:tab w:pos="1956" w:val="left" w:leader="none"/>
              </w:tabs>
              <w:spacing w:line="240" w:lineRule="auto" w:before="17"/>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259,857</w:t>
              <w:tab/>
            </w:r>
            <w:r>
              <w:rPr>
                <w:rFonts w:ascii="Arial"/>
                <w:spacing w:val="-1"/>
                <w:sz w:val="24"/>
              </w:rPr>
            </w:r>
          </w:p>
        </w:tc>
      </w:tr>
      <w:tr>
        <w:trPr>
          <w:trHeight w:val="287" w:hRule="exact"/>
        </w:trPr>
        <w:tc>
          <w:tcPr>
            <w:tcW w:w="805" w:type="dxa"/>
            <w:tcBorders>
              <w:top w:val="nil" w:sz="6" w:space="0" w:color="auto"/>
              <w:left w:val="nil" w:sz="6" w:space="0" w:color="auto"/>
              <w:bottom w:val="nil" w:sz="6" w:space="0" w:color="auto"/>
              <w:right w:val="nil" w:sz="6" w:space="0" w:color="auto"/>
            </w:tcBorders>
          </w:tcPr>
          <w:p>
            <w:pPr/>
          </w:p>
        </w:tc>
        <w:tc>
          <w:tcPr>
            <w:tcW w:w="4078"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single" w:sz="12" w:space="0" w:color="000000"/>
              <w:right w:val="nil" w:sz="6" w:space="0" w:color="auto"/>
            </w:tcBorders>
          </w:tcPr>
          <w:p>
            <w:pPr>
              <w:pStyle w:val="TableParagraph"/>
              <w:spacing w:line="268" w:lineRule="exact"/>
              <w:ind w:right="91"/>
              <w:jc w:val="right"/>
              <w:rPr>
                <w:rFonts w:ascii="Arial" w:hAnsi="Arial" w:cs="Arial" w:eastAsia="Arial" w:hint="default"/>
                <w:sz w:val="24"/>
                <w:szCs w:val="24"/>
              </w:rPr>
            </w:pPr>
            <w:r>
              <w:rPr>
                <w:rFonts w:ascii="Arial"/>
                <w:spacing w:val="-1"/>
                <w:sz w:val="24"/>
              </w:rPr>
              <w:t>9,382,860</w:t>
            </w:r>
          </w:p>
        </w:tc>
        <w:tc>
          <w:tcPr>
            <w:tcW w:w="271"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single" w:sz="12" w:space="0" w:color="000000"/>
              <w:right w:val="nil" w:sz="6" w:space="0" w:color="auto"/>
            </w:tcBorders>
          </w:tcPr>
          <w:p>
            <w:pPr>
              <w:pStyle w:val="TableParagraph"/>
              <w:spacing w:line="268" w:lineRule="exact"/>
              <w:ind w:right="92"/>
              <w:jc w:val="right"/>
              <w:rPr>
                <w:rFonts w:ascii="Arial" w:hAnsi="Arial" w:cs="Arial" w:eastAsia="Arial" w:hint="default"/>
                <w:sz w:val="24"/>
                <w:szCs w:val="24"/>
              </w:rPr>
            </w:pPr>
            <w:r>
              <w:rPr>
                <w:rFonts w:ascii="Arial"/>
                <w:spacing w:val="-1"/>
                <w:sz w:val="24"/>
              </w:rPr>
              <w:t>8,364,724</w:t>
            </w:r>
          </w:p>
        </w:tc>
      </w:tr>
    </w:tbl>
    <w:p>
      <w:pPr>
        <w:spacing w:after="0" w:line="268" w:lineRule="exact"/>
        <w:jc w:val="right"/>
        <w:rPr>
          <w:rFonts w:ascii="Arial" w:hAnsi="Arial" w:cs="Arial" w:eastAsia="Arial"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pStyle w:val="Heading3"/>
        <w:spacing w:line="240" w:lineRule="auto"/>
        <w:ind w:left="0" w:right="1064"/>
        <w:jc w:val="center"/>
      </w:pPr>
      <w:r>
        <w:rPr/>
        <w:pict>
          <v:shape style="position:absolute;margin-left:76.424004pt;margin-top:-216.646881pt;width:454.45pt;height:560.6pt;mso-position-horizontal-relative:page;mso-position-vertical-relative:paragraph;z-index:3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55"/>
                    <w:gridCol w:w="3833"/>
                    <w:gridCol w:w="2128"/>
                    <w:gridCol w:w="193"/>
                    <w:gridCol w:w="2180"/>
                  </w:tblGrid>
                  <w:tr>
                    <w:trPr>
                      <w:trHeight w:val="477"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3833" w:type="dxa"/>
                        <w:tcBorders>
                          <w:top w:val="nil" w:sz="6" w:space="0" w:color="auto"/>
                          <w:left w:val="nil" w:sz="6" w:space="0" w:color="auto"/>
                          <w:bottom w:val="nil" w:sz="6" w:space="0" w:color="auto"/>
                          <w:right w:val="nil" w:sz="6" w:space="0" w:color="auto"/>
                        </w:tcBorders>
                      </w:tcPr>
                      <w:p>
                        <w:pPr>
                          <w:pStyle w:val="TableParagraph"/>
                          <w:spacing w:line="257" w:lineRule="exact"/>
                          <w:ind w:left="12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128" w:type="dxa"/>
                        <w:tcBorders>
                          <w:top w:val="nil" w:sz="6" w:space="0" w:color="auto"/>
                          <w:left w:val="nil" w:sz="6" w:space="0" w:color="auto"/>
                          <w:bottom w:val="nil" w:sz="6" w:space="0" w:color="auto"/>
                          <w:right w:val="nil" w:sz="6" w:space="0" w:color="auto"/>
                        </w:tcBorders>
                      </w:tcPr>
                      <w:p>
                        <w:pP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
                    </w:tc>
                  </w:tr>
                  <w:tr>
                    <w:trPr>
                      <w:trHeight w:val="724"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195"/>
                          <w:ind w:left="200" w:right="0"/>
                          <w:jc w:val="left"/>
                          <w:rPr>
                            <w:rFonts w:ascii="Arial" w:hAnsi="Arial" w:cs="Arial" w:eastAsia="Arial" w:hint="default"/>
                            <w:sz w:val="24"/>
                            <w:szCs w:val="24"/>
                          </w:rPr>
                        </w:pPr>
                        <w:r>
                          <w:rPr>
                            <w:rFonts w:ascii="Arial"/>
                            <w:sz w:val="24"/>
                          </w:rPr>
                          <w:t>(50)</w:t>
                        </w:r>
                      </w:p>
                    </w:tc>
                    <w:tc>
                      <w:tcPr>
                        <w:tcW w:w="3833"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60" w:right="0"/>
                          <w:jc w:val="left"/>
                          <w:rPr>
                            <w:rFonts w:ascii="黑体" w:hAnsi="黑体" w:cs="黑体" w:eastAsia="黑体" w:hint="default"/>
                            <w:sz w:val="24"/>
                            <w:szCs w:val="24"/>
                          </w:rPr>
                        </w:pPr>
                        <w:r>
                          <w:rPr>
                            <w:rFonts w:ascii="黑体" w:hAnsi="黑体" w:cs="黑体" w:eastAsia="黑体" w:hint="default"/>
                            <w:sz w:val="24"/>
                            <w:szCs w:val="24"/>
                          </w:rPr>
                          <w:t>现金流量表项目注释（续）</w:t>
                        </w:r>
                      </w:p>
                    </w:tc>
                    <w:tc>
                      <w:tcPr>
                        <w:tcW w:w="2128" w:type="dxa"/>
                        <w:tcBorders>
                          <w:top w:val="nil" w:sz="6" w:space="0" w:color="auto"/>
                          <w:left w:val="nil" w:sz="6" w:space="0" w:color="auto"/>
                          <w:bottom w:val="nil" w:sz="6" w:space="0" w:color="auto"/>
                          <w:right w:val="nil" w:sz="6" w:space="0" w:color="auto"/>
                        </w:tcBorders>
                      </w:tcPr>
                      <w:p>
                        <w:pP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
                    </w:tc>
                  </w:tr>
                  <w:tr>
                    <w:trPr>
                      <w:trHeight w:val="751"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0" w:right="0"/>
                          <w:jc w:val="left"/>
                          <w:rPr>
                            <w:rFonts w:ascii="Arial" w:hAnsi="Arial" w:cs="Arial" w:eastAsia="Arial" w:hint="default"/>
                            <w:sz w:val="24"/>
                            <w:szCs w:val="24"/>
                          </w:rPr>
                        </w:pPr>
                        <w:r>
                          <w:rPr>
                            <w:rFonts w:ascii="Arial"/>
                            <w:sz w:val="24"/>
                          </w:rPr>
                          <w:t>(c)</w:t>
                        </w:r>
                      </w:p>
                    </w:tc>
                    <w:tc>
                      <w:tcPr>
                        <w:tcW w:w="3833"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36" w:right="0"/>
                          <w:jc w:val="left"/>
                          <w:rPr>
                            <w:rFonts w:ascii="宋体" w:hAnsi="宋体" w:cs="宋体" w:eastAsia="宋体" w:hint="default"/>
                            <w:sz w:val="24"/>
                            <w:szCs w:val="24"/>
                          </w:rPr>
                        </w:pPr>
                        <w:r>
                          <w:rPr>
                            <w:rFonts w:ascii="宋体" w:hAnsi="宋体" w:cs="宋体" w:eastAsia="宋体" w:hint="default"/>
                            <w:sz w:val="24"/>
                            <w:szCs w:val="24"/>
                          </w:rPr>
                          <w:t>支付的其他与筹资活动有关的现金</w:t>
                        </w:r>
                      </w:p>
                    </w:tc>
                    <w:tc>
                      <w:tcPr>
                        <w:tcW w:w="2128" w:type="dxa"/>
                        <w:tcBorders>
                          <w:top w:val="nil" w:sz="6" w:space="0" w:color="auto"/>
                          <w:left w:val="nil" w:sz="6" w:space="0" w:color="auto"/>
                          <w:bottom w:val="nil" w:sz="6" w:space="0" w:color="auto"/>
                          <w:right w:val="nil" w:sz="6" w:space="0" w:color="auto"/>
                        </w:tcBorders>
                      </w:tcPr>
                      <w:p>
                        <w:pP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
                    </w:tc>
                  </w:tr>
                  <w:tr>
                    <w:trPr>
                      <w:trHeight w:val="753" w:hRule="exact"/>
                    </w:trPr>
                    <w:tc>
                      <w:tcPr>
                        <w:tcW w:w="755"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45"/>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29"/>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579" w:hRule="exact"/>
                    </w:trPr>
                    <w:tc>
                      <w:tcPr>
                        <w:tcW w:w="755"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36" w:right="0"/>
                          <w:jc w:val="left"/>
                          <w:rPr>
                            <w:rFonts w:ascii="宋体" w:hAnsi="宋体" w:cs="宋体" w:eastAsia="宋体" w:hint="default"/>
                            <w:sz w:val="24"/>
                            <w:szCs w:val="24"/>
                          </w:rPr>
                        </w:pPr>
                        <w:r>
                          <w:rPr>
                            <w:rFonts w:ascii="宋体" w:hAnsi="宋体" w:cs="宋体" w:eastAsia="宋体" w:hint="default"/>
                            <w:sz w:val="24"/>
                            <w:szCs w:val="24"/>
                          </w:rPr>
                          <w:t>债券发行费</w:t>
                        </w:r>
                      </w:p>
                    </w:tc>
                    <w:tc>
                      <w:tcPr>
                        <w:tcW w:w="2128"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82"/>
                          <w:jc w:val="right"/>
                          <w:rPr>
                            <w:rFonts w:ascii="Arial" w:hAnsi="Arial" w:cs="Arial" w:eastAsia="Arial" w:hint="default"/>
                            <w:sz w:val="24"/>
                            <w:szCs w:val="24"/>
                          </w:rPr>
                        </w:pPr>
                        <w:r>
                          <w:rPr>
                            <w:rFonts w:ascii="Arial"/>
                            <w:spacing w:val="-1"/>
                            <w:sz w:val="24"/>
                          </w:rPr>
                          <w:t>34,276</w:t>
                        </w: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66"/>
                          <w:jc w:val="right"/>
                          <w:rPr>
                            <w:rFonts w:ascii="Arial" w:hAnsi="Arial" w:cs="Arial" w:eastAsia="Arial" w:hint="default"/>
                            <w:sz w:val="24"/>
                            <w:szCs w:val="24"/>
                          </w:rPr>
                        </w:pPr>
                        <w:r>
                          <w:rPr>
                            <w:rFonts w:ascii="Arial"/>
                            <w:w w:val="99"/>
                            <w:sz w:val="24"/>
                          </w:rPr>
                          <w:t>-</w:t>
                        </w:r>
                        <w:r>
                          <w:rPr>
                            <w:rFonts w:ascii="Arial"/>
                            <w:sz w:val="24"/>
                          </w:rPr>
                        </w:r>
                      </w:p>
                    </w:tc>
                  </w:tr>
                  <w:tr>
                    <w:trPr>
                      <w:trHeight w:val="868"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00" w:right="0"/>
                          <w:jc w:val="left"/>
                          <w:rPr>
                            <w:rFonts w:ascii="Arial" w:hAnsi="Arial" w:cs="Arial" w:eastAsia="Arial" w:hint="default"/>
                            <w:sz w:val="24"/>
                            <w:szCs w:val="24"/>
                          </w:rPr>
                        </w:pPr>
                        <w:r>
                          <w:rPr>
                            <w:rFonts w:ascii="Arial"/>
                            <w:sz w:val="24"/>
                          </w:rPr>
                          <w:t>(51)</w:t>
                        </w:r>
                      </w:p>
                    </w:tc>
                    <w:tc>
                      <w:tcPr>
                        <w:tcW w:w="38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26" w:right="0"/>
                          <w:jc w:val="left"/>
                          <w:rPr>
                            <w:rFonts w:ascii="黑体" w:hAnsi="黑体" w:cs="黑体" w:eastAsia="黑体" w:hint="default"/>
                            <w:sz w:val="24"/>
                            <w:szCs w:val="24"/>
                          </w:rPr>
                        </w:pPr>
                        <w:r>
                          <w:rPr>
                            <w:rFonts w:ascii="黑体" w:hAnsi="黑体" w:cs="黑体" w:eastAsia="黑体" w:hint="default"/>
                            <w:sz w:val="24"/>
                            <w:szCs w:val="24"/>
                          </w:rPr>
                          <w:t>现金流量表补充资料</w:t>
                        </w:r>
                      </w:p>
                    </w:tc>
                    <w:tc>
                      <w:tcPr>
                        <w:tcW w:w="2128" w:type="dxa"/>
                        <w:tcBorders>
                          <w:top w:val="single" w:sz="12" w:space="0" w:color="000000"/>
                          <w:left w:val="nil" w:sz="6" w:space="0" w:color="auto"/>
                          <w:bottom w:val="nil" w:sz="6" w:space="0" w:color="auto"/>
                          <w:right w:val="nil" w:sz="6" w:space="0" w:color="auto"/>
                        </w:tcBorders>
                      </w:tcPr>
                      <w:p>
                        <w:pP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single" w:sz="12" w:space="0" w:color="000000"/>
                          <w:left w:val="nil" w:sz="6" w:space="0" w:color="auto"/>
                          <w:bottom w:val="nil" w:sz="6" w:space="0" w:color="auto"/>
                          <w:right w:val="nil" w:sz="6" w:space="0" w:color="auto"/>
                        </w:tcBorders>
                      </w:tcPr>
                      <w:p>
                        <w:pPr/>
                      </w:p>
                    </w:tc>
                  </w:tr>
                  <w:tr>
                    <w:trPr>
                      <w:trHeight w:val="731"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186"/>
                          <w:ind w:left="200" w:right="0"/>
                          <w:jc w:val="left"/>
                          <w:rPr>
                            <w:rFonts w:ascii="Arial" w:hAnsi="Arial" w:cs="Arial" w:eastAsia="Arial" w:hint="default"/>
                            <w:sz w:val="24"/>
                            <w:szCs w:val="24"/>
                          </w:rPr>
                        </w:pPr>
                        <w:r>
                          <w:rPr>
                            <w:rFonts w:ascii="Arial"/>
                            <w:sz w:val="24"/>
                          </w:rPr>
                          <w:t>(a)</w:t>
                        </w:r>
                      </w:p>
                    </w:tc>
                    <w:tc>
                      <w:tcPr>
                        <w:tcW w:w="3833" w:type="dxa"/>
                        <w:tcBorders>
                          <w:top w:val="nil" w:sz="6" w:space="0" w:color="auto"/>
                          <w:left w:val="nil" w:sz="6" w:space="0" w:color="auto"/>
                          <w:bottom w:val="nil" w:sz="6" w:space="0" w:color="auto"/>
                          <w:right w:val="nil" w:sz="6" w:space="0" w:color="auto"/>
                        </w:tcBorders>
                      </w:tcPr>
                      <w:p>
                        <w:pPr>
                          <w:pStyle w:val="TableParagraph"/>
                          <w:spacing w:line="240" w:lineRule="auto" w:before="181"/>
                          <w:ind w:left="126" w:right="0"/>
                          <w:jc w:val="left"/>
                          <w:rPr>
                            <w:rFonts w:ascii="宋体" w:hAnsi="宋体" w:cs="宋体" w:eastAsia="宋体" w:hint="default"/>
                            <w:sz w:val="24"/>
                            <w:szCs w:val="24"/>
                          </w:rPr>
                        </w:pPr>
                        <w:r>
                          <w:rPr>
                            <w:rFonts w:ascii="宋体" w:hAnsi="宋体" w:cs="宋体" w:eastAsia="宋体" w:hint="default"/>
                            <w:sz w:val="24"/>
                            <w:szCs w:val="24"/>
                          </w:rPr>
                          <w:t>将合并净利润调节为经营活动现金</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181"/>
                          <w:ind w:left="133" w:right="0"/>
                          <w:jc w:val="left"/>
                          <w:rPr>
                            <w:rFonts w:ascii="宋体" w:hAnsi="宋体" w:cs="宋体" w:eastAsia="宋体" w:hint="default"/>
                            <w:sz w:val="24"/>
                            <w:szCs w:val="24"/>
                          </w:rPr>
                        </w:pPr>
                        <w:r>
                          <w:rPr>
                            <w:rFonts w:ascii="宋体" w:hAnsi="宋体" w:cs="宋体" w:eastAsia="宋体" w:hint="default"/>
                            <w:sz w:val="24"/>
                            <w:szCs w:val="24"/>
                          </w:rPr>
                          <w:t>量</w:t>
                        </w: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
                    </w:tc>
                  </w:tr>
                  <w:tr>
                    <w:trPr>
                      <w:trHeight w:val="716" w:hRule="exact"/>
                    </w:trPr>
                    <w:tc>
                      <w:tcPr>
                        <w:tcW w:w="755"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8"/>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6"/>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559" w:hRule="exact"/>
                    </w:trPr>
                    <w:tc>
                      <w:tcPr>
                        <w:tcW w:w="755"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26"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6"/>
                          <w:jc w:val="right"/>
                          <w:rPr>
                            <w:rFonts w:ascii="Arial" w:hAnsi="Arial" w:cs="Arial" w:eastAsia="Arial" w:hint="default"/>
                            <w:sz w:val="24"/>
                            <w:szCs w:val="24"/>
                          </w:rPr>
                        </w:pPr>
                        <w:r>
                          <w:rPr>
                            <w:rFonts w:ascii="Arial"/>
                            <w:spacing w:val="-1"/>
                            <w:sz w:val="24"/>
                          </w:rPr>
                          <w:t>2,505,462</w:t>
                        </w: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34"/>
                          <w:jc w:val="right"/>
                          <w:rPr>
                            <w:rFonts w:ascii="Arial" w:hAnsi="Arial" w:cs="Arial" w:eastAsia="Arial" w:hint="default"/>
                            <w:sz w:val="24"/>
                            <w:szCs w:val="24"/>
                          </w:rPr>
                        </w:pPr>
                        <w:r>
                          <w:rPr>
                            <w:rFonts w:ascii="Arial"/>
                            <w:spacing w:val="-1"/>
                            <w:sz w:val="24"/>
                          </w:rPr>
                          <w:t>4,886,006</w:t>
                        </w:r>
                      </w:p>
                    </w:tc>
                  </w:tr>
                  <w:tr>
                    <w:trPr>
                      <w:trHeight w:val="391" w:hRule="exact"/>
                    </w:trPr>
                    <w:tc>
                      <w:tcPr>
                        <w:tcW w:w="755"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301" w:lineRule="exact"/>
                          <w:ind w:left="126" w:right="0"/>
                          <w:jc w:val="left"/>
                          <w:rPr>
                            <w:rFonts w:ascii="宋体" w:hAnsi="宋体" w:cs="宋体" w:eastAsia="宋体" w:hint="default"/>
                            <w:sz w:val="24"/>
                            <w:szCs w:val="24"/>
                          </w:rPr>
                        </w:pPr>
                        <w:r>
                          <w:rPr>
                            <w:rFonts w:ascii="宋体" w:hAnsi="宋体" w:cs="宋体" w:eastAsia="宋体" w:hint="default"/>
                            <w:sz w:val="24"/>
                            <w:szCs w:val="24"/>
                          </w:rPr>
                          <w:t>加：资产减值准备</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6"/>
                          <w:jc w:val="right"/>
                          <w:rPr>
                            <w:rFonts w:ascii="Arial" w:hAnsi="Arial" w:cs="Arial" w:eastAsia="Arial" w:hint="default"/>
                            <w:sz w:val="24"/>
                            <w:szCs w:val="24"/>
                          </w:rPr>
                        </w:pPr>
                        <w:r>
                          <w:rPr>
                            <w:rFonts w:ascii="Arial"/>
                            <w:spacing w:val="-1"/>
                            <w:sz w:val="24"/>
                          </w:rPr>
                          <w:t>179,548</w:t>
                        </w: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6"/>
                          <w:jc w:val="right"/>
                          <w:rPr>
                            <w:rFonts w:ascii="Arial" w:hAnsi="Arial" w:cs="Arial" w:eastAsia="Arial" w:hint="default"/>
                            <w:sz w:val="24"/>
                            <w:szCs w:val="24"/>
                          </w:rPr>
                        </w:pPr>
                        <w:r>
                          <w:rPr>
                            <w:rFonts w:ascii="Arial"/>
                            <w:spacing w:val="-1"/>
                            <w:sz w:val="24"/>
                          </w:rPr>
                          <w:t>69,537</w:t>
                        </w:r>
                      </w:p>
                    </w:tc>
                  </w:tr>
                  <w:tr>
                    <w:trPr>
                      <w:trHeight w:val="391" w:hRule="exact"/>
                    </w:trPr>
                    <w:tc>
                      <w:tcPr>
                        <w:tcW w:w="755"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301" w:lineRule="exact"/>
                          <w:ind w:right="94"/>
                          <w:jc w:val="right"/>
                          <w:rPr>
                            <w:rFonts w:ascii="宋体" w:hAnsi="宋体" w:cs="宋体" w:eastAsia="宋体" w:hint="default"/>
                            <w:sz w:val="24"/>
                            <w:szCs w:val="24"/>
                          </w:rPr>
                        </w:pPr>
                        <w:r>
                          <w:rPr>
                            <w:rFonts w:ascii="宋体" w:hAnsi="宋体" w:cs="宋体" w:eastAsia="宋体" w:hint="default"/>
                            <w:sz w:val="24"/>
                            <w:szCs w:val="24"/>
                          </w:rPr>
                          <w:t>固定资产和投资性房地产折旧</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6"/>
                          <w:jc w:val="right"/>
                          <w:rPr>
                            <w:rFonts w:ascii="Arial" w:hAnsi="Arial" w:cs="Arial" w:eastAsia="Arial" w:hint="default"/>
                            <w:sz w:val="24"/>
                            <w:szCs w:val="24"/>
                          </w:rPr>
                        </w:pPr>
                        <w:r>
                          <w:rPr>
                            <w:rFonts w:ascii="Arial"/>
                            <w:spacing w:val="-1"/>
                            <w:sz w:val="24"/>
                          </w:rPr>
                          <w:t>598,380</w:t>
                        </w: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4"/>
                          <w:jc w:val="right"/>
                          <w:rPr>
                            <w:rFonts w:ascii="Arial" w:hAnsi="Arial" w:cs="Arial" w:eastAsia="Arial" w:hint="default"/>
                            <w:sz w:val="24"/>
                            <w:szCs w:val="24"/>
                          </w:rPr>
                        </w:pPr>
                        <w:r>
                          <w:rPr>
                            <w:rFonts w:ascii="Arial"/>
                            <w:spacing w:val="-1"/>
                            <w:sz w:val="24"/>
                          </w:rPr>
                          <w:t>392,738</w:t>
                        </w:r>
                      </w:p>
                    </w:tc>
                  </w:tr>
                  <w:tr>
                    <w:trPr>
                      <w:trHeight w:val="391" w:hRule="exact"/>
                    </w:trPr>
                    <w:tc>
                      <w:tcPr>
                        <w:tcW w:w="755"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301" w:lineRule="exact"/>
                          <w:ind w:left="616"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6"/>
                          <w:jc w:val="right"/>
                          <w:rPr>
                            <w:rFonts w:ascii="Arial" w:hAnsi="Arial" w:cs="Arial" w:eastAsia="Arial" w:hint="default"/>
                            <w:sz w:val="24"/>
                            <w:szCs w:val="24"/>
                          </w:rPr>
                        </w:pPr>
                        <w:r>
                          <w:rPr>
                            <w:rFonts w:ascii="Arial"/>
                            <w:spacing w:val="-1"/>
                            <w:sz w:val="24"/>
                          </w:rPr>
                          <w:t>183,414</w:t>
                        </w: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4"/>
                          <w:jc w:val="right"/>
                          <w:rPr>
                            <w:rFonts w:ascii="Arial" w:hAnsi="Arial" w:cs="Arial" w:eastAsia="Arial" w:hint="default"/>
                            <w:sz w:val="24"/>
                            <w:szCs w:val="24"/>
                          </w:rPr>
                        </w:pPr>
                        <w:r>
                          <w:rPr>
                            <w:rFonts w:ascii="Arial"/>
                            <w:spacing w:val="-1"/>
                            <w:sz w:val="24"/>
                          </w:rPr>
                          <w:t>157,749</w:t>
                        </w:r>
                      </w:p>
                    </w:tc>
                  </w:tr>
                  <w:tr>
                    <w:trPr>
                      <w:trHeight w:val="387" w:hRule="exact"/>
                    </w:trPr>
                    <w:tc>
                      <w:tcPr>
                        <w:tcW w:w="755"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301" w:lineRule="exact"/>
                          <w:ind w:left="616" w:right="0"/>
                          <w:jc w:val="left"/>
                          <w:rPr>
                            <w:rFonts w:ascii="宋体" w:hAnsi="宋体" w:cs="宋体" w:eastAsia="宋体" w:hint="default"/>
                            <w:sz w:val="24"/>
                            <w:szCs w:val="24"/>
                          </w:rPr>
                        </w:pPr>
                        <w:r>
                          <w:rPr>
                            <w:rFonts w:ascii="宋体" w:hAnsi="宋体" w:cs="宋体" w:eastAsia="宋体" w:hint="default"/>
                            <w:sz w:val="24"/>
                            <w:szCs w:val="24"/>
                          </w:rPr>
                          <w:t>长期待摊费用摊销</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6"/>
                          <w:jc w:val="right"/>
                          <w:rPr>
                            <w:rFonts w:ascii="Arial" w:hAnsi="Arial" w:cs="Arial" w:eastAsia="Arial" w:hint="default"/>
                            <w:sz w:val="24"/>
                            <w:szCs w:val="24"/>
                          </w:rPr>
                        </w:pPr>
                        <w:r>
                          <w:rPr>
                            <w:rFonts w:ascii="Arial"/>
                            <w:spacing w:val="-3"/>
                            <w:w w:val="95"/>
                            <w:sz w:val="24"/>
                          </w:rPr>
                          <w:t>636,110</w:t>
                        </w:r>
                        <w:r>
                          <w:rPr>
                            <w:rFonts w:ascii="Arial"/>
                            <w:spacing w:val="-3"/>
                            <w:sz w:val="24"/>
                          </w:rPr>
                        </w: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4"/>
                          <w:jc w:val="right"/>
                          <w:rPr>
                            <w:rFonts w:ascii="Arial" w:hAnsi="Arial" w:cs="Arial" w:eastAsia="Arial" w:hint="default"/>
                            <w:sz w:val="24"/>
                            <w:szCs w:val="24"/>
                          </w:rPr>
                        </w:pPr>
                        <w:r>
                          <w:rPr>
                            <w:rFonts w:ascii="Arial"/>
                            <w:spacing w:val="-1"/>
                            <w:sz w:val="24"/>
                          </w:rPr>
                          <w:t>421,982</w:t>
                        </w:r>
                      </w:p>
                    </w:tc>
                  </w:tr>
                  <w:tr>
                    <w:trPr>
                      <w:trHeight w:val="358" w:hRule="exact"/>
                    </w:trPr>
                    <w:tc>
                      <w:tcPr>
                        <w:tcW w:w="755"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322" w:lineRule="exact"/>
                          <w:ind w:right="108"/>
                          <w:jc w:val="right"/>
                          <w:rPr>
                            <w:rFonts w:ascii="宋体" w:hAnsi="宋体" w:cs="宋体" w:eastAsia="宋体" w:hint="default"/>
                            <w:sz w:val="24"/>
                            <w:szCs w:val="24"/>
                          </w:rPr>
                        </w:pPr>
                        <w:r>
                          <w:rPr>
                            <w:rFonts w:ascii="宋体" w:hAnsi="宋体" w:cs="宋体" w:eastAsia="宋体" w:hint="default"/>
                            <w:spacing w:val="-1"/>
                            <w:sz w:val="24"/>
                            <w:szCs w:val="24"/>
                          </w:rPr>
                          <w:t>处置固定资产的净</w:t>
                        </w:r>
                        <w:r>
                          <w:rPr>
                            <w:rFonts w:ascii="Arial" w:hAnsi="Arial" w:cs="Arial" w:eastAsia="Arial" w:hint="default"/>
                            <w:spacing w:val="-1"/>
                            <w:sz w:val="24"/>
                            <w:szCs w:val="24"/>
                          </w:rPr>
                          <w:t>(</w:t>
                        </w:r>
                        <w:r>
                          <w:rPr>
                            <w:rFonts w:ascii="宋体" w:hAnsi="宋体" w:cs="宋体" w:eastAsia="宋体" w:hint="default"/>
                            <w:spacing w:val="-1"/>
                            <w:sz w:val="24"/>
                            <w:szCs w:val="24"/>
                          </w:rPr>
                          <w:t>收益</w:t>
                        </w:r>
                        <w:r>
                          <w:rPr>
                            <w:rFonts w:ascii="Arial" w:hAnsi="Arial" w:cs="Arial" w:eastAsia="Arial" w:hint="default"/>
                            <w:spacing w:val="-1"/>
                            <w:sz w:val="24"/>
                            <w:szCs w:val="24"/>
                          </w:rPr>
                          <w:t>)/</w:t>
                        </w:r>
                        <w:r>
                          <w:rPr>
                            <w:rFonts w:ascii="宋体" w:hAnsi="宋体" w:cs="宋体" w:eastAsia="宋体" w:hint="default"/>
                            <w:spacing w:val="-1"/>
                            <w:sz w:val="24"/>
                            <w:szCs w:val="24"/>
                          </w:rPr>
                          <w:t>损失</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8"/>
                          <w:jc w:val="right"/>
                          <w:rPr>
                            <w:rFonts w:ascii="Arial" w:hAnsi="Arial" w:cs="Arial" w:eastAsia="Arial" w:hint="default"/>
                            <w:sz w:val="24"/>
                            <w:szCs w:val="24"/>
                          </w:rPr>
                        </w:pPr>
                        <w:r>
                          <w:rPr>
                            <w:rFonts w:ascii="Arial"/>
                            <w:w w:val="95"/>
                            <w:sz w:val="24"/>
                          </w:rPr>
                          <w:t>(54,020)</w:t>
                        </w:r>
                        <w:r>
                          <w:rPr>
                            <w:rFonts w:ascii="Arial"/>
                            <w:sz w:val="24"/>
                          </w:rPr>
                        </w: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33"/>
                          <w:jc w:val="right"/>
                          <w:rPr>
                            <w:rFonts w:ascii="Arial" w:hAnsi="Arial" w:cs="Arial" w:eastAsia="Arial" w:hint="default"/>
                            <w:sz w:val="24"/>
                            <w:szCs w:val="24"/>
                          </w:rPr>
                        </w:pPr>
                        <w:r>
                          <w:rPr>
                            <w:rFonts w:ascii="Arial"/>
                            <w:w w:val="95"/>
                            <w:sz w:val="24"/>
                          </w:rPr>
                          <w:t>1,970</w:t>
                        </w:r>
                        <w:r>
                          <w:rPr>
                            <w:rFonts w:ascii="Arial"/>
                            <w:sz w:val="24"/>
                          </w:rPr>
                        </w:r>
                      </w:p>
                    </w:tc>
                  </w:tr>
                  <w:tr>
                    <w:trPr>
                      <w:trHeight w:val="371" w:hRule="exact"/>
                    </w:trPr>
                    <w:tc>
                      <w:tcPr>
                        <w:tcW w:w="755"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281" w:lineRule="exact"/>
                          <w:ind w:left="616"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0"/>
                          <w:jc w:val="right"/>
                          <w:rPr>
                            <w:rFonts w:ascii="Arial" w:hAnsi="Arial" w:cs="Arial" w:eastAsia="Arial" w:hint="default"/>
                            <w:sz w:val="24"/>
                            <w:szCs w:val="24"/>
                          </w:rPr>
                        </w:pPr>
                        <w:r>
                          <w:rPr>
                            <w:rFonts w:ascii="Arial"/>
                            <w:spacing w:val="-1"/>
                            <w:sz w:val="24"/>
                          </w:rPr>
                          <w:t>92,864</w:t>
                        </w: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3"/>
                          <w:jc w:val="right"/>
                          <w:rPr>
                            <w:rFonts w:ascii="Arial" w:hAnsi="Arial" w:cs="Arial" w:eastAsia="Arial" w:hint="default"/>
                            <w:sz w:val="24"/>
                            <w:szCs w:val="24"/>
                          </w:rPr>
                        </w:pPr>
                        <w:r>
                          <w:rPr>
                            <w:rFonts w:ascii="Arial"/>
                            <w:spacing w:val="-4"/>
                            <w:sz w:val="24"/>
                          </w:rPr>
                          <w:t>11,558</w:t>
                        </w:r>
                      </w:p>
                    </w:tc>
                  </w:tr>
                  <w:tr>
                    <w:trPr>
                      <w:trHeight w:val="394" w:hRule="exact"/>
                    </w:trPr>
                    <w:tc>
                      <w:tcPr>
                        <w:tcW w:w="755"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301" w:lineRule="exact"/>
                          <w:ind w:left="616" w:right="0"/>
                          <w:jc w:val="left"/>
                          <w:rPr>
                            <w:rFonts w:ascii="宋体" w:hAnsi="宋体" w:cs="宋体" w:eastAsia="宋体" w:hint="default"/>
                            <w:sz w:val="24"/>
                            <w:szCs w:val="24"/>
                          </w:rPr>
                        </w:pPr>
                        <w:r>
                          <w:rPr>
                            <w:rFonts w:ascii="宋体" w:hAnsi="宋体" w:cs="宋体" w:eastAsia="宋体" w:hint="default"/>
                            <w:sz w:val="24"/>
                            <w:szCs w:val="24"/>
                          </w:rPr>
                          <w:t>投资收益</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9"/>
                          <w:jc w:val="right"/>
                          <w:rPr>
                            <w:rFonts w:ascii="Arial" w:hAnsi="Arial" w:cs="Arial" w:eastAsia="Arial" w:hint="default"/>
                            <w:sz w:val="24"/>
                            <w:szCs w:val="24"/>
                          </w:rPr>
                        </w:pPr>
                        <w:r>
                          <w:rPr>
                            <w:rFonts w:ascii="Arial"/>
                            <w:spacing w:val="-1"/>
                            <w:sz w:val="24"/>
                          </w:rPr>
                          <w:t>(12,508)</w:t>
                        </w: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6"/>
                          <w:jc w:val="right"/>
                          <w:rPr>
                            <w:rFonts w:ascii="Arial" w:hAnsi="Arial" w:cs="Arial" w:eastAsia="Arial" w:hint="default"/>
                            <w:sz w:val="24"/>
                            <w:szCs w:val="24"/>
                          </w:rPr>
                        </w:pPr>
                        <w:r>
                          <w:rPr>
                            <w:rFonts w:ascii="Arial"/>
                            <w:spacing w:val="-1"/>
                            <w:sz w:val="24"/>
                          </w:rPr>
                          <w:t>(152,192)</w:t>
                        </w:r>
                      </w:p>
                    </w:tc>
                  </w:tr>
                  <w:tr>
                    <w:trPr>
                      <w:trHeight w:val="391" w:hRule="exact"/>
                    </w:trPr>
                    <w:tc>
                      <w:tcPr>
                        <w:tcW w:w="755"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299" w:lineRule="exact"/>
                          <w:ind w:left="616" w:right="0"/>
                          <w:jc w:val="left"/>
                          <w:rPr>
                            <w:rFonts w:ascii="宋体" w:hAnsi="宋体" w:cs="宋体" w:eastAsia="宋体" w:hint="default"/>
                            <w:sz w:val="24"/>
                            <w:szCs w:val="24"/>
                          </w:rPr>
                        </w:pPr>
                        <w:r>
                          <w:rPr>
                            <w:rFonts w:ascii="宋体" w:hAnsi="宋体" w:cs="宋体" w:eastAsia="宋体" w:hint="default"/>
                            <w:sz w:val="24"/>
                            <w:szCs w:val="24"/>
                          </w:rPr>
                          <w:t>递延所得税资产增加</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9"/>
                          <w:jc w:val="right"/>
                          <w:rPr>
                            <w:rFonts w:ascii="Arial" w:hAnsi="Arial" w:cs="Arial" w:eastAsia="Arial" w:hint="default"/>
                            <w:sz w:val="24"/>
                            <w:szCs w:val="24"/>
                          </w:rPr>
                        </w:pPr>
                        <w:r>
                          <w:rPr>
                            <w:rFonts w:ascii="Arial"/>
                            <w:spacing w:val="-1"/>
                            <w:sz w:val="24"/>
                          </w:rPr>
                          <w:t>(244,063)</w:t>
                        </w: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6"/>
                          <w:jc w:val="right"/>
                          <w:rPr>
                            <w:rFonts w:ascii="Arial" w:hAnsi="Arial" w:cs="Arial" w:eastAsia="Arial" w:hint="default"/>
                            <w:sz w:val="24"/>
                            <w:szCs w:val="24"/>
                          </w:rPr>
                        </w:pPr>
                        <w:r>
                          <w:rPr>
                            <w:rFonts w:ascii="Arial"/>
                            <w:spacing w:val="-1"/>
                            <w:sz w:val="24"/>
                          </w:rPr>
                          <w:t>(228,830)</w:t>
                        </w:r>
                      </w:p>
                    </w:tc>
                  </w:tr>
                  <w:tr>
                    <w:trPr>
                      <w:trHeight w:val="389" w:hRule="exact"/>
                    </w:trPr>
                    <w:tc>
                      <w:tcPr>
                        <w:tcW w:w="755"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316" w:lineRule="exact"/>
                          <w:ind w:left="616" w:right="0"/>
                          <w:jc w:val="left"/>
                          <w:rPr>
                            <w:rFonts w:ascii="宋体" w:hAnsi="宋体" w:cs="宋体" w:eastAsia="宋体" w:hint="default"/>
                            <w:sz w:val="24"/>
                            <w:szCs w:val="24"/>
                          </w:rPr>
                        </w:pPr>
                        <w:r>
                          <w:rPr>
                            <w:rFonts w:ascii="宋体" w:hAnsi="宋体" w:cs="宋体" w:eastAsia="宋体" w:hint="default"/>
                            <w:sz w:val="24"/>
                            <w:szCs w:val="24"/>
                          </w:rPr>
                          <w:t>递延所得税负债</w:t>
                        </w:r>
                        <w:r>
                          <w:rPr>
                            <w:rFonts w:ascii="Arial" w:hAnsi="Arial" w:cs="Arial" w:eastAsia="Arial" w:hint="default"/>
                            <w:sz w:val="24"/>
                            <w:szCs w:val="24"/>
                          </w:rPr>
                          <w:t>(</w:t>
                        </w:r>
                        <w:r>
                          <w:rPr>
                            <w:rFonts w:ascii="宋体" w:hAnsi="宋体" w:cs="宋体" w:eastAsia="宋体" w:hint="default"/>
                            <w:sz w:val="24"/>
                            <w:szCs w:val="24"/>
                          </w:rPr>
                          <w:t>减少</w:t>
                        </w:r>
                        <w:r>
                          <w:rPr>
                            <w:rFonts w:ascii="Arial" w:hAnsi="Arial" w:cs="Arial" w:eastAsia="Arial" w:hint="default"/>
                            <w:sz w:val="24"/>
                            <w:szCs w:val="24"/>
                          </w:rPr>
                          <w:t>)/</w:t>
                        </w:r>
                        <w:r>
                          <w:rPr>
                            <w:rFonts w:ascii="宋体" w:hAnsi="宋体" w:cs="宋体" w:eastAsia="宋体" w:hint="default"/>
                            <w:sz w:val="24"/>
                            <w:szCs w:val="24"/>
                          </w:rPr>
                          <w:t>增加</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9"/>
                          <w:jc w:val="right"/>
                          <w:rPr>
                            <w:rFonts w:ascii="Arial" w:hAnsi="Arial" w:cs="Arial" w:eastAsia="Arial" w:hint="default"/>
                            <w:sz w:val="24"/>
                            <w:szCs w:val="24"/>
                          </w:rPr>
                        </w:pPr>
                        <w:r>
                          <w:rPr>
                            <w:rFonts w:ascii="Arial"/>
                            <w:spacing w:val="-1"/>
                            <w:sz w:val="24"/>
                          </w:rPr>
                          <w:t>(35,668)</w:t>
                        </w: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3"/>
                          <w:jc w:val="right"/>
                          <w:rPr>
                            <w:rFonts w:ascii="Arial" w:hAnsi="Arial" w:cs="Arial" w:eastAsia="Arial" w:hint="default"/>
                            <w:sz w:val="24"/>
                            <w:szCs w:val="24"/>
                          </w:rPr>
                        </w:pPr>
                        <w:r>
                          <w:rPr>
                            <w:rFonts w:ascii="Arial"/>
                            <w:spacing w:val="-1"/>
                            <w:sz w:val="24"/>
                          </w:rPr>
                          <w:t>2,392</w:t>
                        </w:r>
                      </w:p>
                    </w:tc>
                  </w:tr>
                  <w:tr>
                    <w:trPr>
                      <w:trHeight w:val="391" w:hRule="exact"/>
                    </w:trPr>
                    <w:tc>
                      <w:tcPr>
                        <w:tcW w:w="755"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301" w:lineRule="exact"/>
                          <w:ind w:left="616" w:right="0"/>
                          <w:jc w:val="left"/>
                          <w:rPr>
                            <w:rFonts w:ascii="宋体" w:hAnsi="宋体" w:cs="宋体" w:eastAsia="宋体" w:hint="default"/>
                            <w:sz w:val="24"/>
                            <w:szCs w:val="24"/>
                          </w:rPr>
                        </w:pPr>
                        <w:r>
                          <w:rPr>
                            <w:rFonts w:ascii="宋体" w:hAnsi="宋体" w:cs="宋体" w:eastAsia="宋体" w:hint="default"/>
                            <w:sz w:val="24"/>
                            <w:szCs w:val="24"/>
                          </w:rPr>
                          <w:t>存货的增加</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
                          <w:jc w:val="right"/>
                          <w:rPr>
                            <w:rFonts w:ascii="Arial" w:hAnsi="Arial" w:cs="Arial" w:eastAsia="Arial" w:hint="default"/>
                            <w:sz w:val="24"/>
                            <w:szCs w:val="24"/>
                          </w:rPr>
                        </w:pPr>
                        <w:r>
                          <w:rPr>
                            <w:rFonts w:ascii="Arial"/>
                            <w:spacing w:val="-1"/>
                            <w:sz w:val="24"/>
                          </w:rPr>
                          <w:t>(3,908,410)</w:t>
                        </w: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
                          <w:jc w:val="right"/>
                          <w:rPr>
                            <w:rFonts w:ascii="Arial" w:hAnsi="Arial" w:cs="Arial" w:eastAsia="Arial" w:hint="default"/>
                            <w:sz w:val="24"/>
                            <w:szCs w:val="24"/>
                          </w:rPr>
                        </w:pPr>
                        <w:r>
                          <w:rPr>
                            <w:rFonts w:ascii="Arial"/>
                            <w:spacing w:val="-1"/>
                            <w:sz w:val="24"/>
                          </w:rPr>
                          <w:t>(3,756,886)</w:t>
                        </w:r>
                      </w:p>
                    </w:tc>
                  </w:tr>
                  <w:tr>
                    <w:trPr>
                      <w:trHeight w:val="391" w:hRule="exact"/>
                    </w:trPr>
                    <w:tc>
                      <w:tcPr>
                        <w:tcW w:w="755"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301" w:lineRule="exact"/>
                          <w:ind w:left="616" w:right="0"/>
                          <w:jc w:val="left"/>
                          <w:rPr>
                            <w:rFonts w:ascii="宋体" w:hAnsi="宋体" w:cs="宋体" w:eastAsia="宋体" w:hint="default"/>
                            <w:sz w:val="24"/>
                            <w:szCs w:val="24"/>
                          </w:rPr>
                        </w:pPr>
                        <w:r>
                          <w:rPr>
                            <w:rFonts w:ascii="宋体" w:hAnsi="宋体" w:cs="宋体" w:eastAsia="宋体" w:hint="default"/>
                            <w:sz w:val="24"/>
                            <w:szCs w:val="24"/>
                          </w:rPr>
                          <w:t>经营性应收项目的增加</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9"/>
                          <w:jc w:val="right"/>
                          <w:rPr>
                            <w:rFonts w:ascii="Arial" w:hAnsi="Arial" w:cs="Arial" w:eastAsia="Arial" w:hint="default"/>
                            <w:sz w:val="24"/>
                            <w:szCs w:val="24"/>
                          </w:rPr>
                        </w:pPr>
                        <w:r>
                          <w:rPr>
                            <w:rFonts w:ascii="Arial"/>
                            <w:spacing w:val="-1"/>
                            <w:sz w:val="24"/>
                          </w:rPr>
                          <w:t>(370,637)</w:t>
                        </w: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6"/>
                          <w:jc w:val="right"/>
                          <w:rPr>
                            <w:rFonts w:ascii="Arial" w:hAnsi="Arial" w:cs="Arial" w:eastAsia="Arial" w:hint="default"/>
                            <w:sz w:val="24"/>
                            <w:szCs w:val="24"/>
                          </w:rPr>
                        </w:pPr>
                        <w:r>
                          <w:rPr>
                            <w:rFonts w:ascii="Arial"/>
                            <w:spacing w:val="-1"/>
                            <w:sz w:val="24"/>
                          </w:rPr>
                          <w:t>(2,331,319)</w:t>
                        </w:r>
                      </w:p>
                    </w:tc>
                  </w:tr>
                  <w:tr>
                    <w:trPr>
                      <w:trHeight w:val="383" w:hRule="exact"/>
                    </w:trPr>
                    <w:tc>
                      <w:tcPr>
                        <w:tcW w:w="755"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301" w:lineRule="exact"/>
                          <w:ind w:left="616" w:right="0"/>
                          <w:jc w:val="left"/>
                          <w:rPr>
                            <w:rFonts w:ascii="宋体" w:hAnsi="宋体" w:cs="宋体" w:eastAsia="宋体" w:hint="default"/>
                            <w:sz w:val="24"/>
                            <w:szCs w:val="24"/>
                          </w:rPr>
                        </w:pPr>
                        <w:r>
                          <w:rPr>
                            <w:rFonts w:ascii="宋体" w:hAnsi="宋体" w:cs="宋体" w:eastAsia="宋体" w:hint="default"/>
                            <w:sz w:val="24"/>
                            <w:szCs w:val="24"/>
                          </w:rPr>
                          <w:t>经营性应付项目的增加</w:t>
                        </w:r>
                      </w:p>
                    </w:tc>
                    <w:tc>
                      <w:tcPr>
                        <w:tcW w:w="212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16"/>
                          <w:jc w:val="right"/>
                          <w:rPr>
                            <w:rFonts w:ascii="Arial" w:hAnsi="Arial" w:cs="Arial" w:eastAsia="Arial" w:hint="default"/>
                            <w:sz w:val="24"/>
                            <w:szCs w:val="24"/>
                          </w:rPr>
                        </w:pPr>
                        <w:r>
                          <w:rPr>
                            <w:rFonts w:ascii="Arial"/>
                            <w:spacing w:val="-1"/>
                            <w:sz w:val="24"/>
                          </w:rPr>
                          <w:t>5,728,969</w:t>
                        </w: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26"/>
                          <w:jc w:val="right"/>
                          <w:rPr>
                            <w:rFonts w:ascii="Arial" w:hAnsi="Arial" w:cs="Arial" w:eastAsia="Arial" w:hint="default"/>
                            <w:sz w:val="24"/>
                            <w:szCs w:val="24"/>
                          </w:rPr>
                        </w:pPr>
                        <w:r>
                          <w:rPr>
                            <w:rFonts w:ascii="Arial"/>
                            <w:spacing w:val="-3"/>
                            <w:sz w:val="24"/>
                          </w:rPr>
                          <w:t>7,113,815</w:t>
                        </w:r>
                      </w:p>
                    </w:tc>
                  </w:tr>
                  <w:tr>
                    <w:trPr>
                      <w:trHeight w:val="410" w:hRule="exact"/>
                    </w:trPr>
                    <w:tc>
                      <w:tcPr>
                        <w:tcW w:w="755"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6"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128"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116"/>
                          <w:jc w:val="right"/>
                          <w:rPr>
                            <w:rFonts w:ascii="Arial" w:hAnsi="Arial" w:cs="Arial" w:eastAsia="Arial" w:hint="default"/>
                            <w:sz w:val="24"/>
                            <w:szCs w:val="24"/>
                          </w:rPr>
                        </w:pPr>
                        <w:r>
                          <w:rPr>
                            <w:rFonts w:ascii="Arial"/>
                            <w:spacing w:val="-1"/>
                            <w:sz w:val="24"/>
                          </w:rPr>
                          <w:t>5,299,441</w:t>
                        </w:r>
                      </w:p>
                    </w:tc>
                    <w:tc>
                      <w:tcPr>
                        <w:tcW w:w="193"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126"/>
                          <w:jc w:val="right"/>
                          <w:rPr>
                            <w:rFonts w:ascii="Arial" w:hAnsi="Arial" w:cs="Arial" w:eastAsia="Arial" w:hint="default"/>
                            <w:sz w:val="24"/>
                            <w:szCs w:val="24"/>
                          </w:rPr>
                        </w:pPr>
                        <w:r>
                          <w:rPr>
                            <w:rFonts w:ascii="Arial"/>
                            <w:spacing w:val="-1"/>
                            <w:sz w:val="24"/>
                          </w:rPr>
                          <w:t>6,588,520</w:t>
                        </w:r>
                      </w:p>
                    </w:tc>
                  </w:tr>
                </w:tbl>
                <w:p>
                  <w:pPr/>
                </w:p>
              </w:txbxContent>
            </v:textbox>
            <w10:wrap type="none"/>
          </v:shape>
        </w:pict>
      </w:r>
      <w:r>
        <w:rPr/>
        <w:t>流</w:t>
      </w:r>
    </w:p>
    <w:p>
      <w:pPr>
        <w:spacing w:after="0" w:line="240" w:lineRule="auto"/>
        <w:jc w:val="cente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870"/>
        <w:gridCol w:w="4422"/>
        <w:gridCol w:w="1846"/>
        <w:gridCol w:w="231"/>
        <w:gridCol w:w="1714"/>
      </w:tblGrid>
      <w:tr>
        <w:trPr>
          <w:trHeight w:val="495" w:hRule="exact"/>
        </w:trPr>
        <w:tc>
          <w:tcPr>
            <w:tcW w:w="87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五</w:t>
            </w:r>
          </w:p>
        </w:tc>
        <w:tc>
          <w:tcPr>
            <w:tcW w:w="4422" w:type="dxa"/>
            <w:tcBorders>
              <w:top w:val="nil" w:sz="6" w:space="0" w:color="auto"/>
              <w:left w:val="nil" w:sz="6" w:space="0" w:color="auto"/>
              <w:bottom w:val="nil" w:sz="6" w:space="0" w:color="auto"/>
              <w:right w:val="nil" w:sz="6" w:space="0" w:color="auto"/>
            </w:tcBorders>
          </w:tcPr>
          <w:p>
            <w:pPr>
              <w:pStyle w:val="TableParagraph"/>
              <w:spacing w:line="257" w:lineRule="exact"/>
              <w:ind w:left="4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846"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
        </w:tc>
      </w:tr>
      <w:tr>
        <w:trPr>
          <w:trHeight w:val="731" w:hRule="exact"/>
        </w:trPr>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57" w:right="0"/>
              <w:jc w:val="left"/>
              <w:rPr>
                <w:rFonts w:ascii="Arial" w:hAnsi="Arial" w:cs="Arial" w:eastAsia="Arial" w:hint="default"/>
                <w:sz w:val="24"/>
                <w:szCs w:val="24"/>
              </w:rPr>
            </w:pPr>
            <w:r>
              <w:rPr>
                <w:rFonts w:ascii="Arial"/>
                <w:sz w:val="24"/>
              </w:rPr>
              <w:t>(51)</w:t>
            </w:r>
          </w:p>
        </w:tc>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08" w:right="0"/>
              <w:jc w:val="left"/>
              <w:rPr>
                <w:rFonts w:ascii="Arial" w:hAnsi="Arial" w:cs="Arial" w:eastAsia="Arial" w:hint="default"/>
                <w:sz w:val="24"/>
                <w:szCs w:val="24"/>
              </w:rPr>
            </w:pPr>
            <w:r>
              <w:rPr>
                <w:rFonts w:ascii="黑体" w:hAnsi="黑体" w:cs="黑体" w:eastAsia="黑体" w:hint="default"/>
                <w:sz w:val="24"/>
                <w:szCs w:val="24"/>
              </w:rPr>
              <w:t>现金流量表补充资料</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846"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
        </w:tc>
      </w:tr>
      <w:tr>
        <w:trPr>
          <w:trHeight w:val="761" w:hRule="exact"/>
        </w:trPr>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97"/>
              <w:ind w:left="257" w:right="0"/>
              <w:jc w:val="left"/>
              <w:rPr>
                <w:rFonts w:ascii="Arial" w:hAnsi="Arial" w:cs="Arial" w:eastAsia="Arial" w:hint="default"/>
                <w:sz w:val="24"/>
                <w:szCs w:val="24"/>
              </w:rPr>
            </w:pPr>
            <w:r>
              <w:rPr>
                <w:rFonts w:ascii="Arial"/>
                <w:sz w:val="24"/>
              </w:rPr>
              <w:t>(b)</w:t>
            </w:r>
          </w:p>
        </w:tc>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192"/>
              <w:ind w:left="67" w:right="0"/>
              <w:jc w:val="left"/>
              <w:rPr>
                <w:rFonts w:ascii="宋体" w:hAnsi="宋体" w:cs="宋体" w:eastAsia="宋体" w:hint="default"/>
                <w:sz w:val="24"/>
                <w:szCs w:val="24"/>
              </w:rPr>
            </w:pPr>
            <w:r>
              <w:rPr>
                <w:rFonts w:ascii="宋体" w:hAnsi="宋体" w:cs="宋体" w:eastAsia="宋体" w:hint="default"/>
                <w:sz w:val="24"/>
                <w:szCs w:val="24"/>
              </w:rPr>
              <w:t>现金及现金等价物净变动情况</w:t>
            </w:r>
          </w:p>
        </w:tc>
        <w:tc>
          <w:tcPr>
            <w:tcW w:w="1846"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
        </w:tc>
      </w:tr>
      <w:tr>
        <w:trPr>
          <w:trHeight w:val="716" w:hRule="exact"/>
        </w:trPr>
        <w:tc>
          <w:tcPr>
            <w:tcW w:w="870" w:type="dxa"/>
            <w:tcBorders>
              <w:top w:val="nil" w:sz="6" w:space="0" w:color="auto"/>
              <w:left w:val="nil" w:sz="6" w:space="0" w:color="auto"/>
              <w:bottom w:val="nil" w:sz="6" w:space="0" w:color="auto"/>
              <w:right w:val="nil" w:sz="6" w:space="0" w:color="auto"/>
            </w:tcBorders>
          </w:tcPr>
          <w:p>
            <w:pPr/>
          </w:p>
        </w:tc>
        <w:tc>
          <w:tcPr>
            <w:tcW w:w="442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103"/>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3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10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526" w:hRule="exact"/>
        </w:trPr>
        <w:tc>
          <w:tcPr>
            <w:tcW w:w="870" w:type="dxa"/>
            <w:tcBorders>
              <w:top w:val="nil" w:sz="6" w:space="0" w:color="auto"/>
              <w:left w:val="nil" w:sz="6" w:space="0" w:color="auto"/>
              <w:bottom w:val="nil" w:sz="6" w:space="0" w:color="auto"/>
              <w:right w:val="nil" w:sz="6" w:space="0" w:color="auto"/>
            </w:tcBorders>
          </w:tcPr>
          <w:p>
            <w:pPr/>
          </w:p>
        </w:tc>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2" w:right="0"/>
              <w:jc w:val="left"/>
              <w:rPr>
                <w:rFonts w:ascii="宋体" w:hAnsi="宋体" w:cs="宋体" w:eastAsia="宋体" w:hint="default"/>
                <w:sz w:val="24"/>
                <w:szCs w:val="24"/>
              </w:rPr>
            </w:pPr>
            <w:r>
              <w:rPr>
                <w:rFonts w:ascii="宋体" w:hAnsi="宋体" w:cs="宋体" w:eastAsia="宋体" w:hint="default"/>
                <w:sz w:val="24"/>
                <w:szCs w:val="24"/>
              </w:rPr>
              <w:t>现金的年末余额</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19"/>
              <w:jc w:val="right"/>
              <w:rPr>
                <w:rFonts w:ascii="Arial" w:hAnsi="Arial" w:cs="Arial" w:eastAsia="Arial" w:hint="default"/>
                <w:sz w:val="24"/>
                <w:szCs w:val="24"/>
              </w:rPr>
            </w:pPr>
            <w:r>
              <w:rPr>
                <w:rFonts w:ascii="Arial"/>
                <w:spacing w:val="-1"/>
                <w:sz w:val="24"/>
              </w:rPr>
              <w:t>20,243,719</w:t>
            </w:r>
          </w:p>
        </w:tc>
        <w:tc>
          <w:tcPr>
            <w:tcW w:w="23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211"/>
              <w:ind w:left="400" w:right="0"/>
              <w:jc w:val="left"/>
              <w:rPr>
                <w:rFonts w:ascii="Arial" w:hAnsi="Arial" w:cs="Arial" w:eastAsia="Arial" w:hint="default"/>
                <w:sz w:val="24"/>
                <w:szCs w:val="24"/>
              </w:rPr>
            </w:pPr>
            <w:r>
              <w:rPr>
                <w:rFonts w:ascii="Arial"/>
                <w:sz w:val="24"/>
              </w:rPr>
              <w:t>12,949,158</w:t>
            </w:r>
          </w:p>
        </w:tc>
      </w:tr>
      <w:tr>
        <w:trPr>
          <w:trHeight w:val="359" w:hRule="exact"/>
        </w:trPr>
        <w:tc>
          <w:tcPr>
            <w:tcW w:w="870" w:type="dxa"/>
            <w:tcBorders>
              <w:top w:val="nil" w:sz="6" w:space="0" w:color="auto"/>
              <w:left w:val="nil" w:sz="6" w:space="0" w:color="auto"/>
              <w:bottom w:val="nil" w:sz="6" w:space="0" w:color="auto"/>
              <w:right w:val="nil" w:sz="6" w:space="0" w:color="auto"/>
            </w:tcBorders>
          </w:tcPr>
          <w:p>
            <w:pPr/>
          </w:p>
        </w:tc>
        <w:tc>
          <w:tcPr>
            <w:tcW w:w="4422" w:type="dxa"/>
            <w:tcBorders>
              <w:top w:val="nil" w:sz="6" w:space="0" w:color="auto"/>
              <w:left w:val="nil" w:sz="6" w:space="0" w:color="auto"/>
              <w:bottom w:val="nil" w:sz="6" w:space="0" w:color="auto"/>
              <w:right w:val="nil" w:sz="6" w:space="0" w:color="auto"/>
            </w:tcBorders>
          </w:tcPr>
          <w:p>
            <w:pPr>
              <w:pStyle w:val="TableParagraph"/>
              <w:spacing w:line="277" w:lineRule="exact"/>
              <w:ind w:left="2" w:right="0"/>
              <w:jc w:val="left"/>
              <w:rPr>
                <w:rFonts w:ascii="宋体" w:hAnsi="宋体" w:cs="宋体" w:eastAsia="宋体" w:hint="default"/>
                <w:sz w:val="24"/>
                <w:szCs w:val="24"/>
              </w:rPr>
            </w:pPr>
            <w:r>
              <w:rPr>
                <w:rFonts w:ascii="宋体" w:hAnsi="宋体" w:cs="宋体" w:eastAsia="宋体" w:hint="default"/>
                <w:sz w:val="24"/>
                <w:szCs w:val="24"/>
              </w:rPr>
              <w:t>减：现金的年初余额</w:t>
            </w:r>
          </w:p>
        </w:tc>
        <w:tc>
          <w:tcPr>
            <w:tcW w:w="184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32"/>
              <w:jc w:val="right"/>
              <w:rPr>
                <w:rFonts w:ascii="Arial" w:hAnsi="Arial" w:cs="Arial" w:eastAsia="Arial" w:hint="default"/>
                <w:sz w:val="24"/>
                <w:szCs w:val="24"/>
              </w:rPr>
            </w:pPr>
            <w:r>
              <w:rPr>
                <w:rFonts w:ascii="Arial"/>
                <w:spacing w:val="-1"/>
                <w:sz w:val="24"/>
              </w:rPr>
              <w:t>(12,949,158)</w:t>
            </w:r>
          </w:p>
        </w:tc>
        <w:tc>
          <w:tcPr>
            <w:tcW w:w="23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32"/>
              <w:jc w:val="right"/>
              <w:rPr>
                <w:rFonts w:ascii="Arial" w:hAnsi="Arial" w:cs="Arial" w:eastAsia="Arial" w:hint="default"/>
                <w:sz w:val="24"/>
                <w:szCs w:val="24"/>
              </w:rPr>
            </w:pPr>
            <w:r>
              <w:rPr>
                <w:rFonts w:ascii="Arial"/>
                <w:spacing w:val="-2"/>
                <w:sz w:val="24"/>
              </w:rPr>
              <w:t>(11,676,465)</w:t>
            </w:r>
          </w:p>
        </w:tc>
      </w:tr>
      <w:tr>
        <w:trPr>
          <w:trHeight w:val="410" w:hRule="exact"/>
        </w:trPr>
        <w:tc>
          <w:tcPr>
            <w:tcW w:w="870" w:type="dxa"/>
            <w:tcBorders>
              <w:top w:val="nil" w:sz="6" w:space="0" w:color="auto"/>
              <w:left w:val="nil" w:sz="6" w:space="0" w:color="auto"/>
              <w:bottom w:val="nil" w:sz="6" w:space="0" w:color="auto"/>
              <w:right w:val="nil" w:sz="6" w:space="0" w:color="auto"/>
            </w:tcBorders>
          </w:tcPr>
          <w:p>
            <w:pPr/>
          </w:p>
        </w:tc>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p>
        </w:tc>
        <w:tc>
          <w:tcPr>
            <w:tcW w:w="1846"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107"/>
              <w:jc w:val="right"/>
              <w:rPr>
                <w:rFonts w:ascii="Arial" w:hAnsi="Arial" w:cs="Arial" w:eastAsia="Arial" w:hint="default"/>
                <w:sz w:val="24"/>
                <w:szCs w:val="24"/>
              </w:rPr>
            </w:pPr>
            <w:r>
              <w:rPr>
                <w:rFonts w:ascii="Arial"/>
                <w:spacing w:val="-1"/>
                <w:sz w:val="24"/>
              </w:rPr>
              <w:t>7,294,561</w:t>
            </w:r>
          </w:p>
        </w:tc>
        <w:tc>
          <w:tcPr>
            <w:tcW w:w="231" w:type="dxa"/>
            <w:tcBorders>
              <w:top w:val="nil" w:sz="6" w:space="0" w:color="auto"/>
              <w:left w:val="nil" w:sz="6" w:space="0" w:color="auto"/>
              <w:bottom w:val="nil" w:sz="6" w:space="0" w:color="auto"/>
              <w:right w:val="nil" w:sz="6" w:space="0" w:color="auto"/>
            </w:tcBorders>
          </w:tcPr>
          <w:p>
            <w:pPr/>
          </w:p>
        </w:tc>
        <w:tc>
          <w:tcPr>
            <w:tcW w:w="1714"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103"/>
              <w:jc w:val="right"/>
              <w:rPr>
                <w:rFonts w:ascii="Arial" w:hAnsi="Arial" w:cs="Arial" w:eastAsia="Arial" w:hint="default"/>
                <w:sz w:val="24"/>
                <w:szCs w:val="24"/>
              </w:rPr>
            </w:pPr>
            <w:r>
              <w:rPr>
                <w:rFonts w:ascii="Arial"/>
                <w:spacing w:val="-1"/>
                <w:sz w:val="24"/>
              </w:rPr>
              <w:t>1,272,693</w:t>
            </w:r>
          </w:p>
        </w:tc>
      </w:tr>
      <w:tr>
        <w:trPr>
          <w:trHeight w:val="941" w:hRule="exact"/>
        </w:trPr>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left="257" w:right="0"/>
              <w:jc w:val="left"/>
              <w:rPr>
                <w:rFonts w:ascii="Arial" w:hAnsi="Arial" w:cs="Arial" w:eastAsia="Arial" w:hint="default"/>
                <w:sz w:val="24"/>
                <w:szCs w:val="24"/>
              </w:rPr>
            </w:pPr>
            <w:r>
              <w:rPr>
                <w:rFonts w:ascii="Arial"/>
                <w:sz w:val="24"/>
              </w:rPr>
              <w:t>(c)</w:t>
            </w:r>
          </w:p>
        </w:tc>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sz w:val="24"/>
                <w:szCs w:val="24"/>
              </w:rPr>
              <w:t>现金及现金等价物</w:t>
            </w:r>
          </w:p>
        </w:tc>
        <w:tc>
          <w:tcPr>
            <w:tcW w:w="1846" w:type="dxa"/>
            <w:tcBorders>
              <w:top w:val="single" w:sz="12" w:space="0" w:color="000000"/>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714" w:type="dxa"/>
            <w:tcBorders>
              <w:top w:val="single" w:sz="12" w:space="0" w:color="000000"/>
              <w:left w:val="nil" w:sz="6" w:space="0" w:color="auto"/>
              <w:bottom w:val="nil" w:sz="6" w:space="0" w:color="auto"/>
              <w:right w:val="nil" w:sz="6" w:space="0" w:color="auto"/>
            </w:tcBorders>
          </w:tcPr>
          <w:p>
            <w:pPr/>
          </w:p>
        </w:tc>
      </w:tr>
      <w:tr>
        <w:trPr>
          <w:trHeight w:val="1104" w:hRule="exact"/>
        </w:trPr>
        <w:tc>
          <w:tcPr>
            <w:tcW w:w="870" w:type="dxa"/>
            <w:tcBorders>
              <w:top w:val="nil" w:sz="6" w:space="0" w:color="auto"/>
              <w:left w:val="nil" w:sz="6" w:space="0" w:color="auto"/>
              <w:bottom w:val="nil" w:sz="6" w:space="0" w:color="auto"/>
              <w:right w:val="nil" w:sz="6" w:space="0" w:color="auto"/>
            </w:tcBorders>
          </w:tcPr>
          <w:p>
            <w:pPr/>
          </w:p>
        </w:tc>
        <w:tc>
          <w:tcPr>
            <w:tcW w:w="442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878"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240" w:lineRule="auto" w:before="19"/>
              <w:ind w:left="518"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3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763"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240" w:lineRule="auto" w:before="19"/>
              <w:ind w:left="386"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69" w:hRule="exact"/>
        </w:trPr>
        <w:tc>
          <w:tcPr>
            <w:tcW w:w="870" w:type="dxa"/>
            <w:tcBorders>
              <w:top w:val="nil" w:sz="6" w:space="0" w:color="auto"/>
              <w:left w:val="nil" w:sz="6" w:space="0" w:color="auto"/>
              <w:bottom w:val="nil" w:sz="6" w:space="0" w:color="auto"/>
              <w:right w:val="nil" w:sz="6" w:space="0" w:color="auto"/>
            </w:tcBorders>
          </w:tcPr>
          <w:p>
            <w:pPr/>
          </w:p>
        </w:tc>
        <w:tc>
          <w:tcPr>
            <w:tcW w:w="4422" w:type="dxa"/>
            <w:tcBorders>
              <w:top w:val="nil" w:sz="6" w:space="0" w:color="auto"/>
              <w:left w:val="nil" w:sz="6" w:space="0" w:color="auto"/>
              <w:bottom w:val="single" w:sz="4" w:space="0" w:color="000000"/>
              <w:right w:val="nil" w:sz="6" w:space="0" w:color="auto"/>
            </w:tcBorders>
          </w:tcPr>
          <w:p>
            <w:pPr>
              <w:pStyle w:val="TableParagraph"/>
              <w:spacing w:line="240" w:lineRule="auto" w:before="173"/>
              <w:ind w:left="43"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84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65"/>
              <w:jc w:val="right"/>
              <w:rPr>
                <w:rFonts w:ascii="Arial" w:hAnsi="Arial" w:cs="Arial" w:eastAsia="Arial" w:hint="default"/>
                <w:sz w:val="24"/>
                <w:szCs w:val="24"/>
              </w:rPr>
            </w:pPr>
            <w:r>
              <w:rPr>
                <w:rFonts w:ascii="Arial"/>
                <w:spacing w:val="-1"/>
                <w:sz w:val="24"/>
              </w:rPr>
              <w:t>20,243,719</w:t>
            </w:r>
          </w:p>
        </w:tc>
        <w:tc>
          <w:tcPr>
            <w:tcW w:w="231" w:type="dxa"/>
            <w:tcBorders>
              <w:top w:val="nil" w:sz="6" w:space="0" w:color="auto"/>
              <w:left w:val="nil" w:sz="6" w:space="0" w:color="auto"/>
              <w:bottom w:val="single" w:sz="4" w:space="0" w:color="000000"/>
              <w:right w:val="nil" w:sz="6" w:space="0" w:color="auto"/>
            </w:tcBorders>
          </w:tcPr>
          <w:p>
            <w:pPr/>
          </w:p>
        </w:tc>
        <w:tc>
          <w:tcPr>
            <w:tcW w:w="171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65"/>
              <w:jc w:val="right"/>
              <w:rPr>
                <w:rFonts w:ascii="Arial" w:hAnsi="Arial" w:cs="Arial" w:eastAsia="Arial" w:hint="default"/>
                <w:sz w:val="24"/>
                <w:szCs w:val="24"/>
              </w:rPr>
            </w:pPr>
            <w:r>
              <w:rPr>
                <w:rFonts w:ascii="Arial"/>
                <w:spacing w:val="-1"/>
                <w:sz w:val="24"/>
              </w:rPr>
              <w:t>12,949,158</w:t>
            </w:r>
          </w:p>
        </w:tc>
      </w:tr>
      <w:tr>
        <w:trPr>
          <w:trHeight w:val="409" w:hRule="exact"/>
        </w:trPr>
        <w:tc>
          <w:tcPr>
            <w:tcW w:w="870" w:type="dxa"/>
            <w:tcBorders>
              <w:top w:val="nil" w:sz="6" w:space="0" w:color="auto"/>
              <w:left w:val="nil" w:sz="6" w:space="0" w:color="auto"/>
              <w:bottom w:val="nil" w:sz="6" w:space="0" w:color="auto"/>
              <w:right w:val="single" w:sz="4" w:space="0" w:color="000000"/>
            </w:tcBorders>
          </w:tcPr>
          <w:p>
            <w:pPr/>
          </w:p>
        </w:tc>
        <w:tc>
          <w:tcPr>
            <w:tcW w:w="4422" w:type="dxa"/>
            <w:tcBorders>
              <w:top w:val="single" w:sz="4" w:space="0" w:color="000000"/>
              <w:left w:val="single" w:sz="4" w:space="0" w:color="000000"/>
              <w:bottom w:val="nil" w:sz="6" w:space="0" w:color="auto"/>
              <w:right w:val="nil" w:sz="6" w:space="0" w:color="auto"/>
            </w:tcBorders>
          </w:tcPr>
          <w:p>
            <w:pPr>
              <w:pStyle w:val="TableParagraph"/>
              <w:spacing w:line="240" w:lineRule="auto"/>
              <w:ind w:left="38" w:right="0"/>
              <w:jc w:val="left"/>
              <w:rPr>
                <w:rFonts w:ascii="宋体" w:hAnsi="宋体" w:cs="宋体" w:eastAsia="宋体" w:hint="default"/>
                <w:sz w:val="24"/>
                <w:szCs w:val="24"/>
              </w:rPr>
            </w:pPr>
            <w:r>
              <w:rPr>
                <w:rFonts w:ascii="宋体" w:hAnsi="宋体" w:cs="宋体" w:eastAsia="宋体" w:hint="default"/>
                <w:sz w:val="24"/>
                <w:szCs w:val="24"/>
              </w:rPr>
              <w:t>其中：库存现金</w:t>
            </w:r>
          </w:p>
        </w:tc>
        <w:tc>
          <w:tcPr>
            <w:tcW w:w="184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66"/>
              <w:jc w:val="right"/>
              <w:rPr>
                <w:rFonts w:ascii="Arial" w:hAnsi="Arial" w:cs="Arial" w:eastAsia="Arial" w:hint="default"/>
                <w:sz w:val="24"/>
                <w:szCs w:val="24"/>
              </w:rPr>
            </w:pPr>
            <w:r>
              <w:rPr>
                <w:rFonts w:ascii="Arial"/>
                <w:spacing w:val="-1"/>
                <w:sz w:val="24"/>
              </w:rPr>
              <w:t>10,740</w:t>
            </w:r>
          </w:p>
        </w:tc>
        <w:tc>
          <w:tcPr>
            <w:tcW w:w="231" w:type="dxa"/>
            <w:tcBorders>
              <w:top w:val="single" w:sz="4" w:space="0" w:color="000000"/>
              <w:left w:val="nil" w:sz="6" w:space="0" w:color="auto"/>
              <w:bottom w:val="nil" w:sz="6" w:space="0" w:color="auto"/>
              <w:right w:val="nil" w:sz="6" w:space="0" w:color="auto"/>
            </w:tcBorders>
          </w:tcPr>
          <w:p>
            <w:pPr/>
          </w:p>
        </w:tc>
        <w:tc>
          <w:tcPr>
            <w:tcW w:w="1714" w:type="dxa"/>
            <w:tcBorders>
              <w:top w:val="single" w:sz="4" w:space="0" w:color="000000"/>
              <w:left w:val="nil" w:sz="6" w:space="0" w:color="auto"/>
              <w:bottom w:val="nil" w:sz="6" w:space="0" w:color="auto"/>
              <w:right w:val="single" w:sz="4" w:space="0" w:color="000000"/>
            </w:tcBorders>
          </w:tcPr>
          <w:p>
            <w:pPr>
              <w:pStyle w:val="TableParagraph"/>
              <w:spacing w:line="240" w:lineRule="auto" w:before="72"/>
              <w:ind w:right="59"/>
              <w:jc w:val="right"/>
              <w:rPr>
                <w:rFonts w:ascii="Arial" w:hAnsi="Arial" w:cs="Arial" w:eastAsia="Arial" w:hint="default"/>
                <w:sz w:val="24"/>
                <w:szCs w:val="24"/>
              </w:rPr>
            </w:pPr>
            <w:r>
              <w:rPr>
                <w:rFonts w:ascii="Arial"/>
                <w:spacing w:val="-1"/>
                <w:sz w:val="24"/>
              </w:rPr>
              <w:t>14,433</w:t>
            </w:r>
          </w:p>
        </w:tc>
      </w:tr>
      <w:tr>
        <w:trPr>
          <w:trHeight w:val="392" w:hRule="exact"/>
        </w:trPr>
        <w:tc>
          <w:tcPr>
            <w:tcW w:w="870" w:type="dxa"/>
            <w:tcBorders>
              <w:top w:val="nil" w:sz="6" w:space="0" w:color="auto"/>
              <w:left w:val="nil" w:sz="6" w:space="0" w:color="auto"/>
              <w:bottom w:val="nil" w:sz="6" w:space="0" w:color="auto"/>
              <w:right w:val="single" w:sz="4" w:space="0" w:color="000000"/>
            </w:tcBorders>
          </w:tcPr>
          <w:p>
            <w:pPr/>
          </w:p>
        </w:tc>
        <w:tc>
          <w:tcPr>
            <w:tcW w:w="4422" w:type="dxa"/>
            <w:tcBorders>
              <w:top w:val="nil" w:sz="6" w:space="0" w:color="auto"/>
              <w:left w:val="single" w:sz="4" w:space="0" w:color="000000"/>
              <w:bottom w:val="nil" w:sz="6" w:space="0" w:color="auto"/>
              <w:right w:val="nil" w:sz="6" w:space="0" w:color="auto"/>
            </w:tcBorders>
          </w:tcPr>
          <w:p>
            <w:pPr>
              <w:pStyle w:val="TableParagraph"/>
              <w:spacing w:line="301" w:lineRule="exact"/>
              <w:ind w:left="758" w:right="0"/>
              <w:jc w:val="left"/>
              <w:rPr>
                <w:rFonts w:ascii="宋体" w:hAnsi="宋体" w:cs="宋体" w:eastAsia="宋体" w:hint="default"/>
                <w:sz w:val="24"/>
                <w:szCs w:val="24"/>
              </w:rPr>
            </w:pPr>
            <w:r>
              <w:rPr>
                <w:rFonts w:ascii="宋体" w:hAnsi="宋体" w:cs="宋体" w:eastAsia="宋体" w:hint="default"/>
                <w:sz w:val="24"/>
                <w:szCs w:val="24"/>
              </w:rPr>
              <w:t>可随时用于支付的银行存款</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6"/>
              <w:jc w:val="right"/>
              <w:rPr>
                <w:rFonts w:ascii="Arial" w:hAnsi="Arial" w:cs="Arial" w:eastAsia="Arial" w:hint="default"/>
                <w:sz w:val="24"/>
                <w:szCs w:val="24"/>
              </w:rPr>
            </w:pPr>
            <w:r>
              <w:rPr>
                <w:rFonts w:ascii="Arial"/>
                <w:spacing w:val="-1"/>
                <w:sz w:val="24"/>
              </w:rPr>
              <w:t>20,183,662</w:t>
            </w:r>
          </w:p>
        </w:tc>
        <w:tc>
          <w:tcPr>
            <w:tcW w:w="23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right="60"/>
              <w:jc w:val="right"/>
              <w:rPr>
                <w:rFonts w:ascii="Arial" w:hAnsi="Arial" w:cs="Arial" w:eastAsia="Arial" w:hint="default"/>
                <w:sz w:val="24"/>
                <w:szCs w:val="24"/>
              </w:rPr>
            </w:pPr>
            <w:r>
              <w:rPr>
                <w:rFonts w:ascii="Arial"/>
                <w:spacing w:val="-1"/>
                <w:sz w:val="24"/>
              </w:rPr>
              <w:t>12,848,159</w:t>
            </w:r>
          </w:p>
        </w:tc>
      </w:tr>
      <w:tr>
        <w:trPr>
          <w:trHeight w:val="384" w:hRule="exact"/>
        </w:trPr>
        <w:tc>
          <w:tcPr>
            <w:tcW w:w="870" w:type="dxa"/>
            <w:tcBorders>
              <w:top w:val="nil" w:sz="6" w:space="0" w:color="auto"/>
              <w:left w:val="nil" w:sz="6" w:space="0" w:color="auto"/>
              <w:bottom w:val="nil" w:sz="6" w:space="0" w:color="auto"/>
              <w:right w:val="single" w:sz="4" w:space="0" w:color="000000"/>
            </w:tcBorders>
          </w:tcPr>
          <w:p>
            <w:pPr/>
          </w:p>
        </w:tc>
        <w:tc>
          <w:tcPr>
            <w:tcW w:w="4422" w:type="dxa"/>
            <w:tcBorders>
              <w:top w:val="nil" w:sz="6" w:space="0" w:color="auto"/>
              <w:left w:val="single" w:sz="4" w:space="0" w:color="000000"/>
              <w:bottom w:val="single" w:sz="4" w:space="0" w:color="000000"/>
              <w:right w:val="nil" w:sz="6" w:space="0" w:color="auto"/>
            </w:tcBorders>
          </w:tcPr>
          <w:p>
            <w:pPr>
              <w:pStyle w:val="TableParagraph"/>
              <w:spacing w:line="303" w:lineRule="exact"/>
              <w:ind w:left="758" w:right="0"/>
              <w:jc w:val="left"/>
              <w:rPr>
                <w:rFonts w:ascii="宋体" w:hAnsi="宋体" w:cs="宋体" w:eastAsia="宋体" w:hint="default"/>
                <w:sz w:val="24"/>
                <w:szCs w:val="24"/>
              </w:rPr>
            </w:pPr>
            <w:r>
              <w:rPr>
                <w:rFonts w:ascii="宋体" w:hAnsi="宋体" w:cs="宋体" w:eastAsia="宋体" w:hint="default"/>
                <w:sz w:val="24"/>
                <w:szCs w:val="24"/>
              </w:rPr>
              <w:t>可随时用于支付的其他货币资金</w:t>
            </w:r>
          </w:p>
        </w:tc>
        <w:tc>
          <w:tcPr>
            <w:tcW w:w="184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66"/>
              <w:jc w:val="right"/>
              <w:rPr>
                <w:rFonts w:ascii="Arial" w:hAnsi="Arial" w:cs="Arial" w:eastAsia="Arial" w:hint="default"/>
                <w:sz w:val="24"/>
                <w:szCs w:val="24"/>
              </w:rPr>
            </w:pPr>
            <w:r>
              <w:rPr>
                <w:rFonts w:ascii="Arial"/>
                <w:spacing w:val="-1"/>
                <w:sz w:val="24"/>
              </w:rPr>
              <w:t>49,317</w:t>
            </w:r>
          </w:p>
        </w:tc>
        <w:tc>
          <w:tcPr>
            <w:tcW w:w="231" w:type="dxa"/>
            <w:tcBorders>
              <w:top w:val="nil" w:sz="6" w:space="0" w:color="auto"/>
              <w:left w:val="nil" w:sz="6" w:space="0" w:color="auto"/>
              <w:bottom w:val="single" w:sz="4" w:space="0" w:color="000000"/>
              <w:right w:val="nil" w:sz="6" w:space="0" w:color="auto"/>
            </w:tcBorders>
          </w:tcPr>
          <w:p>
            <w:pPr/>
          </w:p>
        </w:tc>
        <w:tc>
          <w:tcPr>
            <w:tcW w:w="1714" w:type="dxa"/>
            <w:tcBorders>
              <w:top w:val="nil" w:sz="6" w:space="0" w:color="auto"/>
              <w:left w:val="nil" w:sz="6" w:space="0" w:color="auto"/>
              <w:bottom w:val="single" w:sz="4" w:space="0" w:color="000000"/>
              <w:right w:val="single" w:sz="4" w:space="0" w:color="000000"/>
            </w:tcBorders>
          </w:tcPr>
          <w:p>
            <w:pPr>
              <w:pStyle w:val="TableParagraph"/>
              <w:spacing w:line="240" w:lineRule="auto" w:before="58"/>
              <w:ind w:right="59"/>
              <w:jc w:val="right"/>
              <w:rPr>
                <w:rFonts w:ascii="Arial" w:hAnsi="Arial" w:cs="Arial" w:eastAsia="Arial" w:hint="default"/>
                <w:sz w:val="24"/>
                <w:szCs w:val="24"/>
              </w:rPr>
            </w:pPr>
            <w:r>
              <w:rPr>
                <w:rFonts w:ascii="Arial"/>
                <w:spacing w:val="-1"/>
                <w:sz w:val="24"/>
              </w:rPr>
              <w:t>86,566</w:t>
            </w:r>
          </w:p>
        </w:tc>
      </w:tr>
      <w:tr>
        <w:trPr>
          <w:trHeight w:val="365" w:hRule="exact"/>
        </w:trPr>
        <w:tc>
          <w:tcPr>
            <w:tcW w:w="870" w:type="dxa"/>
            <w:tcBorders>
              <w:top w:val="nil" w:sz="6" w:space="0" w:color="auto"/>
              <w:left w:val="nil" w:sz="6" w:space="0" w:color="auto"/>
              <w:bottom w:val="nil" w:sz="6" w:space="0" w:color="auto"/>
              <w:right w:val="nil" w:sz="6" w:space="0" w:color="auto"/>
            </w:tcBorders>
          </w:tcPr>
          <w:p>
            <w:pPr/>
          </w:p>
        </w:tc>
        <w:tc>
          <w:tcPr>
            <w:tcW w:w="4422" w:type="dxa"/>
            <w:tcBorders>
              <w:top w:val="single" w:sz="4" w:space="0" w:color="000000"/>
              <w:left w:val="nil" w:sz="6" w:space="0" w:color="auto"/>
              <w:bottom w:val="nil" w:sz="6" w:space="0" w:color="auto"/>
              <w:right w:val="nil" w:sz="6" w:space="0" w:color="auto"/>
            </w:tcBorders>
          </w:tcPr>
          <w:p>
            <w:pPr/>
          </w:p>
        </w:tc>
        <w:tc>
          <w:tcPr>
            <w:tcW w:w="1846" w:type="dxa"/>
            <w:tcBorders>
              <w:top w:val="single" w:sz="4" w:space="0" w:color="000000"/>
              <w:left w:val="nil" w:sz="6" w:space="0" w:color="auto"/>
              <w:bottom w:val="single" w:sz="4" w:space="0" w:color="000000"/>
              <w:right w:val="nil" w:sz="6" w:space="0" w:color="auto"/>
            </w:tcBorders>
          </w:tcPr>
          <w:p>
            <w:pPr/>
          </w:p>
        </w:tc>
        <w:tc>
          <w:tcPr>
            <w:tcW w:w="231" w:type="dxa"/>
            <w:tcBorders>
              <w:top w:val="single" w:sz="4" w:space="0" w:color="000000"/>
              <w:left w:val="nil" w:sz="6" w:space="0" w:color="auto"/>
              <w:bottom w:val="nil" w:sz="6" w:space="0" w:color="auto"/>
              <w:right w:val="nil" w:sz="6" w:space="0" w:color="auto"/>
            </w:tcBorders>
          </w:tcPr>
          <w:p>
            <w:pPr/>
          </w:p>
        </w:tc>
        <w:tc>
          <w:tcPr>
            <w:tcW w:w="1714" w:type="dxa"/>
            <w:tcBorders>
              <w:top w:val="single" w:sz="4" w:space="0" w:color="000000"/>
              <w:left w:val="nil" w:sz="6" w:space="0" w:color="auto"/>
              <w:bottom w:val="single" w:sz="4" w:space="0" w:color="000000"/>
              <w:right w:val="nil" w:sz="6" w:space="0" w:color="auto"/>
            </w:tcBorders>
          </w:tcPr>
          <w:p>
            <w:pPr/>
          </w:p>
        </w:tc>
      </w:tr>
      <w:tr>
        <w:trPr>
          <w:trHeight w:val="413" w:hRule="exact"/>
        </w:trPr>
        <w:tc>
          <w:tcPr>
            <w:tcW w:w="870" w:type="dxa"/>
            <w:tcBorders>
              <w:top w:val="nil" w:sz="6" w:space="0" w:color="auto"/>
              <w:left w:val="nil" w:sz="6" w:space="0" w:color="auto"/>
              <w:bottom w:val="nil" w:sz="6" w:space="0" w:color="auto"/>
              <w:right w:val="nil" w:sz="6" w:space="0" w:color="auto"/>
            </w:tcBorders>
          </w:tcPr>
          <w:p>
            <w:pPr/>
          </w:p>
        </w:tc>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5"/>
              <w:ind w:left="43" w:right="0"/>
              <w:jc w:val="left"/>
              <w:rPr>
                <w:rFonts w:ascii="宋体" w:hAnsi="宋体" w:cs="宋体" w:eastAsia="宋体" w:hint="default"/>
                <w:sz w:val="24"/>
                <w:szCs w:val="24"/>
              </w:rPr>
            </w:pPr>
            <w:r>
              <w:rPr>
                <w:rFonts w:ascii="宋体" w:hAnsi="宋体" w:cs="宋体" w:eastAsia="宋体" w:hint="default"/>
                <w:sz w:val="24"/>
                <w:szCs w:val="24"/>
              </w:rPr>
              <w:t>年末现金及现金等价物余额</w:t>
            </w:r>
          </w:p>
        </w:tc>
        <w:tc>
          <w:tcPr>
            <w:tcW w:w="1846"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83"/>
              <w:jc w:val="right"/>
              <w:rPr>
                <w:rFonts w:ascii="Arial" w:hAnsi="Arial" w:cs="Arial" w:eastAsia="Arial" w:hint="default"/>
                <w:sz w:val="24"/>
                <w:szCs w:val="24"/>
              </w:rPr>
            </w:pPr>
            <w:r>
              <w:rPr>
                <w:rFonts w:ascii="Arial"/>
                <w:spacing w:val="-1"/>
                <w:sz w:val="24"/>
              </w:rPr>
              <w:t>20,243,719</w:t>
            </w:r>
          </w:p>
        </w:tc>
        <w:tc>
          <w:tcPr>
            <w:tcW w:w="231" w:type="dxa"/>
            <w:tcBorders>
              <w:top w:val="nil" w:sz="6" w:space="0" w:color="auto"/>
              <w:left w:val="nil" w:sz="6" w:space="0" w:color="auto"/>
              <w:bottom w:val="nil" w:sz="6" w:space="0" w:color="auto"/>
              <w:right w:val="nil" w:sz="6" w:space="0" w:color="auto"/>
            </w:tcBorders>
          </w:tcPr>
          <w:p>
            <w:pPr/>
          </w:p>
        </w:tc>
        <w:tc>
          <w:tcPr>
            <w:tcW w:w="1714"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41"/>
              <w:jc w:val="right"/>
              <w:rPr>
                <w:rFonts w:ascii="Arial" w:hAnsi="Arial" w:cs="Arial" w:eastAsia="Arial" w:hint="default"/>
                <w:sz w:val="24"/>
                <w:szCs w:val="24"/>
              </w:rPr>
            </w:pPr>
            <w:r>
              <w:rPr>
                <w:rFonts w:ascii="Arial"/>
                <w:spacing w:val="-1"/>
                <w:sz w:val="24"/>
              </w:rPr>
              <w:t>12,949,158</w:t>
            </w:r>
          </w:p>
        </w:tc>
      </w:tr>
    </w:tbl>
    <w:p>
      <w:pPr>
        <w:spacing w:after="0" w:line="240" w:lineRule="auto"/>
        <w:jc w:val="right"/>
        <w:rPr>
          <w:rFonts w:ascii="Arial" w:hAnsi="Arial" w:cs="Arial" w:eastAsia="Arial" w:hint="default"/>
          <w:sz w:val="24"/>
          <w:szCs w:val="24"/>
        </w:rPr>
        <w:sectPr>
          <w:pgSz w:w="11910" w:h="16850"/>
          <w:pgMar w:header="795" w:footer="1340" w:top="2020" w:bottom="1540" w:left="1420" w:right="0"/>
        </w:sectPr>
      </w:pPr>
    </w:p>
    <w:p>
      <w:pPr>
        <w:spacing w:line="240" w:lineRule="auto" w:before="9"/>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16"/>
        <w:gridCol w:w="1780"/>
        <w:gridCol w:w="1589"/>
        <w:gridCol w:w="1017"/>
        <w:gridCol w:w="1327"/>
        <w:gridCol w:w="1428"/>
        <w:gridCol w:w="1441"/>
      </w:tblGrid>
      <w:tr>
        <w:trPr>
          <w:trHeight w:val="409"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exact"/>
              <w:ind w:right="74"/>
              <w:jc w:val="center"/>
              <w:rPr>
                <w:rFonts w:ascii="黑体" w:hAnsi="黑体" w:cs="黑体" w:eastAsia="黑体" w:hint="default"/>
                <w:sz w:val="24"/>
                <w:szCs w:val="24"/>
              </w:rPr>
            </w:pPr>
            <w:r>
              <w:rPr>
                <w:rFonts w:ascii="黑体" w:hAnsi="黑体" w:cs="黑体" w:eastAsia="黑体" w:hint="default"/>
                <w:sz w:val="24"/>
                <w:szCs w:val="24"/>
              </w:rPr>
              <w:t>六</w:t>
            </w:r>
          </w:p>
        </w:tc>
        <w:tc>
          <w:tcPr>
            <w:tcW w:w="3369"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222" w:right="0"/>
              <w:jc w:val="left"/>
              <w:rPr>
                <w:rFonts w:ascii="黑体" w:hAnsi="黑体" w:cs="黑体" w:eastAsia="黑体" w:hint="default"/>
                <w:sz w:val="24"/>
                <w:szCs w:val="24"/>
              </w:rPr>
            </w:pPr>
            <w:r>
              <w:rPr>
                <w:rFonts w:ascii="黑体" w:hAnsi="黑体" w:cs="黑体" w:eastAsia="黑体" w:hint="default"/>
                <w:sz w:val="24"/>
                <w:szCs w:val="24"/>
              </w:rPr>
              <w:t>关联方关系及其交易</w:t>
            </w:r>
          </w:p>
        </w:tc>
        <w:tc>
          <w:tcPr>
            <w:tcW w:w="1017"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r>
      <w:tr>
        <w:trPr>
          <w:trHeight w:val="587"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0"/>
              <w:jc w:val="center"/>
              <w:rPr>
                <w:rFonts w:ascii="Arial" w:hAnsi="Arial" w:cs="Arial" w:eastAsia="Arial" w:hint="default"/>
                <w:sz w:val="24"/>
                <w:szCs w:val="24"/>
              </w:rPr>
            </w:pPr>
            <w:r>
              <w:rPr>
                <w:rFonts w:ascii="Arial"/>
                <w:sz w:val="24"/>
              </w:rPr>
              <w:t>(1)</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22" w:right="0"/>
              <w:jc w:val="left"/>
              <w:rPr>
                <w:rFonts w:ascii="黑体" w:hAnsi="黑体" w:cs="黑体" w:eastAsia="黑体" w:hint="default"/>
                <w:sz w:val="24"/>
                <w:szCs w:val="24"/>
              </w:rPr>
            </w:pPr>
            <w:r>
              <w:rPr>
                <w:rFonts w:ascii="黑体" w:hAnsi="黑体" w:cs="黑体" w:eastAsia="黑体" w:hint="default"/>
                <w:sz w:val="24"/>
                <w:szCs w:val="24"/>
              </w:rPr>
              <w:t>母公司情况</w:t>
            </w:r>
          </w:p>
        </w:tc>
        <w:tc>
          <w:tcPr>
            <w:tcW w:w="1589"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r>
      <w:tr>
        <w:trPr>
          <w:trHeight w:val="587"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1"/>
              <w:jc w:val="center"/>
              <w:rPr>
                <w:rFonts w:ascii="Arial" w:hAnsi="Arial" w:cs="Arial" w:eastAsia="Arial" w:hint="default"/>
                <w:sz w:val="24"/>
                <w:szCs w:val="24"/>
              </w:rPr>
            </w:pPr>
            <w:r>
              <w:rPr>
                <w:rFonts w:ascii="Arial"/>
                <w:sz w:val="24"/>
              </w:rPr>
              <w:t>(a)</w:t>
            </w:r>
          </w:p>
        </w:tc>
        <w:tc>
          <w:tcPr>
            <w:tcW w:w="33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222" w:right="0"/>
              <w:jc w:val="left"/>
              <w:rPr>
                <w:rFonts w:ascii="宋体" w:hAnsi="宋体" w:cs="宋体" w:eastAsia="宋体" w:hint="default"/>
                <w:sz w:val="24"/>
                <w:szCs w:val="24"/>
              </w:rPr>
            </w:pPr>
            <w:r>
              <w:rPr>
                <w:rFonts w:ascii="宋体" w:hAnsi="宋体" w:cs="宋体" w:eastAsia="宋体" w:hint="default"/>
                <w:sz w:val="24"/>
                <w:szCs w:val="24"/>
              </w:rPr>
              <w:t>母公司基本情况</w:t>
            </w:r>
          </w:p>
        </w:tc>
        <w:tc>
          <w:tcPr>
            <w:tcW w:w="1017"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r>
      <w:tr>
        <w:trPr>
          <w:trHeight w:val="536" w:hRule="exact"/>
        </w:trPr>
        <w:tc>
          <w:tcPr>
            <w:tcW w:w="716"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90"/>
              <w:jc w:val="right"/>
              <w:rPr>
                <w:rFonts w:ascii="宋体" w:hAnsi="宋体" w:cs="宋体" w:eastAsia="宋体" w:hint="default"/>
                <w:sz w:val="18"/>
                <w:szCs w:val="18"/>
              </w:rPr>
            </w:pPr>
            <w:r>
              <w:rPr>
                <w:rFonts w:ascii="宋体" w:hAnsi="宋体" w:cs="宋体" w:eastAsia="宋体" w:hint="default"/>
                <w:sz w:val="18"/>
                <w:szCs w:val="18"/>
              </w:rPr>
              <w:t>企业类型</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2"/>
              <w:jc w:val="right"/>
              <w:rPr>
                <w:rFonts w:ascii="宋体" w:hAnsi="宋体" w:cs="宋体" w:eastAsia="宋体" w:hint="default"/>
                <w:sz w:val="18"/>
                <w:szCs w:val="18"/>
              </w:rPr>
            </w:pPr>
            <w:r>
              <w:rPr>
                <w:rFonts w:ascii="宋体" w:hAnsi="宋体" w:cs="宋体" w:eastAsia="宋体" w:hint="default"/>
                <w:sz w:val="18"/>
                <w:szCs w:val="18"/>
              </w:rPr>
              <w:t>注册地</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1"/>
              <w:jc w:val="right"/>
              <w:rPr>
                <w:rFonts w:ascii="宋体" w:hAnsi="宋体" w:cs="宋体" w:eastAsia="宋体" w:hint="default"/>
                <w:sz w:val="18"/>
                <w:szCs w:val="18"/>
              </w:rPr>
            </w:pPr>
            <w:r>
              <w:rPr>
                <w:rFonts w:ascii="宋体" w:hAnsi="宋体" w:cs="宋体" w:eastAsia="宋体" w:hint="default"/>
                <w:sz w:val="18"/>
                <w:szCs w:val="18"/>
              </w:rPr>
              <w:t>法人代表</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6"/>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00"/>
              <w:jc w:val="righ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31" w:hRule="exact"/>
        </w:trPr>
        <w:tc>
          <w:tcPr>
            <w:tcW w:w="716"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22" w:right="0"/>
              <w:jc w:val="left"/>
              <w:rPr>
                <w:rFonts w:ascii="宋体" w:hAnsi="宋体" w:cs="宋体" w:eastAsia="宋体" w:hint="default"/>
                <w:sz w:val="18"/>
                <w:szCs w:val="18"/>
              </w:rPr>
            </w:pPr>
            <w:r>
              <w:rPr>
                <w:rFonts w:ascii="宋体" w:hAnsi="宋体" w:cs="宋体" w:eastAsia="宋体" w:hint="default"/>
                <w:sz w:val="18"/>
                <w:szCs w:val="18"/>
              </w:rPr>
              <w:t>张近东先生</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90"/>
              <w:jc w:val="right"/>
              <w:rPr>
                <w:rFonts w:ascii="宋体" w:hAnsi="宋体" w:cs="宋体" w:eastAsia="宋体" w:hint="default"/>
                <w:sz w:val="18"/>
                <w:szCs w:val="18"/>
              </w:rPr>
            </w:pPr>
            <w:r>
              <w:rPr>
                <w:rFonts w:ascii="宋体" w:hAnsi="宋体" w:cs="宋体" w:eastAsia="宋体" w:hint="default"/>
                <w:sz w:val="18"/>
                <w:szCs w:val="18"/>
              </w:rPr>
              <w:t>不适用</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82"/>
              <w:jc w:val="right"/>
              <w:rPr>
                <w:rFonts w:ascii="宋体" w:hAnsi="宋体" w:cs="宋体" w:eastAsia="宋体" w:hint="default"/>
                <w:sz w:val="18"/>
                <w:szCs w:val="18"/>
              </w:rPr>
            </w:pPr>
            <w:r>
              <w:rPr>
                <w:rFonts w:ascii="宋体" w:hAnsi="宋体" w:cs="宋体" w:eastAsia="宋体" w:hint="default"/>
                <w:sz w:val="18"/>
                <w:szCs w:val="18"/>
              </w:rPr>
              <w:t>不适用</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56"/>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00"/>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582"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1"/>
              <w:jc w:val="center"/>
              <w:rPr>
                <w:rFonts w:ascii="Arial" w:hAnsi="Arial" w:cs="Arial" w:eastAsia="Arial" w:hint="default"/>
                <w:sz w:val="24"/>
                <w:szCs w:val="24"/>
              </w:rPr>
            </w:pPr>
            <w:r>
              <w:rPr>
                <w:rFonts w:ascii="Arial"/>
                <w:sz w:val="24"/>
              </w:rPr>
              <w:t>(b)</w:t>
            </w:r>
          </w:p>
        </w:tc>
        <w:tc>
          <w:tcPr>
            <w:tcW w:w="33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222" w:right="0"/>
              <w:jc w:val="left"/>
              <w:rPr>
                <w:rFonts w:ascii="宋体" w:hAnsi="宋体" w:cs="宋体" w:eastAsia="宋体" w:hint="default"/>
                <w:sz w:val="24"/>
                <w:szCs w:val="24"/>
              </w:rPr>
            </w:pPr>
            <w:r>
              <w:rPr>
                <w:rFonts w:ascii="宋体" w:hAnsi="宋体" w:cs="宋体" w:eastAsia="宋体" w:hint="default"/>
                <w:sz w:val="24"/>
                <w:szCs w:val="24"/>
              </w:rPr>
              <w:t>母公司注册资本及其变化</w:t>
            </w:r>
          </w:p>
        </w:tc>
        <w:tc>
          <w:tcPr>
            <w:tcW w:w="1017"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r>
      <w:tr>
        <w:trPr>
          <w:trHeight w:val="751" w:hRule="exact"/>
        </w:trPr>
        <w:tc>
          <w:tcPr>
            <w:tcW w:w="716"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2606" w:type="dxa"/>
            <w:gridSpan w:val="2"/>
            <w:tcBorders>
              <w:top w:val="nil" w:sz="6" w:space="0" w:color="auto"/>
              <w:left w:val="nil" w:sz="6" w:space="0" w:color="auto"/>
              <w:bottom w:val="nil" w:sz="6" w:space="0" w:color="auto"/>
              <w:right w:val="nil" w:sz="6" w:space="0" w:color="auto"/>
            </w:tcBorders>
          </w:tcPr>
          <w:p>
            <w:pPr>
              <w:pStyle w:val="TableParagraph"/>
              <w:spacing w:line="241" w:lineRule="exact" w:before="114"/>
              <w:ind w:left="1520"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1" w:lineRule="exact"/>
              <w:ind w:left="1237"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84"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3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41" w:type="dxa"/>
            <w:tcBorders>
              <w:top w:val="nil" w:sz="6" w:space="0" w:color="auto"/>
              <w:left w:val="nil" w:sz="6" w:space="0" w:color="auto"/>
              <w:bottom w:val="nil" w:sz="6" w:space="0" w:color="auto"/>
              <w:right w:val="nil" w:sz="6" w:space="0" w:color="auto"/>
            </w:tcBorders>
          </w:tcPr>
          <w:p>
            <w:pPr>
              <w:pStyle w:val="TableParagraph"/>
              <w:spacing w:line="241" w:lineRule="exact" w:before="114"/>
              <w:ind w:left="612"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1" w:lineRule="exact"/>
              <w:ind w:left="34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40" w:hRule="exact"/>
        </w:trPr>
        <w:tc>
          <w:tcPr>
            <w:tcW w:w="716"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22" w:right="0"/>
              <w:jc w:val="left"/>
              <w:rPr>
                <w:rFonts w:ascii="宋体" w:hAnsi="宋体" w:cs="宋体" w:eastAsia="宋体" w:hint="default"/>
                <w:sz w:val="18"/>
                <w:szCs w:val="18"/>
              </w:rPr>
            </w:pPr>
            <w:r>
              <w:rPr>
                <w:rFonts w:ascii="宋体" w:hAnsi="宋体" w:cs="宋体" w:eastAsia="宋体" w:hint="default"/>
                <w:sz w:val="18"/>
                <w:szCs w:val="18"/>
              </w:rPr>
              <w:t>张近东先生</w:t>
            </w:r>
          </w:p>
        </w:tc>
        <w:tc>
          <w:tcPr>
            <w:tcW w:w="1589"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6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1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0"/>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16"/>
        <w:gridCol w:w="1724"/>
        <w:gridCol w:w="1773"/>
        <w:gridCol w:w="1518"/>
        <w:gridCol w:w="283"/>
        <w:gridCol w:w="1605"/>
        <w:gridCol w:w="1405"/>
      </w:tblGrid>
      <w:tr>
        <w:trPr>
          <w:trHeight w:val="496"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5" w:lineRule="exact"/>
              <w:ind w:right="35"/>
              <w:jc w:val="center"/>
              <w:rPr>
                <w:rFonts w:ascii="Arial" w:hAnsi="Arial" w:cs="Arial" w:eastAsia="Arial" w:hint="default"/>
                <w:sz w:val="24"/>
                <w:szCs w:val="24"/>
              </w:rPr>
            </w:pPr>
            <w:r>
              <w:rPr>
                <w:rFonts w:ascii="Arial"/>
                <w:sz w:val="24"/>
              </w:rPr>
              <w:t>(c)</w:t>
            </w:r>
          </w:p>
        </w:tc>
        <w:tc>
          <w:tcPr>
            <w:tcW w:w="5014" w:type="dxa"/>
            <w:gridSpan w:val="3"/>
            <w:tcBorders>
              <w:top w:val="nil" w:sz="6" w:space="0" w:color="auto"/>
              <w:left w:val="nil" w:sz="6" w:space="0" w:color="auto"/>
              <w:bottom w:val="nil" w:sz="6" w:space="0" w:color="auto"/>
              <w:right w:val="nil" w:sz="6" w:space="0" w:color="auto"/>
            </w:tcBorders>
          </w:tcPr>
          <w:p>
            <w:pPr>
              <w:pStyle w:val="TableParagraph"/>
              <w:spacing w:line="247" w:lineRule="exact"/>
              <w:ind w:left="222" w:right="0"/>
              <w:jc w:val="left"/>
              <w:rPr>
                <w:rFonts w:ascii="宋体" w:hAnsi="宋体" w:cs="宋体" w:eastAsia="宋体" w:hint="default"/>
                <w:sz w:val="24"/>
                <w:szCs w:val="24"/>
              </w:rPr>
            </w:pPr>
            <w:r>
              <w:rPr>
                <w:rFonts w:ascii="宋体" w:hAnsi="宋体" w:cs="宋体" w:eastAsia="宋体" w:hint="default"/>
                <w:sz w:val="24"/>
                <w:szCs w:val="24"/>
              </w:rPr>
              <w:t>母公司对本公司的持股比例和表决权比例</w:t>
            </w:r>
          </w:p>
        </w:tc>
        <w:tc>
          <w:tcPr>
            <w:tcW w:w="283" w:type="dxa"/>
            <w:tcBorders>
              <w:top w:val="nil" w:sz="6" w:space="0" w:color="auto"/>
              <w:left w:val="nil" w:sz="6" w:space="0" w:color="auto"/>
              <w:bottom w:val="nil" w:sz="6" w:space="0" w:color="auto"/>
              <w:right w:val="nil" w:sz="6" w:space="0" w:color="auto"/>
            </w:tcBorders>
          </w:tcPr>
          <w:p>
            <w:pPr/>
          </w:p>
        </w:tc>
        <w:tc>
          <w:tcPr>
            <w:tcW w:w="160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502" w:hRule="exact"/>
        </w:trPr>
        <w:tc>
          <w:tcPr>
            <w:tcW w:w="716"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
        </w:tc>
        <w:tc>
          <w:tcPr>
            <w:tcW w:w="329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864"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329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10"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548" w:hRule="exact"/>
        </w:trPr>
        <w:tc>
          <w:tcPr>
            <w:tcW w:w="716"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
        </w:tc>
        <w:tc>
          <w:tcPr>
            <w:tcW w:w="1773"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508"/>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1518"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hAnsi="宋体" w:cs="宋体" w:eastAsia="宋体" w:hint="default"/>
                <w:sz w:val="18"/>
                <w:szCs w:val="18"/>
              </w:rPr>
              <w:t>表决权比例</w:t>
            </w:r>
          </w:p>
        </w:tc>
        <w:tc>
          <w:tcPr>
            <w:tcW w:w="283" w:type="dxa"/>
            <w:tcBorders>
              <w:top w:val="nil" w:sz="6" w:space="0" w:color="auto"/>
              <w:left w:val="nil" w:sz="6" w:space="0" w:color="auto"/>
              <w:bottom w:val="nil" w:sz="6" w:space="0" w:color="auto"/>
              <w:right w:val="nil" w:sz="6" w:space="0" w:color="auto"/>
            </w:tcBorders>
          </w:tcPr>
          <w:p>
            <w:pPr/>
          </w:p>
        </w:tc>
        <w:tc>
          <w:tcPr>
            <w:tcW w:w="1605"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396"/>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1405"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719" w:hRule="exact"/>
        </w:trPr>
        <w:tc>
          <w:tcPr>
            <w:tcW w:w="716"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2" w:right="0"/>
              <w:jc w:val="left"/>
              <w:rPr>
                <w:rFonts w:ascii="Arial" w:hAnsi="Arial" w:cs="Arial" w:eastAsia="Arial" w:hint="default"/>
                <w:sz w:val="18"/>
                <w:szCs w:val="18"/>
              </w:rPr>
            </w:pPr>
            <w:r>
              <w:rPr>
                <w:rFonts w:ascii="宋体" w:hAnsi="宋体" w:cs="宋体" w:eastAsia="宋体" w:hint="default"/>
                <w:sz w:val="18"/>
                <w:szCs w:val="18"/>
              </w:rPr>
              <w:t>张近东先生</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507"/>
              <w:jc w:val="right"/>
              <w:rPr>
                <w:rFonts w:ascii="Arial" w:hAnsi="Arial" w:cs="Arial" w:eastAsia="Arial" w:hint="default"/>
                <w:sz w:val="18"/>
                <w:szCs w:val="18"/>
              </w:rPr>
            </w:pPr>
            <w:r>
              <w:rPr>
                <w:rFonts w:ascii="Arial"/>
                <w:spacing w:val="-1"/>
                <w:sz w:val="18"/>
              </w:rPr>
              <w:t>34.18%</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Arial" w:hAnsi="Arial" w:cs="Arial" w:eastAsia="Arial" w:hint="default"/>
                <w:sz w:val="18"/>
                <w:szCs w:val="18"/>
              </w:rPr>
            </w:pPr>
            <w:r>
              <w:rPr>
                <w:rFonts w:ascii="Arial"/>
                <w:spacing w:val="-1"/>
                <w:sz w:val="18"/>
              </w:rPr>
              <w:t>30.34%</w:t>
            </w:r>
            <w:r>
              <w:rPr>
                <w:rFonts w:ascii="Arial"/>
                <w:sz w:val="18"/>
              </w:rPr>
            </w:r>
          </w:p>
        </w:tc>
        <w:tc>
          <w:tcPr>
            <w:tcW w:w="283" w:type="dxa"/>
            <w:tcBorders>
              <w:top w:val="nil" w:sz="6" w:space="0" w:color="auto"/>
              <w:left w:val="nil" w:sz="6" w:space="0" w:color="auto"/>
              <w:bottom w:val="nil" w:sz="6" w:space="0" w:color="auto"/>
              <w:right w:val="nil" w:sz="6" w:space="0" w:color="auto"/>
            </w:tcBorders>
          </w:tcPr>
          <w:p>
            <w:pP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394"/>
              <w:jc w:val="right"/>
              <w:rPr>
                <w:rFonts w:ascii="Arial" w:hAnsi="Arial" w:cs="Arial" w:eastAsia="Arial" w:hint="default"/>
                <w:sz w:val="18"/>
                <w:szCs w:val="18"/>
              </w:rPr>
            </w:pPr>
            <w:r>
              <w:rPr>
                <w:rFonts w:ascii="Arial"/>
                <w:spacing w:val="-1"/>
                <w:sz w:val="18"/>
              </w:rPr>
              <w:t>31.67%</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27.90%</w:t>
            </w:r>
          </w:p>
        </w:tc>
      </w:tr>
      <w:tr>
        <w:trPr>
          <w:trHeight w:val="1666" w:hRule="exact"/>
        </w:trPr>
        <w:tc>
          <w:tcPr>
            <w:tcW w:w="9024" w:type="dxa"/>
            <w:gridSpan w:val="7"/>
            <w:tcBorders>
              <w:top w:val="nil" w:sz="6" w:space="0" w:color="auto"/>
              <w:left w:val="nil" w:sz="6" w:space="0" w:color="auto"/>
              <w:bottom w:val="nil" w:sz="6" w:space="0" w:color="auto"/>
              <w:right w:val="nil" w:sz="6" w:space="0" w:color="auto"/>
            </w:tcBorders>
          </w:tcPr>
          <w:p>
            <w:pPr>
              <w:pStyle w:val="TableParagraph"/>
              <w:spacing w:line="225" w:lineRule="auto" w:before="181"/>
              <w:ind w:left="939" w:right="89"/>
              <w:jc w:val="both"/>
              <w:rPr>
                <w:rFonts w:ascii="宋体" w:hAnsi="宋体" w:cs="宋体" w:eastAsia="宋体" w:hint="default"/>
                <w:sz w:val="24"/>
                <w:szCs w:val="24"/>
              </w:rPr>
            </w:pPr>
            <w:r>
              <w:rPr>
                <w:rFonts w:ascii="宋体" w:hAnsi="宋体" w:cs="宋体" w:eastAsia="宋体" w:hint="default"/>
                <w:spacing w:val="-10"/>
                <w:sz w:val="24"/>
                <w:szCs w:val="24"/>
              </w:rPr>
              <w:t>注：于</w:t>
            </w:r>
            <w:r>
              <w:rPr>
                <w:rFonts w:ascii="宋体" w:hAnsi="宋体" w:cs="宋体" w:eastAsia="宋体" w:hint="default"/>
                <w:spacing w:val="-59"/>
                <w:sz w:val="24"/>
                <w:szCs w:val="24"/>
              </w:rPr>
              <w:t> </w:t>
            </w:r>
            <w:r>
              <w:rPr>
                <w:rFonts w:ascii="Arial" w:hAnsi="Arial" w:cs="Arial" w:eastAsia="Arial" w:hint="default"/>
                <w:sz w:val="24"/>
                <w:szCs w:val="24"/>
              </w:rPr>
              <w:t>2012</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pacing w:val="-3"/>
                <w:sz w:val="24"/>
                <w:szCs w:val="24"/>
              </w:rPr>
              <w:t>日，张近东先生直接持有本公司</w:t>
            </w:r>
            <w:r>
              <w:rPr>
                <w:rFonts w:ascii="宋体" w:hAnsi="宋体" w:cs="宋体" w:eastAsia="宋体" w:hint="default"/>
                <w:spacing w:val="-59"/>
                <w:sz w:val="24"/>
                <w:szCs w:val="24"/>
              </w:rPr>
              <w:t> </w:t>
            </w:r>
            <w:r>
              <w:rPr>
                <w:rFonts w:ascii="Arial" w:hAnsi="Arial" w:cs="Arial" w:eastAsia="Arial" w:hint="default"/>
                <w:spacing w:val="-3"/>
                <w:sz w:val="24"/>
                <w:szCs w:val="24"/>
              </w:rPr>
              <w:t>26.44%</w:t>
            </w:r>
            <w:r>
              <w:rPr>
                <w:rFonts w:ascii="宋体" w:hAnsi="宋体" w:cs="宋体" w:eastAsia="宋体" w:hint="default"/>
                <w:spacing w:val="-3"/>
                <w:sz w:val="24"/>
                <w:szCs w:val="24"/>
              </w:rPr>
              <w:t>的股份，同</w:t>
            </w:r>
            <w:r>
              <w:rPr>
                <w:rFonts w:ascii="宋体" w:hAnsi="宋体" w:cs="宋体" w:eastAsia="宋体" w:hint="default"/>
                <w:sz w:val="24"/>
                <w:szCs w:val="24"/>
              </w:rPr>
              <w:t> </w:t>
            </w:r>
            <w:r>
              <w:rPr>
                <w:rFonts w:ascii="宋体" w:hAnsi="宋体" w:cs="宋体" w:eastAsia="宋体" w:hint="default"/>
                <w:spacing w:val="12"/>
                <w:sz w:val="24"/>
                <w:szCs w:val="24"/>
              </w:rPr>
              <w:t>时持有苏宁电器集团有限公司</w:t>
            </w:r>
            <w:r>
              <w:rPr>
                <w:rFonts w:ascii="宋体" w:hAnsi="宋体" w:cs="宋体" w:eastAsia="宋体" w:hint="default"/>
                <w:spacing w:val="33"/>
                <w:sz w:val="24"/>
                <w:szCs w:val="24"/>
              </w:rPr>
              <w:t> </w:t>
            </w:r>
            <w:r>
              <w:rPr>
                <w:rFonts w:ascii="Arial" w:hAnsi="Arial" w:cs="Arial" w:eastAsia="Arial" w:hint="default"/>
                <w:spacing w:val="12"/>
                <w:sz w:val="24"/>
                <w:szCs w:val="24"/>
              </w:rPr>
              <w:t>28%</w:t>
            </w:r>
            <w:r>
              <w:rPr>
                <w:rFonts w:ascii="宋体" w:hAnsi="宋体" w:cs="宋体" w:eastAsia="宋体" w:hint="default"/>
                <w:spacing w:val="12"/>
                <w:sz w:val="24"/>
                <w:szCs w:val="24"/>
              </w:rPr>
              <w:t>的股权、持有南京润东投资有限公司</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Arial" w:hAnsi="Arial" w:cs="Arial" w:eastAsia="Arial" w:hint="default"/>
                <w:spacing w:val="-3"/>
                <w:sz w:val="24"/>
                <w:szCs w:val="24"/>
              </w:rPr>
              <w:t>100%</w:t>
            </w:r>
            <w:r>
              <w:rPr>
                <w:rFonts w:ascii="宋体" w:hAnsi="宋体" w:cs="宋体" w:eastAsia="宋体" w:hint="default"/>
                <w:spacing w:val="-3"/>
                <w:sz w:val="24"/>
                <w:szCs w:val="24"/>
              </w:rPr>
              <w:t>的股权。苏宁电器集团有限公司与南京润东投资有限公司分别直接持有</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本公司</w:t>
            </w:r>
            <w:r>
              <w:rPr>
                <w:rFonts w:ascii="宋体" w:hAnsi="宋体" w:cs="宋体" w:eastAsia="宋体" w:hint="default"/>
                <w:spacing w:val="-63"/>
                <w:sz w:val="24"/>
                <w:szCs w:val="24"/>
              </w:rPr>
              <w:t> </w:t>
            </w:r>
            <w:r>
              <w:rPr>
                <w:rFonts w:ascii="Arial" w:hAnsi="Arial" w:cs="Arial" w:eastAsia="Arial" w:hint="default"/>
                <w:sz w:val="24"/>
                <w:szCs w:val="24"/>
              </w:rPr>
              <w:t>13.72%</w:t>
            </w:r>
            <w:r>
              <w:rPr>
                <w:rFonts w:ascii="宋体" w:hAnsi="宋体" w:cs="宋体" w:eastAsia="宋体" w:hint="default"/>
                <w:sz w:val="24"/>
                <w:szCs w:val="24"/>
              </w:rPr>
              <w:t>和</w:t>
            </w:r>
            <w:r>
              <w:rPr>
                <w:rFonts w:ascii="宋体" w:hAnsi="宋体" w:cs="宋体" w:eastAsia="宋体" w:hint="default"/>
                <w:spacing w:val="-63"/>
                <w:sz w:val="24"/>
                <w:szCs w:val="24"/>
              </w:rPr>
              <w:t> </w:t>
            </w:r>
            <w:r>
              <w:rPr>
                <w:rFonts w:ascii="Arial" w:hAnsi="Arial" w:cs="Arial" w:eastAsia="Arial" w:hint="default"/>
                <w:sz w:val="24"/>
                <w:szCs w:val="24"/>
              </w:rPr>
              <w:t>3.90%</w:t>
            </w:r>
            <w:r>
              <w:rPr>
                <w:rFonts w:ascii="宋体" w:hAnsi="宋体" w:cs="宋体" w:eastAsia="宋体" w:hint="default"/>
                <w:sz w:val="24"/>
                <w:szCs w:val="24"/>
              </w:rPr>
              <w:t>的股权。</w:t>
            </w:r>
          </w:p>
        </w:tc>
      </w:tr>
      <w:tr>
        <w:trPr>
          <w:trHeight w:val="752"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0"/>
              <w:jc w:val="center"/>
              <w:rPr>
                <w:rFonts w:ascii="Arial" w:hAnsi="Arial" w:cs="Arial" w:eastAsia="Arial" w:hint="default"/>
                <w:sz w:val="24"/>
                <w:szCs w:val="24"/>
              </w:rPr>
            </w:pPr>
            <w:r>
              <w:rPr>
                <w:rFonts w:ascii="Arial"/>
                <w:sz w:val="24"/>
              </w:rPr>
              <w:t>(2)</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22" w:right="0"/>
              <w:jc w:val="left"/>
              <w:rPr>
                <w:rFonts w:ascii="黑体" w:hAnsi="黑体" w:cs="黑体" w:eastAsia="黑体" w:hint="default"/>
                <w:sz w:val="24"/>
                <w:szCs w:val="24"/>
              </w:rPr>
            </w:pPr>
            <w:r>
              <w:rPr>
                <w:rFonts w:ascii="黑体" w:hAnsi="黑体" w:cs="黑体" w:eastAsia="黑体" w:hint="default"/>
                <w:sz w:val="24"/>
                <w:szCs w:val="24"/>
              </w:rPr>
              <w:t>子公司情况</w:t>
            </w:r>
          </w:p>
        </w:tc>
        <w:tc>
          <w:tcPr>
            <w:tcW w:w="1773"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60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499" w:hRule="exact"/>
        </w:trPr>
        <w:tc>
          <w:tcPr>
            <w:tcW w:w="716" w:type="dxa"/>
            <w:tcBorders>
              <w:top w:val="nil" w:sz="6" w:space="0" w:color="auto"/>
              <w:left w:val="nil" w:sz="6" w:space="0" w:color="auto"/>
              <w:bottom w:val="nil" w:sz="6" w:space="0" w:color="auto"/>
              <w:right w:val="nil" w:sz="6" w:space="0" w:color="auto"/>
            </w:tcBorders>
          </w:tcPr>
          <w:p>
            <w:pPr/>
          </w:p>
        </w:tc>
        <w:tc>
          <w:tcPr>
            <w:tcW w:w="501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5"/>
              <w:ind w:left="222" w:right="0"/>
              <w:jc w:val="left"/>
              <w:rPr>
                <w:rFonts w:ascii="宋体" w:hAnsi="宋体" w:cs="宋体" w:eastAsia="宋体" w:hint="default"/>
                <w:sz w:val="24"/>
                <w:szCs w:val="24"/>
              </w:rPr>
            </w:pPr>
            <w:r>
              <w:rPr>
                <w:rFonts w:ascii="宋体" w:hAnsi="宋体" w:cs="宋体" w:eastAsia="宋体" w:hint="default"/>
                <w:sz w:val="24"/>
                <w:szCs w:val="24"/>
              </w:rPr>
              <w:t>子公司的基本情况及相关信息见附注四。</w:t>
            </w:r>
          </w:p>
        </w:tc>
        <w:tc>
          <w:tcPr>
            <w:tcW w:w="283" w:type="dxa"/>
            <w:tcBorders>
              <w:top w:val="nil" w:sz="6" w:space="0" w:color="auto"/>
              <w:left w:val="nil" w:sz="6" w:space="0" w:color="auto"/>
              <w:bottom w:val="nil" w:sz="6" w:space="0" w:color="auto"/>
              <w:right w:val="nil" w:sz="6" w:space="0" w:color="auto"/>
            </w:tcBorders>
          </w:tcPr>
          <w:p>
            <w:pPr/>
          </w:p>
        </w:tc>
        <w:tc>
          <w:tcPr>
            <w:tcW w:w="160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656"/>
        <w:gridCol w:w="1803"/>
      </w:tblGrid>
      <w:tr>
        <w:trPr>
          <w:trHeight w:val="247" w:hRule="exact"/>
        </w:trPr>
        <w:tc>
          <w:tcPr>
            <w:tcW w:w="65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(3)</w:t>
            </w:r>
          </w:p>
        </w:tc>
        <w:tc>
          <w:tcPr>
            <w:tcW w:w="1803" w:type="dxa"/>
            <w:tcBorders>
              <w:top w:val="nil" w:sz="6" w:space="0" w:color="auto"/>
              <w:left w:val="nil" w:sz="6" w:space="0" w:color="auto"/>
              <w:bottom w:val="nil" w:sz="6" w:space="0" w:color="auto"/>
              <w:right w:val="nil" w:sz="6" w:space="0" w:color="auto"/>
            </w:tcBorders>
          </w:tcPr>
          <w:p>
            <w:pPr>
              <w:pStyle w:val="TableParagraph"/>
              <w:spacing w:line="247" w:lineRule="exact"/>
              <w:ind w:left="162" w:right="0"/>
              <w:jc w:val="left"/>
              <w:rPr>
                <w:rFonts w:ascii="黑体" w:hAnsi="黑体" w:cs="黑体" w:eastAsia="黑体" w:hint="default"/>
                <w:sz w:val="24"/>
                <w:szCs w:val="24"/>
              </w:rPr>
            </w:pPr>
            <w:r>
              <w:rPr>
                <w:rFonts w:ascii="黑体" w:hAnsi="黑体" w:cs="黑体" w:eastAsia="黑体" w:hint="default"/>
                <w:sz w:val="24"/>
                <w:szCs w:val="24"/>
              </w:rPr>
              <w:t>联营企业情况</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tbl>
      <w:tblPr>
        <w:tblW w:w="0" w:type="auto"/>
        <w:jc w:val="left"/>
        <w:tblInd w:w="809" w:type="dxa"/>
        <w:tblLayout w:type="fixed"/>
        <w:tblCellMar>
          <w:top w:w="0" w:type="dxa"/>
          <w:left w:w="0" w:type="dxa"/>
          <w:bottom w:w="0" w:type="dxa"/>
          <w:right w:w="0" w:type="dxa"/>
        </w:tblCellMar>
        <w:tblLook w:val="01E0"/>
      </w:tblPr>
      <w:tblGrid>
        <w:gridCol w:w="1508"/>
        <w:gridCol w:w="820"/>
        <w:gridCol w:w="775"/>
        <w:gridCol w:w="1013"/>
        <w:gridCol w:w="1057"/>
        <w:gridCol w:w="959"/>
        <w:gridCol w:w="625"/>
        <w:gridCol w:w="725"/>
        <w:gridCol w:w="1342"/>
      </w:tblGrid>
      <w:tr>
        <w:trPr>
          <w:trHeight w:val="664" w:hRule="exact"/>
        </w:trPr>
        <w:tc>
          <w:tcPr>
            <w:tcW w:w="1508" w:type="dxa"/>
            <w:tcBorders>
              <w:top w:val="nil" w:sz="6" w:space="0" w:color="auto"/>
              <w:left w:val="nil" w:sz="6" w:space="0" w:color="auto"/>
              <w:bottom w:val="nil" w:sz="6" w:space="0" w:color="auto"/>
              <w:right w:val="nil" w:sz="6" w:space="0" w:color="auto"/>
            </w:tcBorders>
          </w:tcPr>
          <w:p>
            <w:pP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注册地</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24"/>
              <w:jc w:val="right"/>
              <w:rPr>
                <w:rFonts w:ascii="宋体" w:hAnsi="宋体" w:cs="宋体" w:eastAsia="宋体" w:hint="default"/>
                <w:sz w:val="18"/>
                <w:szCs w:val="18"/>
              </w:rPr>
            </w:pPr>
            <w:r>
              <w:rPr>
                <w:rFonts w:ascii="宋体" w:hAnsi="宋体" w:cs="宋体" w:eastAsia="宋体" w:hint="default"/>
                <w:sz w:val="18"/>
                <w:szCs w:val="18"/>
              </w:rPr>
              <w:t>法人代表</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625" w:type="dxa"/>
            <w:tcBorders>
              <w:top w:val="nil" w:sz="6" w:space="0" w:color="auto"/>
              <w:left w:val="nil" w:sz="6" w:space="0" w:color="auto"/>
              <w:bottom w:val="nil" w:sz="6" w:space="0" w:color="auto"/>
              <w:right w:val="nil" w:sz="6" w:space="0" w:color="auto"/>
            </w:tcBorders>
          </w:tcPr>
          <w:p>
            <w:pPr>
              <w:pStyle w:val="TableParagraph"/>
              <w:spacing w:line="180" w:lineRule="exact"/>
              <w:ind w:left="142"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35"/>
              <w:ind w:left="14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25" w:type="dxa"/>
            <w:tcBorders>
              <w:top w:val="nil" w:sz="6" w:space="0" w:color="auto"/>
              <w:left w:val="nil" w:sz="6" w:space="0" w:color="auto"/>
              <w:bottom w:val="nil" w:sz="6" w:space="0" w:color="auto"/>
              <w:right w:val="nil" w:sz="6" w:space="0" w:color="auto"/>
            </w:tcBorders>
          </w:tcPr>
          <w:p>
            <w:pPr>
              <w:pStyle w:val="TableParagraph"/>
              <w:spacing w:line="180" w:lineRule="exact"/>
              <w:ind w:left="300" w:right="0" w:hanging="180"/>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40" w:lineRule="auto" w:before="35"/>
              <w:ind w:left="30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62"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200" w:right="0"/>
              <w:jc w:val="left"/>
              <w:rPr>
                <w:rFonts w:ascii="Arial" w:hAnsi="Arial" w:cs="Arial" w:eastAsia="Arial" w:hint="default"/>
                <w:sz w:val="18"/>
                <w:szCs w:val="18"/>
              </w:rPr>
            </w:pPr>
            <w:r>
              <w:rPr>
                <w:rFonts w:ascii="宋体" w:hAnsi="宋体" w:cs="宋体" w:eastAsia="宋体" w:hint="default"/>
                <w:sz w:val="18"/>
                <w:szCs w:val="18"/>
              </w:rPr>
              <w:t>联营企业 </w:t>
            </w:r>
            <w:r>
              <w:rPr>
                <w:rFonts w:ascii="Arial" w:hAnsi="Arial" w:cs="Arial" w:eastAsia="Arial" w:hint="default"/>
                <w:sz w:val="18"/>
                <w:szCs w:val="18"/>
              </w:rPr>
              <w:t>–</w:t>
            </w:r>
          </w:p>
        </w:tc>
        <w:tc>
          <w:tcPr>
            <w:tcW w:w="820"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c>
          <w:tcPr>
            <w:tcW w:w="625"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r>
      <w:tr>
        <w:trPr>
          <w:trHeight w:val="499"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30" w:lineRule="exact" w:before="33"/>
              <w:ind w:left="574" w:right="29" w:hanging="178"/>
              <w:jc w:val="left"/>
              <w:rPr>
                <w:rFonts w:ascii="宋体" w:hAnsi="宋体" w:cs="宋体" w:eastAsia="宋体" w:hint="default"/>
                <w:sz w:val="18"/>
                <w:szCs w:val="18"/>
              </w:rPr>
            </w:pPr>
            <w:r>
              <w:rPr>
                <w:rFonts w:ascii="宋体" w:hAnsi="宋体" w:cs="宋体" w:eastAsia="宋体" w:hint="default"/>
                <w:spacing w:val="28"/>
                <w:sz w:val="18"/>
                <w:szCs w:val="18"/>
              </w:rPr>
              <w:t>丸悦香港有</w:t>
            </w:r>
            <w:r>
              <w:rPr>
                <w:rFonts w:ascii="宋体" w:hAnsi="宋体" w:cs="宋体" w:eastAsia="宋体" w:hint="default"/>
                <w:spacing w:val="-86"/>
                <w:sz w:val="18"/>
                <w:szCs w:val="18"/>
              </w:rPr>
              <w:t> </w:t>
            </w:r>
            <w:r>
              <w:rPr>
                <w:rFonts w:ascii="宋体" w:hAnsi="宋体" w:cs="宋体" w:eastAsia="宋体" w:hint="default"/>
                <w:sz w:val="18"/>
                <w:szCs w:val="18"/>
              </w:rPr>
              <w:t>限公司</w:t>
            </w:r>
          </w:p>
        </w:tc>
        <w:tc>
          <w:tcPr>
            <w:tcW w:w="820" w:type="dxa"/>
            <w:tcBorders>
              <w:top w:val="nil" w:sz="6" w:space="0" w:color="auto"/>
              <w:left w:val="nil" w:sz="6" w:space="0" w:color="auto"/>
              <w:bottom w:val="nil" w:sz="6" w:space="0" w:color="auto"/>
              <w:right w:val="nil" w:sz="6" w:space="0" w:color="auto"/>
            </w:tcBorders>
          </w:tcPr>
          <w:p>
            <w:pPr>
              <w:pStyle w:val="TableParagraph"/>
              <w:spacing w:line="233" w:lineRule="exact" w:before="7"/>
              <w:ind w:left="31" w:right="0"/>
              <w:jc w:val="left"/>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3" w:lineRule="exact"/>
              <w:ind w:left="39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香港</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24"/>
              <w:jc w:val="right"/>
              <w:rPr>
                <w:rFonts w:ascii="宋体" w:hAnsi="宋体" w:cs="宋体" w:eastAsia="宋体" w:hint="default"/>
                <w:sz w:val="18"/>
                <w:szCs w:val="18"/>
              </w:rPr>
            </w:pPr>
            <w:r>
              <w:rPr>
                <w:rFonts w:ascii="宋体" w:hAnsi="宋体" w:cs="宋体" w:eastAsia="宋体" w:hint="default"/>
                <w:sz w:val="18"/>
                <w:szCs w:val="18"/>
              </w:rPr>
              <w:t>石井英雅</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食品连锁</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亿港元</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42" w:right="0"/>
              <w:jc w:val="left"/>
              <w:rPr>
                <w:rFonts w:ascii="Arial" w:hAnsi="Arial" w:cs="Arial" w:eastAsia="Arial" w:hint="default"/>
                <w:sz w:val="18"/>
                <w:szCs w:val="18"/>
              </w:rPr>
            </w:pPr>
            <w:r>
              <w:rPr>
                <w:rFonts w:ascii="Arial"/>
                <w:sz w:val="18"/>
              </w:rPr>
              <w:t>30%</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300" w:right="0"/>
              <w:jc w:val="left"/>
              <w:rPr>
                <w:rFonts w:ascii="Arial" w:hAnsi="Arial" w:cs="Arial" w:eastAsia="Arial" w:hint="default"/>
                <w:sz w:val="18"/>
                <w:szCs w:val="18"/>
              </w:rPr>
            </w:pPr>
            <w:r>
              <w:rPr>
                <w:rFonts w:ascii="Arial"/>
                <w:sz w:val="18"/>
              </w:rPr>
              <w:t>30%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right"/>
        <w:rPr>
          <w:rFonts w:ascii="宋体" w:hAnsi="宋体" w:cs="宋体" w:eastAsia="宋体" w:hint="default"/>
          <w:sz w:val="18"/>
          <w:szCs w:val="18"/>
        </w:rPr>
        <w:sectPr>
          <w:pgSz w:w="11910" w:h="16850"/>
          <w:pgMar w:header="795" w:footer="1340" w:top="2020" w:bottom="1540" w:left="1420" w:right="0"/>
        </w:sectPr>
      </w:pPr>
    </w:p>
    <w:p>
      <w:pPr>
        <w:spacing w:line="240" w:lineRule="auto" w:before="9"/>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02"/>
        <w:gridCol w:w="3665"/>
        <w:gridCol w:w="2957"/>
        <w:gridCol w:w="1897"/>
      </w:tblGrid>
      <w:tr>
        <w:trPr>
          <w:trHeight w:val="415"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exact"/>
              <w:ind w:right="59"/>
              <w:jc w:val="center"/>
              <w:rPr>
                <w:rFonts w:ascii="黑体" w:hAnsi="黑体" w:cs="黑体" w:eastAsia="黑体" w:hint="default"/>
                <w:sz w:val="24"/>
                <w:szCs w:val="24"/>
              </w:rPr>
            </w:pPr>
            <w:r>
              <w:rPr>
                <w:rFonts w:ascii="黑体" w:hAnsi="黑体" w:cs="黑体" w:eastAsia="黑体" w:hint="default"/>
                <w:sz w:val="24"/>
                <w:szCs w:val="24"/>
              </w:rPr>
              <w:t>六</w:t>
            </w:r>
          </w:p>
        </w:tc>
        <w:tc>
          <w:tcPr>
            <w:tcW w:w="3665" w:type="dxa"/>
            <w:tcBorders>
              <w:top w:val="nil" w:sz="6" w:space="0" w:color="auto"/>
              <w:left w:val="nil" w:sz="6" w:space="0" w:color="auto"/>
              <w:bottom w:val="nil" w:sz="6" w:space="0" w:color="auto"/>
              <w:right w:val="nil" w:sz="6" w:space="0" w:color="auto"/>
            </w:tcBorders>
          </w:tcPr>
          <w:p>
            <w:pPr>
              <w:pStyle w:val="TableParagraph"/>
              <w:spacing w:line="257" w:lineRule="exact"/>
              <w:ind w:left="208"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957"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r>
        <w:trPr>
          <w:trHeight w:val="585"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6"/>
              <w:jc w:val="center"/>
              <w:rPr>
                <w:rFonts w:ascii="Arial" w:hAnsi="Arial" w:cs="Arial" w:eastAsia="Arial" w:hint="default"/>
                <w:sz w:val="24"/>
                <w:szCs w:val="24"/>
              </w:rPr>
            </w:pPr>
            <w:r>
              <w:rPr>
                <w:rFonts w:ascii="Arial"/>
                <w:sz w:val="24"/>
              </w:rPr>
              <w:t>(4)</w:t>
            </w:r>
          </w:p>
        </w:tc>
        <w:tc>
          <w:tcPr>
            <w:tcW w:w="366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8" w:right="0"/>
              <w:jc w:val="left"/>
              <w:rPr>
                <w:rFonts w:ascii="黑体" w:hAnsi="黑体" w:cs="黑体" w:eastAsia="黑体" w:hint="default"/>
                <w:sz w:val="24"/>
                <w:szCs w:val="24"/>
              </w:rPr>
            </w:pPr>
            <w:r>
              <w:rPr>
                <w:rFonts w:ascii="黑体" w:hAnsi="黑体" w:cs="黑体" w:eastAsia="黑体" w:hint="default"/>
                <w:sz w:val="24"/>
                <w:szCs w:val="24"/>
              </w:rPr>
              <w:t>其他关联方情况</w:t>
            </w:r>
          </w:p>
        </w:tc>
        <w:tc>
          <w:tcPr>
            <w:tcW w:w="2957"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r>
        <w:trPr>
          <w:trHeight w:val="593"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79"/>
              <w:jc w:val="right"/>
              <w:rPr>
                <w:rFonts w:ascii="宋体" w:hAnsi="宋体" w:cs="宋体" w:eastAsia="宋体" w:hint="default"/>
                <w:sz w:val="24"/>
                <w:szCs w:val="24"/>
              </w:rPr>
            </w:pPr>
            <w:r>
              <w:rPr>
                <w:rFonts w:ascii="宋体" w:hAnsi="宋体" w:cs="宋体" w:eastAsia="宋体" w:hint="default"/>
                <w:sz w:val="24"/>
                <w:szCs w:val="24"/>
              </w:rPr>
              <w:t>与本集团的关系</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00"/>
              <w:jc w:val="right"/>
              <w:rPr>
                <w:rFonts w:ascii="宋体" w:hAnsi="宋体" w:cs="宋体" w:eastAsia="宋体" w:hint="default"/>
                <w:sz w:val="24"/>
                <w:szCs w:val="24"/>
              </w:rPr>
            </w:pPr>
            <w:r>
              <w:rPr>
                <w:rFonts w:ascii="宋体" w:hAnsi="宋体" w:cs="宋体" w:eastAsia="宋体" w:hint="default"/>
                <w:sz w:val="24"/>
                <w:szCs w:val="24"/>
              </w:rPr>
              <w:t>组织机构代码</w:t>
            </w:r>
          </w:p>
        </w:tc>
      </w:tr>
      <w:tr>
        <w:trPr>
          <w:trHeight w:val="469"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208"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29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79"/>
              <w:jc w:val="right"/>
              <w:rPr>
                <w:rFonts w:ascii="宋体" w:hAnsi="宋体" w:cs="宋体" w:eastAsia="宋体" w:hint="default"/>
                <w:sz w:val="18"/>
                <w:szCs w:val="18"/>
              </w:rPr>
            </w:pPr>
            <w:r>
              <w:rPr>
                <w:rFonts w:ascii="宋体" w:hAnsi="宋体" w:cs="宋体" w:eastAsia="宋体" w:hint="default"/>
                <w:sz w:val="18"/>
                <w:szCs w:val="18"/>
              </w:rPr>
              <w:t>本公司之第二大股东</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8"/>
              <w:jc w:val="right"/>
              <w:rPr>
                <w:rFonts w:ascii="Arial" w:hAnsi="Arial" w:cs="Arial" w:eastAsia="Arial" w:hint="default"/>
                <w:sz w:val="18"/>
                <w:szCs w:val="18"/>
              </w:rPr>
            </w:pPr>
            <w:r>
              <w:rPr>
                <w:rFonts w:ascii="Arial"/>
                <w:spacing w:val="-1"/>
                <w:sz w:val="18"/>
              </w:rPr>
              <w:t>71409210-3</w:t>
            </w:r>
          </w:p>
        </w:tc>
      </w:tr>
      <w:tr>
        <w:trPr>
          <w:trHeight w:val="477"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Arial" w:hAnsi="Arial" w:cs="Arial" w:eastAsia="Arial" w:hint="default"/>
                <w:sz w:val="18"/>
                <w:szCs w:val="18"/>
              </w:rPr>
            </w:pPr>
            <w:r>
              <w:rPr>
                <w:rFonts w:ascii="宋体" w:hAnsi="宋体" w:cs="宋体" w:eastAsia="宋体" w:hint="default"/>
                <w:sz w:val="18"/>
                <w:szCs w:val="18"/>
              </w:rPr>
              <w:t>江苏苏宁环球集团有限公司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环球集团</w:t>
            </w:r>
            <w:r>
              <w:rPr>
                <w:rFonts w:ascii="Arial" w:hAnsi="Arial" w:cs="Arial" w:eastAsia="Arial" w:hint="default"/>
                <w:sz w:val="18"/>
                <w:szCs w:val="18"/>
              </w:rPr>
              <w:t>”</w:t>
            </w:r>
            <w:r>
              <w:rPr>
                <w:rFonts w:ascii="Arial" w:hAnsi="Arial" w:cs="Arial" w:eastAsia="Arial" w:hint="default"/>
                <w:sz w:val="18"/>
                <w:szCs w:val="18"/>
              </w:rPr>
              <w:t>)</w:t>
            </w:r>
          </w:p>
        </w:tc>
        <w:tc>
          <w:tcPr>
            <w:tcW w:w="2957" w:type="dxa"/>
            <w:tcBorders>
              <w:top w:val="nil" w:sz="6" w:space="0" w:color="auto"/>
              <w:left w:val="nil" w:sz="6" w:space="0" w:color="auto"/>
              <w:bottom w:val="nil" w:sz="6" w:space="0" w:color="auto"/>
              <w:right w:val="nil" w:sz="6" w:space="0" w:color="auto"/>
            </w:tcBorders>
          </w:tcPr>
          <w:p>
            <w:pPr>
              <w:pStyle w:val="TableParagraph"/>
              <w:spacing w:line="198" w:lineRule="exact"/>
              <w:ind w:left="696" w:right="0"/>
              <w:jc w:val="left"/>
              <w:rPr>
                <w:rFonts w:ascii="宋体" w:hAnsi="宋体" w:cs="宋体" w:eastAsia="宋体" w:hint="default"/>
                <w:sz w:val="18"/>
                <w:szCs w:val="18"/>
              </w:rPr>
            </w:pPr>
            <w:r>
              <w:rPr>
                <w:rFonts w:ascii="宋体" w:hAnsi="宋体" w:cs="宋体" w:eastAsia="宋体" w:hint="default"/>
                <w:sz w:val="18"/>
                <w:szCs w:val="18"/>
              </w:rPr>
              <w:t>法定代表人系张近东先生</w:t>
            </w:r>
          </w:p>
          <w:p>
            <w:pPr>
              <w:pStyle w:val="TableParagraph"/>
              <w:spacing w:line="234" w:lineRule="exact"/>
              <w:ind w:left="1956" w:right="0"/>
              <w:jc w:val="left"/>
              <w:rPr>
                <w:rFonts w:ascii="宋体" w:hAnsi="宋体" w:cs="宋体" w:eastAsia="宋体" w:hint="default"/>
                <w:sz w:val="18"/>
                <w:szCs w:val="18"/>
              </w:rPr>
            </w:pPr>
            <w:r>
              <w:rPr>
                <w:rFonts w:ascii="宋体" w:hAnsi="宋体" w:cs="宋体" w:eastAsia="宋体" w:hint="default"/>
                <w:sz w:val="18"/>
                <w:szCs w:val="18"/>
              </w:rPr>
              <w:t>家庭成员</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8"/>
              <w:jc w:val="right"/>
              <w:rPr>
                <w:rFonts w:ascii="Arial" w:hAnsi="Arial" w:cs="Arial" w:eastAsia="Arial" w:hint="default"/>
                <w:sz w:val="18"/>
                <w:szCs w:val="18"/>
              </w:rPr>
            </w:pPr>
            <w:r>
              <w:rPr>
                <w:rFonts w:ascii="Arial"/>
                <w:spacing w:val="-1"/>
                <w:sz w:val="18"/>
              </w:rPr>
              <w:t>12448291-0</w:t>
            </w:r>
          </w:p>
        </w:tc>
      </w:tr>
      <w:tr>
        <w:trPr>
          <w:trHeight w:val="477"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钟山高尔夫置业</w:t>
            </w:r>
          </w:p>
        </w:tc>
        <w:tc>
          <w:tcPr>
            <w:tcW w:w="2957" w:type="dxa"/>
            <w:tcBorders>
              <w:top w:val="nil" w:sz="6" w:space="0" w:color="auto"/>
              <w:left w:val="nil" w:sz="6" w:space="0" w:color="auto"/>
              <w:bottom w:val="nil" w:sz="6" w:space="0" w:color="auto"/>
              <w:right w:val="nil" w:sz="6" w:space="0" w:color="auto"/>
            </w:tcBorders>
          </w:tcPr>
          <w:p>
            <w:pPr>
              <w:pStyle w:val="TableParagraph"/>
              <w:spacing w:line="200" w:lineRule="exact"/>
              <w:ind w:left="696" w:right="0"/>
              <w:jc w:val="left"/>
              <w:rPr>
                <w:rFonts w:ascii="宋体" w:hAnsi="宋体" w:cs="宋体" w:eastAsia="宋体" w:hint="default"/>
                <w:sz w:val="18"/>
                <w:szCs w:val="18"/>
              </w:rPr>
            </w:pPr>
            <w:r>
              <w:rPr>
                <w:rFonts w:ascii="宋体" w:hAnsi="宋体" w:cs="宋体" w:eastAsia="宋体" w:hint="default"/>
                <w:sz w:val="18"/>
                <w:szCs w:val="18"/>
              </w:rPr>
              <w:t>实际控制人系张近东先生</w:t>
            </w:r>
          </w:p>
          <w:p>
            <w:pPr>
              <w:pStyle w:val="TableParagraph"/>
              <w:spacing w:line="234" w:lineRule="exact"/>
              <w:ind w:left="1956" w:right="0"/>
              <w:jc w:val="left"/>
              <w:rPr>
                <w:rFonts w:ascii="宋体" w:hAnsi="宋体" w:cs="宋体" w:eastAsia="宋体" w:hint="default"/>
                <w:sz w:val="18"/>
                <w:szCs w:val="18"/>
              </w:rPr>
            </w:pPr>
            <w:r>
              <w:rPr>
                <w:rFonts w:ascii="宋体" w:hAnsi="宋体" w:cs="宋体" w:eastAsia="宋体" w:hint="default"/>
                <w:sz w:val="18"/>
                <w:szCs w:val="18"/>
              </w:rPr>
              <w:t>家庭成员</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8"/>
              <w:jc w:val="right"/>
              <w:rPr>
                <w:rFonts w:ascii="Arial" w:hAnsi="Arial" w:cs="Arial" w:eastAsia="Arial" w:hint="default"/>
                <w:sz w:val="18"/>
                <w:szCs w:val="18"/>
              </w:rPr>
            </w:pPr>
            <w:r>
              <w:rPr>
                <w:rFonts w:ascii="Arial"/>
                <w:spacing w:val="-1"/>
                <w:sz w:val="18"/>
              </w:rPr>
              <w:t>74822216-4</w:t>
            </w:r>
          </w:p>
        </w:tc>
      </w:tr>
      <w:tr>
        <w:trPr>
          <w:trHeight w:val="478"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钟山高尔夫酒店</w:t>
            </w:r>
          </w:p>
        </w:tc>
        <w:tc>
          <w:tcPr>
            <w:tcW w:w="2957" w:type="dxa"/>
            <w:tcBorders>
              <w:top w:val="nil" w:sz="6" w:space="0" w:color="auto"/>
              <w:left w:val="nil" w:sz="6" w:space="0" w:color="auto"/>
              <w:bottom w:val="nil" w:sz="6" w:space="0" w:color="auto"/>
              <w:right w:val="nil" w:sz="6" w:space="0" w:color="auto"/>
            </w:tcBorders>
          </w:tcPr>
          <w:p>
            <w:pPr>
              <w:pStyle w:val="TableParagraph"/>
              <w:spacing w:line="199" w:lineRule="exact"/>
              <w:ind w:left="696" w:right="0"/>
              <w:jc w:val="left"/>
              <w:rPr>
                <w:rFonts w:ascii="宋体" w:hAnsi="宋体" w:cs="宋体" w:eastAsia="宋体" w:hint="default"/>
                <w:sz w:val="18"/>
                <w:szCs w:val="18"/>
              </w:rPr>
            </w:pPr>
            <w:r>
              <w:rPr>
                <w:rFonts w:ascii="宋体" w:hAnsi="宋体" w:cs="宋体" w:eastAsia="宋体" w:hint="default"/>
                <w:sz w:val="18"/>
                <w:szCs w:val="18"/>
              </w:rPr>
              <w:t>实际控制人系张近东先生</w:t>
            </w:r>
          </w:p>
          <w:p>
            <w:pPr>
              <w:pStyle w:val="TableParagraph"/>
              <w:spacing w:line="240" w:lineRule="auto"/>
              <w:ind w:left="1956" w:right="0"/>
              <w:jc w:val="left"/>
              <w:rPr>
                <w:rFonts w:ascii="宋体" w:hAnsi="宋体" w:cs="宋体" w:eastAsia="宋体" w:hint="default"/>
                <w:sz w:val="18"/>
                <w:szCs w:val="18"/>
              </w:rPr>
            </w:pPr>
            <w:r>
              <w:rPr>
                <w:rFonts w:ascii="宋体" w:hAnsi="宋体" w:cs="宋体" w:eastAsia="宋体" w:hint="default"/>
                <w:sz w:val="18"/>
                <w:szCs w:val="18"/>
              </w:rPr>
              <w:t>家庭成员</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98"/>
              <w:jc w:val="right"/>
              <w:rPr>
                <w:rFonts w:ascii="Arial" w:hAnsi="Arial" w:cs="Arial" w:eastAsia="Arial" w:hint="default"/>
                <w:sz w:val="18"/>
                <w:szCs w:val="18"/>
              </w:rPr>
            </w:pPr>
            <w:r>
              <w:rPr>
                <w:rFonts w:ascii="Arial"/>
                <w:spacing w:val="-1"/>
                <w:sz w:val="18"/>
              </w:rPr>
              <w:t>78380394-1</w:t>
            </w:r>
          </w:p>
        </w:tc>
      </w:tr>
      <w:tr>
        <w:trPr>
          <w:trHeight w:val="476"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2957" w:type="dxa"/>
            <w:tcBorders>
              <w:top w:val="nil" w:sz="6" w:space="0" w:color="auto"/>
              <w:left w:val="nil" w:sz="6" w:space="0" w:color="auto"/>
              <w:bottom w:val="nil" w:sz="6" w:space="0" w:color="auto"/>
              <w:right w:val="nil" w:sz="6" w:space="0" w:color="auto"/>
            </w:tcBorders>
          </w:tcPr>
          <w:p>
            <w:pPr>
              <w:pStyle w:val="TableParagraph"/>
              <w:spacing w:line="198" w:lineRule="exact"/>
              <w:ind w:right="279"/>
              <w:jc w:val="right"/>
              <w:rPr>
                <w:rFonts w:ascii="宋体" w:hAnsi="宋体" w:cs="宋体" w:eastAsia="宋体" w:hint="default"/>
                <w:sz w:val="18"/>
                <w:szCs w:val="18"/>
              </w:rPr>
            </w:pPr>
            <w:r>
              <w:rPr>
                <w:rFonts w:ascii="宋体" w:hAnsi="宋体" w:cs="宋体" w:eastAsia="宋体" w:hint="default"/>
                <w:sz w:val="18"/>
                <w:szCs w:val="18"/>
              </w:rPr>
              <w:t>与本公司受同一实际控制人控</w:t>
            </w:r>
          </w:p>
          <w:p>
            <w:pPr>
              <w:pStyle w:val="TableParagraph"/>
              <w:spacing w:line="234" w:lineRule="exact"/>
              <w:ind w:right="279"/>
              <w:jc w:val="right"/>
              <w:rPr>
                <w:rFonts w:ascii="宋体" w:hAnsi="宋体" w:cs="宋体" w:eastAsia="宋体" w:hint="default"/>
                <w:sz w:val="18"/>
                <w:szCs w:val="18"/>
              </w:rPr>
            </w:pPr>
            <w:r>
              <w:rPr>
                <w:rFonts w:ascii="宋体" w:hAnsi="宋体" w:cs="宋体" w:eastAsia="宋体" w:hint="default"/>
                <w:sz w:val="18"/>
                <w:szCs w:val="18"/>
              </w:rPr>
              <w:t>制</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8"/>
              <w:jc w:val="right"/>
              <w:rPr>
                <w:rFonts w:ascii="Arial" w:hAnsi="Arial" w:cs="Arial" w:eastAsia="Arial" w:hint="default"/>
                <w:sz w:val="18"/>
                <w:szCs w:val="18"/>
              </w:rPr>
            </w:pPr>
            <w:r>
              <w:rPr>
                <w:rFonts w:ascii="Arial"/>
                <w:spacing w:val="-1"/>
                <w:sz w:val="18"/>
              </w:rPr>
              <w:t>77804414-3</w:t>
            </w:r>
          </w:p>
        </w:tc>
      </w:tr>
      <w:tr>
        <w:trPr>
          <w:trHeight w:val="478"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199" w:lineRule="exact"/>
              <w:ind w:left="208" w:right="0"/>
              <w:jc w:val="left"/>
              <w:rPr>
                <w:rFonts w:ascii="宋体" w:hAnsi="宋体" w:cs="宋体" w:eastAsia="宋体" w:hint="default"/>
                <w:sz w:val="18"/>
                <w:szCs w:val="18"/>
              </w:rPr>
            </w:pPr>
            <w:r>
              <w:rPr>
                <w:rFonts w:ascii="宋体" w:hAnsi="宋体" w:cs="宋体" w:eastAsia="宋体" w:hint="default"/>
                <w:sz w:val="18"/>
                <w:szCs w:val="18"/>
              </w:rPr>
              <w:t>南京慕诚房地产开发有限公司</w:t>
            </w:r>
          </w:p>
          <w:p>
            <w:pPr>
              <w:pStyle w:val="TableParagraph"/>
              <w:spacing w:line="247" w:lineRule="exact"/>
              <w:ind w:left="417" w:right="0"/>
              <w:jc w:val="left"/>
              <w:rPr>
                <w:rFonts w:ascii="Arial" w:hAnsi="Arial" w:cs="Arial" w:eastAsia="Arial" w:hint="default"/>
                <w:sz w:val="18"/>
                <w:szCs w:val="18"/>
              </w:rPr>
            </w:pP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慕诚房地产开发</w:t>
            </w:r>
            <w:r>
              <w:rPr>
                <w:rFonts w:ascii="Arial" w:hAnsi="Arial" w:cs="Arial" w:eastAsia="Arial" w:hint="default"/>
                <w:sz w:val="18"/>
                <w:szCs w:val="18"/>
              </w:rPr>
              <w:t>”</w:t>
            </w:r>
            <w:r>
              <w:rPr>
                <w:rFonts w:ascii="Arial" w:hAnsi="Arial" w:cs="Arial" w:eastAsia="Arial" w:hint="default"/>
                <w:sz w:val="18"/>
                <w:szCs w:val="18"/>
              </w:rPr>
              <w:t>)</w:t>
            </w:r>
          </w:p>
        </w:tc>
        <w:tc>
          <w:tcPr>
            <w:tcW w:w="2957" w:type="dxa"/>
            <w:tcBorders>
              <w:top w:val="nil" w:sz="6" w:space="0" w:color="auto"/>
              <w:left w:val="nil" w:sz="6" w:space="0" w:color="auto"/>
              <w:bottom w:val="nil" w:sz="6" w:space="0" w:color="auto"/>
              <w:right w:val="nil" w:sz="6" w:space="0" w:color="auto"/>
            </w:tcBorders>
          </w:tcPr>
          <w:p>
            <w:pPr>
              <w:pStyle w:val="TableParagraph"/>
              <w:spacing w:line="206" w:lineRule="exact"/>
              <w:ind w:left="1236" w:right="0" w:firstLine="326"/>
              <w:jc w:val="left"/>
              <w:rPr>
                <w:rFonts w:ascii="Arial" w:hAnsi="Arial" w:cs="Arial" w:eastAsia="Arial"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p>
          <w:p>
            <w:pPr>
              <w:pStyle w:val="TableParagraph"/>
              <w:spacing w:line="228" w:lineRule="exact"/>
              <w:ind w:left="1236" w:right="0"/>
              <w:jc w:val="left"/>
              <w:rPr>
                <w:rFonts w:ascii="宋体" w:hAnsi="宋体" w:cs="宋体" w:eastAsia="宋体" w:hint="default"/>
                <w:sz w:val="18"/>
                <w:szCs w:val="18"/>
              </w:rPr>
            </w:pPr>
            <w:r>
              <w:rPr>
                <w:rFonts w:ascii="宋体" w:hAnsi="宋体" w:cs="宋体" w:eastAsia="宋体" w:hint="default"/>
                <w:sz w:val="18"/>
                <w:szCs w:val="18"/>
              </w:rPr>
              <w:t>苏宁置业之子公司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8"/>
              <w:jc w:val="right"/>
              <w:rPr>
                <w:rFonts w:ascii="Arial" w:hAnsi="Arial" w:cs="Arial" w:eastAsia="Arial" w:hint="default"/>
                <w:sz w:val="18"/>
                <w:szCs w:val="18"/>
              </w:rPr>
            </w:pPr>
            <w:r>
              <w:rPr>
                <w:rFonts w:ascii="Arial"/>
                <w:spacing w:val="-1"/>
                <w:sz w:val="18"/>
              </w:rPr>
              <w:t>68250286-7</w:t>
            </w:r>
          </w:p>
        </w:tc>
      </w:tr>
      <w:tr>
        <w:trPr>
          <w:trHeight w:val="522"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沃德置业</w:t>
            </w:r>
          </w:p>
        </w:tc>
        <w:tc>
          <w:tcPr>
            <w:tcW w:w="2957" w:type="dxa"/>
            <w:tcBorders>
              <w:top w:val="nil" w:sz="6" w:space="0" w:color="auto"/>
              <w:left w:val="nil" w:sz="6" w:space="0" w:color="auto"/>
              <w:bottom w:val="nil" w:sz="6" w:space="0" w:color="auto"/>
              <w:right w:val="nil" w:sz="6" w:space="0" w:color="auto"/>
            </w:tcBorders>
          </w:tcPr>
          <w:p>
            <w:pPr>
              <w:pStyle w:val="TableParagraph"/>
              <w:spacing w:line="206" w:lineRule="exact"/>
              <w:ind w:left="1236" w:right="0" w:firstLine="326"/>
              <w:jc w:val="left"/>
              <w:rPr>
                <w:rFonts w:ascii="Arial" w:hAnsi="Arial" w:cs="Arial" w:eastAsia="Arial"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p>
          <w:p>
            <w:pPr>
              <w:pStyle w:val="TableParagraph"/>
              <w:spacing w:line="228" w:lineRule="exact"/>
              <w:ind w:left="1236" w:right="0"/>
              <w:jc w:val="left"/>
              <w:rPr>
                <w:rFonts w:ascii="宋体" w:hAnsi="宋体" w:cs="宋体" w:eastAsia="宋体" w:hint="default"/>
                <w:sz w:val="18"/>
                <w:szCs w:val="18"/>
              </w:rPr>
            </w:pPr>
            <w:r>
              <w:rPr>
                <w:rFonts w:ascii="宋体" w:hAnsi="宋体" w:cs="宋体" w:eastAsia="宋体" w:hint="default"/>
                <w:sz w:val="18"/>
                <w:szCs w:val="18"/>
              </w:rPr>
              <w:t>苏宁置业之子公司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8"/>
              <w:jc w:val="right"/>
              <w:rPr>
                <w:rFonts w:ascii="Arial" w:hAnsi="Arial" w:cs="Arial" w:eastAsia="Arial" w:hint="default"/>
                <w:sz w:val="18"/>
                <w:szCs w:val="18"/>
              </w:rPr>
            </w:pPr>
            <w:r>
              <w:rPr>
                <w:rFonts w:ascii="Arial"/>
                <w:spacing w:val="-1"/>
                <w:sz w:val="18"/>
              </w:rPr>
              <w:t>68671898-0</w:t>
            </w:r>
          </w:p>
        </w:tc>
      </w:tr>
      <w:tr>
        <w:trPr>
          <w:trHeight w:val="523"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235" w:lineRule="exact" w:before="9"/>
              <w:ind w:left="208" w:right="0"/>
              <w:jc w:val="left"/>
              <w:rPr>
                <w:rFonts w:ascii="宋体" w:hAnsi="宋体" w:cs="宋体" w:eastAsia="宋体" w:hint="default"/>
                <w:sz w:val="18"/>
                <w:szCs w:val="18"/>
              </w:rPr>
            </w:pPr>
            <w:r>
              <w:rPr>
                <w:rFonts w:ascii="宋体" w:hAnsi="宋体" w:cs="宋体" w:eastAsia="宋体" w:hint="default"/>
                <w:sz w:val="18"/>
                <w:szCs w:val="18"/>
              </w:rPr>
              <w:t>南京玄武苏宁置业有限公司</w:t>
            </w:r>
          </w:p>
          <w:p>
            <w:pPr>
              <w:pStyle w:val="TableParagraph"/>
              <w:spacing w:line="240" w:lineRule="auto"/>
              <w:ind w:left="400" w:right="0"/>
              <w:jc w:val="left"/>
              <w:rPr>
                <w:rFonts w:ascii="Arial" w:hAnsi="Arial" w:cs="Arial" w:eastAsia="Arial" w:hint="default"/>
                <w:sz w:val="18"/>
                <w:szCs w:val="18"/>
              </w:rPr>
            </w:pP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玄武苏宁置业</w:t>
            </w:r>
            <w:r>
              <w:rPr>
                <w:rFonts w:ascii="Arial" w:hAnsi="Arial" w:cs="Arial" w:eastAsia="Arial" w:hint="default"/>
                <w:sz w:val="18"/>
                <w:szCs w:val="18"/>
              </w:rPr>
              <w:t>”</w:t>
            </w:r>
            <w:r>
              <w:rPr>
                <w:rFonts w:ascii="Arial" w:hAnsi="Arial" w:cs="Arial" w:eastAsia="Arial" w:hint="default"/>
                <w:sz w:val="18"/>
                <w:szCs w:val="18"/>
              </w:rPr>
              <w:t>)</w:t>
            </w:r>
          </w:p>
        </w:tc>
        <w:tc>
          <w:tcPr>
            <w:tcW w:w="2957" w:type="dxa"/>
            <w:tcBorders>
              <w:top w:val="nil" w:sz="6" w:space="0" w:color="auto"/>
              <w:left w:val="nil" w:sz="6" w:space="0" w:color="auto"/>
              <w:bottom w:val="nil" w:sz="6" w:space="0" w:color="auto"/>
              <w:right w:val="nil" w:sz="6" w:space="0" w:color="auto"/>
            </w:tcBorders>
          </w:tcPr>
          <w:p>
            <w:pPr>
              <w:pStyle w:val="TableParagraph"/>
              <w:spacing w:line="236" w:lineRule="exact" w:before="31"/>
              <w:ind w:left="1236" w:right="252" w:firstLine="326"/>
              <w:jc w:val="lef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 </w:t>
            </w:r>
            <w:r>
              <w:rPr>
                <w:rFonts w:ascii="宋体" w:hAnsi="宋体" w:cs="宋体" w:eastAsia="宋体" w:hint="default"/>
                <w:sz w:val="18"/>
                <w:szCs w:val="18"/>
              </w:rPr>
              <w:t>苏宁置业之子公司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8"/>
              <w:jc w:val="right"/>
              <w:rPr>
                <w:rFonts w:ascii="Arial" w:hAnsi="Arial" w:cs="Arial" w:eastAsia="Arial" w:hint="default"/>
                <w:sz w:val="18"/>
                <w:szCs w:val="18"/>
              </w:rPr>
            </w:pPr>
            <w:r>
              <w:rPr>
                <w:rFonts w:ascii="Arial"/>
                <w:spacing w:val="-1"/>
                <w:sz w:val="18"/>
              </w:rPr>
              <w:t>69836887-7</w:t>
            </w:r>
          </w:p>
        </w:tc>
      </w:tr>
      <w:tr>
        <w:trPr>
          <w:trHeight w:val="477"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索菲特银河大酒店</w:t>
            </w:r>
          </w:p>
        </w:tc>
        <w:tc>
          <w:tcPr>
            <w:tcW w:w="2957" w:type="dxa"/>
            <w:tcBorders>
              <w:top w:val="nil" w:sz="6" w:space="0" w:color="auto"/>
              <w:left w:val="nil" w:sz="6" w:space="0" w:color="auto"/>
              <w:bottom w:val="nil" w:sz="6" w:space="0" w:color="auto"/>
              <w:right w:val="nil" w:sz="6" w:space="0" w:color="auto"/>
            </w:tcBorders>
          </w:tcPr>
          <w:p>
            <w:pPr>
              <w:pStyle w:val="TableParagraph"/>
              <w:spacing w:line="205" w:lineRule="exact"/>
              <w:ind w:left="1236" w:right="0" w:firstLine="326"/>
              <w:jc w:val="left"/>
              <w:rPr>
                <w:rFonts w:ascii="Arial" w:hAnsi="Arial" w:cs="Arial" w:eastAsia="Arial"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p>
          <w:p>
            <w:pPr>
              <w:pStyle w:val="TableParagraph"/>
              <w:spacing w:line="228" w:lineRule="exact"/>
              <w:ind w:left="1236" w:right="0"/>
              <w:jc w:val="left"/>
              <w:rPr>
                <w:rFonts w:ascii="宋体" w:hAnsi="宋体" w:cs="宋体" w:eastAsia="宋体" w:hint="default"/>
                <w:sz w:val="18"/>
                <w:szCs w:val="18"/>
              </w:rPr>
            </w:pPr>
            <w:r>
              <w:rPr>
                <w:rFonts w:ascii="宋体" w:hAnsi="宋体" w:cs="宋体" w:eastAsia="宋体" w:hint="default"/>
                <w:sz w:val="18"/>
                <w:szCs w:val="18"/>
              </w:rPr>
              <w:t>苏宁置业之子公司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8"/>
              <w:jc w:val="right"/>
              <w:rPr>
                <w:rFonts w:ascii="Arial" w:hAnsi="Arial" w:cs="Arial" w:eastAsia="Arial" w:hint="default"/>
                <w:sz w:val="18"/>
                <w:szCs w:val="18"/>
              </w:rPr>
            </w:pPr>
            <w:r>
              <w:rPr>
                <w:rFonts w:ascii="Arial"/>
                <w:spacing w:val="-1"/>
                <w:sz w:val="18"/>
              </w:rPr>
              <w:t>67131631-3</w:t>
            </w:r>
          </w:p>
        </w:tc>
      </w:tr>
      <w:tr>
        <w:trPr>
          <w:trHeight w:val="477"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成都鸿业置业</w:t>
            </w:r>
          </w:p>
        </w:tc>
        <w:tc>
          <w:tcPr>
            <w:tcW w:w="2957" w:type="dxa"/>
            <w:tcBorders>
              <w:top w:val="nil" w:sz="6" w:space="0" w:color="auto"/>
              <w:left w:val="nil" w:sz="6" w:space="0" w:color="auto"/>
              <w:bottom w:val="nil" w:sz="6" w:space="0" w:color="auto"/>
              <w:right w:val="nil" w:sz="6" w:space="0" w:color="auto"/>
            </w:tcBorders>
          </w:tcPr>
          <w:p>
            <w:pPr>
              <w:pStyle w:val="TableParagraph"/>
              <w:spacing w:line="206" w:lineRule="exact"/>
              <w:ind w:left="1236" w:right="0" w:firstLine="326"/>
              <w:jc w:val="left"/>
              <w:rPr>
                <w:rFonts w:ascii="Arial" w:hAnsi="Arial" w:cs="Arial" w:eastAsia="Arial"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p>
          <w:p>
            <w:pPr>
              <w:pStyle w:val="TableParagraph"/>
              <w:spacing w:line="228" w:lineRule="exact"/>
              <w:ind w:left="1236" w:right="0"/>
              <w:jc w:val="left"/>
              <w:rPr>
                <w:rFonts w:ascii="宋体" w:hAnsi="宋体" w:cs="宋体" w:eastAsia="宋体" w:hint="default"/>
                <w:sz w:val="18"/>
                <w:szCs w:val="18"/>
              </w:rPr>
            </w:pPr>
            <w:r>
              <w:rPr>
                <w:rFonts w:ascii="宋体" w:hAnsi="宋体" w:cs="宋体" w:eastAsia="宋体" w:hint="default"/>
                <w:sz w:val="18"/>
                <w:szCs w:val="18"/>
              </w:rPr>
              <w:t>苏宁置业之子公司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8"/>
              <w:jc w:val="right"/>
              <w:rPr>
                <w:rFonts w:ascii="Arial" w:hAnsi="Arial" w:cs="Arial" w:eastAsia="Arial" w:hint="default"/>
                <w:sz w:val="18"/>
                <w:szCs w:val="18"/>
              </w:rPr>
            </w:pPr>
            <w:r>
              <w:rPr>
                <w:rFonts w:ascii="Arial"/>
                <w:spacing w:val="-1"/>
                <w:sz w:val="18"/>
              </w:rPr>
              <w:t>67715769-1</w:t>
            </w:r>
          </w:p>
        </w:tc>
      </w:tr>
      <w:tr>
        <w:trPr>
          <w:trHeight w:val="478"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江苏苏宁建材</w:t>
            </w:r>
          </w:p>
        </w:tc>
        <w:tc>
          <w:tcPr>
            <w:tcW w:w="2957" w:type="dxa"/>
            <w:tcBorders>
              <w:top w:val="nil" w:sz="6" w:space="0" w:color="auto"/>
              <w:left w:val="nil" w:sz="6" w:space="0" w:color="auto"/>
              <w:bottom w:val="nil" w:sz="6" w:space="0" w:color="auto"/>
              <w:right w:val="nil" w:sz="6" w:space="0" w:color="auto"/>
            </w:tcBorders>
          </w:tcPr>
          <w:p>
            <w:pPr>
              <w:pStyle w:val="TableParagraph"/>
              <w:spacing w:line="206" w:lineRule="exact"/>
              <w:ind w:left="1236" w:right="0" w:firstLine="326"/>
              <w:jc w:val="left"/>
              <w:rPr>
                <w:rFonts w:ascii="Arial" w:hAnsi="Arial" w:cs="Arial" w:eastAsia="Arial"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p>
          <w:p>
            <w:pPr>
              <w:pStyle w:val="TableParagraph"/>
              <w:spacing w:line="229" w:lineRule="exact"/>
              <w:ind w:left="1236" w:right="0"/>
              <w:jc w:val="left"/>
              <w:rPr>
                <w:rFonts w:ascii="宋体" w:hAnsi="宋体" w:cs="宋体" w:eastAsia="宋体" w:hint="default"/>
                <w:sz w:val="18"/>
                <w:szCs w:val="18"/>
              </w:rPr>
            </w:pPr>
            <w:r>
              <w:rPr>
                <w:rFonts w:ascii="宋体" w:hAnsi="宋体" w:cs="宋体" w:eastAsia="宋体" w:hint="default"/>
                <w:sz w:val="18"/>
                <w:szCs w:val="18"/>
              </w:rPr>
              <w:t>苏宁置业之子公司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98"/>
              <w:jc w:val="right"/>
              <w:rPr>
                <w:rFonts w:ascii="Arial" w:hAnsi="Arial" w:cs="Arial" w:eastAsia="Arial" w:hint="default"/>
                <w:sz w:val="18"/>
                <w:szCs w:val="18"/>
              </w:rPr>
            </w:pPr>
            <w:r>
              <w:rPr>
                <w:rFonts w:ascii="Arial"/>
                <w:spacing w:val="-1"/>
                <w:sz w:val="18"/>
              </w:rPr>
              <w:t>55252570-2</w:t>
            </w:r>
          </w:p>
        </w:tc>
      </w:tr>
      <w:tr>
        <w:trPr>
          <w:trHeight w:val="476"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198" w:lineRule="exact"/>
              <w:ind w:right="1086"/>
              <w:jc w:val="center"/>
              <w:rPr>
                <w:rFonts w:ascii="宋体" w:hAnsi="宋体" w:cs="宋体" w:eastAsia="宋体" w:hint="default"/>
                <w:sz w:val="18"/>
                <w:szCs w:val="18"/>
              </w:rPr>
            </w:pPr>
            <w:r>
              <w:rPr>
                <w:rFonts w:ascii="宋体" w:hAnsi="宋体" w:cs="宋体" w:eastAsia="宋体" w:hint="default"/>
                <w:sz w:val="18"/>
                <w:szCs w:val="18"/>
              </w:rPr>
              <w:t>江苏银河物业管理有限公司</w:t>
            </w:r>
          </w:p>
          <w:p>
            <w:pPr>
              <w:pStyle w:val="TableParagraph"/>
              <w:spacing w:line="247" w:lineRule="exact"/>
              <w:ind w:right="1200"/>
              <w:jc w:val="center"/>
              <w:rPr>
                <w:rFonts w:ascii="Arial" w:hAnsi="Arial" w:cs="Arial" w:eastAsia="Arial" w:hint="default"/>
                <w:sz w:val="18"/>
                <w:szCs w:val="18"/>
              </w:rPr>
            </w:pP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江苏银河物业</w:t>
            </w:r>
            <w:r>
              <w:rPr>
                <w:rFonts w:ascii="Arial" w:hAnsi="Arial" w:cs="Arial" w:eastAsia="Arial" w:hint="default"/>
                <w:sz w:val="18"/>
                <w:szCs w:val="18"/>
              </w:rPr>
              <w:t>”</w:t>
            </w:r>
            <w:r>
              <w:rPr>
                <w:rFonts w:ascii="Arial" w:hAnsi="Arial" w:cs="Arial" w:eastAsia="Arial" w:hint="default"/>
                <w:sz w:val="18"/>
                <w:szCs w:val="18"/>
              </w:rPr>
              <w:t>)</w:t>
            </w:r>
          </w:p>
        </w:tc>
        <w:tc>
          <w:tcPr>
            <w:tcW w:w="2957" w:type="dxa"/>
            <w:tcBorders>
              <w:top w:val="nil" w:sz="6" w:space="0" w:color="auto"/>
              <w:left w:val="nil" w:sz="6" w:space="0" w:color="auto"/>
              <w:bottom w:val="nil" w:sz="6" w:space="0" w:color="auto"/>
              <w:right w:val="nil" w:sz="6" w:space="0" w:color="auto"/>
            </w:tcBorders>
          </w:tcPr>
          <w:p>
            <w:pPr>
              <w:pStyle w:val="TableParagraph"/>
              <w:spacing w:line="205" w:lineRule="exact"/>
              <w:ind w:left="1236" w:right="0" w:firstLine="326"/>
              <w:jc w:val="left"/>
              <w:rPr>
                <w:rFonts w:ascii="Arial" w:hAnsi="Arial" w:cs="Arial" w:eastAsia="Arial"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p>
          <w:p>
            <w:pPr>
              <w:pStyle w:val="TableParagraph"/>
              <w:spacing w:line="228" w:lineRule="exact"/>
              <w:ind w:left="1236" w:right="0"/>
              <w:jc w:val="left"/>
              <w:rPr>
                <w:rFonts w:ascii="宋体" w:hAnsi="宋体" w:cs="宋体" w:eastAsia="宋体" w:hint="default"/>
                <w:sz w:val="18"/>
                <w:szCs w:val="18"/>
              </w:rPr>
            </w:pPr>
            <w:r>
              <w:rPr>
                <w:rFonts w:ascii="宋体" w:hAnsi="宋体" w:cs="宋体" w:eastAsia="宋体" w:hint="default"/>
                <w:sz w:val="18"/>
                <w:szCs w:val="18"/>
              </w:rPr>
              <w:t>苏宁置业之子公司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8"/>
              <w:jc w:val="right"/>
              <w:rPr>
                <w:rFonts w:ascii="Arial" w:hAnsi="Arial" w:cs="Arial" w:eastAsia="Arial" w:hint="default"/>
                <w:sz w:val="18"/>
                <w:szCs w:val="18"/>
              </w:rPr>
            </w:pPr>
            <w:r>
              <w:rPr>
                <w:rFonts w:ascii="Arial"/>
                <w:spacing w:val="-1"/>
                <w:sz w:val="18"/>
              </w:rPr>
              <w:t>72058334-7</w:t>
            </w:r>
          </w:p>
        </w:tc>
      </w:tr>
      <w:tr>
        <w:trPr>
          <w:trHeight w:val="476"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银河诺富特酒店</w:t>
            </w:r>
          </w:p>
        </w:tc>
        <w:tc>
          <w:tcPr>
            <w:tcW w:w="2957" w:type="dxa"/>
            <w:tcBorders>
              <w:top w:val="nil" w:sz="6" w:space="0" w:color="auto"/>
              <w:left w:val="nil" w:sz="6" w:space="0" w:color="auto"/>
              <w:bottom w:val="nil" w:sz="6" w:space="0" w:color="auto"/>
              <w:right w:val="nil" w:sz="6" w:space="0" w:color="auto"/>
            </w:tcBorders>
          </w:tcPr>
          <w:p>
            <w:pPr>
              <w:pStyle w:val="TableParagraph"/>
              <w:spacing w:line="206" w:lineRule="exact"/>
              <w:ind w:left="1236" w:right="0" w:firstLine="326"/>
              <w:jc w:val="left"/>
              <w:rPr>
                <w:rFonts w:ascii="Arial" w:hAnsi="Arial" w:cs="Arial" w:eastAsia="Arial"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p>
          <w:p>
            <w:pPr>
              <w:pStyle w:val="TableParagraph"/>
              <w:spacing w:line="228" w:lineRule="exact"/>
              <w:ind w:left="1236" w:right="0"/>
              <w:jc w:val="left"/>
              <w:rPr>
                <w:rFonts w:ascii="宋体" w:hAnsi="宋体" w:cs="宋体" w:eastAsia="宋体" w:hint="default"/>
                <w:sz w:val="18"/>
                <w:szCs w:val="18"/>
              </w:rPr>
            </w:pPr>
            <w:r>
              <w:rPr>
                <w:rFonts w:ascii="宋体" w:hAnsi="宋体" w:cs="宋体" w:eastAsia="宋体" w:hint="default"/>
                <w:sz w:val="18"/>
                <w:szCs w:val="18"/>
              </w:rPr>
              <w:t>苏宁置业之子公司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8"/>
              <w:jc w:val="right"/>
              <w:rPr>
                <w:rFonts w:ascii="Arial" w:hAnsi="Arial" w:cs="Arial" w:eastAsia="Arial" w:hint="default"/>
                <w:sz w:val="18"/>
                <w:szCs w:val="18"/>
              </w:rPr>
            </w:pPr>
            <w:r>
              <w:rPr>
                <w:rFonts w:ascii="Arial"/>
                <w:spacing w:val="-1"/>
                <w:sz w:val="18"/>
              </w:rPr>
              <w:t>56289062-3</w:t>
            </w:r>
          </w:p>
        </w:tc>
      </w:tr>
      <w:tr>
        <w:trPr>
          <w:trHeight w:val="478"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青岛苏宁置业</w:t>
            </w:r>
          </w:p>
        </w:tc>
        <w:tc>
          <w:tcPr>
            <w:tcW w:w="2957" w:type="dxa"/>
            <w:tcBorders>
              <w:top w:val="nil" w:sz="6" w:space="0" w:color="auto"/>
              <w:left w:val="nil" w:sz="6" w:space="0" w:color="auto"/>
              <w:bottom w:val="nil" w:sz="6" w:space="0" w:color="auto"/>
              <w:right w:val="nil" w:sz="6" w:space="0" w:color="auto"/>
            </w:tcBorders>
          </w:tcPr>
          <w:p>
            <w:pPr>
              <w:pStyle w:val="TableParagraph"/>
              <w:spacing w:line="206" w:lineRule="exact"/>
              <w:ind w:left="1236" w:right="0" w:firstLine="326"/>
              <w:jc w:val="left"/>
              <w:rPr>
                <w:rFonts w:ascii="Arial" w:hAnsi="Arial" w:cs="Arial" w:eastAsia="Arial"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p>
          <w:p>
            <w:pPr>
              <w:pStyle w:val="TableParagraph"/>
              <w:spacing w:line="229" w:lineRule="exact"/>
              <w:ind w:left="1236" w:right="0"/>
              <w:jc w:val="left"/>
              <w:rPr>
                <w:rFonts w:ascii="宋体" w:hAnsi="宋体" w:cs="宋体" w:eastAsia="宋体" w:hint="default"/>
                <w:sz w:val="18"/>
                <w:szCs w:val="18"/>
              </w:rPr>
            </w:pPr>
            <w:r>
              <w:rPr>
                <w:rFonts w:ascii="宋体" w:hAnsi="宋体" w:cs="宋体" w:eastAsia="宋体" w:hint="default"/>
                <w:sz w:val="18"/>
                <w:szCs w:val="18"/>
              </w:rPr>
              <w:t>苏宁置业之子公司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98"/>
              <w:jc w:val="right"/>
              <w:rPr>
                <w:rFonts w:ascii="Arial" w:hAnsi="Arial" w:cs="Arial" w:eastAsia="Arial" w:hint="default"/>
                <w:sz w:val="18"/>
                <w:szCs w:val="18"/>
              </w:rPr>
            </w:pPr>
            <w:r>
              <w:rPr>
                <w:rFonts w:ascii="Arial"/>
                <w:spacing w:val="-1"/>
                <w:sz w:val="18"/>
              </w:rPr>
              <w:t>69376067-7</w:t>
            </w:r>
          </w:p>
        </w:tc>
      </w:tr>
      <w:tr>
        <w:trPr>
          <w:trHeight w:val="476"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198" w:lineRule="exact"/>
              <w:ind w:left="208" w:right="0"/>
              <w:jc w:val="left"/>
              <w:rPr>
                <w:rFonts w:ascii="宋体" w:hAnsi="宋体" w:cs="宋体" w:eastAsia="宋体" w:hint="default"/>
                <w:sz w:val="18"/>
                <w:szCs w:val="18"/>
              </w:rPr>
            </w:pPr>
            <w:r>
              <w:rPr>
                <w:rFonts w:ascii="宋体" w:hAnsi="宋体" w:cs="宋体" w:eastAsia="宋体" w:hint="default"/>
                <w:sz w:val="18"/>
                <w:szCs w:val="18"/>
              </w:rPr>
              <w:t>北京苏宁置业有限公司</w:t>
            </w:r>
          </w:p>
          <w:p>
            <w:pPr>
              <w:pStyle w:val="TableParagraph"/>
              <w:spacing w:line="247" w:lineRule="exact"/>
              <w:ind w:left="570" w:right="0"/>
              <w:jc w:val="left"/>
              <w:rPr>
                <w:rFonts w:ascii="Arial" w:hAnsi="Arial" w:cs="Arial" w:eastAsia="Arial" w:hint="default"/>
                <w:sz w:val="18"/>
                <w:szCs w:val="18"/>
              </w:rPr>
            </w:pP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北京苏宁置业</w:t>
            </w:r>
            <w:r>
              <w:rPr>
                <w:rFonts w:ascii="Arial" w:hAnsi="Arial" w:cs="Arial" w:eastAsia="Arial" w:hint="default"/>
                <w:sz w:val="18"/>
                <w:szCs w:val="18"/>
              </w:rPr>
              <w:t>”</w:t>
            </w:r>
            <w:r>
              <w:rPr>
                <w:rFonts w:ascii="Arial" w:hAnsi="Arial" w:cs="Arial" w:eastAsia="Arial" w:hint="default"/>
                <w:sz w:val="18"/>
                <w:szCs w:val="18"/>
              </w:rPr>
              <w:t>)</w:t>
            </w:r>
          </w:p>
        </w:tc>
        <w:tc>
          <w:tcPr>
            <w:tcW w:w="2957" w:type="dxa"/>
            <w:tcBorders>
              <w:top w:val="nil" w:sz="6" w:space="0" w:color="auto"/>
              <w:left w:val="nil" w:sz="6" w:space="0" w:color="auto"/>
              <w:bottom w:val="nil" w:sz="6" w:space="0" w:color="auto"/>
              <w:right w:val="nil" w:sz="6" w:space="0" w:color="auto"/>
            </w:tcBorders>
          </w:tcPr>
          <w:p>
            <w:pPr>
              <w:pStyle w:val="TableParagraph"/>
              <w:spacing w:line="205" w:lineRule="exact"/>
              <w:ind w:left="1236" w:right="0" w:firstLine="326"/>
              <w:jc w:val="left"/>
              <w:rPr>
                <w:rFonts w:ascii="Arial" w:hAnsi="Arial" w:cs="Arial" w:eastAsia="Arial"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p>
          <w:p>
            <w:pPr>
              <w:pStyle w:val="TableParagraph"/>
              <w:spacing w:line="228" w:lineRule="exact"/>
              <w:ind w:left="1236" w:right="0"/>
              <w:jc w:val="left"/>
              <w:rPr>
                <w:rFonts w:ascii="宋体" w:hAnsi="宋体" w:cs="宋体" w:eastAsia="宋体" w:hint="default"/>
                <w:sz w:val="18"/>
                <w:szCs w:val="18"/>
              </w:rPr>
            </w:pPr>
            <w:r>
              <w:rPr>
                <w:rFonts w:ascii="宋体" w:hAnsi="宋体" w:cs="宋体" w:eastAsia="宋体" w:hint="default"/>
                <w:sz w:val="18"/>
                <w:szCs w:val="18"/>
              </w:rPr>
              <w:t>苏宁置业之子公司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8"/>
              <w:jc w:val="right"/>
              <w:rPr>
                <w:rFonts w:ascii="Arial" w:hAnsi="Arial" w:cs="Arial" w:eastAsia="Arial" w:hint="default"/>
                <w:sz w:val="18"/>
                <w:szCs w:val="18"/>
              </w:rPr>
            </w:pPr>
            <w:r>
              <w:rPr>
                <w:rFonts w:ascii="Arial"/>
                <w:spacing w:val="-1"/>
                <w:sz w:val="18"/>
              </w:rPr>
              <w:t>67963888-6</w:t>
            </w:r>
          </w:p>
        </w:tc>
      </w:tr>
      <w:tr>
        <w:trPr>
          <w:trHeight w:val="478"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199" w:lineRule="exact"/>
              <w:ind w:left="208" w:right="0"/>
              <w:jc w:val="left"/>
              <w:rPr>
                <w:rFonts w:ascii="宋体" w:hAnsi="宋体" w:cs="宋体" w:eastAsia="宋体" w:hint="default"/>
                <w:sz w:val="18"/>
                <w:szCs w:val="18"/>
              </w:rPr>
            </w:pPr>
            <w:r>
              <w:rPr>
                <w:rFonts w:ascii="宋体" w:hAnsi="宋体" w:cs="宋体" w:eastAsia="宋体" w:hint="default"/>
                <w:sz w:val="18"/>
                <w:szCs w:val="18"/>
              </w:rPr>
              <w:t>无锡苏宁置业有限公司</w:t>
            </w:r>
          </w:p>
          <w:p>
            <w:pPr>
              <w:pStyle w:val="TableParagraph"/>
              <w:spacing w:line="247" w:lineRule="exact"/>
              <w:ind w:left="570" w:right="0"/>
              <w:jc w:val="left"/>
              <w:rPr>
                <w:rFonts w:ascii="Arial" w:hAnsi="Arial" w:cs="Arial" w:eastAsia="Arial" w:hint="default"/>
                <w:sz w:val="18"/>
                <w:szCs w:val="18"/>
              </w:rPr>
            </w:pP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无锡苏宁置业</w:t>
            </w:r>
            <w:r>
              <w:rPr>
                <w:rFonts w:ascii="Arial" w:hAnsi="Arial" w:cs="Arial" w:eastAsia="Arial" w:hint="default"/>
                <w:sz w:val="18"/>
                <w:szCs w:val="18"/>
              </w:rPr>
              <w:t>”</w:t>
            </w:r>
            <w:r>
              <w:rPr>
                <w:rFonts w:ascii="Arial" w:hAnsi="Arial" w:cs="Arial" w:eastAsia="Arial" w:hint="default"/>
                <w:sz w:val="18"/>
                <w:szCs w:val="18"/>
              </w:rPr>
              <w:t>)</w:t>
            </w:r>
          </w:p>
        </w:tc>
        <w:tc>
          <w:tcPr>
            <w:tcW w:w="2957" w:type="dxa"/>
            <w:tcBorders>
              <w:top w:val="nil" w:sz="6" w:space="0" w:color="auto"/>
              <w:left w:val="nil" w:sz="6" w:space="0" w:color="auto"/>
              <w:bottom w:val="nil" w:sz="6" w:space="0" w:color="auto"/>
              <w:right w:val="nil" w:sz="6" w:space="0" w:color="auto"/>
            </w:tcBorders>
          </w:tcPr>
          <w:p>
            <w:pPr>
              <w:pStyle w:val="TableParagraph"/>
              <w:spacing w:line="206" w:lineRule="exact"/>
              <w:ind w:left="1236" w:right="0" w:firstLine="326"/>
              <w:jc w:val="left"/>
              <w:rPr>
                <w:rFonts w:ascii="Arial" w:hAnsi="Arial" w:cs="Arial" w:eastAsia="Arial"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p>
          <w:p>
            <w:pPr>
              <w:pStyle w:val="TableParagraph"/>
              <w:spacing w:line="228" w:lineRule="exact"/>
              <w:ind w:left="1236" w:right="0"/>
              <w:jc w:val="left"/>
              <w:rPr>
                <w:rFonts w:ascii="宋体" w:hAnsi="宋体" w:cs="宋体" w:eastAsia="宋体" w:hint="default"/>
                <w:sz w:val="18"/>
                <w:szCs w:val="18"/>
              </w:rPr>
            </w:pPr>
            <w:r>
              <w:rPr>
                <w:rFonts w:ascii="宋体" w:hAnsi="宋体" w:cs="宋体" w:eastAsia="宋体" w:hint="default"/>
                <w:sz w:val="18"/>
                <w:szCs w:val="18"/>
              </w:rPr>
              <w:t>苏宁置业之子公司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8"/>
              <w:jc w:val="right"/>
              <w:rPr>
                <w:rFonts w:ascii="Arial" w:hAnsi="Arial" w:cs="Arial" w:eastAsia="Arial" w:hint="default"/>
                <w:sz w:val="18"/>
                <w:szCs w:val="18"/>
              </w:rPr>
            </w:pPr>
            <w:r>
              <w:rPr>
                <w:rFonts w:ascii="Arial"/>
                <w:spacing w:val="-1"/>
                <w:sz w:val="18"/>
              </w:rPr>
              <w:t>66896765-X</w:t>
            </w:r>
          </w:p>
        </w:tc>
      </w:tr>
      <w:tr>
        <w:trPr>
          <w:trHeight w:val="477"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200" w:lineRule="exact"/>
              <w:ind w:left="208" w:right="0"/>
              <w:jc w:val="left"/>
              <w:rPr>
                <w:rFonts w:ascii="宋体" w:hAnsi="宋体" w:cs="宋体" w:eastAsia="宋体" w:hint="default"/>
                <w:sz w:val="18"/>
                <w:szCs w:val="18"/>
              </w:rPr>
            </w:pPr>
            <w:r>
              <w:rPr>
                <w:rFonts w:ascii="宋体" w:hAnsi="宋体" w:cs="宋体" w:eastAsia="宋体" w:hint="default"/>
                <w:sz w:val="18"/>
                <w:szCs w:val="18"/>
              </w:rPr>
              <w:t>宿迁苏宁置业有限公司</w:t>
            </w:r>
          </w:p>
          <w:p>
            <w:pPr>
              <w:pStyle w:val="TableParagraph"/>
              <w:spacing w:line="247" w:lineRule="exact"/>
              <w:ind w:left="570" w:right="0"/>
              <w:jc w:val="left"/>
              <w:rPr>
                <w:rFonts w:ascii="Arial" w:hAnsi="Arial" w:cs="Arial" w:eastAsia="Arial" w:hint="default"/>
                <w:sz w:val="18"/>
                <w:szCs w:val="18"/>
              </w:rPr>
            </w:pP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宿迁苏宁置业</w:t>
            </w:r>
            <w:r>
              <w:rPr>
                <w:rFonts w:ascii="Arial" w:hAnsi="Arial" w:cs="Arial" w:eastAsia="Arial" w:hint="default"/>
                <w:sz w:val="18"/>
                <w:szCs w:val="18"/>
              </w:rPr>
              <w:t>”</w:t>
            </w:r>
            <w:r>
              <w:rPr>
                <w:rFonts w:ascii="Arial" w:hAnsi="Arial" w:cs="Arial" w:eastAsia="Arial" w:hint="default"/>
                <w:sz w:val="18"/>
                <w:szCs w:val="18"/>
              </w:rPr>
              <w:t>)</w:t>
            </w:r>
          </w:p>
        </w:tc>
        <w:tc>
          <w:tcPr>
            <w:tcW w:w="2957" w:type="dxa"/>
            <w:tcBorders>
              <w:top w:val="nil" w:sz="6" w:space="0" w:color="auto"/>
              <w:left w:val="nil" w:sz="6" w:space="0" w:color="auto"/>
              <w:bottom w:val="nil" w:sz="6" w:space="0" w:color="auto"/>
              <w:right w:val="nil" w:sz="6" w:space="0" w:color="auto"/>
            </w:tcBorders>
          </w:tcPr>
          <w:p>
            <w:pPr>
              <w:pStyle w:val="TableParagraph"/>
              <w:spacing w:line="206" w:lineRule="exact"/>
              <w:ind w:left="1236" w:right="0" w:firstLine="326"/>
              <w:jc w:val="left"/>
              <w:rPr>
                <w:rFonts w:ascii="Arial" w:hAnsi="Arial" w:cs="Arial" w:eastAsia="Arial"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p>
          <w:p>
            <w:pPr>
              <w:pStyle w:val="TableParagraph"/>
              <w:spacing w:line="228" w:lineRule="exact"/>
              <w:ind w:left="1236" w:right="0"/>
              <w:jc w:val="left"/>
              <w:rPr>
                <w:rFonts w:ascii="宋体" w:hAnsi="宋体" w:cs="宋体" w:eastAsia="宋体" w:hint="default"/>
                <w:sz w:val="18"/>
                <w:szCs w:val="18"/>
              </w:rPr>
            </w:pPr>
            <w:r>
              <w:rPr>
                <w:rFonts w:ascii="宋体" w:hAnsi="宋体" w:cs="宋体" w:eastAsia="宋体" w:hint="default"/>
                <w:sz w:val="18"/>
                <w:szCs w:val="18"/>
              </w:rPr>
              <w:t>苏宁置业之子公司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8"/>
              <w:jc w:val="right"/>
              <w:rPr>
                <w:rFonts w:ascii="Arial" w:hAnsi="Arial" w:cs="Arial" w:eastAsia="Arial" w:hint="default"/>
                <w:sz w:val="18"/>
                <w:szCs w:val="18"/>
              </w:rPr>
            </w:pPr>
            <w:r>
              <w:rPr>
                <w:rFonts w:ascii="Arial"/>
                <w:spacing w:val="-1"/>
                <w:sz w:val="18"/>
              </w:rPr>
              <w:t>56684594-2</w:t>
            </w:r>
          </w:p>
        </w:tc>
      </w:tr>
      <w:tr>
        <w:trPr>
          <w:trHeight w:val="478"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199" w:lineRule="exact"/>
              <w:ind w:left="208" w:right="0"/>
              <w:jc w:val="left"/>
              <w:rPr>
                <w:rFonts w:ascii="宋体" w:hAnsi="宋体" w:cs="宋体" w:eastAsia="宋体" w:hint="default"/>
                <w:sz w:val="18"/>
                <w:szCs w:val="18"/>
              </w:rPr>
            </w:pPr>
            <w:r>
              <w:rPr>
                <w:rFonts w:ascii="宋体" w:hAnsi="宋体" w:cs="宋体" w:eastAsia="宋体" w:hint="default"/>
                <w:sz w:val="18"/>
                <w:szCs w:val="18"/>
              </w:rPr>
              <w:t>长春苏宁置业有限公司</w:t>
            </w:r>
          </w:p>
          <w:p>
            <w:pPr>
              <w:pStyle w:val="TableParagraph"/>
              <w:spacing w:line="240" w:lineRule="auto"/>
              <w:ind w:left="570" w:right="0"/>
              <w:jc w:val="left"/>
              <w:rPr>
                <w:rFonts w:ascii="Arial" w:hAnsi="Arial" w:cs="Arial" w:eastAsia="Arial" w:hint="default"/>
                <w:sz w:val="18"/>
                <w:szCs w:val="18"/>
              </w:rPr>
            </w:pP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长春苏宁置业</w:t>
            </w:r>
            <w:r>
              <w:rPr>
                <w:rFonts w:ascii="Arial" w:hAnsi="Arial" w:cs="Arial" w:eastAsia="Arial" w:hint="default"/>
                <w:sz w:val="18"/>
                <w:szCs w:val="18"/>
              </w:rPr>
              <w:t>”</w:t>
            </w:r>
            <w:r>
              <w:rPr>
                <w:rFonts w:ascii="Arial" w:hAnsi="Arial" w:cs="Arial" w:eastAsia="Arial" w:hint="default"/>
                <w:sz w:val="18"/>
                <w:szCs w:val="18"/>
              </w:rPr>
              <w:t>)</w:t>
            </w:r>
          </w:p>
        </w:tc>
        <w:tc>
          <w:tcPr>
            <w:tcW w:w="2957" w:type="dxa"/>
            <w:tcBorders>
              <w:top w:val="nil" w:sz="6" w:space="0" w:color="auto"/>
              <w:left w:val="nil" w:sz="6" w:space="0" w:color="auto"/>
              <w:bottom w:val="nil" w:sz="6" w:space="0" w:color="auto"/>
              <w:right w:val="nil" w:sz="6" w:space="0" w:color="auto"/>
            </w:tcBorders>
          </w:tcPr>
          <w:p>
            <w:pPr>
              <w:pStyle w:val="TableParagraph"/>
              <w:spacing w:line="206" w:lineRule="exact"/>
              <w:ind w:left="1236" w:right="0" w:firstLine="326"/>
              <w:jc w:val="left"/>
              <w:rPr>
                <w:rFonts w:ascii="Arial" w:hAnsi="Arial" w:cs="Arial" w:eastAsia="Arial"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p>
          <w:p>
            <w:pPr>
              <w:pStyle w:val="TableParagraph"/>
              <w:spacing w:line="229" w:lineRule="exact"/>
              <w:ind w:left="1236" w:right="0"/>
              <w:jc w:val="left"/>
              <w:rPr>
                <w:rFonts w:ascii="宋体" w:hAnsi="宋体" w:cs="宋体" w:eastAsia="宋体" w:hint="default"/>
                <w:sz w:val="18"/>
                <w:szCs w:val="18"/>
              </w:rPr>
            </w:pPr>
            <w:r>
              <w:rPr>
                <w:rFonts w:ascii="宋体" w:hAnsi="宋体" w:cs="宋体" w:eastAsia="宋体" w:hint="default"/>
                <w:sz w:val="18"/>
                <w:szCs w:val="18"/>
              </w:rPr>
              <w:t>苏宁置业之子公司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98"/>
              <w:jc w:val="right"/>
              <w:rPr>
                <w:rFonts w:ascii="Arial" w:hAnsi="Arial" w:cs="Arial" w:eastAsia="Arial" w:hint="default"/>
                <w:sz w:val="18"/>
                <w:szCs w:val="18"/>
              </w:rPr>
            </w:pPr>
            <w:r>
              <w:rPr>
                <w:rFonts w:ascii="Arial"/>
                <w:spacing w:val="-1"/>
                <w:sz w:val="18"/>
              </w:rPr>
              <w:t>69147812-5</w:t>
            </w:r>
          </w:p>
        </w:tc>
      </w:tr>
      <w:tr>
        <w:trPr>
          <w:trHeight w:val="476"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198" w:lineRule="exact"/>
              <w:ind w:left="208" w:right="0"/>
              <w:jc w:val="left"/>
              <w:rPr>
                <w:rFonts w:ascii="宋体" w:hAnsi="宋体" w:cs="宋体" w:eastAsia="宋体" w:hint="default"/>
                <w:sz w:val="18"/>
                <w:szCs w:val="18"/>
              </w:rPr>
            </w:pPr>
            <w:r>
              <w:rPr>
                <w:rFonts w:ascii="宋体" w:hAnsi="宋体" w:cs="宋体" w:eastAsia="宋体" w:hint="default"/>
                <w:sz w:val="18"/>
                <w:szCs w:val="18"/>
              </w:rPr>
              <w:t>盐城苏宁置业有限公司</w:t>
            </w:r>
          </w:p>
          <w:p>
            <w:pPr>
              <w:pStyle w:val="TableParagraph"/>
              <w:spacing w:line="247" w:lineRule="exact"/>
              <w:ind w:left="570" w:right="0"/>
              <w:jc w:val="left"/>
              <w:rPr>
                <w:rFonts w:ascii="Arial" w:hAnsi="Arial" w:cs="Arial" w:eastAsia="Arial" w:hint="default"/>
                <w:sz w:val="18"/>
                <w:szCs w:val="18"/>
              </w:rPr>
            </w:pP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盐城苏宁置业</w:t>
            </w:r>
            <w:r>
              <w:rPr>
                <w:rFonts w:ascii="Arial" w:hAnsi="Arial" w:cs="Arial" w:eastAsia="Arial" w:hint="default"/>
                <w:sz w:val="18"/>
                <w:szCs w:val="18"/>
              </w:rPr>
              <w:t>”</w:t>
            </w:r>
            <w:r>
              <w:rPr>
                <w:rFonts w:ascii="Arial" w:hAnsi="Arial" w:cs="Arial" w:eastAsia="Arial" w:hint="default"/>
                <w:sz w:val="18"/>
                <w:szCs w:val="18"/>
              </w:rPr>
              <w:t>)</w:t>
            </w:r>
          </w:p>
        </w:tc>
        <w:tc>
          <w:tcPr>
            <w:tcW w:w="2957" w:type="dxa"/>
            <w:tcBorders>
              <w:top w:val="nil" w:sz="6" w:space="0" w:color="auto"/>
              <w:left w:val="nil" w:sz="6" w:space="0" w:color="auto"/>
              <w:bottom w:val="nil" w:sz="6" w:space="0" w:color="auto"/>
              <w:right w:val="nil" w:sz="6" w:space="0" w:color="auto"/>
            </w:tcBorders>
          </w:tcPr>
          <w:p>
            <w:pPr>
              <w:pStyle w:val="TableParagraph"/>
              <w:spacing w:line="205" w:lineRule="exact"/>
              <w:ind w:left="1236" w:right="0" w:firstLine="326"/>
              <w:jc w:val="left"/>
              <w:rPr>
                <w:rFonts w:ascii="Arial" w:hAnsi="Arial" w:cs="Arial" w:eastAsia="Arial"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p>
          <w:p>
            <w:pPr>
              <w:pStyle w:val="TableParagraph"/>
              <w:spacing w:line="228" w:lineRule="exact"/>
              <w:ind w:left="1236" w:right="0"/>
              <w:jc w:val="left"/>
              <w:rPr>
                <w:rFonts w:ascii="宋体" w:hAnsi="宋体" w:cs="宋体" w:eastAsia="宋体" w:hint="default"/>
                <w:sz w:val="18"/>
                <w:szCs w:val="18"/>
              </w:rPr>
            </w:pPr>
            <w:r>
              <w:rPr>
                <w:rFonts w:ascii="宋体" w:hAnsi="宋体" w:cs="宋体" w:eastAsia="宋体" w:hint="default"/>
                <w:sz w:val="18"/>
                <w:szCs w:val="18"/>
              </w:rPr>
              <w:t>苏宁置业之子公司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8"/>
              <w:jc w:val="right"/>
              <w:rPr>
                <w:rFonts w:ascii="Arial" w:hAnsi="Arial" w:cs="Arial" w:eastAsia="Arial" w:hint="default"/>
                <w:sz w:val="18"/>
                <w:szCs w:val="18"/>
              </w:rPr>
            </w:pPr>
            <w:r>
              <w:rPr>
                <w:rFonts w:ascii="Arial"/>
                <w:spacing w:val="-2"/>
                <w:sz w:val="18"/>
              </w:rPr>
              <w:t>55117886-8</w:t>
            </w:r>
          </w:p>
        </w:tc>
      </w:tr>
      <w:tr>
        <w:trPr>
          <w:trHeight w:val="476"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199" w:lineRule="exact"/>
              <w:ind w:left="208" w:right="0"/>
              <w:jc w:val="left"/>
              <w:rPr>
                <w:rFonts w:ascii="宋体" w:hAnsi="宋体" w:cs="宋体" w:eastAsia="宋体" w:hint="default"/>
                <w:sz w:val="18"/>
                <w:szCs w:val="18"/>
              </w:rPr>
            </w:pPr>
            <w:r>
              <w:rPr>
                <w:rFonts w:ascii="宋体" w:hAnsi="宋体" w:cs="宋体" w:eastAsia="宋体" w:hint="default"/>
                <w:sz w:val="18"/>
                <w:szCs w:val="18"/>
              </w:rPr>
              <w:t>徐州苏宁置业有限公司</w:t>
            </w:r>
          </w:p>
          <w:p>
            <w:pPr>
              <w:pStyle w:val="TableParagraph"/>
              <w:spacing w:line="247" w:lineRule="exact"/>
              <w:ind w:left="570" w:right="0"/>
              <w:jc w:val="left"/>
              <w:rPr>
                <w:rFonts w:ascii="Arial" w:hAnsi="Arial" w:cs="Arial" w:eastAsia="Arial" w:hint="default"/>
                <w:sz w:val="18"/>
                <w:szCs w:val="18"/>
              </w:rPr>
            </w:pP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徐州苏宁置业</w:t>
            </w:r>
            <w:r>
              <w:rPr>
                <w:rFonts w:ascii="Arial" w:hAnsi="Arial" w:cs="Arial" w:eastAsia="Arial" w:hint="default"/>
                <w:sz w:val="18"/>
                <w:szCs w:val="18"/>
              </w:rPr>
              <w:t>”</w:t>
            </w:r>
            <w:r>
              <w:rPr>
                <w:rFonts w:ascii="Arial" w:hAnsi="Arial" w:cs="Arial" w:eastAsia="Arial" w:hint="default"/>
                <w:sz w:val="18"/>
                <w:szCs w:val="18"/>
              </w:rPr>
              <w:t>)</w:t>
            </w:r>
          </w:p>
        </w:tc>
        <w:tc>
          <w:tcPr>
            <w:tcW w:w="2957" w:type="dxa"/>
            <w:tcBorders>
              <w:top w:val="nil" w:sz="6" w:space="0" w:color="auto"/>
              <w:left w:val="nil" w:sz="6" w:space="0" w:color="auto"/>
              <w:bottom w:val="nil" w:sz="6" w:space="0" w:color="auto"/>
              <w:right w:val="nil" w:sz="6" w:space="0" w:color="auto"/>
            </w:tcBorders>
          </w:tcPr>
          <w:p>
            <w:pPr>
              <w:pStyle w:val="TableParagraph"/>
              <w:spacing w:line="206" w:lineRule="exact"/>
              <w:ind w:left="1236" w:right="0" w:firstLine="326"/>
              <w:jc w:val="left"/>
              <w:rPr>
                <w:rFonts w:ascii="Arial" w:hAnsi="Arial" w:cs="Arial" w:eastAsia="Arial"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p>
          <w:p>
            <w:pPr>
              <w:pStyle w:val="TableParagraph"/>
              <w:spacing w:line="228" w:lineRule="exact"/>
              <w:ind w:left="1236" w:right="0"/>
              <w:jc w:val="left"/>
              <w:rPr>
                <w:rFonts w:ascii="宋体" w:hAnsi="宋体" w:cs="宋体" w:eastAsia="宋体" w:hint="default"/>
                <w:sz w:val="18"/>
                <w:szCs w:val="18"/>
              </w:rPr>
            </w:pPr>
            <w:r>
              <w:rPr>
                <w:rFonts w:ascii="宋体" w:hAnsi="宋体" w:cs="宋体" w:eastAsia="宋体" w:hint="default"/>
                <w:sz w:val="18"/>
                <w:szCs w:val="18"/>
              </w:rPr>
              <w:t>苏宁置业之子公司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8"/>
              <w:jc w:val="right"/>
              <w:rPr>
                <w:rFonts w:ascii="Arial" w:hAnsi="Arial" w:cs="Arial" w:eastAsia="Arial" w:hint="default"/>
                <w:sz w:val="18"/>
                <w:szCs w:val="18"/>
              </w:rPr>
            </w:pPr>
            <w:r>
              <w:rPr>
                <w:rFonts w:ascii="Arial"/>
                <w:spacing w:val="-2"/>
                <w:sz w:val="18"/>
              </w:rPr>
              <w:t>66961195-4</w:t>
            </w:r>
          </w:p>
        </w:tc>
      </w:tr>
      <w:tr>
        <w:trPr>
          <w:trHeight w:val="458" w:hRule="exact"/>
        </w:trPr>
        <w:tc>
          <w:tcPr>
            <w:tcW w:w="702"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nil" w:sz="6" w:space="0" w:color="auto"/>
            </w:tcBorders>
          </w:tcPr>
          <w:p>
            <w:pPr>
              <w:pStyle w:val="TableParagraph"/>
              <w:spacing w:line="199" w:lineRule="exact"/>
              <w:ind w:left="208" w:right="0"/>
              <w:jc w:val="left"/>
              <w:rPr>
                <w:rFonts w:ascii="宋体" w:hAnsi="宋体" w:cs="宋体" w:eastAsia="宋体" w:hint="default"/>
                <w:sz w:val="18"/>
                <w:szCs w:val="18"/>
              </w:rPr>
            </w:pPr>
            <w:r>
              <w:rPr>
                <w:rFonts w:ascii="宋体" w:hAnsi="宋体" w:cs="宋体" w:eastAsia="宋体" w:hint="default"/>
                <w:sz w:val="18"/>
                <w:szCs w:val="18"/>
              </w:rPr>
              <w:t>福州苏宁置业有限公司</w:t>
            </w:r>
          </w:p>
          <w:p>
            <w:pPr>
              <w:pStyle w:val="TableParagraph"/>
              <w:spacing w:line="240" w:lineRule="auto"/>
              <w:ind w:left="570"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福州苏宁置业</w:t>
            </w:r>
            <w:r>
              <w:rPr>
                <w:rFonts w:ascii="Arial" w:hAnsi="Arial" w:cs="Arial" w:eastAsia="Arial" w:hint="default"/>
                <w:sz w:val="18"/>
                <w:szCs w:val="18"/>
              </w:rPr>
              <w:t>”)</w:t>
            </w:r>
          </w:p>
        </w:tc>
        <w:tc>
          <w:tcPr>
            <w:tcW w:w="2957" w:type="dxa"/>
            <w:tcBorders>
              <w:top w:val="nil" w:sz="6" w:space="0" w:color="auto"/>
              <w:left w:val="nil" w:sz="6" w:space="0" w:color="auto"/>
              <w:bottom w:val="nil" w:sz="6" w:space="0" w:color="auto"/>
              <w:right w:val="nil" w:sz="6" w:space="0" w:color="auto"/>
            </w:tcBorders>
          </w:tcPr>
          <w:p>
            <w:pPr>
              <w:pStyle w:val="TableParagraph"/>
              <w:spacing w:line="206" w:lineRule="exact"/>
              <w:ind w:left="1236" w:right="0" w:firstLine="326"/>
              <w:jc w:val="left"/>
              <w:rPr>
                <w:rFonts w:ascii="Arial" w:hAnsi="Arial" w:cs="Arial" w:eastAsia="Arial"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p>
          <w:p>
            <w:pPr>
              <w:pStyle w:val="TableParagraph"/>
              <w:spacing w:line="229" w:lineRule="exact"/>
              <w:ind w:left="1236" w:right="0"/>
              <w:jc w:val="left"/>
              <w:rPr>
                <w:rFonts w:ascii="宋体" w:hAnsi="宋体" w:cs="宋体" w:eastAsia="宋体" w:hint="default"/>
                <w:sz w:val="18"/>
                <w:szCs w:val="18"/>
              </w:rPr>
            </w:pPr>
            <w:r>
              <w:rPr>
                <w:rFonts w:ascii="宋体" w:hAnsi="宋体" w:cs="宋体" w:eastAsia="宋体" w:hint="default"/>
                <w:sz w:val="18"/>
                <w:szCs w:val="18"/>
              </w:rPr>
              <w:t>苏宁置业之子公司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98"/>
              <w:jc w:val="right"/>
              <w:rPr>
                <w:rFonts w:ascii="Arial" w:hAnsi="Arial" w:cs="Arial" w:eastAsia="Arial" w:hint="default"/>
                <w:sz w:val="18"/>
                <w:szCs w:val="18"/>
              </w:rPr>
            </w:pPr>
            <w:r>
              <w:rPr>
                <w:rFonts w:ascii="Arial"/>
                <w:spacing w:val="-1"/>
                <w:sz w:val="18"/>
              </w:rPr>
              <w:t>57470863-0</w:t>
            </w:r>
          </w:p>
        </w:tc>
      </w:tr>
    </w:tbl>
    <w:p>
      <w:pPr>
        <w:spacing w:after="0" w:line="240" w:lineRule="auto"/>
        <w:jc w:val="right"/>
        <w:rPr>
          <w:rFonts w:ascii="Arial" w:hAnsi="Arial" w:cs="Arial" w:eastAsia="Arial" w:hint="default"/>
          <w:sz w:val="18"/>
          <w:szCs w:val="18"/>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02"/>
        <w:gridCol w:w="1878"/>
        <w:gridCol w:w="1372"/>
        <w:gridCol w:w="1061"/>
        <w:gridCol w:w="865"/>
        <w:gridCol w:w="1460"/>
        <w:gridCol w:w="651"/>
        <w:gridCol w:w="1055"/>
      </w:tblGrid>
      <w:tr>
        <w:trPr>
          <w:trHeight w:val="456"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exact"/>
              <w:ind w:right="59"/>
              <w:jc w:val="center"/>
              <w:rPr>
                <w:rFonts w:ascii="黑体" w:hAnsi="黑体" w:cs="黑体" w:eastAsia="黑体" w:hint="default"/>
                <w:sz w:val="24"/>
                <w:szCs w:val="24"/>
              </w:rPr>
            </w:pPr>
            <w:r>
              <w:rPr>
                <w:rFonts w:ascii="黑体" w:hAnsi="黑体" w:cs="黑体" w:eastAsia="黑体" w:hint="default"/>
                <w:sz w:val="24"/>
                <w:szCs w:val="24"/>
              </w:rPr>
              <w:t>六</w:t>
            </w:r>
          </w:p>
        </w:tc>
        <w:tc>
          <w:tcPr>
            <w:tcW w:w="3250"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208"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61"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651"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671"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6"/>
              <w:jc w:val="center"/>
              <w:rPr>
                <w:rFonts w:ascii="Arial" w:hAnsi="Arial" w:cs="Arial" w:eastAsia="Arial" w:hint="default"/>
                <w:sz w:val="24"/>
                <w:szCs w:val="24"/>
              </w:rPr>
            </w:pPr>
            <w:r>
              <w:rPr>
                <w:rFonts w:ascii="Arial"/>
                <w:sz w:val="24"/>
              </w:rPr>
              <w:t>(4)</w:t>
            </w:r>
          </w:p>
        </w:tc>
        <w:tc>
          <w:tcPr>
            <w:tcW w:w="32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7"/>
              <w:ind w:left="208" w:right="0"/>
              <w:jc w:val="left"/>
              <w:rPr>
                <w:rFonts w:ascii="Arial" w:hAnsi="Arial" w:cs="Arial" w:eastAsia="Arial" w:hint="default"/>
                <w:sz w:val="24"/>
                <w:szCs w:val="24"/>
              </w:rPr>
            </w:pPr>
            <w:r>
              <w:rPr>
                <w:rFonts w:ascii="黑体" w:hAnsi="黑体" w:cs="黑体" w:eastAsia="黑体" w:hint="default"/>
                <w:sz w:val="24"/>
                <w:szCs w:val="24"/>
              </w:rPr>
              <w:t>其他关联方情况</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61"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651"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656" w:hRule="exact"/>
        </w:trPr>
        <w:tc>
          <w:tcPr>
            <w:tcW w:w="702"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
        </w:tc>
        <w:tc>
          <w:tcPr>
            <w:tcW w:w="23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3"/>
              <w:ind w:left="453" w:right="0"/>
              <w:jc w:val="left"/>
              <w:rPr>
                <w:rFonts w:ascii="宋体" w:hAnsi="宋体" w:cs="宋体" w:eastAsia="宋体" w:hint="default"/>
                <w:sz w:val="24"/>
                <w:szCs w:val="24"/>
              </w:rPr>
            </w:pPr>
            <w:r>
              <w:rPr>
                <w:rFonts w:ascii="宋体" w:hAnsi="宋体" w:cs="宋体" w:eastAsia="宋体" w:hint="default"/>
                <w:sz w:val="24"/>
                <w:szCs w:val="24"/>
              </w:rPr>
              <w:t>与本集团的关系</w:t>
            </w:r>
          </w:p>
        </w:tc>
        <w:tc>
          <w:tcPr>
            <w:tcW w:w="17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3"/>
              <w:ind w:left="210" w:right="0"/>
              <w:jc w:val="left"/>
              <w:rPr>
                <w:rFonts w:ascii="宋体" w:hAnsi="宋体" w:cs="宋体" w:eastAsia="宋体" w:hint="default"/>
                <w:sz w:val="24"/>
                <w:szCs w:val="24"/>
              </w:rPr>
            </w:pPr>
            <w:r>
              <w:rPr>
                <w:rFonts w:ascii="宋体" w:hAnsi="宋体" w:cs="宋体" w:eastAsia="宋体" w:hint="default"/>
                <w:sz w:val="24"/>
                <w:szCs w:val="24"/>
              </w:rPr>
              <w:t>组织机构代码</w:t>
            </w:r>
          </w:p>
        </w:tc>
      </w:tr>
      <w:tr>
        <w:trPr>
          <w:trHeight w:val="720" w:hRule="exact"/>
        </w:trPr>
        <w:tc>
          <w:tcPr>
            <w:tcW w:w="702" w:type="dxa"/>
            <w:tcBorders>
              <w:top w:val="nil" w:sz="6" w:space="0" w:color="auto"/>
              <w:left w:val="nil" w:sz="6" w:space="0" w:color="auto"/>
              <w:bottom w:val="nil" w:sz="6" w:space="0" w:color="auto"/>
              <w:right w:val="nil" w:sz="6" w:space="0" w:color="auto"/>
            </w:tcBorders>
          </w:tcPr>
          <w:p>
            <w:pPr/>
          </w:p>
        </w:tc>
        <w:tc>
          <w:tcPr>
            <w:tcW w:w="32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2"/>
              <w:ind w:left="208" w:right="0"/>
              <w:jc w:val="left"/>
              <w:rPr>
                <w:rFonts w:ascii="宋体" w:hAnsi="宋体" w:cs="宋体" w:eastAsia="宋体" w:hint="default"/>
                <w:sz w:val="18"/>
                <w:szCs w:val="18"/>
              </w:rPr>
            </w:pPr>
            <w:r>
              <w:rPr>
                <w:rFonts w:ascii="宋体" w:hAnsi="宋体" w:cs="宋体" w:eastAsia="宋体" w:hint="default"/>
                <w:sz w:val="18"/>
                <w:szCs w:val="18"/>
              </w:rPr>
              <w:t>石家庄苏宁房地产开发有限公司</w:t>
            </w:r>
          </w:p>
          <w:p>
            <w:pPr>
              <w:pStyle w:val="TableParagraph"/>
              <w:spacing w:line="240" w:lineRule="auto" w:before="38"/>
              <w:ind w:left="570" w:right="0"/>
              <w:jc w:val="left"/>
              <w:rPr>
                <w:rFonts w:ascii="Arial" w:hAnsi="Arial" w:cs="Arial" w:eastAsia="Arial" w:hint="default"/>
                <w:sz w:val="18"/>
                <w:szCs w:val="18"/>
              </w:rPr>
            </w:pP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石家庄苏宁房地产开发</w:t>
            </w:r>
            <w:r>
              <w:rPr>
                <w:rFonts w:ascii="Arial" w:hAnsi="Arial" w:cs="Arial" w:eastAsia="Arial" w:hint="default"/>
                <w:sz w:val="18"/>
                <w:szCs w:val="18"/>
              </w:rPr>
              <w:t>”</w:t>
            </w:r>
            <w:r>
              <w:rPr>
                <w:rFonts w:ascii="Arial" w:hAnsi="Arial" w:cs="Arial" w:eastAsia="Arial" w:hint="default"/>
                <w:sz w:val="18"/>
                <w:szCs w:val="18"/>
              </w:rPr>
              <w:t>)</w:t>
            </w:r>
          </w:p>
        </w:tc>
        <w:tc>
          <w:tcPr>
            <w:tcW w:w="1061" w:type="dxa"/>
            <w:tcBorders>
              <w:top w:val="nil" w:sz="6" w:space="0" w:color="auto"/>
              <w:left w:val="nil" w:sz="6" w:space="0" w:color="auto"/>
              <w:bottom w:val="nil" w:sz="6" w:space="0" w:color="auto"/>
              <w:right w:val="nil" w:sz="6" w:space="0" w:color="auto"/>
            </w:tcBorders>
          </w:tcPr>
          <w:p>
            <w:pPr/>
          </w:p>
        </w:tc>
        <w:tc>
          <w:tcPr>
            <w:tcW w:w="2325" w:type="dxa"/>
            <w:gridSpan w:val="2"/>
            <w:tcBorders>
              <w:top w:val="nil" w:sz="6" w:space="0" w:color="auto"/>
              <w:left w:val="nil" w:sz="6" w:space="0" w:color="auto"/>
              <w:bottom w:val="nil" w:sz="6" w:space="0" w:color="auto"/>
              <w:right w:val="nil" w:sz="6" w:space="0" w:color="auto"/>
            </w:tcBorders>
          </w:tcPr>
          <w:p>
            <w:pPr>
              <w:pStyle w:val="TableParagraph"/>
              <w:spacing w:line="264" w:lineRule="auto" w:before="152"/>
              <w:ind w:left="722" w:right="160" w:firstLine="297"/>
              <w:jc w:val="lef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 </w:t>
            </w:r>
            <w:r>
              <w:rPr>
                <w:rFonts w:ascii="宋体" w:hAnsi="宋体" w:cs="宋体" w:eastAsia="宋体" w:hint="default"/>
                <w:sz w:val="18"/>
                <w:szCs w:val="18"/>
              </w:rPr>
              <w:t>苏宁置业之子公司</w:t>
            </w:r>
          </w:p>
        </w:tc>
        <w:tc>
          <w:tcPr>
            <w:tcW w:w="651"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51"/>
              <w:jc w:val="right"/>
              <w:rPr>
                <w:rFonts w:ascii="Arial" w:hAnsi="Arial" w:cs="Arial" w:eastAsia="Arial" w:hint="default"/>
                <w:sz w:val="18"/>
                <w:szCs w:val="18"/>
              </w:rPr>
            </w:pPr>
            <w:r>
              <w:rPr>
                <w:rFonts w:ascii="Arial"/>
                <w:spacing w:val="-1"/>
                <w:sz w:val="18"/>
              </w:rPr>
              <w:t>69924545-7</w:t>
            </w:r>
          </w:p>
        </w:tc>
      </w:tr>
      <w:tr>
        <w:trPr>
          <w:trHeight w:val="548" w:hRule="exact"/>
        </w:trPr>
        <w:tc>
          <w:tcPr>
            <w:tcW w:w="702" w:type="dxa"/>
            <w:tcBorders>
              <w:top w:val="nil" w:sz="6" w:space="0" w:color="auto"/>
              <w:left w:val="nil" w:sz="6" w:space="0" w:color="auto"/>
              <w:bottom w:val="nil" w:sz="6" w:space="0" w:color="auto"/>
              <w:right w:val="nil" w:sz="6" w:space="0" w:color="auto"/>
            </w:tcBorders>
          </w:tcPr>
          <w:p>
            <w:pPr/>
          </w:p>
        </w:tc>
        <w:tc>
          <w:tcPr>
            <w:tcW w:w="3250" w:type="dxa"/>
            <w:gridSpan w:val="2"/>
            <w:tcBorders>
              <w:top w:val="nil" w:sz="6" w:space="0" w:color="auto"/>
              <w:left w:val="nil" w:sz="6" w:space="0" w:color="auto"/>
              <w:bottom w:val="nil" w:sz="6" w:space="0" w:color="auto"/>
              <w:right w:val="nil" w:sz="6" w:space="0" w:color="auto"/>
            </w:tcBorders>
          </w:tcPr>
          <w:p>
            <w:pPr>
              <w:pStyle w:val="TableParagraph"/>
              <w:spacing w:line="215" w:lineRule="exact"/>
              <w:ind w:left="208" w:right="0"/>
              <w:jc w:val="left"/>
              <w:rPr>
                <w:rFonts w:ascii="宋体" w:hAnsi="宋体" w:cs="宋体" w:eastAsia="宋体" w:hint="default"/>
                <w:sz w:val="18"/>
                <w:szCs w:val="18"/>
              </w:rPr>
            </w:pPr>
            <w:r>
              <w:rPr>
                <w:rFonts w:ascii="宋体" w:hAnsi="宋体" w:cs="宋体" w:eastAsia="宋体" w:hint="default"/>
                <w:sz w:val="18"/>
                <w:szCs w:val="18"/>
              </w:rPr>
              <w:t>上海苏宁房地产开发有限公司</w:t>
            </w:r>
          </w:p>
          <w:p>
            <w:pPr>
              <w:pStyle w:val="TableParagraph"/>
              <w:spacing w:line="240" w:lineRule="auto" w:before="38"/>
              <w:ind w:left="570" w:right="0"/>
              <w:jc w:val="left"/>
              <w:rPr>
                <w:rFonts w:ascii="Arial" w:hAnsi="Arial" w:cs="Arial" w:eastAsia="Arial" w:hint="default"/>
                <w:sz w:val="18"/>
                <w:szCs w:val="18"/>
              </w:rPr>
            </w:pP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上海苏宁房地产开发</w:t>
            </w:r>
            <w:r>
              <w:rPr>
                <w:rFonts w:ascii="Arial" w:hAnsi="Arial" w:cs="Arial" w:eastAsia="Arial" w:hint="default"/>
                <w:sz w:val="18"/>
                <w:szCs w:val="18"/>
              </w:rPr>
              <w:t>”</w:t>
            </w:r>
            <w:r>
              <w:rPr>
                <w:rFonts w:ascii="Arial" w:hAnsi="Arial" w:cs="Arial" w:eastAsia="Arial" w:hint="default"/>
                <w:sz w:val="18"/>
                <w:szCs w:val="18"/>
              </w:rPr>
              <w:t>)</w:t>
            </w:r>
          </w:p>
        </w:tc>
        <w:tc>
          <w:tcPr>
            <w:tcW w:w="1061" w:type="dxa"/>
            <w:tcBorders>
              <w:top w:val="nil" w:sz="6" w:space="0" w:color="auto"/>
              <w:left w:val="nil" w:sz="6" w:space="0" w:color="auto"/>
              <w:bottom w:val="nil" w:sz="6" w:space="0" w:color="auto"/>
              <w:right w:val="nil" w:sz="6" w:space="0" w:color="auto"/>
            </w:tcBorders>
          </w:tcPr>
          <w:p>
            <w:pPr/>
          </w:p>
        </w:tc>
        <w:tc>
          <w:tcPr>
            <w:tcW w:w="2325" w:type="dxa"/>
            <w:gridSpan w:val="2"/>
            <w:tcBorders>
              <w:top w:val="nil" w:sz="6" w:space="0" w:color="auto"/>
              <w:left w:val="nil" w:sz="6" w:space="0" w:color="auto"/>
              <w:bottom w:val="nil" w:sz="6" w:space="0" w:color="auto"/>
              <w:right w:val="nil" w:sz="6" w:space="0" w:color="auto"/>
            </w:tcBorders>
          </w:tcPr>
          <w:p>
            <w:pPr>
              <w:pStyle w:val="TableParagraph"/>
              <w:spacing w:line="228" w:lineRule="exact"/>
              <w:ind w:left="722" w:right="0" w:firstLine="297"/>
              <w:jc w:val="left"/>
              <w:rPr>
                <w:rFonts w:ascii="Arial" w:hAnsi="Arial" w:cs="Arial" w:eastAsia="Arial"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p>
          <w:p>
            <w:pPr>
              <w:pStyle w:val="TableParagraph"/>
              <w:spacing w:line="240" w:lineRule="auto" w:before="25"/>
              <w:ind w:left="722" w:right="0"/>
              <w:jc w:val="left"/>
              <w:rPr>
                <w:rFonts w:ascii="宋体" w:hAnsi="宋体" w:cs="宋体" w:eastAsia="宋体" w:hint="default"/>
                <w:sz w:val="18"/>
                <w:szCs w:val="18"/>
              </w:rPr>
            </w:pPr>
            <w:r>
              <w:rPr>
                <w:rFonts w:ascii="宋体" w:hAnsi="宋体" w:cs="宋体" w:eastAsia="宋体" w:hint="default"/>
                <w:sz w:val="18"/>
                <w:szCs w:val="18"/>
              </w:rPr>
              <w:t>苏宁置业之子公司</w:t>
            </w:r>
          </w:p>
        </w:tc>
        <w:tc>
          <w:tcPr>
            <w:tcW w:w="651"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51"/>
              <w:jc w:val="right"/>
              <w:rPr>
                <w:rFonts w:ascii="Arial" w:hAnsi="Arial" w:cs="Arial" w:eastAsia="Arial" w:hint="default"/>
                <w:sz w:val="18"/>
                <w:szCs w:val="18"/>
              </w:rPr>
            </w:pPr>
            <w:r>
              <w:rPr>
                <w:rFonts w:ascii="Arial"/>
                <w:spacing w:val="-1"/>
                <w:sz w:val="18"/>
              </w:rPr>
              <w:t>69158001-5</w:t>
            </w:r>
          </w:p>
        </w:tc>
      </w:tr>
      <w:tr>
        <w:trPr>
          <w:trHeight w:val="547" w:hRule="exact"/>
        </w:trPr>
        <w:tc>
          <w:tcPr>
            <w:tcW w:w="702"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华商会所</w:t>
            </w:r>
          </w:p>
        </w:tc>
        <w:tc>
          <w:tcPr>
            <w:tcW w:w="1372" w:type="dxa"/>
            <w:tcBorders>
              <w:top w:val="nil" w:sz="6" w:space="0" w:color="auto"/>
              <w:left w:val="nil" w:sz="6" w:space="0" w:color="auto"/>
              <w:bottom w:val="nil" w:sz="6" w:space="0" w:color="auto"/>
              <w:right w:val="nil" w:sz="6" w:space="0" w:color="auto"/>
            </w:tcBorders>
          </w:tcPr>
          <w:p>
            <w:pPr/>
          </w:p>
        </w:tc>
        <w:tc>
          <w:tcPr>
            <w:tcW w:w="3386" w:type="dxa"/>
            <w:gridSpan w:val="3"/>
            <w:tcBorders>
              <w:top w:val="nil" w:sz="6" w:space="0" w:color="auto"/>
              <w:left w:val="nil" w:sz="6" w:space="0" w:color="auto"/>
              <w:bottom w:val="nil" w:sz="6" w:space="0" w:color="auto"/>
              <w:right w:val="nil" w:sz="6" w:space="0" w:color="auto"/>
            </w:tcBorders>
          </w:tcPr>
          <w:p>
            <w:pPr>
              <w:pStyle w:val="TableParagraph"/>
              <w:spacing w:line="228" w:lineRule="exact"/>
              <w:ind w:left="703" w:right="0" w:firstLine="1378"/>
              <w:jc w:val="left"/>
              <w:rPr>
                <w:rFonts w:ascii="Arial" w:hAnsi="Arial" w:cs="Arial" w:eastAsia="Arial"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p>
          <w:p>
            <w:pPr>
              <w:pStyle w:val="TableParagraph"/>
              <w:spacing w:line="240" w:lineRule="auto" w:before="25"/>
              <w:ind w:left="703" w:right="0"/>
              <w:jc w:val="left"/>
              <w:rPr>
                <w:rFonts w:ascii="宋体" w:hAnsi="宋体" w:cs="宋体" w:eastAsia="宋体" w:hint="default"/>
                <w:sz w:val="18"/>
                <w:szCs w:val="18"/>
              </w:rPr>
            </w:pPr>
            <w:r>
              <w:rPr>
                <w:rFonts w:ascii="宋体" w:hAnsi="宋体" w:cs="宋体" w:eastAsia="宋体" w:hint="default"/>
                <w:sz w:val="18"/>
                <w:szCs w:val="18"/>
              </w:rPr>
              <w:t>苏宁电器集团有限公司之子公司</w:t>
            </w:r>
          </w:p>
        </w:tc>
        <w:tc>
          <w:tcPr>
            <w:tcW w:w="651"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51"/>
              <w:jc w:val="right"/>
              <w:rPr>
                <w:rFonts w:ascii="Arial" w:hAnsi="Arial" w:cs="Arial" w:eastAsia="Arial" w:hint="default"/>
                <w:sz w:val="18"/>
                <w:szCs w:val="18"/>
              </w:rPr>
            </w:pPr>
            <w:r>
              <w:rPr>
                <w:rFonts w:ascii="Arial"/>
                <w:spacing w:val="-1"/>
                <w:sz w:val="18"/>
              </w:rPr>
              <w:t>59239202-7</w:t>
            </w:r>
          </w:p>
        </w:tc>
      </w:tr>
      <w:tr>
        <w:trPr>
          <w:trHeight w:val="547" w:hRule="exact"/>
        </w:trPr>
        <w:tc>
          <w:tcPr>
            <w:tcW w:w="702" w:type="dxa"/>
            <w:tcBorders>
              <w:top w:val="nil" w:sz="6" w:space="0" w:color="auto"/>
              <w:left w:val="nil" w:sz="6" w:space="0" w:color="auto"/>
              <w:bottom w:val="nil" w:sz="6" w:space="0" w:color="auto"/>
              <w:right w:val="nil" w:sz="6" w:space="0" w:color="auto"/>
            </w:tcBorders>
          </w:tcPr>
          <w:p>
            <w:pPr/>
          </w:p>
        </w:tc>
        <w:tc>
          <w:tcPr>
            <w:tcW w:w="3250" w:type="dxa"/>
            <w:gridSpan w:val="2"/>
            <w:tcBorders>
              <w:top w:val="nil" w:sz="6" w:space="0" w:color="auto"/>
              <w:left w:val="nil" w:sz="6" w:space="0" w:color="auto"/>
              <w:bottom w:val="nil" w:sz="6" w:space="0" w:color="auto"/>
              <w:right w:val="nil" w:sz="6" w:space="0" w:color="auto"/>
            </w:tcBorders>
          </w:tcPr>
          <w:p>
            <w:pPr>
              <w:pStyle w:val="TableParagraph"/>
              <w:spacing w:line="215" w:lineRule="exact"/>
              <w:ind w:left="208" w:right="0"/>
              <w:jc w:val="left"/>
              <w:rPr>
                <w:rFonts w:ascii="宋体" w:hAnsi="宋体" w:cs="宋体" w:eastAsia="宋体" w:hint="default"/>
                <w:sz w:val="18"/>
                <w:szCs w:val="18"/>
              </w:rPr>
            </w:pPr>
            <w:r>
              <w:rPr>
                <w:rFonts w:ascii="宋体" w:hAnsi="宋体" w:cs="宋体" w:eastAsia="宋体" w:hint="default"/>
                <w:sz w:val="18"/>
                <w:szCs w:val="18"/>
              </w:rPr>
              <w:t>江苏苏宁商业管理有限公司</w:t>
            </w:r>
          </w:p>
          <w:p>
            <w:pPr>
              <w:pStyle w:val="TableParagraph"/>
              <w:spacing w:line="240" w:lineRule="auto" w:before="38"/>
              <w:ind w:left="570" w:right="0"/>
              <w:jc w:val="left"/>
              <w:rPr>
                <w:rFonts w:ascii="Arial" w:hAnsi="Arial" w:cs="Arial" w:eastAsia="Arial" w:hint="default"/>
                <w:sz w:val="18"/>
                <w:szCs w:val="18"/>
              </w:rPr>
            </w:pP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苏宁商业管理公司</w:t>
            </w:r>
            <w:r>
              <w:rPr>
                <w:rFonts w:ascii="Arial" w:hAnsi="Arial" w:cs="Arial" w:eastAsia="Arial" w:hint="default"/>
                <w:sz w:val="18"/>
                <w:szCs w:val="18"/>
              </w:rPr>
              <w:t>”</w:t>
            </w:r>
            <w:r>
              <w:rPr>
                <w:rFonts w:ascii="Arial" w:hAnsi="Arial" w:cs="Arial" w:eastAsia="Arial" w:hint="default"/>
                <w:sz w:val="18"/>
                <w:szCs w:val="18"/>
              </w:rPr>
              <w:t>)</w:t>
            </w:r>
          </w:p>
        </w:tc>
        <w:tc>
          <w:tcPr>
            <w:tcW w:w="3386" w:type="dxa"/>
            <w:gridSpan w:val="3"/>
            <w:tcBorders>
              <w:top w:val="nil" w:sz="6" w:space="0" w:color="auto"/>
              <w:left w:val="nil" w:sz="6" w:space="0" w:color="auto"/>
              <w:bottom w:val="nil" w:sz="6" w:space="0" w:color="auto"/>
              <w:right w:val="nil" w:sz="6" w:space="0" w:color="auto"/>
            </w:tcBorders>
          </w:tcPr>
          <w:p>
            <w:pPr>
              <w:pStyle w:val="TableParagraph"/>
              <w:spacing w:line="228" w:lineRule="exact"/>
              <w:ind w:left="703" w:right="0" w:firstLine="1378"/>
              <w:jc w:val="left"/>
              <w:rPr>
                <w:rFonts w:ascii="Arial" w:hAnsi="Arial" w:cs="Arial" w:eastAsia="Arial"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p>
          <w:p>
            <w:pPr>
              <w:pStyle w:val="TableParagraph"/>
              <w:spacing w:line="240" w:lineRule="auto" w:before="25"/>
              <w:ind w:left="703" w:right="0"/>
              <w:jc w:val="left"/>
              <w:rPr>
                <w:rFonts w:ascii="宋体" w:hAnsi="宋体" w:cs="宋体" w:eastAsia="宋体" w:hint="default"/>
                <w:sz w:val="18"/>
                <w:szCs w:val="18"/>
              </w:rPr>
            </w:pPr>
            <w:r>
              <w:rPr>
                <w:rFonts w:ascii="宋体" w:hAnsi="宋体" w:cs="宋体" w:eastAsia="宋体" w:hint="default"/>
                <w:sz w:val="18"/>
                <w:szCs w:val="18"/>
              </w:rPr>
              <w:t>苏宁电器集团有限公司之子公司</w:t>
            </w:r>
          </w:p>
        </w:tc>
        <w:tc>
          <w:tcPr>
            <w:tcW w:w="651"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51"/>
              <w:jc w:val="right"/>
              <w:rPr>
                <w:rFonts w:ascii="Arial" w:hAnsi="Arial" w:cs="Arial" w:eastAsia="Arial" w:hint="default"/>
                <w:sz w:val="18"/>
                <w:szCs w:val="18"/>
              </w:rPr>
            </w:pPr>
            <w:r>
              <w:rPr>
                <w:rFonts w:ascii="Arial"/>
                <w:spacing w:val="-1"/>
                <w:sz w:val="18"/>
              </w:rPr>
              <w:t>55713952-8</w:t>
            </w:r>
          </w:p>
        </w:tc>
      </w:tr>
      <w:tr>
        <w:trPr>
          <w:trHeight w:val="547" w:hRule="exact"/>
        </w:trPr>
        <w:tc>
          <w:tcPr>
            <w:tcW w:w="702"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银河国际购物广场</w:t>
            </w:r>
          </w:p>
        </w:tc>
        <w:tc>
          <w:tcPr>
            <w:tcW w:w="1372" w:type="dxa"/>
            <w:tcBorders>
              <w:top w:val="nil" w:sz="6" w:space="0" w:color="auto"/>
              <w:left w:val="nil" w:sz="6" w:space="0" w:color="auto"/>
              <w:bottom w:val="nil" w:sz="6" w:space="0" w:color="auto"/>
              <w:right w:val="nil" w:sz="6" w:space="0" w:color="auto"/>
            </w:tcBorders>
          </w:tcPr>
          <w:p>
            <w:pPr/>
          </w:p>
        </w:tc>
        <w:tc>
          <w:tcPr>
            <w:tcW w:w="3386" w:type="dxa"/>
            <w:gridSpan w:val="3"/>
            <w:tcBorders>
              <w:top w:val="nil" w:sz="6" w:space="0" w:color="auto"/>
              <w:left w:val="nil" w:sz="6" w:space="0" w:color="auto"/>
              <w:bottom w:val="nil" w:sz="6" w:space="0" w:color="auto"/>
              <w:right w:val="nil" w:sz="6" w:space="0" w:color="auto"/>
            </w:tcBorders>
          </w:tcPr>
          <w:p>
            <w:pPr>
              <w:pStyle w:val="TableParagraph"/>
              <w:spacing w:line="228" w:lineRule="exact"/>
              <w:ind w:left="703" w:right="0" w:firstLine="1378"/>
              <w:jc w:val="left"/>
              <w:rPr>
                <w:rFonts w:ascii="Arial" w:hAnsi="Arial" w:cs="Arial" w:eastAsia="Arial"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p>
          <w:p>
            <w:pPr>
              <w:pStyle w:val="TableParagraph"/>
              <w:spacing w:line="240" w:lineRule="auto" w:before="25"/>
              <w:ind w:left="703" w:right="0"/>
              <w:jc w:val="left"/>
              <w:rPr>
                <w:rFonts w:ascii="宋体" w:hAnsi="宋体" w:cs="宋体" w:eastAsia="宋体" w:hint="default"/>
                <w:sz w:val="18"/>
                <w:szCs w:val="18"/>
              </w:rPr>
            </w:pPr>
            <w:r>
              <w:rPr>
                <w:rFonts w:ascii="宋体" w:hAnsi="宋体" w:cs="宋体" w:eastAsia="宋体" w:hint="default"/>
                <w:sz w:val="18"/>
                <w:szCs w:val="18"/>
              </w:rPr>
              <w:t>苏宁电器集团有限公司之子公司</w:t>
            </w:r>
          </w:p>
        </w:tc>
        <w:tc>
          <w:tcPr>
            <w:tcW w:w="651"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51"/>
              <w:jc w:val="right"/>
              <w:rPr>
                <w:rFonts w:ascii="Arial" w:hAnsi="Arial" w:cs="Arial" w:eastAsia="Arial" w:hint="default"/>
                <w:sz w:val="18"/>
                <w:szCs w:val="18"/>
              </w:rPr>
            </w:pPr>
            <w:r>
              <w:rPr>
                <w:rFonts w:ascii="Arial"/>
                <w:spacing w:val="-1"/>
                <w:sz w:val="18"/>
              </w:rPr>
              <w:t>77377182-7</w:t>
            </w:r>
          </w:p>
        </w:tc>
      </w:tr>
      <w:tr>
        <w:trPr>
          <w:trHeight w:val="706" w:hRule="exact"/>
        </w:trPr>
        <w:tc>
          <w:tcPr>
            <w:tcW w:w="702"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银河酒店管理公司</w:t>
            </w:r>
          </w:p>
        </w:tc>
        <w:tc>
          <w:tcPr>
            <w:tcW w:w="1372" w:type="dxa"/>
            <w:tcBorders>
              <w:top w:val="nil" w:sz="6" w:space="0" w:color="auto"/>
              <w:left w:val="nil" w:sz="6" w:space="0" w:color="auto"/>
              <w:bottom w:val="nil" w:sz="6" w:space="0" w:color="auto"/>
              <w:right w:val="nil" w:sz="6" w:space="0" w:color="auto"/>
            </w:tcBorders>
          </w:tcPr>
          <w:p>
            <w:pPr/>
          </w:p>
        </w:tc>
        <w:tc>
          <w:tcPr>
            <w:tcW w:w="3386" w:type="dxa"/>
            <w:gridSpan w:val="3"/>
            <w:tcBorders>
              <w:top w:val="nil" w:sz="6" w:space="0" w:color="auto"/>
              <w:left w:val="nil" w:sz="6" w:space="0" w:color="auto"/>
              <w:bottom w:val="nil" w:sz="6" w:space="0" w:color="auto"/>
              <w:right w:val="nil" w:sz="6" w:space="0" w:color="auto"/>
            </w:tcBorders>
          </w:tcPr>
          <w:p>
            <w:pPr>
              <w:pStyle w:val="TableParagraph"/>
              <w:spacing w:line="228" w:lineRule="exact"/>
              <w:ind w:left="703" w:right="0" w:firstLine="1378"/>
              <w:jc w:val="left"/>
              <w:rPr>
                <w:rFonts w:ascii="Arial" w:hAnsi="Arial" w:cs="Arial" w:eastAsia="Arial"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p>
          <w:p>
            <w:pPr>
              <w:pStyle w:val="TableParagraph"/>
              <w:spacing w:line="240" w:lineRule="auto" w:before="25"/>
              <w:ind w:left="703" w:right="0"/>
              <w:jc w:val="left"/>
              <w:rPr>
                <w:rFonts w:ascii="宋体" w:hAnsi="宋体" w:cs="宋体" w:eastAsia="宋体" w:hint="default"/>
                <w:sz w:val="18"/>
                <w:szCs w:val="18"/>
              </w:rPr>
            </w:pPr>
            <w:r>
              <w:rPr>
                <w:rFonts w:ascii="宋体" w:hAnsi="宋体" w:cs="宋体" w:eastAsia="宋体" w:hint="default"/>
                <w:sz w:val="18"/>
                <w:szCs w:val="18"/>
              </w:rPr>
              <w:t>苏宁电器集团有限公司之子公司</w:t>
            </w:r>
          </w:p>
        </w:tc>
        <w:tc>
          <w:tcPr>
            <w:tcW w:w="651"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51"/>
              <w:jc w:val="right"/>
              <w:rPr>
                <w:rFonts w:ascii="Arial" w:hAnsi="Arial" w:cs="Arial" w:eastAsia="Arial" w:hint="default"/>
                <w:sz w:val="18"/>
                <w:szCs w:val="18"/>
              </w:rPr>
            </w:pPr>
            <w:r>
              <w:rPr>
                <w:rFonts w:ascii="Arial"/>
                <w:spacing w:val="-1"/>
                <w:sz w:val="18"/>
              </w:rPr>
              <w:t>77203344-3</w:t>
            </w:r>
          </w:p>
        </w:tc>
      </w:tr>
      <w:tr>
        <w:trPr>
          <w:trHeight w:val="652"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6"/>
              <w:jc w:val="center"/>
              <w:rPr>
                <w:rFonts w:ascii="Arial" w:hAnsi="Arial" w:cs="Arial" w:eastAsia="Arial" w:hint="default"/>
                <w:sz w:val="24"/>
                <w:szCs w:val="24"/>
              </w:rPr>
            </w:pPr>
            <w:r>
              <w:rPr>
                <w:rFonts w:ascii="Arial"/>
                <w:sz w:val="24"/>
              </w:rPr>
              <w:t>(5)</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08" w:right="0"/>
              <w:jc w:val="left"/>
              <w:rPr>
                <w:rFonts w:ascii="黑体" w:hAnsi="黑体" w:cs="黑体" w:eastAsia="黑体" w:hint="default"/>
                <w:sz w:val="24"/>
                <w:szCs w:val="24"/>
              </w:rPr>
            </w:pPr>
            <w:r>
              <w:rPr>
                <w:rFonts w:ascii="黑体" w:hAnsi="黑体" w:cs="黑体" w:eastAsia="黑体" w:hint="default"/>
                <w:sz w:val="24"/>
                <w:szCs w:val="24"/>
              </w:rPr>
              <w:t>关联交易</w:t>
            </w:r>
          </w:p>
        </w:tc>
        <w:tc>
          <w:tcPr>
            <w:tcW w:w="1372"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651"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667"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6"/>
              <w:jc w:val="center"/>
              <w:rPr>
                <w:rFonts w:ascii="Arial" w:hAnsi="Arial" w:cs="Arial" w:eastAsia="Arial" w:hint="default"/>
                <w:sz w:val="24"/>
                <w:szCs w:val="24"/>
              </w:rPr>
            </w:pPr>
            <w:r>
              <w:rPr>
                <w:rFonts w:ascii="Arial"/>
                <w:sz w:val="24"/>
              </w:rPr>
              <w:t>(a)</w:t>
            </w:r>
          </w:p>
        </w:tc>
        <w:tc>
          <w:tcPr>
            <w:tcW w:w="32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3"/>
              <w:ind w:left="208" w:right="0"/>
              <w:jc w:val="left"/>
              <w:rPr>
                <w:rFonts w:ascii="宋体" w:hAnsi="宋体" w:cs="宋体" w:eastAsia="宋体" w:hint="default"/>
                <w:sz w:val="24"/>
                <w:szCs w:val="24"/>
              </w:rPr>
            </w:pPr>
            <w:r>
              <w:rPr>
                <w:rFonts w:ascii="宋体" w:hAnsi="宋体" w:cs="宋体" w:eastAsia="宋体" w:hint="default"/>
                <w:sz w:val="24"/>
                <w:szCs w:val="24"/>
              </w:rPr>
              <w:t>销售商品和提供劳务</w:t>
            </w:r>
          </w:p>
        </w:tc>
        <w:tc>
          <w:tcPr>
            <w:tcW w:w="1061"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651"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675"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89"/>
              <w:jc w:val="center"/>
              <w:rPr>
                <w:rFonts w:ascii="Arial" w:hAnsi="Arial" w:cs="Arial" w:eastAsia="Arial" w:hint="default"/>
                <w:sz w:val="24"/>
                <w:szCs w:val="24"/>
              </w:rPr>
            </w:pPr>
            <w:r>
              <w:rPr>
                <w:rFonts w:ascii="Arial"/>
                <w:sz w:val="24"/>
              </w:rPr>
              <w:t>(i)</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8" w:right="0"/>
              <w:jc w:val="left"/>
              <w:rPr>
                <w:rFonts w:ascii="宋体" w:hAnsi="宋体" w:cs="宋体" w:eastAsia="宋体" w:hint="default"/>
                <w:sz w:val="24"/>
                <w:szCs w:val="24"/>
              </w:rPr>
            </w:pPr>
            <w:r>
              <w:rPr>
                <w:rFonts w:ascii="宋体" w:hAnsi="宋体" w:cs="宋体" w:eastAsia="宋体" w:hint="default"/>
                <w:sz w:val="24"/>
                <w:szCs w:val="24"/>
              </w:rPr>
              <w:t>销售商品</w:t>
            </w:r>
          </w:p>
        </w:tc>
        <w:tc>
          <w:tcPr>
            <w:tcW w:w="1372"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651"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507" w:hRule="exact"/>
        </w:trPr>
        <w:tc>
          <w:tcPr>
            <w:tcW w:w="702"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061" w:type="dxa"/>
            <w:vMerge w:val="restart"/>
            <w:tcBorders>
              <w:top w:val="nil" w:sz="6" w:space="0" w:color="auto"/>
              <w:left w:val="nil" w:sz="6" w:space="0" w:color="auto"/>
              <w:right w:val="nil" w:sz="6" w:space="0" w:color="auto"/>
            </w:tcBorders>
          </w:tcPr>
          <w:p>
            <w:pPr>
              <w:pStyle w:val="TableParagraph"/>
              <w:spacing w:line="240" w:lineRule="auto" w:before="155"/>
              <w:ind w:left="115" w:right="45"/>
              <w:jc w:val="left"/>
              <w:rPr>
                <w:rFonts w:ascii="宋体" w:hAnsi="宋体" w:cs="宋体" w:eastAsia="宋体" w:hint="default"/>
                <w:sz w:val="18"/>
                <w:szCs w:val="18"/>
              </w:rPr>
            </w:pPr>
            <w:r>
              <w:rPr>
                <w:rFonts w:ascii="宋体" w:hAnsi="宋体" w:cs="宋体" w:eastAsia="宋体" w:hint="default"/>
                <w:sz w:val="18"/>
                <w:szCs w:val="18"/>
              </w:rPr>
              <w:t>关联交易定 价方式及决</w:t>
            </w:r>
          </w:p>
          <w:p>
            <w:pPr>
              <w:pStyle w:val="TableParagraph"/>
              <w:spacing w:line="230" w:lineRule="exact"/>
              <w:ind w:left="475" w:right="0"/>
              <w:jc w:val="left"/>
              <w:rPr>
                <w:rFonts w:ascii="宋体" w:hAnsi="宋体" w:cs="宋体" w:eastAsia="宋体" w:hint="default"/>
                <w:sz w:val="18"/>
                <w:szCs w:val="18"/>
              </w:rPr>
            </w:pPr>
            <w:r>
              <w:rPr>
                <w:rFonts w:ascii="宋体" w:hAnsi="宋体" w:cs="宋体" w:eastAsia="宋体" w:hint="default"/>
                <w:sz w:val="18"/>
                <w:szCs w:val="18"/>
              </w:rPr>
              <w:t>策程序</w:t>
            </w:r>
          </w:p>
        </w:tc>
        <w:tc>
          <w:tcPr>
            <w:tcW w:w="865" w:type="dxa"/>
            <w:tcBorders>
              <w:top w:val="nil" w:sz="6" w:space="0" w:color="auto"/>
              <w:left w:val="nil" w:sz="6" w:space="0" w:color="auto"/>
              <w:bottom w:val="single" w:sz="4" w:space="0" w:color="000000"/>
              <w:right w:val="nil" w:sz="6" w:space="0" w:color="auto"/>
            </w:tcBorders>
          </w:tcPr>
          <w:p>
            <w:pPr/>
          </w:p>
        </w:tc>
        <w:tc>
          <w:tcPr>
            <w:tcW w:w="1460" w:type="dxa"/>
            <w:tcBorders>
              <w:top w:val="nil" w:sz="6" w:space="0" w:color="auto"/>
              <w:left w:val="nil" w:sz="6" w:space="0" w:color="auto"/>
              <w:bottom w:val="single" w:sz="4" w:space="0" w:color="000000"/>
              <w:right w:val="nil" w:sz="6" w:space="0" w:color="auto"/>
            </w:tcBorders>
          </w:tcPr>
          <w:p>
            <w:pPr>
              <w:pStyle w:val="TableParagraph"/>
              <w:spacing w:line="240" w:lineRule="auto" w:before="152"/>
              <w:ind w:right="479"/>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651" w:type="dxa"/>
            <w:tcBorders>
              <w:top w:val="nil" w:sz="6" w:space="0" w:color="auto"/>
              <w:left w:val="nil" w:sz="6" w:space="0" w:color="auto"/>
              <w:bottom w:val="single" w:sz="4" w:space="0" w:color="000000"/>
              <w:right w:val="nil" w:sz="6" w:space="0" w:color="auto"/>
            </w:tcBorders>
          </w:tcPr>
          <w:p>
            <w:pPr/>
          </w:p>
        </w:tc>
        <w:tc>
          <w:tcPr>
            <w:tcW w:w="1055" w:type="dxa"/>
            <w:tcBorders>
              <w:top w:val="nil" w:sz="6" w:space="0" w:color="auto"/>
              <w:left w:val="nil" w:sz="6" w:space="0" w:color="auto"/>
              <w:bottom w:val="single" w:sz="4" w:space="0" w:color="000000"/>
              <w:right w:val="nil" w:sz="6" w:space="0" w:color="auto"/>
            </w:tcBorders>
          </w:tcPr>
          <w:p>
            <w:pPr>
              <w:pStyle w:val="TableParagraph"/>
              <w:spacing w:line="240" w:lineRule="auto" w:before="152"/>
              <w:ind w:right="50"/>
              <w:jc w:val="righ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年度</w:t>
            </w:r>
          </w:p>
        </w:tc>
      </w:tr>
      <w:tr>
        <w:trPr>
          <w:trHeight w:val="202" w:hRule="exact"/>
        </w:trPr>
        <w:tc>
          <w:tcPr>
            <w:tcW w:w="702"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061" w:type="dxa"/>
            <w:vMerge/>
            <w:tcBorders>
              <w:left w:val="nil" w:sz="6" w:space="0" w:color="auto"/>
              <w:right w:val="nil" w:sz="6" w:space="0" w:color="auto"/>
            </w:tcBorders>
          </w:tcPr>
          <w:p>
            <w:pPr/>
          </w:p>
        </w:tc>
        <w:tc>
          <w:tcPr>
            <w:tcW w:w="865" w:type="dxa"/>
            <w:tcBorders>
              <w:top w:val="single" w:sz="4" w:space="0" w:color="000000"/>
              <w:left w:val="nil" w:sz="6" w:space="0" w:color="auto"/>
              <w:bottom w:val="nil" w:sz="6" w:space="0" w:color="auto"/>
              <w:right w:val="nil" w:sz="6" w:space="0" w:color="auto"/>
            </w:tcBorders>
          </w:tcPr>
          <w:p>
            <w:pPr>
              <w:pStyle w:val="TableParagraph"/>
              <w:spacing w:line="203" w:lineRule="exact"/>
              <w:ind w:right="77"/>
              <w:jc w:val="right"/>
              <w:rPr>
                <w:rFonts w:ascii="宋体" w:hAnsi="宋体" w:cs="宋体" w:eastAsia="宋体" w:hint="default"/>
                <w:sz w:val="18"/>
                <w:szCs w:val="18"/>
              </w:rPr>
            </w:pPr>
            <w:r>
              <w:rPr>
                <w:rFonts w:ascii="宋体" w:hAnsi="宋体" w:cs="宋体" w:eastAsia="宋体" w:hint="default"/>
                <w:sz w:val="18"/>
                <w:szCs w:val="18"/>
              </w:rPr>
              <w:t>金额</w:t>
            </w:r>
          </w:p>
        </w:tc>
        <w:tc>
          <w:tcPr>
            <w:tcW w:w="1460" w:type="dxa"/>
            <w:vMerge w:val="restart"/>
            <w:tcBorders>
              <w:top w:val="single" w:sz="4" w:space="0" w:color="000000"/>
              <w:left w:val="nil" w:sz="6" w:space="0" w:color="auto"/>
              <w:right w:val="nil" w:sz="6" w:space="0" w:color="auto"/>
            </w:tcBorders>
          </w:tcPr>
          <w:p>
            <w:pPr>
              <w:pStyle w:val="TableParagraph"/>
              <w:spacing w:line="203" w:lineRule="exact"/>
              <w:ind w:left="77" w:right="0"/>
              <w:jc w:val="left"/>
              <w:rPr>
                <w:rFonts w:ascii="宋体" w:hAnsi="宋体" w:cs="宋体" w:eastAsia="宋体" w:hint="default"/>
                <w:sz w:val="18"/>
                <w:szCs w:val="18"/>
              </w:rPr>
            </w:pPr>
            <w:r>
              <w:rPr>
                <w:rFonts w:ascii="宋体" w:hAnsi="宋体" w:cs="宋体" w:eastAsia="宋体" w:hint="default"/>
                <w:sz w:val="18"/>
                <w:szCs w:val="18"/>
              </w:rPr>
              <w:t>占同类交易</w:t>
            </w:r>
          </w:p>
          <w:p>
            <w:pPr>
              <w:pStyle w:val="TableParagraph"/>
              <w:spacing w:line="233" w:lineRule="exact"/>
              <w:ind w:left="77" w:right="0"/>
              <w:jc w:val="left"/>
              <w:rPr>
                <w:rFonts w:ascii="宋体" w:hAnsi="宋体" w:cs="宋体" w:eastAsia="宋体" w:hint="default"/>
                <w:sz w:val="18"/>
                <w:szCs w:val="18"/>
              </w:rPr>
            </w:pPr>
            <w:r>
              <w:rPr>
                <w:rFonts w:ascii="宋体" w:hAnsi="宋体" w:cs="宋体" w:eastAsia="宋体" w:hint="default"/>
                <w:sz w:val="18"/>
                <w:szCs w:val="18"/>
              </w:rPr>
              <w:t>金额的比例</w:t>
            </w:r>
          </w:p>
        </w:tc>
        <w:tc>
          <w:tcPr>
            <w:tcW w:w="651" w:type="dxa"/>
            <w:tcBorders>
              <w:top w:val="single" w:sz="4" w:space="0" w:color="000000"/>
              <w:left w:val="nil" w:sz="6" w:space="0" w:color="auto"/>
              <w:bottom w:val="nil" w:sz="6" w:space="0" w:color="auto"/>
              <w:right w:val="nil" w:sz="6" w:space="0" w:color="auto"/>
            </w:tcBorders>
          </w:tcPr>
          <w:p>
            <w:pPr>
              <w:pStyle w:val="TableParagraph"/>
              <w:spacing w:line="203" w:lineRule="exact"/>
              <w:ind w:right="126"/>
              <w:jc w:val="right"/>
              <w:rPr>
                <w:rFonts w:ascii="宋体" w:hAnsi="宋体" w:cs="宋体" w:eastAsia="宋体" w:hint="default"/>
                <w:sz w:val="18"/>
                <w:szCs w:val="18"/>
              </w:rPr>
            </w:pPr>
            <w:r>
              <w:rPr>
                <w:rFonts w:ascii="宋体" w:hAnsi="宋体" w:cs="宋体" w:eastAsia="宋体" w:hint="default"/>
                <w:sz w:val="18"/>
                <w:szCs w:val="18"/>
              </w:rPr>
              <w:t>金额</w:t>
            </w:r>
          </w:p>
        </w:tc>
        <w:tc>
          <w:tcPr>
            <w:tcW w:w="1055" w:type="dxa"/>
            <w:vMerge w:val="restart"/>
            <w:tcBorders>
              <w:top w:val="single" w:sz="4" w:space="0" w:color="000000"/>
              <w:left w:val="nil" w:sz="6" w:space="0" w:color="auto"/>
              <w:right w:val="nil" w:sz="6" w:space="0" w:color="auto"/>
            </w:tcBorders>
          </w:tcPr>
          <w:p>
            <w:pPr>
              <w:pStyle w:val="TableParagraph"/>
              <w:spacing w:line="203" w:lineRule="exact"/>
              <w:ind w:left="128" w:right="0"/>
              <w:jc w:val="left"/>
              <w:rPr>
                <w:rFonts w:ascii="宋体" w:hAnsi="宋体" w:cs="宋体" w:eastAsia="宋体" w:hint="default"/>
                <w:sz w:val="18"/>
                <w:szCs w:val="18"/>
              </w:rPr>
            </w:pPr>
            <w:r>
              <w:rPr>
                <w:rFonts w:ascii="宋体" w:hAnsi="宋体" w:cs="宋体" w:eastAsia="宋体" w:hint="default"/>
                <w:sz w:val="18"/>
                <w:szCs w:val="18"/>
              </w:rPr>
              <w:t>占同类交易</w:t>
            </w:r>
          </w:p>
          <w:p>
            <w:pPr>
              <w:pStyle w:val="TableParagraph"/>
              <w:spacing w:line="233" w:lineRule="exact"/>
              <w:ind w:left="128" w:right="0"/>
              <w:jc w:val="left"/>
              <w:rPr>
                <w:rFonts w:ascii="宋体" w:hAnsi="宋体" w:cs="宋体" w:eastAsia="宋体" w:hint="default"/>
                <w:sz w:val="18"/>
                <w:szCs w:val="18"/>
              </w:rPr>
            </w:pPr>
            <w:r>
              <w:rPr>
                <w:rFonts w:ascii="宋体" w:hAnsi="宋体" w:cs="宋体" w:eastAsia="宋体" w:hint="default"/>
                <w:sz w:val="18"/>
                <w:szCs w:val="18"/>
              </w:rPr>
              <w:t>金额的比例</w:t>
            </w:r>
          </w:p>
        </w:tc>
      </w:tr>
      <w:tr>
        <w:trPr>
          <w:trHeight w:val="410" w:hRule="exact"/>
        </w:trPr>
        <w:tc>
          <w:tcPr>
            <w:tcW w:w="702"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174" w:lineRule="exact"/>
              <w:ind w:left="208"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372" w:type="dxa"/>
            <w:tcBorders>
              <w:top w:val="nil" w:sz="6" w:space="0" w:color="auto"/>
              <w:left w:val="nil" w:sz="6" w:space="0" w:color="auto"/>
              <w:bottom w:val="nil" w:sz="6" w:space="0" w:color="auto"/>
              <w:right w:val="nil" w:sz="6" w:space="0" w:color="auto"/>
            </w:tcBorders>
          </w:tcPr>
          <w:p>
            <w:pPr>
              <w:pStyle w:val="TableParagraph"/>
              <w:spacing w:line="174" w:lineRule="exact"/>
              <w:ind w:right="113"/>
              <w:jc w:val="right"/>
              <w:rPr>
                <w:rFonts w:ascii="宋体" w:hAnsi="宋体" w:cs="宋体" w:eastAsia="宋体" w:hint="default"/>
                <w:sz w:val="18"/>
                <w:szCs w:val="18"/>
              </w:rPr>
            </w:pPr>
            <w:r>
              <w:rPr>
                <w:rFonts w:ascii="宋体" w:hAnsi="宋体" w:cs="宋体" w:eastAsia="宋体" w:hint="default"/>
                <w:sz w:val="18"/>
                <w:szCs w:val="18"/>
              </w:rPr>
              <w:t>关联交易内容</w:t>
            </w:r>
          </w:p>
        </w:tc>
        <w:tc>
          <w:tcPr>
            <w:tcW w:w="1061" w:type="dxa"/>
            <w:vMerge/>
            <w:tcBorders>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c>
          <w:tcPr>
            <w:tcW w:w="1460" w:type="dxa"/>
            <w:vMerge/>
            <w:tcBorders>
              <w:left w:val="nil" w:sz="6" w:space="0" w:color="auto"/>
              <w:bottom w:val="nil" w:sz="6" w:space="0" w:color="auto"/>
              <w:right w:val="nil" w:sz="6" w:space="0" w:color="auto"/>
            </w:tcBorders>
          </w:tcPr>
          <w:p>
            <w:pPr/>
          </w:p>
        </w:tc>
        <w:tc>
          <w:tcPr>
            <w:tcW w:w="651" w:type="dxa"/>
            <w:tcBorders>
              <w:top w:val="nil" w:sz="6" w:space="0" w:color="auto"/>
              <w:left w:val="nil" w:sz="6" w:space="0" w:color="auto"/>
              <w:bottom w:val="nil" w:sz="6" w:space="0" w:color="auto"/>
              <w:right w:val="nil" w:sz="6" w:space="0" w:color="auto"/>
            </w:tcBorders>
          </w:tcPr>
          <w:p>
            <w:pPr/>
          </w:p>
        </w:tc>
        <w:tc>
          <w:tcPr>
            <w:tcW w:w="1055" w:type="dxa"/>
            <w:vMerge/>
            <w:tcBorders>
              <w:left w:val="nil" w:sz="6" w:space="0" w:color="auto"/>
              <w:bottom w:val="nil" w:sz="6" w:space="0" w:color="auto"/>
              <w:right w:val="nil" w:sz="6" w:space="0" w:color="auto"/>
            </w:tcBorders>
          </w:tcPr>
          <w:p>
            <w:pPr/>
          </w:p>
        </w:tc>
      </w:tr>
      <w:tr>
        <w:trPr>
          <w:trHeight w:val="642" w:hRule="exact"/>
        </w:trPr>
        <w:tc>
          <w:tcPr>
            <w:tcW w:w="702"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32" w:lineRule="exact" w:before="140"/>
              <w:ind w:left="371" w:right="174" w:hanging="164"/>
              <w:jc w:val="left"/>
              <w:rPr>
                <w:rFonts w:ascii="宋体" w:hAnsi="宋体" w:cs="宋体" w:eastAsia="宋体" w:hint="default"/>
                <w:sz w:val="18"/>
                <w:szCs w:val="18"/>
              </w:rPr>
            </w:pPr>
            <w:r>
              <w:rPr>
                <w:rFonts w:ascii="宋体" w:hAnsi="宋体" w:cs="宋体" w:eastAsia="宋体" w:hint="default"/>
                <w:spacing w:val="6"/>
                <w:sz w:val="18"/>
                <w:szCs w:val="18"/>
              </w:rPr>
              <w:t>苏宁电器集团有限</w:t>
            </w:r>
            <w:r>
              <w:rPr>
                <w:rFonts w:ascii="宋体" w:hAnsi="宋体" w:cs="宋体" w:eastAsia="宋体" w:hint="default"/>
                <w:spacing w:val="7"/>
                <w:sz w:val="18"/>
                <w:szCs w:val="18"/>
              </w:rPr>
              <w:t> </w:t>
            </w:r>
            <w:r>
              <w:rPr>
                <w:rFonts w:ascii="宋体" w:hAnsi="宋体" w:cs="宋体" w:eastAsia="宋体" w:hint="default"/>
                <w:sz w:val="18"/>
                <w:szCs w:val="18"/>
              </w:rPr>
              <w:t>公司</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113"/>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5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Arial" w:hAnsi="Arial" w:cs="Arial" w:eastAsia="Arial" w:hint="default"/>
                <w:sz w:val="18"/>
                <w:szCs w:val="18"/>
              </w:rPr>
            </w:pPr>
            <w:r>
              <w:rPr>
                <w:rFonts w:ascii="Arial"/>
                <w:sz w:val="18"/>
              </w:rPr>
              <w:t>8,354</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483"/>
              <w:jc w:val="right"/>
              <w:rPr>
                <w:rFonts w:ascii="Arial" w:hAnsi="Arial" w:cs="Arial" w:eastAsia="Arial" w:hint="default"/>
                <w:sz w:val="18"/>
                <w:szCs w:val="18"/>
              </w:rPr>
            </w:pPr>
            <w:r>
              <w:rPr>
                <w:rFonts w:ascii="Arial"/>
                <w:spacing w:val="-1"/>
                <w:sz w:val="18"/>
              </w:rPr>
              <w:t>0.0087%</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4"/>
              <w:jc w:val="right"/>
              <w:rPr>
                <w:rFonts w:ascii="Arial" w:hAnsi="Arial" w:cs="Arial" w:eastAsia="Arial" w:hint="default"/>
                <w:sz w:val="18"/>
                <w:szCs w:val="18"/>
              </w:rPr>
            </w:pPr>
            <w:r>
              <w:rPr>
                <w:rFonts w:ascii="Arial"/>
                <w:w w:val="99"/>
                <w:sz w:val="18"/>
              </w:rPr>
              <w:t>-</w:t>
            </w:r>
            <w:r>
              <w:rPr>
                <w:rFonts w:ascii="Arial"/>
                <w:sz w:val="18"/>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273" w:hRule="exact"/>
        </w:trPr>
        <w:tc>
          <w:tcPr>
            <w:tcW w:w="702"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14" w:lineRule="exact"/>
              <w:ind w:left="208" w:right="0"/>
              <w:jc w:val="left"/>
              <w:rPr>
                <w:rFonts w:ascii="宋体" w:hAnsi="宋体" w:cs="宋体" w:eastAsia="宋体" w:hint="default"/>
                <w:sz w:val="18"/>
                <w:szCs w:val="18"/>
              </w:rPr>
            </w:pPr>
            <w:r>
              <w:rPr>
                <w:rFonts w:ascii="宋体" w:hAnsi="宋体" w:cs="宋体" w:eastAsia="宋体" w:hint="default"/>
                <w:sz w:val="18"/>
                <w:szCs w:val="18"/>
              </w:rPr>
              <w:t>钟山高尔夫置业</w:t>
            </w:r>
          </w:p>
        </w:tc>
        <w:tc>
          <w:tcPr>
            <w:tcW w:w="1372" w:type="dxa"/>
            <w:tcBorders>
              <w:top w:val="nil" w:sz="6" w:space="0" w:color="auto"/>
              <w:left w:val="nil" w:sz="6" w:space="0" w:color="auto"/>
              <w:bottom w:val="nil" w:sz="6" w:space="0" w:color="auto"/>
              <w:right w:val="nil" w:sz="6" w:space="0" w:color="auto"/>
            </w:tcBorders>
          </w:tcPr>
          <w:p>
            <w:pPr>
              <w:pStyle w:val="TableParagraph"/>
              <w:spacing w:line="214" w:lineRule="exact"/>
              <w:ind w:right="113"/>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1" w:type="dxa"/>
            <w:tcBorders>
              <w:top w:val="nil" w:sz="6" w:space="0" w:color="auto"/>
              <w:left w:val="nil" w:sz="6" w:space="0" w:color="auto"/>
              <w:bottom w:val="nil" w:sz="6" w:space="0" w:color="auto"/>
              <w:right w:val="nil" w:sz="6" w:space="0" w:color="auto"/>
            </w:tcBorders>
          </w:tcPr>
          <w:p>
            <w:pPr>
              <w:pStyle w:val="TableParagraph"/>
              <w:spacing w:line="214" w:lineRule="exact"/>
              <w:ind w:right="5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8" w:right="0"/>
              <w:jc w:val="left"/>
              <w:rPr>
                <w:rFonts w:ascii="Arial" w:hAnsi="Arial" w:cs="Arial" w:eastAsia="Arial" w:hint="default"/>
                <w:sz w:val="18"/>
                <w:szCs w:val="18"/>
              </w:rPr>
            </w:pPr>
            <w:r>
              <w:rPr>
                <w:rFonts w:ascii="Arial"/>
                <w:sz w:val="18"/>
              </w:rPr>
              <w:t>7,549</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83"/>
              <w:jc w:val="right"/>
              <w:rPr>
                <w:rFonts w:ascii="Arial" w:hAnsi="Arial" w:cs="Arial" w:eastAsia="Arial" w:hint="default"/>
                <w:sz w:val="18"/>
                <w:szCs w:val="18"/>
              </w:rPr>
            </w:pPr>
            <w:r>
              <w:rPr>
                <w:rFonts w:ascii="Arial"/>
                <w:spacing w:val="-1"/>
                <w:sz w:val="18"/>
              </w:rPr>
              <w:t>0.0079%</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4"/>
              <w:jc w:val="right"/>
              <w:rPr>
                <w:rFonts w:ascii="Arial" w:hAnsi="Arial" w:cs="Arial" w:eastAsia="Arial" w:hint="default"/>
                <w:sz w:val="18"/>
                <w:szCs w:val="18"/>
              </w:rPr>
            </w:pPr>
            <w:r>
              <w:rPr>
                <w:rFonts w:ascii="Arial"/>
                <w:w w:val="99"/>
                <w:sz w:val="18"/>
              </w:rPr>
              <w:t>-</w:t>
            </w:r>
            <w:r>
              <w:rPr>
                <w:rFonts w:ascii="Arial"/>
                <w:sz w:val="18"/>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274" w:hRule="exact"/>
        </w:trPr>
        <w:tc>
          <w:tcPr>
            <w:tcW w:w="702"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15" w:lineRule="exact"/>
              <w:ind w:left="208" w:right="0"/>
              <w:jc w:val="left"/>
              <w:rPr>
                <w:rFonts w:ascii="宋体" w:hAnsi="宋体" w:cs="宋体" w:eastAsia="宋体" w:hint="default"/>
                <w:sz w:val="18"/>
                <w:szCs w:val="18"/>
              </w:rPr>
            </w:pPr>
            <w:r>
              <w:rPr>
                <w:rFonts w:ascii="宋体" w:hAnsi="宋体" w:cs="宋体" w:eastAsia="宋体" w:hint="default"/>
                <w:sz w:val="18"/>
                <w:szCs w:val="18"/>
              </w:rPr>
              <w:t>慕诚房地产开发</w:t>
            </w:r>
          </w:p>
        </w:tc>
        <w:tc>
          <w:tcPr>
            <w:tcW w:w="1372" w:type="dxa"/>
            <w:tcBorders>
              <w:top w:val="nil" w:sz="6" w:space="0" w:color="auto"/>
              <w:left w:val="nil" w:sz="6" w:space="0" w:color="auto"/>
              <w:bottom w:val="nil" w:sz="6" w:space="0" w:color="auto"/>
              <w:right w:val="nil" w:sz="6" w:space="0" w:color="auto"/>
            </w:tcBorders>
          </w:tcPr>
          <w:p>
            <w:pPr>
              <w:pStyle w:val="TableParagraph"/>
              <w:spacing w:line="215" w:lineRule="exact"/>
              <w:ind w:right="113"/>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1" w:type="dxa"/>
            <w:tcBorders>
              <w:top w:val="nil" w:sz="6" w:space="0" w:color="auto"/>
              <w:left w:val="nil" w:sz="6" w:space="0" w:color="auto"/>
              <w:bottom w:val="nil" w:sz="6" w:space="0" w:color="auto"/>
              <w:right w:val="nil" w:sz="6" w:space="0" w:color="auto"/>
            </w:tcBorders>
          </w:tcPr>
          <w:p>
            <w:pPr>
              <w:pStyle w:val="TableParagraph"/>
              <w:spacing w:line="215" w:lineRule="exact"/>
              <w:ind w:right="5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78" w:right="0"/>
              <w:jc w:val="left"/>
              <w:rPr>
                <w:rFonts w:ascii="Arial" w:hAnsi="Arial" w:cs="Arial" w:eastAsia="Arial" w:hint="default"/>
                <w:sz w:val="18"/>
                <w:szCs w:val="18"/>
              </w:rPr>
            </w:pPr>
            <w:r>
              <w:rPr>
                <w:rFonts w:ascii="Arial"/>
                <w:sz w:val="18"/>
              </w:rPr>
              <w:t>3,240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83"/>
              <w:jc w:val="right"/>
              <w:rPr>
                <w:rFonts w:ascii="Arial" w:hAnsi="Arial" w:cs="Arial" w:eastAsia="Arial" w:hint="default"/>
                <w:sz w:val="18"/>
                <w:szCs w:val="18"/>
              </w:rPr>
            </w:pPr>
            <w:r>
              <w:rPr>
                <w:rFonts w:ascii="Arial"/>
                <w:spacing w:val="-1"/>
                <w:sz w:val="18"/>
              </w:rPr>
              <w:t>0.0034%</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4"/>
              <w:jc w:val="right"/>
              <w:rPr>
                <w:rFonts w:ascii="Arial" w:hAnsi="Arial" w:cs="Arial" w:eastAsia="Arial" w:hint="default"/>
                <w:sz w:val="18"/>
                <w:szCs w:val="18"/>
              </w:rPr>
            </w:pPr>
            <w:r>
              <w:rPr>
                <w:rFonts w:ascii="Arial"/>
                <w:w w:val="99"/>
                <w:sz w:val="18"/>
              </w:rPr>
              <w:t>-</w:t>
            </w:r>
            <w:r>
              <w:rPr>
                <w:rFonts w:ascii="Arial"/>
                <w:sz w:val="18"/>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274" w:hRule="exact"/>
        </w:trPr>
        <w:tc>
          <w:tcPr>
            <w:tcW w:w="702"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15" w:lineRule="exact"/>
              <w:ind w:left="208" w:right="0"/>
              <w:jc w:val="left"/>
              <w:rPr>
                <w:rFonts w:ascii="宋体" w:hAnsi="宋体" w:cs="宋体" w:eastAsia="宋体" w:hint="default"/>
                <w:sz w:val="18"/>
                <w:szCs w:val="18"/>
              </w:rPr>
            </w:pPr>
            <w:r>
              <w:rPr>
                <w:rFonts w:ascii="宋体" w:hAnsi="宋体" w:cs="宋体" w:eastAsia="宋体" w:hint="default"/>
                <w:sz w:val="18"/>
                <w:szCs w:val="18"/>
              </w:rPr>
              <w:t>华商会所</w:t>
            </w:r>
          </w:p>
        </w:tc>
        <w:tc>
          <w:tcPr>
            <w:tcW w:w="1372" w:type="dxa"/>
            <w:tcBorders>
              <w:top w:val="nil" w:sz="6" w:space="0" w:color="auto"/>
              <w:left w:val="nil" w:sz="6" w:space="0" w:color="auto"/>
              <w:bottom w:val="nil" w:sz="6" w:space="0" w:color="auto"/>
              <w:right w:val="nil" w:sz="6" w:space="0" w:color="auto"/>
            </w:tcBorders>
          </w:tcPr>
          <w:p>
            <w:pPr>
              <w:pStyle w:val="TableParagraph"/>
              <w:spacing w:line="215" w:lineRule="exact"/>
              <w:ind w:right="113"/>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1" w:type="dxa"/>
            <w:tcBorders>
              <w:top w:val="nil" w:sz="6" w:space="0" w:color="auto"/>
              <w:left w:val="nil" w:sz="6" w:space="0" w:color="auto"/>
              <w:bottom w:val="nil" w:sz="6" w:space="0" w:color="auto"/>
              <w:right w:val="nil" w:sz="6" w:space="0" w:color="auto"/>
            </w:tcBorders>
          </w:tcPr>
          <w:p>
            <w:pPr>
              <w:pStyle w:val="TableParagraph"/>
              <w:spacing w:line="215" w:lineRule="exact"/>
              <w:ind w:right="5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78" w:right="0"/>
              <w:jc w:val="left"/>
              <w:rPr>
                <w:rFonts w:ascii="Arial" w:hAnsi="Arial" w:cs="Arial" w:eastAsia="Arial" w:hint="default"/>
                <w:sz w:val="18"/>
                <w:szCs w:val="18"/>
              </w:rPr>
            </w:pPr>
            <w:r>
              <w:rPr>
                <w:rFonts w:ascii="Arial"/>
                <w:sz w:val="18"/>
              </w:rPr>
              <w:t>2,759</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83"/>
              <w:jc w:val="right"/>
              <w:rPr>
                <w:rFonts w:ascii="Arial" w:hAnsi="Arial" w:cs="Arial" w:eastAsia="Arial" w:hint="default"/>
                <w:sz w:val="18"/>
                <w:szCs w:val="18"/>
              </w:rPr>
            </w:pPr>
            <w:r>
              <w:rPr>
                <w:rFonts w:ascii="Arial"/>
                <w:spacing w:val="-1"/>
                <w:sz w:val="18"/>
              </w:rPr>
              <w:t>0.0029%</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4"/>
              <w:jc w:val="right"/>
              <w:rPr>
                <w:rFonts w:ascii="Arial" w:hAnsi="Arial" w:cs="Arial" w:eastAsia="Arial" w:hint="default"/>
                <w:sz w:val="18"/>
                <w:szCs w:val="18"/>
              </w:rPr>
            </w:pPr>
            <w:r>
              <w:rPr>
                <w:rFonts w:ascii="Arial"/>
                <w:w w:val="99"/>
                <w:sz w:val="18"/>
              </w:rPr>
              <w:t>-</w:t>
            </w:r>
            <w:r>
              <w:rPr>
                <w:rFonts w:ascii="Arial"/>
                <w:sz w:val="18"/>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274" w:hRule="exact"/>
        </w:trPr>
        <w:tc>
          <w:tcPr>
            <w:tcW w:w="702"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15" w:lineRule="exact"/>
              <w:ind w:left="208" w:right="0"/>
              <w:jc w:val="left"/>
              <w:rPr>
                <w:rFonts w:ascii="宋体" w:hAnsi="宋体" w:cs="宋体" w:eastAsia="宋体" w:hint="default"/>
                <w:sz w:val="18"/>
                <w:szCs w:val="18"/>
              </w:rPr>
            </w:pPr>
            <w:r>
              <w:rPr>
                <w:rFonts w:ascii="宋体" w:hAnsi="宋体" w:cs="宋体" w:eastAsia="宋体" w:hint="default"/>
                <w:sz w:val="18"/>
                <w:szCs w:val="18"/>
              </w:rPr>
              <w:t>沃德置业</w:t>
            </w:r>
          </w:p>
        </w:tc>
        <w:tc>
          <w:tcPr>
            <w:tcW w:w="1372" w:type="dxa"/>
            <w:tcBorders>
              <w:top w:val="nil" w:sz="6" w:space="0" w:color="auto"/>
              <w:left w:val="nil" w:sz="6" w:space="0" w:color="auto"/>
              <w:bottom w:val="nil" w:sz="6" w:space="0" w:color="auto"/>
              <w:right w:val="nil" w:sz="6" w:space="0" w:color="auto"/>
            </w:tcBorders>
          </w:tcPr>
          <w:p>
            <w:pPr>
              <w:pStyle w:val="TableParagraph"/>
              <w:spacing w:line="215" w:lineRule="exact"/>
              <w:ind w:right="113"/>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1" w:type="dxa"/>
            <w:tcBorders>
              <w:top w:val="nil" w:sz="6" w:space="0" w:color="auto"/>
              <w:left w:val="nil" w:sz="6" w:space="0" w:color="auto"/>
              <w:bottom w:val="nil" w:sz="6" w:space="0" w:color="auto"/>
              <w:right w:val="nil" w:sz="6" w:space="0" w:color="auto"/>
            </w:tcBorders>
          </w:tcPr>
          <w:p>
            <w:pPr>
              <w:pStyle w:val="TableParagraph"/>
              <w:spacing w:line="215" w:lineRule="exact"/>
              <w:ind w:right="5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29" w:right="0"/>
              <w:jc w:val="left"/>
              <w:rPr>
                <w:rFonts w:ascii="Arial" w:hAnsi="Arial" w:cs="Arial" w:eastAsia="Arial" w:hint="default"/>
                <w:sz w:val="18"/>
                <w:szCs w:val="18"/>
              </w:rPr>
            </w:pPr>
            <w:r>
              <w:rPr>
                <w:rFonts w:ascii="Arial"/>
                <w:sz w:val="18"/>
              </w:rPr>
              <w:t>714</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83"/>
              <w:jc w:val="right"/>
              <w:rPr>
                <w:rFonts w:ascii="Arial" w:hAnsi="Arial" w:cs="Arial" w:eastAsia="Arial" w:hint="default"/>
                <w:sz w:val="18"/>
                <w:szCs w:val="18"/>
              </w:rPr>
            </w:pPr>
            <w:r>
              <w:rPr>
                <w:rFonts w:ascii="Arial"/>
                <w:spacing w:val="-1"/>
                <w:sz w:val="18"/>
              </w:rPr>
              <w:t>0.0007%</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4"/>
              <w:jc w:val="right"/>
              <w:rPr>
                <w:rFonts w:ascii="Arial" w:hAnsi="Arial" w:cs="Arial" w:eastAsia="Arial" w:hint="default"/>
                <w:sz w:val="18"/>
                <w:szCs w:val="18"/>
              </w:rPr>
            </w:pPr>
            <w:r>
              <w:rPr>
                <w:rFonts w:ascii="Arial"/>
                <w:w w:val="99"/>
                <w:sz w:val="18"/>
              </w:rPr>
              <w:t>-</w:t>
            </w:r>
            <w:r>
              <w:rPr>
                <w:rFonts w:ascii="Arial"/>
                <w:sz w:val="18"/>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274" w:hRule="exact"/>
        </w:trPr>
        <w:tc>
          <w:tcPr>
            <w:tcW w:w="702"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15" w:lineRule="exact"/>
              <w:ind w:left="208" w:right="0"/>
              <w:jc w:val="left"/>
              <w:rPr>
                <w:rFonts w:ascii="宋体" w:hAnsi="宋体" w:cs="宋体" w:eastAsia="宋体" w:hint="default"/>
                <w:sz w:val="18"/>
                <w:szCs w:val="18"/>
              </w:rPr>
            </w:pPr>
            <w:r>
              <w:rPr>
                <w:rFonts w:ascii="宋体" w:hAnsi="宋体" w:cs="宋体" w:eastAsia="宋体" w:hint="default"/>
                <w:sz w:val="18"/>
                <w:szCs w:val="18"/>
              </w:rPr>
              <w:t>玄武苏宁置业</w:t>
            </w:r>
          </w:p>
        </w:tc>
        <w:tc>
          <w:tcPr>
            <w:tcW w:w="1372" w:type="dxa"/>
            <w:tcBorders>
              <w:top w:val="nil" w:sz="6" w:space="0" w:color="auto"/>
              <w:left w:val="nil" w:sz="6" w:space="0" w:color="auto"/>
              <w:bottom w:val="nil" w:sz="6" w:space="0" w:color="auto"/>
              <w:right w:val="nil" w:sz="6" w:space="0" w:color="auto"/>
            </w:tcBorders>
          </w:tcPr>
          <w:p>
            <w:pPr>
              <w:pStyle w:val="TableParagraph"/>
              <w:spacing w:line="215" w:lineRule="exact"/>
              <w:ind w:right="113"/>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1" w:type="dxa"/>
            <w:tcBorders>
              <w:top w:val="nil" w:sz="6" w:space="0" w:color="auto"/>
              <w:left w:val="nil" w:sz="6" w:space="0" w:color="auto"/>
              <w:bottom w:val="nil" w:sz="6" w:space="0" w:color="auto"/>
              <w:right w:val="nil" w:sz="6" w:space="0" w:color="auto"/>
            </w:tcBorders>
          </w:tcPr>
          <w:p>
            <w:pPr>
              <w:pStyle w:val="TableParagraph"/>
              <w:spacing w:line="215" w:lineRule="exact"/>
              <w:ind w:right="5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29" w:right="0"/>
              <w:jc w:val="left"/>
              <w:rPr>
                <w:rFonts w:ascii="Arial" w:hAnsi="Arial" w:cs="Arial" w:eastAsia="Arial" w:hint="default"/>
                <w:sz w:val="18"/>
                <w:szCs w:val="18"/>
              </w:rPr>
            </w:pPr>
            <w:r>
              <w:rPr>
                <w:rFonts w:ascii="Arial"/>
                <w:sz w:val="18"/>
              </w:rPr>
              <w:t>703</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83"/>
              <w:jc w:val="right"/>
              <w:rPr>
                <w:rFonts w:ascii="Arial" w:hAnsi="Arial" w:cs="Arial" w:eastAsia="Arial" w:hint="default"/>
                <w:sz w:val="18"/>
                <w:szCs w:val="18"/>
              </w:rPr>
            </w:pPr>
            <w:r>
              <w:rPr>
                <w:rFonts w:ascii="Arial"/>
                <w:spacing w:val="-1"/>
                <w:sz w:val="18"/>
              </w:rPr>
              <w:t>0.0007%</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4"/>
              <w:jc w:val="right"/>
              <w:rPr>
                <w:rFonts w:ascii="Arial" w:hAnsi="Arial" w:cs="Arial" w:eastAsia="Arial" w:hint="default"/>
                <w:sz w:val="18"/>
                <w:szCs w:val="18"/>
              </w:rPr>
            </w:pPr>
            <w:r>
              <w:rPr>
                <w:rFonts w:ascii="Arial"/>
                <w:w w:val="99"/>
                <w:sz w:val="18"/>
              </w:rPr>
              <w:t>-</w:t>
            </w:r>
            <w:r>
              <w:rPr>
                <w:rFonts w:ascii="Arial"/>
                <w:sz w:val="18"/>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275" w:hRule="exact"/>
        </w:trPr>
        <w:tc>
          <w:tcPr>
            <w:tcW w:w="702"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15" w:lineRule="exact"/>
              <w:ind w:left="208" w:right="0"/>
              <w:jc w:val="left"/>
              <w:rPr>
                <w:rFonts w:ascii="宋体" w:hAnsi="宋体" w:cs="宋体" w:eastAsia="宋体" w:hint="default"/>
                <w:sz w:val="18"/>
                <w:szCs w:val="18"/>
              </w:rPr>
            </w:pPr>
            <w:r>
              <w:rPr>
                <w:rFonts w:ascii="宋体" w:hAnsi="宋体" w:cs="宋体" w:eastAsia="宋体" w:hint="default"/>
                <w:sz w:val="18"/>
                <w:szCs w:val="18"/>
              </w:rPr>
              <w:t>江苏苏宁建材</w:t>
            </w:r>
          </w:p>
        </w:tc>
        <w:tc>
          <w:tcPr>
            <w:tcW w:w="1372" w:type="dxa"/>
            <w:tcBorders>
              <w:top w:val="nil" w:sz="6" w:space="0" w:color="auto"/>
              <w:left w:val="nil" w:sz="6" w:space="0" w:color="auto"/>
              <w:bottom w:val="nil" w:sz="6" w:space="0" w:color="auto"/>
              <w:right w:val="nil" w:sz="6" w:space="0" w:color="auto"/>
            </w:tcBorders>
          </w:tcPr>
          <w:p>
            <w:pPr>
              <w:pStyle w:val="TableParagraph"/>
              <w:spacing w:line="215" w:lineRule="exact"/>
              <w:ind w:right="113"/>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1" w:type="dxa"/>
            <w:tcBorders>
              <w:top w:val="nil" w:sz="6" w:space="0" w:color="auto"/>
              <w:left w:val="nil" w:sz="6" w:space="0" w:color="auto"/>
              <w:bottom w:val="nil" w:sz="6" w:space="0" w:color="auto"/>
              <w:right w:val="nil" w:sz="6" w:space="0" w:color="auto"/>
            </w:tcBorders>
          </w:tcPr>
          <w:p>
            <w:pPr>
              <w:pStyle w:val="TableParagraph"/>
              <w:spacing w:line="215" w:lineRule="exact"/>
              <w:ind w:right="5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29" w:right="0"/>
              <w:jc w:val="left"/>
              <w:rPr>
                <w:rFonts w:ascii="Arial" w:hAnsi="Arial" w:cs="Arial" w:eastAsia="Arial" w:hint="default"/>
                <w:sz w:val="18"/>
                <w:szCs w:val="18"/>
              </w:rPr>
            </w:pPr>
            <w:r>
              <w:rPr>
                <w:rFonts w:ascii="Arial"/>
                <w:sz w:val="18"/>
              </w:rPr>
              <w:t>130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83"/>
              <w:jc w:val="right"/>
              <w:rPr>
                <w:rFonts w:ascii="Arial" w:hAnsi="Arial" w:cs="Arial" w:eastAsia="Arial" w:hint="default"/>
                <w:sz w:val="18"/>
                <w:szCs w:val="18"/>
              </w:rPr>
            </w:pPr>
            <w:r>
              <w:rPr>
                <w:rFonts w:ascii="Arial"/>
                <w:spacing w:val="-1"/>
                <w:sz w:val="18"/>
              </w:rPr>
              <w:t>0.0001%</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4"/>
              <w:jc w:val="right"/>
              <w:rPr>
                <w:rFonts w:ascii="Arial" w:hAnsi="Arial" w:cs="Arial" w:eastAsia="Arial" w:hint="default"/>
                <w:sz w:val="18"/>
                <w:szCs w:val="18"/>
              </w:rPr>
            </w:pPr>
            <w:r>
              <w:rPr>
                <w:rFonts w:ascii="Arial"/>
                <w:w w:val="99"/>
                <w:sz w:val="18"/>
              </w:rPr>
              <w:t>-</w:t>
            </w:r>
            <w:r>
              <w:rPr>
                <w:rFonts w:ascii="Arial"/>
                <w:sz w:val="18"/>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505" w:hRule="exact"/>
        </w:trPr>
        <w:tc>
          <w:tcPr>
            <w:tcW w:w="702"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30" w:lineRule="exact" w:before="7"/>
              <w:ind w:left="381" w:right="183" w:hanging="173"/>
              <w:jc w:val="left"/>
              <w:rPr>
                <w:rFonts w:ascii="宋体" w:hAnsi="宋体" w:cs="宋体" w:eastAsia="宋体" w:hint="default"/>
                <w:sz w:val="18"/>
                <w:szCs w:val="18"/>
              </w:rPr>
            </w:pPr>
            <w:r>
              <w:rPr>
                <w:rFonts w:ascii="宋体" w:hAnsi="宋体" w:cs="宋体" w:eastAsia="宋体" w:hint="default"/>
                <w:spacing w:val="5"/>
                <w:sz w:val="18"/>
                <w:szCs w:val="18"/>
              </w:rPr>
              <w:t>石家庄苏宁房地产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31"/>
              <w:jc w:val="right"/>
              <w:rPr>
                <w:rFonts w:ascii="Arial" w:hAnsi="Arial" w:cs="Arial" w:eastAsia="Arial" w:hint="default"/>
                <w:sz w:val="18"/>
                <w:szCs w:val="18"/>
              </w:rPr>
            </w:pPr>
            <w:r>
              <w:rPr>
                <w:rFonts w:ascii="Arial"/>
                <w:w w:val="95"/>
                <w:sz w:val="18"/>
              </w:rPr>
              <w:t>49</w:t>
            </w:r>
            <w:r>
              <w:rPr>
                <w:rFonts w:ascii="Arial"/>
                <w:sz w:val="18"/>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483"/>
              <w:jc w:val="right"/>
              <w:rPr>
                <w:rFonts w:ascii="Arial" w:hAnsi="Arial" w:cs="Arial" w:eastAsia="Arial" w:hint="default"/>
                <w:sz w:val="18"/>
                <w:szCs w:val="18"/>
              </w:rPr>
            </w:pPr>
            <w:r>
              <w:rPr>
                <w:rFonts w:ascii="Arial"/>
                <w:spacing w:val="-1"/>
                <w:sz w:val="18"/>
              </w:rPr>
              <w:t>0.0001%</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84"/>
              <w:jc w:val="right"/>
              <w:rPr>
                <w:rFonts w:ascii="Arial" w:hAnsi="Arial" w:cs="Arial" w:eastAsia="Arial" w:hint="default"/>
                <w:sz w:val="18"/>
                <w:szCs w:val="18"/>
              </w:rPr>
            </w:pPr>
            <w:r>
              <w:rPr>
                <w:rFonts w:ascii="Arial"/>
                <w:w w:val="99"/>
                <w:sz w:val="18"/>
              </w:rPr>
              <w:t>-</w:t>
            </w:r>
            <w:r>
              <w:rPr>
                <w:rFonts w:ascii="Arial"/>
                <w:sz w:val="18"/>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274" w:hRule="exact"/>
        </w:trPr>
        <w:tc>
          <w:tcPr>
            <w:tcW w:w="702"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15" w:lineRule="exact"/>
              <w:ind w:left="208"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1372" w:type="dxa"/>
            <w:tcBorders>
              <w:top w:val="nil" w:sz="6" w:space="0" w:color="auto"/>
              <w:left w:val="nil" w:sz="6" w:space="0" w:color="auto"/>
              <w:bottom w:val="nil" w:sz="6" w:space="0" w:color="auto"/>
              <w:right w:val="nil" w:sz="6" w:space="0" w:color="auto"/>
            </w:tcBorders>
          </w:tcPr>
          <w:p>
            <w:pPr>
              <w:pStyle w:val="TableParagraph"/>
              <w:spacing w:line="215" w:lineRule="exact"/>
              <w:ind w:right="113"/>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1" w:type="dxa"/>
            <w:tcBorders>
              <w:top w:val="nil" w:sz="6" w:space="0" w:color="auto"/>
              <w:left w:val="nil" w:sz="6" w:space="0" w:color="auto"/>
              <w:bottom w:val="nil" w:sz="6" w:space="0" w:color="auto"/>
              <w:right w:val="nil" w:sz="6" w:space="0" w:color="auto"/>
            </w:tcBorders>
          </w:tcPr>
          <w:p>
            <w:pPr>
              <w:pStyle w:val="TableParagraph"/>
              <w:spacing w:line="215" w:lineRule="exact"/>
              <w:ind w:right="5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1"/>
              <w:jc w:val="right"/>
              <w:rPr>
                <w:rFonts w:ascii="Arial" w:hAnsi="Arial" w:cs="Arial" w:eastAsia="Arial" w:hint="default"/>
                <w:sz w:val="18"/>
                <w:szCs w:val="18"/>
              </w:rPr>
            </w:pPr>
            <w:r>
              <w:rPr>
                <w:rFonts w:ascii="Arial"/>
                <w:w w:val="95"/>
                <w:sz w:val="18"/>
              </w:rPr>
              <w:t>43</w:t>
            </w:r>
            <w:r>
              <w:rPr>
                <w:rFonts w:ascii="Arial"/>
                <w:sz w:val="18"/>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83"/>
              <w:jc w:val="right"/>
              <w:rPr>
                <w:rFonts w:ascii="Arial" w:hAnsi="Arial" w:cs="Arial" w:eastAsia="Arial" w:hint="default"/>
                <w:sz w:val="18"/>
                <w:szCs w:val="18"/>
              </w:rPr>
            </w:pPr>
            <w:r>
              <w:rPr>
                <w:rFonts w:ascii="Arial"/>
                <w:spacing w:val="-1"/>
                <w:sz w:val="18"/>
              </w:rPr>
              <w:t>0.0000%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4"/>
              <w:jc w:val="right"/>
              <w:rPr>
                <w:rFonts w:ascii="Arial" w:hAnsi="Arial" w:cs="Arial" w:eastAsia="Arial" w:hint="default"/>
                <w:sz w:val="18"/>
                <w:szCs w:val="18"/>
              </w:rPr>
            </w:pPr>
            <w:r>
              <w:rPr>
                <w:rFonts w:ascii="Arial"/>
                <w:w w:val="99"/>
                <w:sz w:val="18"/>
              </w:rPr>
              <w:t>-</w:t>
            </w:r>
            <w:r>
              <w:rPr>
                <w:rFonts w:ascii="Arial"/>
                <w:sz w:val="18"/>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291" w:hRule="exact"/>
        </w:trPr>
        <w:tc>
          <w:tcPr>
            <w:tcW w:w="702"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15" w:lineRule="exact"/>
              <w:ind w:left="208" w:right="0"/>
              <w:jc w:val="left"/>
              <w:rPr>
                <w:rFonts w:ascii="宋体" w:hAnsi="宋体" w:cs="宋体" w:eastAsia="宋体" w:hint="default"/>
                <w:sz w:val="18"/>
                <w:szCs w:val="18"/>
              </w:rPr>
            </w:pPr>
            <w:r>
              <w:rPr>
                <w:rFonts w:ascii="宋体" w:hAnsi="宋体" w:cs="宋体" w:eastAsia="宋体" w:hint="default"/>
                <w:sz w:val="18"/>
                <w:szCs w:val="18"/>
              </w:rPr>
              <w:t>青岛苏宁置业</w:t>
            </w:r>
          </w:p>
        </w:tc>
        <w:tc>
          <w:tcPr>
            <w:tcW w:w="1372" w:type="dxa"/>
            <w:tcBorders>
              <w:top w:val="nil" w:sz="6" w:space="0" w:color="auto"/>
              <w:left w:val="nil" w:sz="6" w:space="0" w:color="auto"/>
              <w:bottom w:val="nil" w:sz="6" w:space="0" w:color="auto"/>
              <w:right w:val="nil" w:sz="6" w:space="0" w:color="auto"/>
            </w:tcBorders>
          </w:tcPr>
          <w:p>
            <w:pPr>
              <w:pStyle w:val="TableParagraph"/>
              <w:spacing w:line="215" w:lineRule="exact"/>
              <w:ind w:right="113"/>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1" w:type="dxa"/>
            <w:tcBorders>
              <w:top w:val="nil" w:sz="6" w:space="0" w:color="auto"/>
              <w:left w:val="nil" w:sz="6" w:space="0" w:color="auto"/>
              <w:bottom w:val="nil" w:sz="6" w:space="0" w:color="auto"/>
              <w:right w:val="nil" w:sz="6" w:space="0" w:color="auto"/>
            </w:tcBorders>
          </w:tcPr>
          <w:p>
            <w:pPr>
              <w:pStyle w:val="TableParagraph"/>
              <w:spacing w:line="215" w:lineRule="exact"/>
              <w:ind w:right="5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86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31"/>
              <w:jc w:val="right"/>
              <w:rPr>
                <w:rFonts w:ascii="Arial" w:hAnsi="Arial" w:cs="Arial" w:eastAsia="Arial" w:hint="default"/>
                <w:sz w:val="18"/>
                <w:szCs w:val="18"/>
              </w:rPr>
            </w:pPr>
            <w:r>
              <w:rPr>
                <w:rFonts w:ascii="Arial"/>
                <w:w w:val="95"/>
                <w:sz w:val="18"/>
              </w:rPr>
              <w:t>29</w:t>
            </w:r>
            <w:r>
              <w:rPr>
                <w:rFonts w:ascii="Arial"/>
                <w:sz w:val="18"/>
              </w:rPr>
            </w:r>
          </w:p>
        </w:tc>
        <w:tc>
          <w:tcPr>
            <w:tcW w:w="146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483"/>
              <w:jc w:val="right"/>
              <w:rPr>
                <w:rFonts w:ascii="Arial" w:hAnsi="Arial" w:cs="Arial" w:eastAsia="Arial" w:hint="default"/>
                <w:sz w:val="18"/>
                <w:szCs w:val="18"/>
              </w:rPr>
            </w:pPr>
            <w:r>
              <w:rPr>
                <w:rFonts w:ascii="Arial"/>
                <w:spacing w:val="-1"/>
                <w:sz w:val="18"/>
              </w:rPr>
              <w:t>0.0000%</w:t>
            </w:r>
          </w:p>
        </w:tc>
        <w:tc>
          <w:tcPr>
            <w:tcW w:w="65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84"/>
              <w:jc w:val="right"/>
              <w:rPr>
                <w:rFonts w:ascii="Arial" w:hAnsi="Arial" w:cs="Arial" w:eastAsia="Arial" w:hint="default"/>
                <w:sz w:val="18"/>
                <w:szCs w:val="18"/>
              </w:rPr>
            </w:pPr>
            <w:r>
              <w:rPr>
                <w:rFonts w:ascii="Arial"/>
                <w:w w:val="99"/>
                <w:sz w:val="18"/>
              </w:rPr>
              <w:t>-</w:t>
            </w:r>
            <w:r>
              <w:rPr>
                <w:rFonts w:ascii="Arial"/>
                <w:sz w:val="18"/>
              </w:rPr>
            </w:r>
          </w:p>
        </w:tc>
        <w:tc>
          <w:tcPr>
            <w:tcW w:w="105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269" w:hRule="exact"/>
        </w:trPr>
        <w:tc>
          <w:tcPr>
            <w:tcW w:w="702"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
        </w:tc>
        <w:tc>
          <w:tcPr>
            <w:tcW w:w="865" w:type="dxa"/>
            <w:tcBorders>
              <w:top w:val="single" w:sz="4" w:space="0" w:color="000000"/>
              <w:left w:val="nil" w:sz="6" w:space="0" w:color="auto"/>
              <w:bottom w:val="single" w:sz="12" w:space="0" w:color="000000"/>
              <w:right w:val="nil" w:sz="6" w:space="0" w:color="auto"/>
            </w:tcBorders>
          </w:tcPr>
          <w:p>
            <w:pPr>
              <w:pStyle w:val="TableParagraph"/>
              <w:spacing w:line="204" w:lineRule="exact"/>
              <w:ind w:left="180" w:right="0"/>
              <w:jc w:val="left"/>
              <w:rPr>
                <w:rFonts w:ascii="Arial" w:hAnsi="Arial" w:cs="Arial" w:eastAsia="Arial" w:hint="default"/>
                <w:sz w:val="18"/>
                <w:szCs w:val="18"/>
              </w:rPr>
            </w:pPr>
            <w:r>
              <w:rPr>
                <w:rFonts w:ascii="Arial"/>
                <w:sz w:val="18"/>
              </w:rPr>
              <w:t>23,570</w:t>
            </w:r>
          </w:p>
        </w:tc>
        <w:tc>
          <w:tcPr>
            <w:tcW w:w="1460" w:type="dxa"/>
            <w:tcBorders>
              <w:top w:val="single" w:sz="4" w:space="0" w:color="000000"/>
              <w:left w:val="nil" w:sz="6" w:space="0" w:color="auto"/>
              <w:bottom w:val="single" w:sz="12" w:space="0" w:color="000000"/>
              <w:right w:val="nil" w:sz="6" w:space="0" w:color="auto"/>
            </w:tcBorders>
          </w:tcPr>
          <w:p>
            <w:pPr>
              <w:pStyle w:val="TableParagraph"/>
              <w:spacing w:line="204" w:lineRule="exact"/>
              <w:ind w:right="483"/>
              <w:jc w:val="right"/>
              <w:rPr>
                <w:rFonts w:ascii="Arial" w:hAnsi="Arial" w:cs="Arial" w:eastAsia="Arial" w:hint="default"/>
                <w:sz w:val="18"/>
                <w:szCs w:val="18"/>
              </w:rPr>
            </w:pPr>
            <w:r>
              <w:rPr>
                <w:rFonts w:ascii="Arial"/>
                <w:spacing w:val="-1"/>
                <w:sz w:val="18"/>
              </w:rPr>
              <w:t>0.0245%</w:t>
            </w:r>
          </w:p>
        </w:tc>
        <w:tc>
          <w:tcPr>
            <w:tcW w:w="651" w:type="dxa"/>
            <w:tcBorders>
              <w:top w:val="single" w:sz="4" w:space="0" w:color="000000"/>
              <w:left w:val="nil" w:sz="6" w:space="0" w:color="auto"/>
              <w:bottom w:val="single" w:sz="12" w:space="0" w:color="000000"/>
              <w:right w:val="nil" w:sz="6" w:space="0" w:color="auto"/>
            </w:tcBorders>
          </w:tcPr>
          <w:p>
            <w:pPr>
              <w:pStyle w:val="TableParagraph"/>
              <w:spacing w:line="204" w:lineRule="exact"/>
              <w:ind w:right="184"/>
              <w:jc w:val="right"/>
              <w:rPr>
                <w:rFonts w:ascii="Arial" w:hAnsi="Arial" w:cs="Arial" w:eastAsia="Arial" w:hint="default"/>
                <w:sz w:val="18"/>
                <w:szCs w:val="18"/>
              </w:rPr>
            </w:pPr>
            <w:r>
              <w:rPr>
                <w:rFonts w:ascii="Arial"/>
                <w:w w:val="99"/>
                <w:sz w:val="18"/>
              </w:rPr>
              <w:t>-</w:t>
            </w:r>
            <w:r>
              <w:rPr>
                <w:rFonts w:ascii="Arial"/>
                <w:sz w:val="18"/>
              </w:rPr>
            </w:r>
          </w:p>
        </w:tc>
        <w:tc>
          <w:tcPr>
            <w:tcW w:w="1055" w:type="dxa"/>
            <w:tcBorders>
              <w:top w:val="single" w:sz="4" w:space="0" w:color="000000"/>
              <w:left w:val="nil" w:sz="6" w:space="0" w:color="auto"/>
              <w:bottom w:val="single" w:sz="12" w:space="0" w:color="000000"/>
              <w:right w:val="nil" w:sz="6" w:space="0" w:color="auto"/>
            </w:tcBorders>
          </w:tcPr>
          <w:p>
            <w:pPr>
              <w:pStyle w:val="TableParagraph"/>
              <w:spacing w:line="204" w:lineRule="exact"/>
              <w:ind w:right="55"/>
              <w:jc w:val="right"/>
              <w:rPr>
                <w:rFonts w:ascii="Arial" w:hAnsi="Arial" w:cs="Arial" w:eastAsia="Arial" w:hint="default"/>
                <w:sz w:val="18"/>
                <w:szCs w:val="18"/>
              </w:rPr>
            </w:pPr>
            <w:r>
              <w:rPr>
                <w:rFonts w:ascii="Arial"/>
                <w:w w:val="99"/>
                <w:sz w:val="18"/>
              </w:rPr>
              <w:t>-</w:t>
            </w:r>
            <w:r>
              <w:rPr>
                <w:rFonts w:ascii="Arial"/>
                <w:sz w:val="18"/>
              </w:rPr>
            </w:r>
          </w:p>
        </w:tc>
      </w:tr>
    </w:tbl>
    <w:p>
      <w:pPr>
        <w:spacing w:after="0" w:line="204" w:lineRule="exact"/>
        <w:jc w:val="right"/>
        <w:rPr>
          <w:rFonts w:ascii="Arial" w:hAnsi="Arial" w:cs="Arial" w:eastAsia="Arial" w:hint="default"/>
          <w:sz w:val="18"/>
          <w:szCs w:val="18"/>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02"/>
        <w:gridCol w:w="1852"/>
        <w:gridCol w:w="1398"/>
        <w:gridCol w:w="1061"/>
        <w:gridCol w:w="865"/>
        <w:gridCol w:w="1031"/>
        <w:gridCol w:w="125"/>
        <w:gridCol w:w="955"/>
        <w:gridCol w:w="1055"/>
      </w:tblGrid>
      <w:tr>
        <w:trPr>
          <w:trHeight w:val="495"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exact"/>
              <w:ind w:right="59"/>
              <w:jc w:val="center"/>
              <w:rPr>
                <w:rFonts w:ascii="黑体" w:hAnsi="黑体" w:cs="黑体" w:eastAsia="黑体" w:hint="default"/>
                <w:sz w:val="24"/>
                <w:szCs w:val="24"/>
              </w:rPr>
            </w:pPr>
            <w:r>
              <w:rPr>
                <w:rFonts w:ascii="黑体" w:hAnsi="黑体" w:cs="黑体" w:eastAsia="黑体" w:hint="default"/>
                <w:sz w:val="24"/>
                <w:szCs w:val="24"/>
              </w:rPr>
              <w:t>六</w:t>
            </w:r>
          </w:p>
        </w:tc>
        <w:tc>
          <w:tcPr>
            <w:tcW w:w="3250"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208"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61"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746"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6"/>
              <w:jc w:val="center"/>
              <w:rPr>
                <w:rFonts w:ascii="Arial" w:hAnsi="Arial" w:cs="Arial" w:eastAsia="Arial" w:hint="default"/>
                <w:sz w:val="24"/>
                <w:szCs w:val="24"/>
              </w:rPr>
            </w:pPr>
            <w:r>
              <w:rPr>
                <w:rFonts w:ascii="Arial"/>
                <w:sz w:val="24"/>
              </w:rPr>
              <w:t>(5)</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8"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98"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756"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6"/>
              <w:jc w:val="center"/>
              <w:rPr>
                <w:rFonts w:ascii="Arial" w:hAnsi="Arial" w:cs="Arial" w:eastAsia="Arial" w:hint="default"/>
                <w:sz w:val="24"/>
                <w:szCs w:val="24"/>
              </w:rPr>
            </w:pPr>
            <w:r>
              <w:rPr>
                <w:rFonts w:ascii="Arial"/>
                <w:sz w:val="24"/>
              </w:rPr>
              <w:t>(a)</w:t>
            </w:r>
          </w:p>
        </w:tc>
        <w:tc>
          <w:tcPr>
            <w:tcW w:w="32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208" w:right="0"/>
              <w:jc w:val="left"/>
              <w:rPr>
                <w:rFonts w:ascii="Arial" w:hAnsi="Arial" w:cs="Arial" w:eastAsia="Arial" w:hint="default"/>
                <w:sz w:val="24"/>
                <w:szCs w:val="24"/>
              </w:rPr>
            </w:pPr>
            <w:r>
              <w:rPr>
                <w:rFonts w:ascii="宋体" w:hAnsi="宋体" w:cs="宋体" w:eastAsia="宋体" w:hint="default"/>
                <w:sz w:val="24"/>
                <w:szCs w:val="24"/>
              </w:rPr>
              <w:t>销售商品和提供劳务</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061"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754"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34"/>
              <w:jc w:val="center"/>
              <w:rPr>
                <w:rFonts w:ascii="Arial" w:hAnsi="Arial" w:cs="Arial" w:eastAsia="Arial" w:hint="default"/>
                <w:sz w:val="24"/>
                <w:szCs w:val="24"/>
              </w:rPr>
            </w:pPr>
            <w:r>
              <w:rPr>
                <w:rFonts w:ascii="Arial"/>
                <w:sz w:val="24"/>
              </w:rPr>
              <w:t>(ii)</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08" w:right="0"/>
              <w:jc w:val="left"/>
              <w:rPr>
                <w:rFonts w:ascii="宋体" w:hAnsi="宋体" w:cs="宋体" w:eastAsia="宋体" w:hint="default"/>
                <w:sz w:val="24"/>
                <w:szCs w:val="24"/>
              </w:rPr>
            </w:pPr>
            <w:r>
              <w:rPr>
                <w:rFonts w:ascii="宋体" w:hAnsi="宋体" w:cs="宋体" w:eastAsia="宋体" w:hint="default"/>
                <w:sz w:val="24"/>
                <w:szCs w:val="24"/>
              </w:rPr>
              <w:t>提供劳务</w:t>
            </w:r>
          </w:p>
        </w:tc>
        <w:tc>
          <w:tcPr>
            <w:tcW w:w="1398"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531" w:hRule="exact"/>
        </w:trPr>
        <w:tc>
          <w:tcPr>
            <w:tcW w:w="702"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1061" w:type="dxa"/>
            <w:vMerge w:val="restart"/>
            <w:tcBorders>
              <w:top w:val="nil" w:sz="6" w:space="0" w:color="auto"/>
              <w:left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15" w:right="45"/>
              <w:jc w:val="left"/>
              <w:rPr>
                <w:rFonts w:ascii="宋体" w:hAnsi="宋体" w:cs="宋体" w:eastAsia="宋体" w:hint="default"/>
                <w:sz w:val="18"/>
                <w:szCs w:val="18"/>
              </w:rPr>
            </w:pPr>
            <w:r>
              <w:rPr>
                <w:rFonts w:ascii="宋体" w:hAnsi="宋体" w:cs="宋体" w:eastAsia="宋体" w:hint="default"/>
                <w:sz w:val="18"/>
                <w:szCs w:val="18"/>
              </w:rPr>
              <w:t>关联交易定 价方式及决</w:t>
            </w:r>
          </w:p>
          <w:p>
            <w:pPr>
              <w:pStyle w:val="TableParagraph"/>
              <w:spacing w:line="230" w:lineRule="exact"/>
              <w:ind w:left="475" w:right="0"/>
              <w:jc w:val="left"/>
              <w:rPr>
                <w:rFonts w:ascii="宋体" w:hAnsi="宋体" w:cs="宋体" w:eastAsia="宋体" w:hint="default"/>
                <w:sz w:val="18"/>
                <w:szCs w:val="18"/>
              </w:rPr>
            </w:pPr>
            <w:r>
              <w:rPr>
                <w:rFonts w:ascii="宋体" w:hAnsi="宋体" w:cs="宋体" w:eastAsia="宋体" w:hint="default"/>
                <w:sz w:val="18"/>
                <w:szCs w:val="18"/>
              </w:rPr>
              <w:t>策程序</w:t>
            </w:r>
          </w:p>
        </w:tc>
        <w:tc>
          <w:tcPr>
            <w:tcW w:w="865" w:type="dxa"/>
            <w:tcBorders>
              <w:top w:val="nil" w:sz="6" w:space="0" w:color="auto"/>
              <w:left w:val="nil" w:sz="6" w:space="0" w:color="auto"/>
              <w:bottom w:val="single" w:sz="4" w:space="0" w:color="000000"/>
              <w:right w:val="nil" w:sz="6" w:space="0" w:color="auto"/>
            </w:tcBorders>
          </w:tcPr>
          <w:p>
            <w:pPr/>
          </w:p>
        </w:tc>
        <w:tc>
          <w:tcPr>
            <w:tcW w:w="103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125"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single" w:sz="4" w:space="0" w:color="000000"/>
              <w:right w:val="nil" w:sz="6" w:space="0" w:color="auto"/>
            </w:tcBorders>
          </w:tcPr>
          <w:p>
            <w:pPr/>
          </w:p>
        </w:tc>
        <w:tc>
          <w:tcPr>
            <w:tcW w:w="105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年度</w:t>
            </w:r>
          </w:p>
        </w:tc>
      </w:tr>
      <w:tr>
        <w:trPr>
          <w:trHeight w:val="694" w:hRule="exact"/>
        </w:trPr>
        <w:tc>
          <w:tcPr>
            <w:tcW w:w="702"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08"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13"/>
              <w:jc w:val="right"/>
              <w:rPr>
                <w:rFonts w:ascii="宋体" w:hAnsi="宋体" w:cs="宋体" w:eastAsia="宋体" w:hint="default"/>
                <w:sz w:val="18"/>
                <w:szCs w:val="18"/>
              </w:rPr>
            </w:pPr>
            <w:r>
              <w:rPr>
                <w:rFonts w:ascii="宋体" w:hAnsi="宋体" w:cs="宋体" w:eastAsia="宋体" w:hint="default"/>
                <w:sz w:val="18"/>
                <w:szCs w:val="18"/>
              </w:rPr>
              <w:t>关联交易内容</w:t>
            </w:r>
          </w:p>
        </w:tc>
        <w:tc>
          <w:tcPr>
            <w:tcW w:w="1061" w:type="dxa"/>
            <w:vMerge/>
            <w:tcBorders>
              <w:left w:val="nil" w:sz="6" w:space="0" w:color="auto"/>
              <w:bottom w:val="nil" w:sz="6" w:space="0" w:color="auto"/>
              <w:right w:val="nil" w:sz="6" w:space="0" w:color="auto"/>
            </w:tcBorders>
          </w:tcPr>
          <w:p>
            <w:pPr/>
          </w:p>
        </w:tc>
        <w:tc>
          <w:tcPr>
            <w:tcW w:w="86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77"/>
              <w:jc w:val="right"/>
              <w:rPr>
                <w:rFonts w:ascii="宋体" w:hAnsi="宋体" w:cs="宋体" w:eastAsia="宋体" w:hint="default"/>
                <w:sz w:val="18"/>
                <w:szCs w:val="18"/>
              </w:rPr>
            </w:pPr>
            <w:r>
              <w:rPr>
                <w:rFonts w:ascii="宋体" w:hAnsi="宋体" w:cs="宋体" w:eastAsia="宋体" w:hint="default"/>
                <w:sz w:val="18"/>
                <w:szCs w:val="18"/>
              </w:rPr>
              <w:t>金额</w:t>
            </w:r>
          </w:p>
        </w:tc>
        <w:tc>
          <w:tcPr>
            <w:tcW w:w="1031" w:type="dxa"/>
            <w:tcBorders>
              <w:top w:val="single" w:sz="4" w:space="0" w:color="000000"/>
              <w:left w:val="nil" w:sz="6" w:space="0" w:color="auto"/>
              <w:bottom w:val="nil" w:sz="6" w:space="0" w:color="auto"/>
              <w:right w:val="nil" w:sz="6" w:space="0" w:color="auto"/>
            </w:tcBorders>
          </w:tcPr>
          <w:p>
            <w:pPr>
              <w:pStyle w:val="TableParagraph"/>
              <w:spacing w:line="232" w:lineRule="exact" w:before="35"/>
              <w:ind w:left="77" w:right="50"/>
              <w:jc w:val="left"/>
              <w:rPr>
                <w:rFonts w:ascii="宋体" w:hAnsi="宋体" w:cs="宋体" w:eastAsia="宋体" w:hint="default"/>
                <w:sz w:val="18"/>
                <w:szCs w:val="18"/>
              </w:rPr>
            </w:pPr>
            <w:r>
              <w:rPr>
                <w:rFonts w:ascii="宋体" w:hAnsi="宋体" w:cs="宋体" w:eastAsia="宋体" w:hint="default"/>
                <w:sz w:val="18"/>
                <w:szCs w:val="18"/>
              </w:rPr>
              <w:t>占同类交易 金额的比例</w:t>
            </w:r>
          </w:p>
        </w:tc>
        <w:tc>
          <w:tcPr>
            <w:tcW w:w="125" w:type="dxa"/>
            <w:tcBorders>
              <w:top w:val="nil" w:sz="6" w:space="0" w:color="auto"/>
              <w:left w:val="nil" w:sz="6" w:space="0" w:color="auto"/>
              <w:bottom w:val="nil" w:sz="6" w:space="0" w:color="auto"/>
              <w:right w:val="nil" w:sz="6" w:space="0" w:color="auto"/>
            </w:tcBorders>
          </w:tcPr>
          <w:p>
            <w:pPr/>
          </w:p>
        </w:tc>
        <w:tc>
          <w:tcPr>
            <w:tcW w:w="95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26"/>
              <w:jc w:val="right"/>
              <w:rPr>
                <w:rFonts w:ascii="宋体" w:hAnsi="宋体" w:cs="宋体" w:eastAsia="宋体" w:hint="default"/>
                <w:sz w:val="18"/>
                <w:szCs w:val="18"/>
              </w:rPr>
            </w:pPr>
            <w:r>
              <w:rPr>
                <w:rFonts w:ascii="宋体" w:hAnsi="宋体" w:cs="宋体" w:eastAsia="宋体" w:hint="default"/>
                <w:sz w:val="18"/>
                <w:szCs w:val="18"/>
              </w:rPr>
              <w:t>金额</w:t>
            </w:r>
          </w:p>
        </w:tc>
        <w:tc>
          <w:tcPr>
            <w:tcW w:w="1055" w:type="dxa"/>
            <w:tcBorders>
              <w:top w:val="single" w:sz="4" w:space="0" w:color="000000"/>
              <w:left w:val="nil" w:sz="6" w:space="0" w:color="auto"/>
              <w:bottom w:val="nil" w:sz="6" w:space="0" w:color="auto"/>
              <w:right w:val="nil" w:sz="6" w:space="0" w:color="auto"/>
            </w:tcBorders>
          </w:tcPr>
          <w:p>
            <w:pPr>
              <w:pStyle w:val="TableParagraph"/>
              <w:spacing w:line="232" w:lineRule="exact" w:before="35"/>
              <w:ind w:left="128" w:right="24"/>
              <w:jc w:val="left"/>
              <w:rPr>
                <w:rFonts w:ascii="宋体" w:hAnsi="宋体" w:cs="宋体" w:eastAsia="宋体" w:hint="default"/>
                <w:sz w:val="18"/>
                <w:szCs w:val="18"/>
              </w:rPr>
            </w:pPr>
            <w:r>
              <w:rPr>
                <w:rFonts w:ascii="宋体" w:hAnsi="宋体" w:cs="宋体" w:eastAsia="宋体" w:hint="default"/>
                <w:sz w:val="18"/>
                <w:szCs w:val="18"/>
              </w:rPr>
              <w:t>占同类交易 金额的比例</w:t>
            </w:r>
          </w:p>
        </w:tc>
      </w:tr>
      <w:tr>
        <w:trPr>
          <w:trHeight w:val="535" w:hRule="exact"/>
        </w:trPr>
        <w:tc>
          <w:tcPr>
            <w:tcW w:w="702"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208"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78" w:right="0"/>
              <w:jc w:val="left"/>
              <w:rPr>
                <w:rFonts w:ascii="Arial" w:hAnsi="Arial" w:cs="Arial" w:eastAsia="Arial" w:hint="default"/>
                <w:sz w:val="18"/>
                <w:szCs w:val="18"/>
              </w:rPr>
            </w:pPr>
            <w:r>
              <w:rPr>
                <w:rFonts w:ascii="Arial"/>
                <w:sz w:val="18"/>
              </w:rPr>
              <w:t>2,288</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54"/>
              <w:jc w:val="right"/>
              <w:rPr>
                <w:rFonts w:ascii="Arial" w:hAnsi="Arial" w:cs="Arial" w:eastAsia="Arial" w:hint="default"/>
                <w:sz w:val="18"/>
                <w:szCs w:val="18"/>
              </w:rPr>
            </w:pPr>
            <w:r>
              <w:rPr>
                <w:rFonts w:ascii="Arial"/>
                <w:spacing w:val="-1"/>
                <w:sz w:val="18"/>
              </w:rPr>
              <w:t>0.2635%</w:t>
            </w:r>
          </w:p>
        </w:tc>
        <w:tc>
          <w:tcPr>
            <w:tcW w:w="125"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84"/>
              <w:jc w:val="right"/>
              <w:rPr>
                <w:rFonts w:ascii="Arial" w:hAnsi="Arial" w:cs="Arial" w:eastAsia="Arial" w:hint="default"/>
                <w:sz w:val="18"/>
                <w:szCs w:val="18"/>
              </w:rPr>
            </w:pPr>
            <w:r>
              <w:rPr>
                <w:rFonts w:ascii="Arial"/>
                <w:w w:val="99"/>
                <w:sz w:val="18"/>
              </w:rPr>
              <w:t>-</w:t>
            </w:r>
            <w:r>
              <w:rPr>
                <w:rFonts w:ascii="Arial"/>
                <w:sz w:val="18"/>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702"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34" w:lineRule="exact"/>
              <w:ind w:left="208" w:right="0"/>
              <w:jc w:val="left"/>
              <w:rPr>
                <w:rFonts w:ascii="宋体" w:hAnsi="宋体" w:cs="宋体" w:eastAsia="宋体" w:hint="default"/>
                <w:sz w:val="18"/>
                <w:szCs w:val="18"/>
              </w:rPr>
            </w:pPr>
            <w:r>
              <w:rPr>
                <w:rFonts w:ascii="宋体" w:hAnsi="宋体" w:cs="宋体" w:eastAsia="宋体" w:hint="default"/>
                <w:sz w:val="18"/>
                <w:szCs w:val="18"/>
              </w:rPr>
              <w:t>江苏银河物业</w:t>
            </w:r>
          </w:p>
        </w:tc>
        <w:tc>
          <w:tcPr>
            <w:tcW w:w="1398" w:type="dxa"/>
            <w:tcBorders>
              <w:top w:val="nil" w:sz="6" w:space="0" w:color="auto"/>
              <w:left w:val="nil" w:sz="6" w:space="0" w:color="auto"/>
              <w:bottom w:val="nil" w:sz="6" w:space="0" w:color="auto"/>
              <w:right w:val="nil" w:sz="6" w:space="0" w:color="auto"/>
            </w:tcBorders>
          </w:tcPr>
          <w:p>
            <w:pPr>
              <w:pStyle w:val="TableParagraph"/>
              <w:spacing w:line="234" w:lineRule="exact"/>
              <w:ind w:right="113"/>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61" w:type="dxa"/>
            <w:tcBorders>
              <w:top w:val="nil" w:sz="6" w:space="0" w:color="auto"/>
              <w:left w:val="nil" w:sz="6" w:space="0" w:color="auto"/>
              <w:bottom w:val="nil" w:sz="6" w:space="0" w:color="auto"/>
              <w:right w:val="nil" w:sz="6" w:space="0" w:color="auto"/>
            </w:tcBorders>
          </w:tcPr>
          <w:p>
            <w:pPr>
              <w:pStyle w:val="TableParagraph"/>
              <w:spacing w:line="234" w:lineRule="exact"/>
              <w:ind w:right="5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1"/>
              <w:jc w:val="right"/>
              <w:rPr>
                <w:rFonts w:ascii="Arial" w:hAnsi="Arial" w:cs="Arial" w:eastAsia="Arial" w:hint="default"/>
                <w:sz w:val="18"/>
                <w:szCs w:val="18"/>
              </w:rPr>
            </w:pPr>
            <w:r>
              <w:rPr>
                <w:rFonts w:ascii="Arial"/>
                <w:w w:val="95"/>
                <w:sz w:val="18"/>
              </w:rPr>
              <w:t>68</w:t>
            </w:r>
            <w:r>
              <w:rPr>
                <w:rFonts w:ascii="Arial"/>
                <w:sz w:val="18"/>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0.0078%</w:t>
            </w:r>
          </w:p>
        </w:tc>
        <w:tc>
          <w:tcPr>
            <w:tcW w:w="125"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4"/>
              <w:jc w:val="right"/>
              <w:rPr>
                <w:rFonts w:ascii="Arial" w:hAnsi="Arial" w:cs="Arial" w:eastAsia="Arial" w:hint="default"/>
                <w:sz w:val="18"/>
                <w:szCs w:val="18"/>
              </w:rPr>
            </w:pPr>
            <w:r>
              <w:rPr>
                <w:rFonts w:ascii="Arial"/>
                <w:w w:val="99"/>
                <w:sz w:val="18"/>
              </w:rPr>
              <w:t>-</w:t>
            </w:r>
            <w:r>
              <w:rPr>
                <w:rFonts w:ascii="Arial"/>
                <w:sz w:val="18"/>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314" w:hRule="exact"/>
        </w:trPr>
        <w:tc>
          <w:tcPr>
            <w:tcW w:w="702"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索菲特银河大酒店</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31"/>
              <w:jc w:val="right"/>
              <w:rPr>
                <w:rFonts w:ascii="Arial" w:hAnsi="Arial" w:cs="Arial" w:eastAsia="Arial" w:hint="default"/>
                <w:sz w:val="18"/>
                <w:szCs w:val="18"/>
              </w:rPr>
            </w:pPr>
            <w:r>
              <w:rPr>
                <w:rFonts w:ascii="Arial"/>
                <w:w w:val="95"/>
                <w:sz w:val="18"/>
              </w:rPr>
              <w:t>61</w:t>
            </w:r>
            <w:r>
              <w:rPr>
                <w:rFonts w:ascii="Arial"/>
                <w:sz w:val="18"/>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4"/>
              <w:jc w:val="right"/>
              <w:rPr>
                <w:rFonts w:ascii="Arial" w:hAnsi="Arial" w:cs="Arial" w:eastAsia="Arial" w:hint="default"/>
                <w:sz w:val="18"/>
                <w:szCs w:val="18"/>
              </w:rPr>
            </w:pPr>
            <w:r>
              <w:rPr>
                <w:rFonts w:ascii="Arial"/>
                <w:spacing w:val="-1"/>
                <w:sz w:val="18"/>
              </w:rPr>
              <w:t>0.0070%</w:t>
            </w:r>
          </w:p>
        </w:tc>
        <w:tc>
          <w:tcPr>
            <w:tcW w:w="125"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84"/>
              <w:jc w:val="right"/>
              <w:rPr>
                <w:rFonts w:ascii="Arial" w:hAnsi="Arial" w:cs="Arial" w:eastAsia="Arial" w:hint="default"/>
                <w:sz w:val="18"/>
                <w:szCs w:val="18"/>
              </w:rPr>
            </w:pPr>
            <w:r>
              <w:rPr>
                <w:rFonts w:ascii="Arial"/>
                <w:w w:val="99"/>
                <w:sz w:val="18"/>
              </w:rPr>
              <w:t>-</w:t>
            </w:r>
            <w:r>
              <w:rPr>
                <w:rFonts w:ascii="Arial"/>
                <w:sz w:val="18"/>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702"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钟山高尔夫置业</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31"/>
              <w:jc w:val="right"/>
              <w:rPr>
                <w:rFonts w:ascii="Arial" w:hAnsi="Arial" w:cs="Arial" w:eastAsia="Arial" w:hint="default"/>
                <w:sz w:val="18"/>
                <w:szCs w:val="18"/>
              </w:rPr>
            </w:pPr>
            <w:r>
              <w:rPr>
                <w:rFonts w:ascii="Arial"/>
                <w:w w:val="95"/>
                <w:sz w:val="18"/>
              </w:rPr>
              <w:t>45</w:t>
            </w:r>
            <w:r>
              <w:rPr>
                <w:rFonts w:ascii="Arial"/>
                <w:sz w:val="18"/>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4"/>
              <w:jc w:val="right"/>
              <w:rPr>
                <w:rFonts w:ascii="Arial" w:hAnsi="Arial" w:cs="Arial" w:eastAsia="Arial" w:hint="default"/>
                <w:sz w:val="18"/>
                <w:szCs w:val="18"/>
              </w:rPr>
            </w:pPr>
            <w:r>
              <w:rPr>
                <w:rFonts w:ascii="Arial"/>
                <w:spacing w:val="-1"/>
                <w:sz w:val="18"/>
              </w:rPr>
              <w:t>0.0052%</w:t>
            </w:r>
          </w:p>
        </w:tc>
        <w:tc>
          <w:tcPr>
            <w:tcW w:w="125"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84"/>
              <w:jc w:val="right"/>
              <w:rPr>
                <w:rFonts w:ascii="Arial" w:hAnsi="Arial" w:cs="Arial" w:eastAsia="Arial" w:hint="default"/>
                <w:sz w:val="18"/>
                <w:szCs w:val="18"/>
              </w:rPr>
            </w:pPr>
            <w:r>
              <w:rPr>
                <w:rFonts w:ascii="Arial"/>
                <w:w w:val="99"/>
                <w:sz w:val="18"/>
              </w:rPr>
              <w:t>-</w:t>
            </w:r>
            <w:r>
              <w:rPr>
                <w:rFonts w:ascii="Arial"/>
                <w:sz w:val="18"/>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702"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34" w:lineRule="exact"/>
              <w:ind w:left="208" w:right="0"/>
              <w:jc w:val="left"/>
              <w:rPr>
                <w:rFonts w:ascii="宋体" w:hAnsi="宋体" w:cs="宋体" w:eastAsia="宋体" w:hint="default"/>
                <w:sz w:val="18"/>
                <w:szCs w:val="18"/>
              </w:rPr>
            </w:pPr>
            <w:r>
              <w:rPr>
                <w:rFonts w:ascii="宋体" w:hAnsi="宋体" w:cs="宋体" w:eastAsia="宋体" w:hint="default"/>
                <w:sz w:val="18"/>
                <w:szCs w:val="18"/>
              </w:rPr>
              <w:t>银河诺富特酒店</w:t>
            </w:r>
          </w:p>
        </w:tc>
        <w:tc>
          <w:tcPr>
            <w:tcW w:w="1398" w:type="dxa"/>
            <w:tcBorders>
              <w:top w:val="nil" w:sz="6" w:space="0" w:color="auto"/>
              <w:left w:val="nil" w:sz="6" w:space="0" w:color="auto"/>
              <w:bottom w:val="nil" w:sz="6" w:space="0" w:color="auto"/>
              <w:right w:val="nil" w:sz="6" w:space="0" w:color="auto"/>
            </w:tcBorders>
          </w:tcPr>
          <w:p>
            <w:pPr>
              <w:pStyle w:val="TableParagraph"/>
              <w:spacing w:line="234" w:lineRule="exact"/>
              <w:ind w:right="113"/>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61" w:type="dxa"/>
            <w:tcBorders>
              <w:top w:val="nil" w:sz="6" w:space="0" w:color="auto"/>
              <w:left w:val="nil" w:sz="6" w:space="0" w:color="auto"/>
              <w:bottom w:val="nil" w:sz="6" w:space="0" w:color="auto"/>
              <w:right w:val="nil" w:sz="6" w:space="0" w:color="auto"/>
            </w:tcBorders>
          </w:tcPr>
          <w:p>
            <w:pPr>
              <w:pStyle w:val="TableParagraph"/>
              <w:spacing w:line="234" w:lineRule="exact"/>
              <w:ind w:right="5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1"/>
              <w:jc w:val="right"/>
              <w:rPr>
                <w:rFonts w:ascii="Arial" w:hAnsi="Arial" w:cs="Arial" w:eastAsia="Arial" w:hint="default"/>
                <w:sz w:val="18"/>
                <w:szCs w:val="18"/>
              </w:rPr>
            </w:pPr>
            <w:r>
              <w:rPr>
                <w:rFonts w:ascii="Arial"/>
                <w:w w:val="95"/>
                <w:sz w:val="18"/>
              </w:rPr>
              <w:t>34</w:t>
            </w:r>
            <w:r>
              <w:rPr>
                <w:rFonts w:ascii="Arial"/>
                <w:sz w:val="18"/>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0.0039%</w:t>
            </w:r>
          </w:p>
        </w:tc>
        <w:tc>
          <w:tcPr>
            <w:tcW w:w="125"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4"/>
              <w:jc w:val="right"/>
              <w:rPr>
                <w:rFonts w:ascii="Arial" w:hAnsi="Arial" w:cs="Arial" w:eastAsia="Arial" w:hint="default"/>
                <w:sz w:val="18"/>
                <w:szCs w:val="18"/>
              </w:rPr>
            </w:pPr>
            <w:r>
              <w:rPr>
                <w:rFonts w:ascii="Arial"/>
                <w:w w:val="99"/>
                <w:sz w:val="18"/>
              </w:rPr>
              <w:t>-</w:t>
            </w:r>
            <w:r>
              <w:rPr>
                <w:rFonts w:ascii="Arial"/>
                <w:sz w:val="18"/>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309" w:hRule="exact"/>
        </w:trPr>
        <w:tc>
          <w:tcPr>
            <w:tcW w:w="702"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银河酒店管理公司</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865"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31"/>
              <w:jc w:val="right"/>
              <w:rPr>
                <w:rFonts w:ascii="Arial" w:hAnsi="Arial" w:cs="Arial" w:eastAsia="Arial" w:hint="default"/>
                <w:sz w:val="18"/>
                <w:szCs w:val="18"/>
              </w:rPr>
            </w:pPr>
            <w:r>
              <w:rPr>
                <w:rFonts w:ascii="Arial"/>
                <w:w w:val="95"/>
                <w:sz w:val="18"/>
              </w:rPr>
              <w:t>33</w:t>
            </w:r>
            <w:r>
              <w:rPr>
                <w:rFonts w:ascii="Arial"/>
                <w:sz w:val="18"/>
              </w:rPr>
            </w:r>
          </w:p>
        </w:tc>
        <w:tc>
          <w:tcPr>
            <w:tcW w:w="1031"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54"/>
              <w:jc w:val="right"/>
              <w:rPr>
                <w:rFonts w:ascii="Arial" w:hAnsi="Arial" w:cs="Arial" w:eastAsia="Arial" w:hint="default"/>
                <w:sz w:val="18"/>
                <w:szCs w:val="18"/>
              </w:rPr>
            </w:pPr>
            <w:r>
              <w:rPr>
                <w:rFonts w:ascii="Arial"/>
                <w:spacing w:val="-1"/>
                <w:sz w:val="18"/>
              </w:rPr>
              <w:t>0.0038%</w:t>
            </w:r>
          </w:p>
        </w:tc>
        <w:tc>
          <w:tcPr>
            <w:tcW w:w="125"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84"/>
              <w:jc w:val="right"/>
              <w:rPr>
                <w:rFonts w:ascii="Arial" w:hAnsi="Arial" w:cs="Arial" w:eastAsia="Arial" w:hint="default"/>
                <w:sz w:val="18"/>
                <w:szCs w:val="18"/>
              </w:rPr>
            </w:pPr>
            <w:r>
              <w:rPr>
                <w:rFonts w:ascii="Arial"/>
                <w:w w:val="99"/>
                <w:sz w:val="18"/>
              </w:rPr>
              <w:t>-</w:t>
            </w:r>
            <w:r>
              <w:rPr>
                <w:rFonts w:ascii="Arial"/>
                <w:sz w:val="18"/>
              </w:rPr>
            </w:r>
          </w:p>
        </w:tc>
        <w:tc>
          <w:tcPr>
            <w:tcW w:w="1055"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310" w:hRule="exact"/>
        </w:trPr>
        <w:tc>
          <w:tcPr>
            <w:tcW w:w="702"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
        </w:tc>
        <w:tc>
          <w:tcPr>
            <w:tcW w:w="865"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278" w:right="0"/>
              <w:jc w:val="left"/>
              <w:rPr>
                <w:rFonts w:ascii="Arial" w:hAnsi="Arial" w:cs="Arial" w:eastAsia="Arial" w:hint="default"/>
                <w:sz w:val="18"/>
                <w:szCs w:val="18"/>
              </w:rPr>
            </w:pPr>
            <w:r>
              <w:rPr>
                <w:rFonts w:ascii="Arial"/>
                <w:sz w:val="18"/>
              </w:rPr>
              <w:t>2,529</w:t>
            </w:r>
          </w:p>
        </w:tc>
        <w:tc>
          <w:tcPr>
            <w:tcW w:w="1031"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54"/>
              <w:jc w:val="right"/>
              <w:rPr>
                <w:rFonts w:ascii="Arial" w:hAnsi="Arial" w:cs="Arial" w:eastAsia="Arial" w:hint="default"/>
                <w:sz w:val="18"/>
                <w:szCs w:val="18"/>
              </w:rPr>
            </w:pPr>
            <w:r>
              <w:rPr>
                <w:rFonts w:ascii="Arial"/>
                <w:spacing w:val="-1"/>
                <w:sz w:val="18"/>
              </w:rPr>
              <w:t>0.2912%</w:t>
            </w:r>
          </w:p>
        </w:tc>
        <w:tc>
          <w:tcPr>
            <w:tcW w:w="125" w:type="dxa"/>
            <w:tcBorders>
              <w:top w:val="nil" w:sz="6" w:space="0" w:color="auto"/>
              <w:left w:val="nil" w:sz="6" w:space="0" w:color="auto"/>
              <w:bottom w:val="nil" w:sz="6" w:space="0" w:color="auto"/>
              <w:right w:val="nil" w:sz="6" w:space="0" w:color="auto"/>
            </w:tcBorders>
          </w:tcPr>
          <w:p>
            <w:pPr/>
          </w:p>
        </w:tc>
        <w:tc>
          <w:tcPr>
            <w:tcW w:w="955"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84"/>
              <w:jc w:val="right"/>
              <w:rPr>
                <w:rFonts w:ascii="Arial" w:hAnsi="Arial" w:cs="Arial" w:eastAsia="Arial" w:hint="default"/>
                <w:sz w:val="18"/>
                <w:szCs w:val="18"/>
              </w:rPr>
            </w:pPr>
            <w:r>
              <w:rPr>
                <w:rFonts w:ascii="Arial"/>
                <w:w w:val="99"/>
                <w:sz w:val="18"/>
              </w:rPr>
              <w:t>-</w:t>
            </w:r>
            <w:r>
              <w:rPr>
                <w:rFonts w:ascii="Arial"/>
                <w:sz w:val="18"/>
              </w:rPr>
            </w:r>
          </w:p>
        </w:tc>
        <w:tc>
          <w:tcPr>
            <w:tcW w:w="1055"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55"/>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684"/>
        <w:gridCol w:w="3003"/>
      </w:tblGrid>
      <w:tr>
        <w:trPr>
          <w:trHeight w:val="252" w:hRule="exact"/>
        </w:trPr>
        <w:tc>
          <w:tcPr>
            <w:tcW w:w="68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3003" w:type="dxa"/>
            <w:tcBorders>
              <w:top w:val="nil" w:sz="6" w:space="0" w:color="auto"/>
              <w:left w:val="nil" w:sz="6" w:space="0" w:color="auto"/>
              <w:bottom w:val="nil" w:sz="6" w:space="0" w:color="auto"/>
              <w:right w:val="nil" w:sz="6" w:space="0" w:color="auto"/>
            </w:tcBorders>
          </w:tcPr>
          <w:p>
            <w:pPr>
              <w:pStyle w:val="TableParagraph"/>
              <w:spacing w:line="257" w:lineRule="exact"/>
              <w:ind w:left="243"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701"/>
        <w:gridCol w:w="2201"/>
        <w:gridCol w:w="1484"/>
        <w:gridCol w:w="1976"/>
        <w:gridCol w:w="2122"/>
        <w:gridCol w:w="2178"/>
        <w:gridCol w:w="2099"/>
        <w:gridCol w:w="2143"/>
      </w:tblGrid>
      <w:tr>
        <w:trPr>
          <w:trHeight w:val="504"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5" w:lineRule="exact"/>
              <w:ind w:right="5"/>
              <w:jc w:val="center"/>
              <w:rPr>
                <w:rFonts w:ascii="Arial" w:hAnsi="Arial" w:cs="Arial" w:eastAsia="Arial" w:hint="default"/>
                <w:sz w:val="24"/>
                <w:szCs w:val="24"/>
              </w:rPr>
            </w:pPr>
            <w:r>
              <w:rPr>
                <w:rFonts w:ascii="Arial"/>
                <w:sz w:val="24"/>
              </w:rPr>
              <w:t>(5)</w:t>
            </w:r>
          </w:p>
        </w:tc>
        <w:tc>
          <w:tcPr>
            <w:tcW w:w="2201" w:type="dxa"/>
            <w:tcBorders>
              <w:top w:val="nil" w:sz="6" w:space="0" w:color="auto"/>
              <w:left w:val="nil" w:sz="6" w:space="0" w:color="auto"/>
              <w:bottom w:val="nil" w:sz="6" w:space="0" w:color="auto"/>
              <w:right w:val="nil" w:sz="6" w:space="0" w:color="auto"/>
            </w:tcBorders>
          </w:tcPr>
          <w:p>
            <w:pPr>
              <w:pStyle w:val="TableParagraph"/>
              <w:spacing w:line="265" w:lineRule="exact"/>
              <w:ind w:left="207"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84"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
        </w:tc>
        <w:tc>
          <w:tcPr>
            <w:tcW w:w="217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nil" w:sz="6" w:space="0" w:color="auto"/>
              <w:right w:val="nil" w:sz="6" w:space="0" w:color="auto"/>
            </w:tcBorders>
          </w:tcPr>
          <w:p>
            <w:pPr/>
          </w:p>
        </w:tc>
      </w:tr>
      <w:tr>
        <w:trPr>
          <w:trHeight w:val="746"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5"/>
              <w:jc w:val="center"/>
              <w:rPr>
                <w:rFonts w:ascii="Arial" w:hAnsi="Arial" w:cs="Arial" w:eastAsia="Arial" w:hint="default"/>
                <w:sz w:val="24"/>
                <w:szCs w:val="24"/>
              </w:rPr>
            </w:pPr>
            <w:r>
              <w:rPr>
                <w:rFonts w:ascii="Arial"/>
                <w:sz w:val="24"/>
              </w:rPr>
              <w:t>(b)</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07" w:right="0"/>
              <w:jc w:val="left"/>
              <w:rPr>
                <w:rFonts w:ascii="宋体" w:hAnsi="宋体" w:cs="宋体" w:eastAsia="宋体" w:hint="default"/>
                <w:sz w:val="24"/>
                <w:szCs w:val="24"/>
              </w:rPr>
            </w:pPr>
            <w:r>
              <w:rPr>
                <w:rFonts w:ascii="宋体" w:hAnsi="宋体" w:cs="宋体" w:eastAsia="宋体" w:hint="default"/>
                <w:sz w:val="24"/>
                <w:szCs w:val="24"/>
              </w:rPr>
              <w:t>租赁</w:t>
            </w:r>
          </w:p>
        </w:tc>
        <w:tc>
          <w:tcPr>
            <w:tcW w:w="1484"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
        </w:tc>
        <w:tc>
          <w:tcPr>
            <w:tcW w:w="217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nil" w:sz="6" w:space="0" w:color="auto"/>
              <w:right w:val="nil" w:sz="6" w:space="0" w:color="auto"/>
            </w:tcBorders>
          </w:tcPr>
          <w:p>
            <w:pPr/>
          </w:p>
        </w:tc>
      </w:tr>
      <w:tr>
        <w:trPr>
          <w:trHeight w:val="763" w:hRule="exact"/>
        </w:trPr>
        <w:tc>
          <w:tcPr>
            <w:tcW w:w="701" w:type="dxa"/>
            <w:tcBorders>
              <w:top w:val="nil" w:sz="6" w:space="0" w:color="auto"/>
              <w:left w:val="nil" w:sz="6" w:space="0" w:color="auto"/>
              <w:bottom w:val="nil" w:sz="6" w:space="0" w:color="auto"/>
              <w:right w:val="nil" w:sz="6" w:space="0" w:color="auto"/>
            </w:tcBorders>
          </w:tcPr>
          <w:p>
            <w:pPr/>
          </w:p>
        </w:tc>
        <w:tc>
          <w:tcPr>
            <w:tcW w:w="3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207" w:right="0"/>
              <w:jc w:val="left"/>
              <w:rPr>
                <w:rFonts w:ascii="宋体" w:hAnsi="宋体" w:cs="宋体" w:eastAsia="宋体" w:hint="default"/>
                <w:sz w:val="24"/>
                <w:szCs w:val="24"/>
              </w:rPr>
            </w:pPr>
            <w:r>
              <w:rPr>
                <w:rFonts w:ascii="宋体" w:hAnsi="宋体" w:cs="宋体" w:eastAsia="宋体" w:hint="default"/>
                <w:sz w:val="24"/>
                <w:szCs w:val="24"/>
              </w:rPr>
              <w:t>本集团作为承租方：</w:t>
            </w:r>
          </w:p>
        </w:tc>
        <w:tc>
          <w:tcPr>
            <w:tcW w:w="1976"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
        </w:tc>
        <w:tc>
          <w:tcPr>
            <w:tcW w:w="217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nil" w:sz="6" w:space="0" w:color="auto"/>
              <w:right w:val="nil" w:sz="6" w:space="0" w:color="auto"/>
            </w:tcBorders>
          </w:tcPr>
          <w:p>
            <w:pPr/>
          </w:p>
        </w:tc>
      </w:tr>
      <w:tr>
        <w:trPr>
          <w:trHeight w:val="716" w:hRule="exact"/>
        </w:trPr>
        <w:tc>
          <w:tcPr>
            <w:tcW w:w="701"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租赁起始日</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336"/>
              <w:jc w:val="right"/>
              <w:rPr>
                <w:rFonts w:ascii="宋体" w:hAnsi="宋体" w:cs="宋体" w:eastAsia="宋体" w:hint="default"/>
                <w:sz w:val="18"/>
                <w:szCs w:val="18"/>
              </w:rPr>
            </w:pPr>
            <w:r>
              <w:rPr>
                <w:rFonts w:ascii="宋体" w:hAnsi="宋体" w:cs="宋体" w:eastAsia="宋体" w:hint="default"/>
                <w:sz w:val="18"/>
                <w:szCs w:val="18"/>
              </w:rPr>
              <w:t>租赁终止日</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501"/>
              <w:jc w:val="right"/>
              <w:rPr>
                <w:rFonts w:ascii="宋体" w:hAnsi="宋体" w:cs="宋体" w:eastAsia="宋体" w:hint="default"/>
                <w:sz w:val="18"/>
                <w:szCs w:val="18"/>
              </w:rPr>
            </w:pPr>
            <w:r>
              <w:rPr>
                <w:rFonts w:ascii="宋体" w:hAnsi="宋体" w:cs="宋体" w:eastAsia="宋体" w:hint="default"/>
                <w:sz w:val="18"/>
                <w:szCs w:val="18"/>
              </w:rPr>
              <w:t>租赁费定价依据</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年度确认的租赁费</w:t>
            </w:r>
          </w:p>
        </w:tc>
      </w:tr>
      <w:tr>
        <w:trPr>
          <w:trHeight w:val="723" w:hRule="exact"/>
        </w:trPr>
        <w:tc>
          <w:tcPr>
            <w:tcW w:w="701"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山西路银河大厦</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7"/>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pacing w:val="-9"/>
                <w:sz w:val="18"/>
                <w:szCs w:val="18"/>
              </w:rPr>
              <w:t>11</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335"/>
              <w:jc w:val="right"/>
              <w:rPr>
                <w:rFonts w:ascii="宋体" w:hAnsi="宋体" w:cs="宋体" w:eastAsia="宋体" w:hint="default"/>
                <w:sz w:val="18"/>
                <w:szCs w:val="18"/>
              </w:rPr>
            </w:pPr>
            <w:r>
              <w:rPr>
                <w:rFonts w:ascii="Arial" w:hAnsi="Arial" w:cs="Arial" w:eastAsia="Arial" w:hint="default"/>
                <w:sz w:val="18"/>
                <w:szCs w:val="18"/>
              </w:rPr>
              <w:t>2021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500"/>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59"/>
              <w:jc w:val="right"/>
              <w:rPr>
                <w:rFonts w:ascii="Arial" w:hAnsi="Arial" w:cs="Arial" w:eastAsia="Arial" w:hint="default"/>
                <w:sz w:val="18"/>
                <w:szCs w:val="18"/>
              </w:rPr>
            </w:pPr>
            <w:r>
              <w:rPr>
                <w:rFonts w:ascii="Arial"/>
                <w:spacing w:val="-1"/>
                <w:sz w:val="18"/>
              </w:rPr>
              <w:t>27,550</w:t>
            </w:r>
          </w:p>
        </w:tc>
      </w:tr>
      <w:tr>
        <w:trPr>
          <w:trHeight w:val="712" w:hRule="exact"/>
        </w:trPr>
        <w:tc>
          <w:tcPr>
            <w:tcW w:w="701"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苏宁电器大厦</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37"/>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335"/>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500"/>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61"/>
              <w:jc w:val="right"/>
              <w:rPr>
                <w:rFonts w:ascii="Arial" w:hAnsi="Arial" w:cs="Arial" w:eastAsia="Arial" w:hint="default"/>
                <w:sz w:val="18"/>
                <w:szCs w:val="18"/>
              </w:rPr>
            </w:pPr>
            <w:r>
              <w:rPr>
                <w:rFonts w:ascii="Arial"/>
                <w:spacing w:val="-1"/>
                <w:sz w:val="18"/>
              </w:rPr>
              <w:t>18,930</w:t>
            </w:r>
          </w:p>
        </w:tc>
      </w:tr>
      <w:tr>
        <w:trPr>
          <w:trHeight w:val="691" w:hRule="exact"/>
        </w:trPr>
        <w:tc>
          <w:tcPr>
            <w:tcW w:w="701"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银河国际购物广场</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商贸世纪大厦</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37"/>
              <w:jc w:val="right"/>
              <w:rPr>
                <w:rFonts w:ascii="宋体" w:hAnsi="宋体" w:cs="宋体" w:eastAsia="宋体" w:hint="default"/>
                <w:sz w:val="18"/>
                <w:szCs w:val="18"/>
              </w:rPr>
            </w:pPr>
            <w:r>
              <w:rPr>
                <w:rFonts w:ascii="Arial" w:hAnsi="Arial" w:cs="Arial" w:eastAsia="Arial" w:hint="default"/>
                <w:sz w:val="18"/>
                <w:szCs w:val="18"/>
              </w:rPr>
              <w:t>2007 </w:t>
            </w:r>
            <w:r>
              <w:rPr>
                <w:rFonts w:ascii="宋体" w:hAnsi="宋体" w:cs="宋体" w:eastAsia="宋体" w:hint="default"/>
                <w:sz w:val="18"/>
                <w:szCs w:val="18"/>
              </w:rPr>
              <w:t>年 </w:t>
            </w:r>
            <w:r>
              <w:rPr>
                <w:rFonts w:ascii="Arial" w:hAnsi="Arial" w:cs="Arial" w:eastAsia="Arial" w:hint="default"/>
                <w:sz w:val="18"/>
                <w:szCs w:val="18"/>
              </w:rPr>
              <w:t>12 </w:t>
            </w:r>
            <w:r>
              <w:rPr>
                <w:rFonts w:ascii="宋体" w:hAnsi="宋体" w:cs="宋体" w:eastAsia="宋体" w:hint="default"/>
                <w:sz w:val="18"/>
                <w:szCs w:val="18"/>
              </w:rPr>
              <w:t>月 </w:t>
            </w:r>
            <w:r>
              <w:rPr>
                <w:rFonts w:ascii="Arial" w:hAnsi="Arial" w:cs="Arial" w:eastAsia="Arial" w:hint="default"/>
                <w:sz w:val="18"/>
                <w:szCs w:val="18"/>
              </w:rPr>
              <w:t>23</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335"/>
              <w:jc w:val="right"/>
              <w:rPr>
                <w:rFonts w:ascii="宋体" w:hAnsi="宋体" w:cs="宋体" w:eastAsia="宋体" w:hint="default"/>
                <w:sz w:val="18"/>
                <w:szCs w:val="18"/>
              </w:rPr>
            </w:pPr>
            <w:r>
              <w:rPr>
                <w:rFonts w:ascii="Arial" w:hAnsi="Arial" w:cs="Arial" w:eastAsia="Arial" w:hint="default"/>
                <w:sz w:val="18"/>
                <w:szCs w:val="18"/>
              </w:rPr>
              <w:t>2013 </w:t>
            </w:r>
            <w:r>
              <w:rPr>
                <w:rFonts w:ascii="宋体" w:hAnsi="宋体" w:cs="宋体" w:eastAsia="宋体" w:hint="default"/>
                <w:sz w:val="18"/>
                <w:szCs w:val="18"/>
              </w:rPr>
              <w:t>年 </w:t>
            </w:r>
            <w:r>
              <w:rPr>
                <w:rFonts w:ascii="Arial" w:hAnsi="Arial" w:cs="Arial" w:eastAsia="Arial" w:hint="default"/>
                <w:sz w:val="18"/>
                <w:szCs w:val="18"/>
              </w:rPr>
              <w:t>12 </w:t>
            </w:r>
            <w:r>
              <w:rPr>
                <w:rFonts w:ascii="宋体" w:hAnsi="宋体" w:cs="宋体" w:eastAsia="宋体" w:hint="default"/>
                <w:sz w:val="18"/>
                <w:szCs w:val="18"/>
              </w:rPr>
              <w:t>月 </w:t>
            </w:r>
            <w:r>
              <w:rPr>
                <w:rFonts w:ascii="Arial" w:hAnsi="Arial" w:cs="Arial" w:eastAsia="Arial" w:hint="default"/>
                <w:sz w:val="18"/>
                <w:szCs w:val="18"/>
              </w:rPr>
              <w:t>22</w:t>
            </w:r>
            <w:r>
              <w:rPr>
                <w:rFonts w:ascii="Arial" w:hAnsi="Arial" w:cs="Arial" w:eastAsia="Arial" w:hint="default"/>
                <w:spacing w:val="27"/>
                <w:sz w:val="18"/>
                <w:szCs w:val="18"/>
              </w:rPr>
              <w:t> </w:t>
            </w:r>
            <w:r>
              <w:rPr>
                <w:rFonts w:ascii="宋体" w:hAnsi="宋体" w:cs="宋体" w:eastAsia="宋体" w:hint="default"/>
                <w:sz w:val="18"/>
                <w:szCs w:val="18"/>
              </w:rPr>
              <w:t>日</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500"/>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59"/>
              <w:jc w:val="right"/>
              <w:rPr>
                <w:rFonts w:ascii="Arial" w:hAnsi="Arial" w:cs="Arial" w:eastAsia="Arial" w:hint="default"/>
                <w:sz w:val="18"/>
                <w:szCs w:val="18"/>
              </w:rPr>
            </w:pPr>
            <w:r>
              <w:rPr>
                <w:rFonts w:ascii="Arial"/>
                <w:spacing w:val="-1"/>
                <w:sz w:val="18"/>
              </w:rPr>
              <w:t>18,120</w:t>
            </w:r>
          </w:p>
        </w:tc>
      </w:tr>
      <w:tr>
        <w:trPr>
          <w:trHeight w:val="944" w:hRule="exact"/>
        </w:trPr>
        <w:tc>
          <w:tcPr>
            <w:tcW w:w="701"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青岛苏宁置业</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房屋租赁</w:t>
            </w:r>
          </w:p>
          <w:p>
            <w:pPr>
              <w:pStyle w:val="TableParagraph"/>
              <w:spacing w:line="240" w:lineRule="auto" w:before="35"/>
              <w:ind w:left="390"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李村广场店</w:t>
            </w:r>
            <w:r>
              <w:rPr>
                <w:rFonts w:ascii="Arial" w:hAnsi="Arial" w:cs="Arial" w:eastAsia="Arial" w:hint="default"/>
                <w:sz w:val="18"/>
                <w:szCs w:val="18"/>
              </w:rPr>
              <w:t>)</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37"/>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19</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335"/>
              <w:jc w:val="right"/>
              <w:rPr>
                <w:rFonts w:ascii="宋体" w:hAnsi="宋体" w:cs="宋体" w:eastAsia="宋体" w:hint="default"/>
                <w:sz w:val="18"/>
                <w:szCs w:val="18"/>
              </w:rPr>
            </w:pPr>
            <w:r>
              <w:rPr>
                <w:rFonts w:ascii="Arial" w:hAnsi="Arial" w:cs="Arial" w:eastAsia="Arial" w:hint="default"/>
                <w:sz w:val="18"/>
                <w:szCs w:val="18"/>
              </w:rPr>
              <w:t>2021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18</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500"/>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58"/>
              <w:jc w:val="right"/>
              <w:rPr>
                <w:rFonts w:ascii="Arial" w:hAnsi="Arial" w:cs="Arial" w:eastAsia="Arial" w:hint="default"/>
                <w:sz w:val="18"/>
                <w:szCs w:val="18"/>
              </w:rPr>
            </w:pPr>
            <w:r>
              <w:rPr>
                <w:rFonts w:ascii="Arial"/>
                <w:spacing w:val="-1"/>
                <w:sz w:val="18"/>
              </w:rPr>
              <w:t>12,884</w:t>
            </w:r>
          </w:p>
        </w:tc>
      </w:tr>
      <w:tr>
        <w:trPr>
          <w:trHeight w:val="964" w:hRule="exact"/>
        </w:trPr>
        <w:tc>
          <w:tcPr>
            <w:tcW w:w="701"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成都鸿业置业</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房屋租赁</w:t>
            </w:r>
          </w:p>
          <w:p>
            <w:pPr>
              <w:pStyle w:val="TableParagraph"/>
              <w:spacing w:line="240" w:lineRule="auto" w:before="35"/>
              <w:ind w:left="390"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天府立交店</w:t>
            </w:r>
            <w:r>
              <w:rPr>
                <w:rFonts w:ascii="Arial" w:hAnsi="Arial" w:cs="Arial" w:eastAsia="Arial" w:hint="default"/>
                <w:sz w:val="18"/>
                <w:szCs w:val="18"/>
              </w:rPr>
              <w:t>)</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37"/>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pacing w:val="-7"/>
                <w:sz w:val="18"/>
                <w:szCs w:val="18"/>
              </w:rPr>
              <w:t>11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335"/>
              <w:jc w:val="right"/>
              <w:rPr>
                <w:rFonts w:ascii="宋体" w:hAnsi="宋体" w:cs="宋体" w:eastAsia="宋体" w:hint="default"/>
                <w:sz w:val="18"/>
                <w:szCs w:val="18"/>
              </w:rPr>
            </w:pPr>
            <w:r>
              <w:rPr>
                <w:rFonts w:ascii="Arial" w:hAnsi="Arial" w:cs="Arial" w:eastAsia="Arial" w:hint="default"/>
                <w:sz w:val="18"/>
                <w:szCs w:val="18"/>
              </w:rPr>
              <w:t>2031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500"/>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59"/>
              <w:jc w:val="right"/>
              <w:rPr>
                <w:rFonts w:ascii="Arial" w:hAnsi="Arial" w:cs="Arial" w:eastAsia="Arial" w:hint="default"/>
                <w:sz w:val="18"/>
                <w:szCs w:val="18"/>
              </w:rPr>
            </w:pPr>
            <w:r>
              <w:rPr>
                <w:rFonts w:ascii="Arial"/>
                <w:spacing w:val="-1"/>
                <w:sz w:val="18"/>
              </w:rPr>
              <w:t>10,253</w:t>
            </w:r>
          </w:p>
        </w:tc>
      </w:tr>
      <w:tr>
        <w:trPr>
          <w:trHeight w:val="457" w:hRule="exact"/>
        </w:trPr>
        <w:tc>
          <w:tcPr>
            <w:tcW w:w="701"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苏宁电器大厦</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37"/>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28</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335"/>
              <w:jc w:val="righ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27</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500"/>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58"/>
              <w:jc w:val="right"/>
              <w:rPr>
                <w:rFonts w:ascii="Arial" w:hAnsi="Arial" w:cs="Arial" w:eastAsia="Arial" w:hint="default"/>
                <w:sz w:val="18"/>
                <w:szCs w:val="18"/>
              </w:rPr>
            </w:pPr>
            <w:r>
              <w:rPr>
                <w:rFonts w:ascii="Arial"/>
                <w:w w:val="95"/>
                <w:sz w:val="18"/>
              </w:rPr>
              <w:t>435</w:t>
            </w:r>
            <w:r>
              <w:rPr>
                <w:rFonts w:ascii="Arial"/>
                <w:sz w:val="18"/>
              </w:rPr>
            </w:r>
          </w:p>
        </w:tc>
      </w:tr>
    </w:tbl>
    <w:p>
      <w:pPr>
        <w:spacing w:after="0" w:line="240" w:lineRule="auto"/>
        <w:jc w:val="right"/>
        <w:rPr>
          <w:rFonts w:ascii="Arial" w:hAnsi="Arial" w:cs="Arial" w:eastAsia="Arial" w:hint="default"/>
          <w:sz w:val="18"/>
          <w:szCs w:val="18"/>
        </w:rPr>
        <w:sectPr>
          <w:headerReference w:type="default" r:id="rId99"/>
          <w:footerReference w:type="default" r:id="rId100"/>
          <w:pgSz w:w="16850" w:h="11910" w:orient="landscape"/>
          <w:pgMar w:header="795" w:footer="1340" w:top="2020" w:bottom="1540" w:left="420" w:right="0"/>
          <w:pgNumType w:start="2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710"/>
        <w:gridCol w:w="2976"/>
      </w:tblGrid>
      <w:tr>
        <w:trPr>
          <w:trHeight w:val="495"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2976" w:type="dxa"/>
            <w:tcBorders>
              <w:top w:val="nil" w:sz="6" w:space="0" w:color="auto"/>
              <w:left w:val="nil" w:sz="6" w:space="0" w:color="auto"/>
              <w:bottom w:val="nil" w:sz="6" w:space="0" w:color="auto"/>
              <w:right w:val="nil" w:sz="6" w:space="0" w:color="auto"/>
            </w:tcBorders>
          </w:tcPr>
          <w:p>
            <w:pPr>
              <w:pStyle w:val="TableParagraph"/>
              <w:spacing w:line="257" w:lineRule="exact"/>
              <w:ind w:left="216"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7"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(5)</w:t>
            </w: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6"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3"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(b)</w:t>
            </w: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6" w:right="0"/>
              <w:jc w:val="left"/>
              <w:rPr>
                <w:rFonts w:ascii="Arial" w:hAnsi="Arial" w:cs="Arial" w:eastAsia="Arial" w:hint="default"/>
                <w:sz w:val="24"/>
                <w:szCs w:val="24"/>
              </w:rPr>
            </w:pPr>
            <w:r>
              <w:rPr>
                <w:rFonts w:ascii="宋体" w:hAnsi="宋体" w:cs="宋体" w:eastAsia="宋体" w:hint="default"/>
                <w:sz w:val="24"/>
                <w:szCs w:val="24"/>
              </w:rPr>
              <w:t>租赁</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3"/>
          <w:szCs w:val="13"/>
        </w:rPr>
      </w:pPr>
    </w:p>
    <w:tbl>
      <w:tblPr>
        <w:tblW w:w="0" w:type="auto"/>
        <w:jc w:val="left"/>
        <w:tblInd w:w="808" w:type="dxa"/>
        <w:tblLayout w:type="fixed"/>
        <w:tblCellMar>
          <w:top w:w="0" w:type="dxa"/>
          <w:left w:w="0" w:type="dxa"/>
          <w:bottom w:w="0" w:type="dxa"/>
          <w:right w:w="0" w:type="dxa"/>
        </w:tblCellMar>
        <w:tblLook w:val="01E0"/>
      </w:tblPr>
      <w:tblGrid>
        <w:gridCol w:w="1483"/>
        <w:gridCol w:w="2294"/>
        <w:gridCol w:w="2010"/>
        <w:gridCol w:w="2226"/>
        <w:gridCol w:w="2108"/>
        <w:gridCol w:w="1927"/>
        <w:gridCol w:w="2137"/>
      </w:tblGrid>
      <w:tr>
        <w:trPr>
          <w:trHeight w:val="430" w:hRule="exact"/>
        </w:trPr>
        <w:tc>
          <w:tcPr>
            <w:tcW w:w="14185" w:type="dxa"/>
            <w:gridSpan w:val="7"/>
            <w:tcBorders>
              <w:top w:val="nil" w:sz="6" w:space="0" w:color="auto"/>
              <w:left w:val="nil" w:sz="6" w:space="0" w:color="auto"/>
              <w:bottom w:val="nil" w:sz="6" w:space="0" w:color="auto"/>
              <w:right w:val="nil" w:sz="6" w:space="0" w:color="auto"/>
            </w:tcBorders>
          </w:tcPr>
          <w:p>
            <w:pPr>
              <w:pStyle w:val="TableParagraph"/>
              <w:spacing w:line="240" w:lineRule="exact"/>
              <w:ind w:left="324" w:right="0"/>
              <w:jc w:val="left"/>
              <w:rPr>
                <w:rFonts w:ascii="宋体" w:hAnsi="宋体" w:cs="宋体" w:eastAsia="宋体" w:hint="default"/>
                <w:sz w:val="24"/>
                <w:szCs w:val="24"/>
              </w:rPr>
            </w:pPr>
            <w:r>
              <w:rPr>
                <w:rFonts w:ascii="宋体" w:hAnsi="宋体" w:cs="宋体" w:eastAsia="宋体" w:hint="default"/>
                <w:sz w:val="24"/>
                <w:szCs w:val="24"/>
              </w:rPr>
              <w:t>本集团作为出租方：</w:t>
            </w:r>
          </w:p>
        </w:tc>
      </w:tr>
      <w:tr>
        <w:trPr>
          <w:trHeight w:val="536"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82"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47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01"/>
              <w:jc w:val="right"/>
              <w:rPr>
                <w:rFonts w:ascii="宋体" w:hAnsi="宋体" w:cs="宋体" w:eastAsia="宋体" w:hint="default"/>
                <w:sz w:val="18"/>
                <w:szCs w:val="18"/>
              </w:rPr>
            </w:pPr>
            <w:r>
              <w:rPr>
                <w:rFonts w:ascii="宋体" w:hAnsi="宋体" w:cs="宋体" w:eastAsia="宋体" w:hint="default"/>
                <w:sz w:val="18"/>
                <w:szCs w:val="18"/>
              </w:rPr>
              <w:t>租赁起始日</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49"/>
              <w:jc w:val="right"/>
              <w:rPr>
                <w:rFonts w:ascii="宋体" w:hAnsi="宋体" w:cs="宋体" w:eastAsia="宋体" w:hint="default"/>
                <w:sz w:val="18"/>
                <w:szCs w:val="18"/>
              </w:rPr>
            </w:pPr>
            <w:r>
              <w:rPr>
                <w:rFonts w:ascii="宋体" w:hAnsi="宋体" w:cs="宋体" w:eastAsia="宋体" w:hint="default"/>
                <w:sz w:val="18"/>
                <w:szCs w:val="18"/>
              </w:rPr>
              <w:t>租赁终止日</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15"/>
              <w:jc w:val="right"/>
              <w:rPr>
                <w:rFonts w:ascii="宋体" w:hAnsi="宋体" w:cs="宋体" w:eastAsia="宋体" w:hint="default"/>
                <w:sz w:val="18"/>
                <w:szCs w:val="18"/>
              </w:rPr>
            </w:pPr>
            <w:r>
              <w:rPr>
                <w:rFonts w:ascii="宋体" w:hAnsi="宋体" w:cs="宋体" w:eastAsia="宋体" w:hint="default"/>
                <w:sz w:val="18"/>
                <w:szCs w:val="18"/>
              </w:rPr>
              <w:t>租赁费定价依据</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宋体" w:hAnsi="宋体" w:cs="宋体" w:eastAsia="宋体" w:hint="default"/>
                <w:sz w:val="18"/>
                <w:szCs w:val="18"/>
              </w:rPr>
            </w:pPr>
            <w:r>
              <w:rPr>
                <w:rFonts w:ascii="宋体" w:hAnsi="宋体" w:cs="宋体" w:eastAsia="宋体" w:hint="default"/>
                <w:sz w:val="18"/>
                <w:szCs w:val="18"/>
              </w:rPr>
              <w:t>年度确认的租赁收益</w:t>
            </w:r>
          </w:p>
        </w:tc>
      </w:tr>
      <w:tr>
        <w:trPr>
          <w:trHeight w:val="755"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382" w:right="0"/>
              <w:jc w:val="left"/>
              <w:rPr>
                <w:rFonts w:ascii="宋体" w:hAnsi="宋体" w:cs="宋体" w:eastAsia="宋体" w:hint="default"/>
                <w:sz w:val="18"/>
                <w:szCs w:val="18"/>
              </w:rPr>
            </w:pPr>
            <w:r>
              <w:rPr>
                <w:rFonts w:ascii="宋体" w:hAnsi="宋体" w:cs="宋体" w:eastAsia="宋体" w:hint="default"/>
                <w:sz w:val="18"/>
                <w:szCs w:val="18"/>
              </w:rPr>
              <w:t>玄武苏宁置业</w:t>
            </w:r>
          </w:p>
        </w:tc>
        <w:tc>
          <w:tcPr>
            <w:tcW w:w="2010" w:type="dxa"/>
            <w:tcBorders>
              <w:top w:val="nil" w:sz="6" w:space="0" w:color="auto"/>
              <w:left w:val="nil" w:sz="6" w:space="0" w:color="auto"/>
              <w:bottom w:val="nil" w:sz="6" w:space="0" w:color="auto"/>
              <w:right w:val="nil" w:sz="6" w:space="0" w:color="auto"/>
            </w:tcBorders>
          </w:tcPr>
          <w:p>
            <w:pPr>
              <w:pStyle w:val="TableParagraph"/>
              <w:spacing w:line="234" w:lineRule="exact" w:before="110"/>
              <w:ind w:left="470" w:right="0"/>
              <w:jc w:val="left"/>
              <w:rPr>
                <w:rFonts w:ascii="宋体" w:hAnsi="宋体" w:cs="宋体" w:eastAsia="宋体" w:hint="default"/>
                <w:sz w:val="18"/>
                <w:szCs w:val="18"/>
              </w:rPr>
            </w:pPr>
            <w:r>
              <w:rPr>
                <w:rFonts w:ascii="宋体" w:hAnsi="宋体" w:cs="宋体" w:eastAsia="宋体" w:hint="default"/>
                <w:sz w:val="18"/>
                <w:szCs w:val="18"/>
              </w:rPr>
              <w:t>房屋租赁</w:t>
            </w:r>
          </w:p>
          <w:p>
            <w:pPr>
              <w:pStyle w:val="TableParagraph"/>
              <w:spacing w:line="247" w:lineRule="exact"/>
              <w:ind w:left="470"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诺富特酒店</w:t>
            </w:r>
            <w:r>
              <w:rPr>
                <w:rFonts w:ascii="Arial" w:hAnsi="Arial" w:cs="Arial" w:eastAsia="Arial" w:hint="default"/>
                <w:sz w:val="18"/>
                <w:szCs w:val="18"/>
              </w:rPr>
              <w:t>)</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97"/>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20</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347"/>
              <w:jc w:val="right"/>
              <w:rPr>
                <w:rFonts w:ascii="宋体" w:hAnsi="宋体" w:cs="宋体" w:eastAsia="宋体" w:hint="default"/>
                <w:sz w:val="18"/>
                <w:szCs w:val="18"/>
              </w:rPr>
            </w:pPr>
            <w:r>
              <w:rPr>
                <w:rFonts w:ascii="Arial" w:hAnsi="Arial" w:cs="Arial" w:eastAsia="Arial" w:hint="default"/>
                <w:sz w:val="18"/>
                <w:szCs w:val="18"/>
              </w:rPr>
              <w:t>2026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19</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314"/>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49"/>
              <w:jc w:val="right"/>
              <w:rPr>
                <w:rFonts w:ascii="Arial" w:hAnsi="Arial" w:cs="Arial" w:eastAsia="Arial" w:hint="default"/>
                <w:sz w:val="18"/>
                <w:szCs w:val="18"/>
              </w:rPr>
            </w:pPr>
            <w:r>
              <w:rPr>
                <w:rFonts w:ascii="Arial"/>
                <w:spacing w:val="-1"/>
                <w:sz w:val="18"/>
              </w:rPr>
              <w:t>26,412</w:t>
            </w:r>
          </w:p>
        </w:tc>
      </w:tr>
      <w:tr>
        <w:trPr>
          <w:trHeight w:val="763"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2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382"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2010" w:type="dxa"/>
            <w:tcBorders>
              <w:top w:val="nil" w:sz="6" w:space="0" w:color="auto"/>
              <w:left w:val="nil" w:sz="6" w:space="0" w:color="auto"/>
              <w:bottom w:val="nil" w:sz="6" w:space="0" w:color="auto"/>
              <w:right w:val="nil" w:sz="6" w:space="0" w:color="auto"/>
            </w:tcBorders>
          </w:tcPr>
          <w:p>
            <w:pPr>
              <w:pStyle w:val="TableParagraph"/>
              <w:spacing w:line="234" w:lineRule="exact" w:before="97"/>
              <w:ind w:left="470" w:right="0"/>
              <w:jc w:val="left"/>
              <w:rPr>
                <w:rFonts w:ascii="宋体" w:hAnsi="宋体" w:cs="宋体" w:eastAsia="宋体" w:hint="default"/>
                <w:sz w:val="18"/>
                <w:szCs w:val="18"/>
              </w:rPr>
            </w:pPr>
            <w:r>
              <w:rPr>
                <w:rFonts w:ascii="宋体" w:hAnsi="宋体" w:cs="宋体" w:eastAsia="宋体" w:hint="default"/>
                <w:sz w:val="18"/>
                <w:szCs w:val="18"/>
              </w:rPr>
              <w:t>办公场所租赁</w:t>
            </w:r>
          </w:p>
          <w:p>
            <w:pPr>
              <w:pStyle w:val="TableParagraph"/>
              <w:spacing w:line="247" w:lineRule="exact"/>
              <w:ind w:left="470"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徐庄总部</w:t>
            </w:r>
            <w:r>
              <w:rPr>
                <w:rFonts w:ascii="Arial" w:hAnsi="Arial" w:cs="Arial" w:eastAsia="Arial" w:hint="default"/>
                <w:sz w:val="18"/>
                <w:szCs w:val="18"/>
              </w:rPr>
              <w:t>)</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97"/>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7</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347"/>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314"/>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49"/>
              <w:jc w:val="right"/>
              <w:rPr>
                <w:rFonts w:ascii="Arial" w:hAnsi="Arial" w:cs="Arial" w:eastAsia="Arial" w:hint="default"/>
                <w:sz w:val="18"/>
                <w:szCs w:val="18"/>
              </w:rPr>
            </w:pPr>
            <w:r>
              <w:rPr>
                <w:rFonts w:ascii="Arial"/>
                <w:w w:val="95"/>
                <w:sz w:val="18"/>
              </w:rPr>
              <w:t>9,447</w:t>
            </w:r>
            <w:r>
              <w:rPr>
                <w:rFonts w:ascii="Arial"/>
                <w:sz w:val="18"/>
              </w:rPr>
            </w:r>
          </w:p>
        </w:tc>
      </w:tr>
      <w:tr>
        <w:trPr>
          <w:trHeight w:val="532"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82"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470" w:right="0"/>
              <w:jc w:val="left"/>
              <w:rPr>
                <w:rFonts w:ascii="宋体" w:hAnsi="宋体" w:cs="宋体" w:eastAsia="宋体" w:hint="default"/>
                <w:sz w:val="18"/>
                <w:szCs w:val="18"/>
              </w:rPr>
            </w:pPr>
            <w:r>
              <w:rPr>
                <w:rFonts w:ascii="宋体" w:hAnsi="宋体" w:cs="宋体" w:eastAsia="宋体" w:hint="default"/>
                <w:sz w:val="18"/>
                <w:szCs w:val="18"/>
              </w:rPr>
              <w:t>龙吟广场</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7"/>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47"/>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15</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14"/>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248"/>
              <w:jc w:val="right"/>
              <w:rPr>
                <w:rFonts w:ascii="Arial" w:hAnsi="Arial" w:cs="Arial" w:eastAsia="Arial" w:hint="default"/>
                <w:sz w:val="18"/>
                <w:szCs w:val="18"/>
              </w:rPr>
            </w:pPr>
            <w:r>
              <w:rPr>
                <w:rFonts w:ascii="Arial"/>
                <w:w w:val="95"/>
                <w:sz w:val="18"/>
              </w:rPr>
              <w:t>850</w:t>
            </w:r>
            <w:r>
              <w:rPr>
                <w:rFonts w:ascii="Arial"/>
                <w:sz w:val="18"/>
              </w:rPr>
            </w:r>
          </w:p>
        </w:tc>
      </w:tr>
      <w:tr>
        <w:trPr>
          <w:trHeight w:val="743"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382" w:right="0"/>
              <w:jc w:val="left"/>
              <w:rPr>
                <w:rFonts w:ascii="宋体" w:hAnsi="宋体" w:cs="宋体" w:eastAsia="宋体" w:hint="default"/>
                <w:sz w:val="18"/>
                <w:szCs w:val="18"/>
              </w:rPr>
            </w:pPr>
            <w:r>
              <w:rPr>
                <w:rFonts w:ascii="宋体" w:hAnsi="宋体" w:cs="宋体" w:eastAsia="宋体" w:hint="default"/>
                <w:sz w:val="18"/>
                <w:szCs w:val="18"/>
              </w:rPr>
              <w:t>苏宁商业管理公司</w:t>
            </w:r>
          </w:p>
        </w:tc>
        <w:tc>
          <w:tcPr>
            <w:tcW w:w="2010" w:type="dxa"/>
            <w:tcBorders>
              <w:top w:val="nil" w:sz="6" w:space="0" w:color="auto"/>
              <w:left w:val="nil" w:sz="6" w:space="0" w:color="auto"/>
              <w:bottom w:val="nil" w:sz="6" w:space="0" w:color="auto"/>
              <w:right w:val="nil" w:sz="6" w:space="0" w:color="auto"/>
            </w:tcBorders>
          </w:tcPr>
          <w:p>
            <w:pPr>
              <w:pStyle w:val="TableParagraph"/>
              <w:spacing w:line="234" w:lineRule="exact" w:before="98"/>
              <w:ind w:left="470" w:right="0"/>
              <w:jc w:val="left"/>
              <w:rPr>
                <w:rFonts w:ascii="宋体" w:hAnsi="宋体" w:cs="宋体" w:eastAsia="宋体" w:hint="default"/>
                <w:sz w:val="18"/>
                <w:szCs w:val="18"/>
              </w:rPr>
            </w:pPr>
            <w:r>
              <w:rPr>
                <w:rFonts w:ascii="宋体" w:hAnsi="宋体" w:cs="宋体" w:eastAsia="宋体" w:hint="default"/>
                <w:sz w:val="18"/>
                <w:szCs w:val="18"/>
              </w:rPr>
              <w:t>办公场所租赁</w:t>
            </w:r>
          </w:p>
          <w:p>
            <w:pPr>
              <w:pStyle w:val="TableParagraph"/>
              <w:spacing w:line="247" w:lineRule="exact"/>
              <w:ind w:left="470"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徐庄总部</w:t>
            </w:r>
            <w:r>
              <w:rPr>
                <w:rFonts w:ascii="Arial" w:hAnsi="Arial" w:cs="Arial" w:eastAsia="Arial" w:hint="default"/>
                <w:sz w:val="18"/>
                <w:szCs w:val="18"/>
              </w:rPr>
              <w:t>)</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97"/>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7</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347"/>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314"/>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48"/>
              <w:jc w:val="right"/>
              <w:rPr>
                <w:rFonts w:ascii="Arial" w:hAnsi="Arial" w:cs="Arial" w:eastAsia="Arial" w:hint="default"/>
                <w:sz w:val="18"/>
                <w:szCs w:val="18"/>
              </w:rPr>
            </w:pPr>
            <w:r>
              <w:rPr>
                <w:rFonts w:ascii="Arial"/>
                <w:w w:val="95"/>
                <w:sz w:val="18"/>
              </w:rPr>
              <w:t>454</w:t>
            </w:r>
            <w:r>
              <w:rPr>
                <w:rFonts w:ascii="Arial"/>
                <w:sz w:val="18"/>
              </w:rPr>
            </w:r>
          </w:p>
        </w:tc>
      </w:tr>
      <w:tr>
        <w:trPr>
          <w:trHeight w:val="801"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2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382" w:right="0"/>
              <w:jc w:val="left"/>
              <w:rPr>
                <w:rFonts w:ascii="宋体" w:hAnsi="宋体" w:cs="宋体" w:eastAsia="宋体" w:hint="default"/>
                <w:sz w:val="18"/>
                <w:szCs w:val="18"/>
              </w:rPr>
            </w:pPr>
            <w:r>
              <w:rPr>
                <w:rFonts w:ascii="宋体" w:hAnsi="宋体" w:cs="宋体" w:eastAsia="宋体" w:hint="default"/>
                <w:sz w:val="18"/>
                <w:szCs w:val="18"/>
              </w:rPr>
              <w:t>银河酒店管理公司</w:t>
            </w:r>
          </w:p>
        </w:tc>
        <w:tc>
          <w:tcPr>
            <w:tcW w:w="2010" w:type="dxa"/>
            <w:tcBorders>
              <w:top w:val="nil" w:sz="6" w:space="0" w:color="auto"/>
              <w:left w:val="nil" w:sz="6" w:space="0" w:color="auto"/>
              <w:bottom w:val="nil" w:sz="6" w:space="0" w:color="auto"/>
              <w:right w:val="nil" w:sz="6" w:space="0" w:color="auto"/>
            </w:tcBorders>
          </w:tcPr>
          <w:p>
            <w:pPr>
              <w:pStyle w:val="TableParagraph"/>
              <w:spacing w:line="234" w:lineRule="exact" w:before="97"/>
              <w:ind w:left="470" w:right="0"/>
              <w:jc w:val="left"/>
              <w:rPr>
                <w:rFonts w:ascii="宋体" w:hAnsi="宋体" w:cs="宋体" w:eastAsia="宋体" w:hint="default"/>
                <w:sz w:val="18"/>
                <w:szCs w:val="18"/>
              </w:rPr>
            </w:pPr>
            <w:r>
              <w:rPr>
                <w:rFonts w:ascii="宋体" w:hAnsi="宋体" w:cs="宋体" w:eastAsia="宋体" w:hint="default"/>
                <w:sz w:val="18"/>
                <w:szCs w:val="18"/>
              </w:rPr>
              <w:t>办公场所租赁</w:t>
            </w:r>
          </w:p>
          <w:p>
            <w:pPr>
              <w:pStyle w:val="TableParagraph"/>
              <w:spacing w:line="247" w:lineRule="exact"/>
              <w:ind w:left="470"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徐庄总部</w:t>
            </w:r>
            <w:r>
              <w:rPr>
                <w:rFonts w:ascii="Arial" w:hAnsi="Arial" w:cs="Arial" w:eastAsia="Arial" w:hint="default"/>
                <w:sz w:val="18"/>
                <w:szCs w:val="18"/>
              </w:rPr>
              <w:t>)</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97"/>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7</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347"/>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314"/>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48"/>
              <w:jc w:val="right"/>
              <w:rPr>
                <w:rFonts w:ascii="Arial" w:hAnsi="Arial" w:cs="Arial" w:eastAsia="Arial" w:hint="default"/>
                <w:sz w:val="18"/>
                <w:szCs w:val="18"/>
              </w:rPr>
            </w:pPr>
            <w:r>
              <w:rPr>
                <w:rFonts w:ascii="Arial"/>
                <w:w w:val="95"/>
                <w:sz w:val="18"/>
              </w:rPr>
              <w:t>330</w:t>
            </w:r>
            <w:r>
              <w:rPr>
                <w:rFonts w:ascii="Arial"/>
                <w:sz w:val="18"/>
              </w:rPr>
            </w:r>
          </w:p>
        </w:tc>
      </w:tr>
      <w:tr>
        <w:trPr>
          <w:trHeight w:val="568"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2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382" w:right="0"/>
              <w:jc w:val="left"/>
              <w:rPr>
                <w:rFonts w:ascii="宋体" w:hAnsi="宋体" w:cs="宋体" w:eastAsia="宋体" w:hint="default"/>
                <w:sz w:val="18"/>
                <w:szCs w:val="18"/>
              </w:rPr>
            </w:pPr>
            <w:r>
              <w:rPr>
                <w:rFonts w:ascii="宋体" w:hAnsi="宋体" w:cs="宋体" w:eastAsia="宋体" w:hint="default"/>
                <w:sz w:val="18"/>
                <w:szCs w:val="18"/>
              </w:rPr>
              <w:t>福州苏宁置业</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470" w:right="0"/>
              <w:jc w:val="left"/>
              <w:rPr>
                <w:rFonts w:ascii="宋体" w:hAnsi="宋体" w:cs="宋体" w:eastAsia="宋体" w:hint="default"/>
                <w:sz w:val="18"/>
                <w:szCs w:val="18"/>
              </w:rPr>
            </w:pPr>
            <w:r>
              <w:rPr>
                <w:rFonts w:ascii="宋体" w:hAnsi="宋体" w:cs="宋体" w:eastAsia="宋体" w:hint="default"/>
                <w:sz w:val="18"/>
                <w:szCs w:val="18"/>
              </w:rPr>
              <w:t>群升国际</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91"/>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8</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15</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47"/>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14</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14"/>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48"/>
              <w:jc w:val="right"/>
              <w:rPr>
                <w:rFonts w:ascii="Arial" w:hAnsi="Arial" w:cs="Arial" w:eastAsia="Arial" w:hint="default"/>
                <w:sz w:val="18"/>
                <w:szCs w:val="18"/>
              </w:rPr>
            </w:pPr>
            <w:r>
              <w:rPr>
                <w:rFonts w:ascii="Arial"/>
                <w:w w:val="95"/>
                <w:sz w:val="18"/>
              </w:rPr>
              <w:t>224</w:t>
            </w:r>
            <w:r>
              <w:rPr>
                <w:rFonts w:ascii="Arial"/>
                <w:sz w:val="18"/>
              </w:rPr>
            </w:r>
          </w:p>
        </w:tc>
      </w:tr>
      <w:tr>
        <w:trPr>
          <w:trHeight w:val="399"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82" w:right="0"/>
              <w:jc w:val="left"/>
              <w:rPr>
                <w:rFonts w:ascii="宋体" w:hAnsi="宋体" w:cs="宋体" w:eastAsia="宋体" w:hint="default"/>
                <w:sz w:val="18"/>
                <w:szCs w:val="18"/>
              </w:rPr>
            </w:pPr>
            <w:r>
              <w:rPr>
                <w:rFonts w:ascii="宋体" w:hAnsi="宋体" w:cs="宋体" w:eastAsia="宋体" w:hint="default"/>
                <w:sz w:val="18"/>
                <w:szCs w:val="18"/>
              </w:rPr>
              <w:t>银河国际购物广场</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77"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91"/>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54"/>
              <w:jc w:val="righ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14"/>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8"/>
              <w:jc w:val="right"/>
              <w:rPr>
                <w:rFonts w:ascii="Arial" w:hAnsi="Arial" w:cs="Arial" w:eastAsia="Arial" w:hint="default"/>
                <w:sz w:val="18"/>
                <w:szCs w:val="18"/>
              </w:rPr>
            </w:pPr>
            <w:r>
              <w:rPr>
                <w:rFonts w:ascii="Arial"/>
                <w:w w:val="95"/>
                <w:sz w:val="18"/>
              </w:rPr>
              <w:t>52</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795" w:footer="1340" w:top="2020" w:bottom="1540" w:left="420" w:right="0"/>
        </w:sectPr>
      </w:pPr>
    </w:p>
    <w:p>
      <w:pPr>
        <w:spacing w:line="240" w:lineRule="auto" w:before="9"/>
        <w:rPr>
          <w:rFonts w:ascii="Times New Roman" w:hAnsi="Times New Roman" w:cs="Times New Roman" w:eastAsia="Times New Roman" w:hint="default"/>
          <w:sz w:val="29"/>
          <w:szCs w:val="29"/>
        </w:rPr>
      </w:pPr>
      <w:r>
        <w:rPr/>
        <w:pict>
          <v:shape style="position:absolute;margin-left:460.320007pt;margin-top:765.039978pt;width:135.0pt;height:77pt;mso-position-horizontal-relative:page;mso-position-vertical-relative:page;z-index:3976" type="#_x0000_t75" stroked="false">
            <v:imagedata r:id="rId10" o:title=""/>
          </v:shape>
        </w:pict>
      </w:r>
    </w:p>
    <w:tbl>
      <w:tblPr>
        <w:tblW w:w="0" w:type="auto"/>
        <w:jc w:val="left"/>
        <w:tblInd w:w="101" w:type="dxa"/>
        <w:tblLayout w:type="fixed"/>
        <w:tblCellMar>
          <w:top w:w="0" w:type="dxa"/>
          <w:left w:w="0" w:type="dxa"/>
          <w:bottom w:w="0" w:type="dxa"/>
          <w:right w:w="0" w:type="dxa"/>
        </w:tblCellMar>
        <w:tblLook w:val="01E0"/>
      </w:tblPr>
      <w:tblGrid>
        <w:gridCol w:w="723"/>
        <w:gridCol w:w="3380"/>
        <w:gridCol w:w="2482"/>
        <w:gridCol w:w="540"/>
        <w:gridCol w:w="2192"/>
      </w:tblGrid>
      <w:tr>
        <w:trPr>
          <w:trHeight w:val="456" w:hRule="exact"/>
        </w:trPr>
        <w:tc>
          <w:tcPr>
            <w:tcW w:w="723"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六</w:t>
            </w:r>
          </w:p>
        </w:tc>
        <w:tc>
          <w:tcPr>
            <w:tcW w:w="3380" w:type="dxa"/>
            <w:tcBorders>
              <w:top w:val="nil" w:sz="6" w:space="0" w:color="auto"/>
              <w:left w:val="nil" w:sz="6" w:space="0" w:color="auto"/>
              <w:bottom w:val="nil" w:sz="6" w:space="0" w:color="auto"/>
              <w:right w:val="nil" w:sz="6" w:space="0" w:color="auto"/>
            </w:tcBorders>
          </w:tcPr>
          <w:p>
            <w:pPr>
              <w:pStyle w:val="TableParagraph"/>
              <w:spacing w:line="257" w:lineRule="exact"/>
              <w:ind w:left="222"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82"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r>
      <w:tr>
        <w:trPr>
          <w:trHeight w:val="667" w:hRule="exact"/>
        </w:trPr>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13"/>
              <w:jc w:val="center"/>
              <w:rPr>
                <w:rFonts w:ascii="Arial" w:hAnsi="Arial" w:cs="Arial" w:eastAsia="Arial" w:hint="default"/>
                <w:sz w:val="24"/>
                <w:szCs w:val="24"/>
              </w:rPr>
            </w:pPr>
            <w:r>
              <w:rPr>
                <w:rFonts w:ascii="Arial"/>
                <w:sz w:val="24"/>
              </w:rPr>
              <w:t>(5)</w:t>
            </w:r>
          </w:p>
        </w:tc>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222"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82"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r>
      <w:tr>
        <w:trPr>
          <w:trHeight w:val="665" w:hRule="exact"/>
        </w:trPr>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27"/>
              <w:jc w:val="center"/>
              <w:rPr>
                <w:rFonts w:ascii="Arial" w:hAnsi="Arial" w:cs="Arial" w:eastAsia="Arial" w:hint="default"/>
                <w:sz w:val="24"/>
                <w:szCs w:val="24"/>
              </w:rPr>
            </w:pPr>
            <w:r>
              <w:rPr>
                <w:rFonts w:ascii="Arial"/>
                <w:sz w:val="24"/>
              </w:rPr>
              <w:t>(c)</w:t>
            </w:r>
          </w:p>
        </w:tc>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222" w:right="0"/>
              <w:jc w:val="left"/>
              <w:rPr>
                <w:rFonts w:ascii="宋体" w:hAnsi="宋体" w:cs="宋体" w:eastAsia="宋体" w:hint="default"/>
                <w:sz w:val="24"/>
                <w:szCs w:val="24"/>
              </w:rPr>
            </w:pPr>
            <w:r>
              <w:rPr>
                <w:rFonts w:ascii="宋体" w:hAnsi="宋体" w:cs="宋体" w:eastAsia="宋体" w:hint="default"/>
                <w:sz w:val="24"/>
                <w:szCs w:val="24"/>
              </w:rPr>
              <w:t>担保</w:t>
            </w:r>
          </w:p>
        </w:tc>
        <w:tc>
          <w:tcPr>
            <w:tcW w:w="2482"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r>
      <w:tr>
        <w:trPr>
          <w:trHeight w:val="973" w:hRule="exact"/>
        </w:trPr>
        <w:tc>
          <w:tcPr>
            <w:tcW w:w="9317" w:type="dxa"/>
            <w:gridSpan w:val="5"/>
            <w:tcBorders>
              <w:top w:val="nil" w:sz="6" w:space="0" w:color="auto"/>
              <w:left w:val="nil" w:sz="6" w:space="0" w:color="auto"/>
              <w:bottom w:val="nil" w:sz="6" w:space="0" w:color="auto"/>
              <w:right w:val="nil" w:sz="6" w:space="0" w:color="auto"/>
            </w:tcBorders>
          </w:tcPr>
          <w:p>
            <w:pPr>
              <w:pStyle w:val="TableParagraph"/>
              <w:spacing w:line="310" w:lineRule="exact" w:before="172"/>
              <w:ind w:left="946" w:right="106"/>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2"/>
                <w:sz w:val="24"/>
                <w:szCs w:val="24"/>
              </w:rPr>
              <w:t> </w:t>
            </w:r>
            <w:r>
              <w:rPr>
                <w:rFonts w:ascii="Arial" w:hAnsi="Arial" w:cs="Arial" w:eastAsia="Arial" w:hint="default"/>
                <w:sz w:val="24"/>
                <w:szCs w:val="24"/>
              </w:rPr>
              <w:t>2012</w:t>
            </w:r>
            <w:r>
              <w:rPr>
                <w:rFonts w:ascii="Arial" w:hAnsi="Arial" w:cs="Arial" w:eastAsia="Arial" w:hint="default"/>
                <w:spacing w:val="2"/>
                <w:sz w:val="24"/>
                <w:szCs w:val="24"/>
              </w:rPr>
              <w:t> </w:t>
            </w:r>
            <w:r>
              <w:rPr>
                <w:rFonts w:ascii="宋体" w:hAnsi="宋体" w:cs="宋体" w:eastAsia="宋体" w:hint="default"/>
                <w:sz w:val="24"/>
                <w:szCs w:val="24"/>
              </w:rPr>
              <w:t>年度，无关联方为本集团提供担保 </w:t>
            </w:r>
            <w:r>
              <w:rPr>
                <w:rFonts w:ascii="Arial" w:hAnsi="Arial" w:cs="Arial" w:eastAsia="Arial" w:hint="default"/>
                <w:spacing w:val="-4"/>
                <w:sz w:val="24"/>
                <w:szCs w:val="24"/>
              </w:rPr>
              <w:t>(2011</w:t>
            </w:r>
            <w:r>
              <w:rPr>
                <w:rFonts w:ascii="Arial" w:hAnsi="Arial" w:cs="Arial" w:eastAsia="Arial" w:hint="default"/>
                <w:spacing w:val="2"/>
                <w:sz w:val="24"/>
                <w:szCs w:val="24"/>
              </w:rPr>
              <w:t> </w:t>
            </w:r>
            <w:r>
              <w:rPr>
                <w:rFonts w:ascii="宋体" w:hAnsi="宋体" w:cs="宋体" w:eastAsia="宋体" w:hint="default"/>
                <w:sz w:val="24"/>
                <w:szCs w:val="24"/>
              </w:rPr>
              <w:t>年度：无</w:t>
            </w:r>
            <w:r>
              <w:rPr>
                <w:rFonts w:ascii="Arial" w:hAnsi="Arial" w:cs="Arial" w:eastAsia="Arial" w:hint="default"/>
                <w:sz w:val="24"/>
                <w:szCs w:val="24"/>
              </w:rPr>
              <w:t>)</w:t>
            </w:r>
            <w:r>
              <w:rPr>
                <w:rFonts w:ascii="宋体" w:hAnsi="宋体" w:cs="宋体" w:eastAsia="宋体" w:hint="default"/>
                <w:sz w:val="24"/>
                <w:szCs w:val="24"/>
              </w:rPr>
              <w:t>，也无本集团为关 联方提供担保。</w:t>
            </w:r>
          </w:p>
        </w:tc>
      </w:tr>
      <w:tr>
        <w:trPr>
          <w:trHeight w:val="671" w:hRule="exact"/>
        </w:trPr>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28"/>
              <w:jc w:val="center"/>
              <w:rPr>
                <w:rFonts w:ascii="Arial" w:hAnsi="Arial" w:cs="Arial" w:eastAsia="Arial" w:hint="default"/>
                <w:sz w:val="24"/>
                <w:szCs w:val="24"/>
              </w:rPr>
            </w:pPr>
            <w:r>
              <w:rPr>
                <w:rFonts w:ascii="Arial"/>
                <w:sz w:val="24"/>
              </w:rPr>
              <w:t>(d)</w:t>
            </w:r>
          </w:p>
        </w:tc>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39" w:right="0"/>
              <w:jc w:val="left"/>
              <w:rPr>
                <w:rFonts w:ascii="宋体" w:hAnsi="宋体" w:cs="宋体" w:eastAsia="宋体" w:hint="default"/>
                <w:sz w:val="24"/>
                <w:szCs w:val="24"/>
              </w:rPr>
            </w:pPr>
            <w:r>
              <w:rPr>
                <w:rFonts w:ascii="宋体" w:hAnsi="宋体" w:cs="宋体" w:eastAsia="宋体" w:hint="default"/>
                <w:sz w:val="24"/>
                <w:szCs w:val="24"/>
              </w:rPr>
              <w:t>接受代建服务</w:t>
            </w:r>
          </w:p>
        </w:tc>
        <w:tc>
          <w:tcPr>
            <w:tcW w:w="2482"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r>
      <w:tr>
        <w:trPr>
          <w:trHeight w:val="516" w:hRule="exact"/>
        </w:trPr>
        <w:tc>
          <w:tcPr>
            <w:tcW w:w="723" w:type="dxa"/>
            <w:tcBorders>
              <w:top w:val="nil" w:sz="6" w:space="0" w:color="auto"/>
              <w:left w:val="nil" w:sz="6" w:space="0" w:color="auto"/>
              <w:bottom w:val="nil" w:sz="6" w:space="0" w:color="auto"/>
              <w:right w:val="nil" w:sz="6" w:space="0" w:color="auto"/>
            </w:tcBorders>
          </w:tcPr>
          <w:p>
            <w:pPr/>
          </w:p>
        </w:tc>
        <w:tc>
          <w:tcPr>
            <w:tcW w:w="3380"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3"/>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359" w:hRule="exact"/>
        </w:trPr>
        <w:tc>
          <w:tcPr>
            <w:tcW w:w="723" w:type="dxa"/>
            <w:tcBorders>
              <w:top w:val="nil" w:sz="6" w:space="0" w:color="auto"/>
              <w:left w:val="nil" w:sz="6" w:space="0" w:color="auto"/>
              <w:bottom w:val="nil" w:sz="6" w:space="0" w:color="auto"/>
              <w:right w:val="nil" w:sz="6" w:space="0" w:color="auto"/>
            </w:tcBorders>
          </w:tcPr>
          <w:p>
            <w:pPr/>
          </w:p>
        </w:tc>
        <w:tc>
          <w:tcPr>
            <w:tcW w:w="3380" w:type="dxa"/>
            <w:tcBorders>
              <w:top w:val="nil" w:sz="6" w:space="0" w:color="auto"/>
              <w:left w:val="nil" w:sz="6" w:space="0" w:color="auto"/>
              <w:bottom w:val="nil" w:sz="6" w:space="0" w:color="auto"/>
              <w:right w:val="nil" w:sz="6" w:space="0" w:color="auto"/>
            </w:tcBorders>
          </w:tcPr>
          <w:p>
            <w:pPr>
              <w:pStyle w:val="TableParagraph"/>
              <w:spacing w:line="291" w:lineRule="exact"/>
              <w:ind w:left="239"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5"/>
              <w:jc w:val="right"/>
              <w:rPr>
                <w:rFonts w:ascii="Arial" w:hAnsi="Arial" w:cs="Arial" w:eastAsia="Arial" w:hint="default"/>
                <w:sz w:val="24"/>
                <w:szCs w:val="24"/>
              </w:rPr>
            </w:pPr>
            <w:r>
              <w:rPr>
                <w:rFonts w:ascii="Arial"/>
                <w:spacing w:val="-1"/>
                <w:sz w:val="24"/>
              </w:rPr>
              <w:t>25,838</w:t>
            </w: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52" w:hRule="exact"/>
        </w:trPr>
        <w:tc>
          <w:tcPr>
            <w:tcW w:w="723" w:type="dxa"/>
            <w:tcBorders>
              <w:top w:val="nil" w:sz="6" w:space="0" w:color="auto"/>
              <w:left w:val="nil" w:sz="6" w:space="0" w:color="auto"/>
              <w:bottom w:val="nil" w:sz="6" w:space="0" w:color="auto"/>
              <w:right w:val="nil" w:sz="6" w:space="0" w:color="auto"/>
            </w:tcBorders>
          </w:tcPr>
          <w:p>
            <w:pPr/>
          </w:p>
        </w:tc>
        <w:tc>
          <w:tcPr>
            <w:tcW w:w="3380" w:type="dxa"/>
            <w:tcBorders>
              <w:top w:val="nil" w:sz="6" w:space="0" w:color="auto"/>
              <w:left w:val="nil" w:sz="6" w:space="0" w:color="auto"/>
              <w:bottom w:val="nil" w:sz="6" w:space="0" w:color="auto"/>
              <w:right w:val="nil" w:sz="6" w:space="0" w:color="auto"/>
            </w:tcBorders>
          </w:tcPr>
          <w:p>
            <w:pPr>
              <w:pStyle w:val="TableParagraph"/>
              <w:spacing w:line="282" w:lineRule="exact"/>
              <w:ind w:left="239" w:right="0"/>
              <w:jc w:val="left"/>
              <w:rPr>
                <w:rFonts w:ascii="宋体" w:hAnsi="宋体" w:cs="宋体" w:eastAsia="宋体" w:hint="default"/>
                <w:sz w:val="24"/>
                <w:szCs w:val="24"/>
              </w:rPr>
            </w:pPr>
            <w:r>
              <w:rPr>
                <w:rFonts w:ascii="宋体" w:hAnsi="宋体" w:cs="宋体" w:eastAsia="宋体" w:hint="default"/>
                <w:sz w:val="24"/>
                <w:szCs w:val="24"/>
              </w:rPr>
              <w:t>上海苏宁房地产开发</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5"/>
              <w:jc w:val="right"/>
              <w:rPr>
                <w:rFonts w:ascii="Arial" w:hAnsi="Arial" w:cs="Arial" w:eastAsia="Arial" w:hint="default"/>
                <w:sz w:val="24"/>
                <w:szCs w:val="24"/>
              </w:rPr>
            </w:pPr>
            <w:r>
              <w:rPr>
                <w:rFonts w:ascii="Arial"/>
                <w:spacing w:val="-1"/>
                <w:sz w:val="24"/>
              </w:rPr>
              <w:t>6,470</w:t>
            </w: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52" w:hRule="exact"/>
        </w:trPr>
        <w:tc>
          <w:tcPr>
            <w:tcW w:w="723" w:type="dxa"/>
            <w:tcBorders>
              <w:top w:val="nil" w:sz="6" w:space="0" w:color="auto"/>
              <w:left w:val="nil" w:sz="6" w:space="0" w:color="auto"/>
              <w:bottom w:val="nil" w:sz="6" w:space="0" w:color="auto"/>
              <w:right w:val="nil" w:sz="6" w:space="0" w:color="auto"/>
            </w:tcBorders>
          </w:tcPr>
          <w:p>
            <w:pPr/>
          </w:p>
        </w:tc>
        <w:tc>
          <w:tcPr>
            <w:tcW w:w="3380" w:type="dxa"/>
            <w:tcBorders>
              <w:top w:val="nil" w:sz="6" w:space="0" w:color="auto"/>
              <w:left w:val="nil" w:sz="6" w:space="0" w:color="auto"/>
              <w:bottom w:val="nil" w:sz="6" w:space="0" w:color="auto"/>
              <w:right w:val="nil" w:sz="6" w:space="0" w:color="auto"/>
            </w:tcBorders>
          </w:tcPr>
          <w:p>
            <w:pPr>
              <w:pStyle w:val="TableParagraph"/>
              <w:spacing w:line="281" w:lineRule="exact"/>
              <w:ind w:left="239" w:right="0"/>
              <w:jc w:val="left"/>
              <w:rPr>
                <w:rFonts w:ascii="宋体" w:hAnsi="宋体" w:cs="宋体" w:eastAsia="宋体" w:hint="default"/>
                <w:sz w:val="24"/>
                <w:szCs w:val="24"/>
              </w:rPr>
            </w:pPr>
            <w:r>
              <w:rPr>
                <w:rFonts w:ascii="宋体" w:hAnsi="宋体" w:cs="宋体" w:eastAsia="宋体" w:hint="default"/>
                <w:sz w:val="24"/>
                <w:szCs w:val="24"/>
              </w:rPr>
              <w:t>北京苏宁置业</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Arial" w:hAnsi="Arial" w:cs="Arial" w:eastAsia="Arial" w:hint="default"/>
                <w:sz w:val="24"/>
                <w:szCs w:val="24"/>
              </w:rPr>
            </w:pPr>
            <w:r>
              <w:rPr>
                <w:rFonts w:ascii="Arial"/>
                <w:spacing w:val="-1"/>
                <w:sz w:val="24"/>
              </w:rPr>
              <w:t>5,790</w:t>
            </w: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50" w:hRule="exact"/>
        </w:trPr>
        <w:tc>
          <w:tcPr>
            <w:tcW w:w="723" w:type="dxa"/>
            <w:tcBorders>
              <w:top w:val="nil" w:sz="6" w:space="0" w:color="auto"/>
              <w:left w:val="nil" w:sz="6" w:space="0" w:color="auto"/>
              <w:bottom w:val="nil" w:sz="6" w:space="0" w:color="auto"/>
              <w:right w:val="nil" w:sz="6" w:space="0" w:color="auto"/>
            </w:tcBorders>
          </w:tcPr>
          <w:p>
            <w:pPr/>
          </w:p>
        </w:tc>
        <w:tc>
          <w:tcPr>
            <w:tcW w:w="3380" w:type="dxa"/>
            <w:tcBorders>
              <w:top w:val="nil" w:sz="6" w:space="0" w:color="auto"/>
              <w:left w:val="nil" w:sz="6" w:space="0" w:color="auto"/>
              <w:bottom w:val="nil" w:sz="6" w:space="0" w:color="auto"/>
              <w:right w:val="nil" w:sz="6" w:space="0" w:color="auto"/>
            </w:tcBorders>
          </w:tcPr>
          <w:p>
            <w:pPr>
              <w:pStyle w:val="TableParagraph"/>
              <w:spacing w:line="282" w:lineRule="exact"/>
              <w:ind w:left="239" w:right="0"/>
              <w:jc w:val="left"/>
              <w:rPr>
                <w:rFonts w:ascii="宋体" w:hAnsi="宋体" w:cs="宋体" w:eastAsia="宋体" w:hint="default"/>
                <w:sz w:val="24"/>
                <w:szCs w:val="24"/>
              </w:rPr>
            </w:pPr>
            <w:r>
              <w:rPr>
                <w:rFonts w:ascii="宋体" w:hAnsi="宋体" w:cs="宋体" w:eastAsia="宋体" w:hint="default"/>
                <w:sz w:val="24"/>
                <w:szCs w:val="24"/>
              </w:rPr>
              <w:t>徐州苏宁置业</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5"/>
              <w:jc w:val="right"/>
              <w:rPr>
                <w:rFonts w:ascii="Arial" w:hAnsi="Arial" w:cs="Arial" w:eastAsia="Arial" w:hint="default"/>
                <w:sz w:val="24"/>
                <w:szCs w:val="24"/>
              </w:rPr>
            </w:pPr>
            <w:r>
              <w:rPr>
                <w:rFonts w:ascii="Arial"/>
                <w:spacing w:val="-1"/>
                <w:sz w:val="24"/>
              </w:rPr>
              <w:t>1,570</w:t>
            </w: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52" w:hRule="exact"/>
        </w:trPr>
        <w:tc>
          <w:tcPr>
            <w:tcW w:w="723" w:type="dxa"/>
            <w:tcBorders>
              <w:top w:val="nil" w:sz="6" w:space="0" w:color="auto"/>
              <w:left w:val="nil" w:sz="6" w:space="0" w:color="auto"/>
              <w:bottom w:val="nil" w:sz="6" w:space="0" w:color="auto"/>
              <w:right w:val="nil" w:sz="6" w:space="0" w:color="auto"/>
            </w:tcBorders>
          </w:tcPr>
          <w:p>
            <w:pPr/>
          </w:p>
        </w:tc>
        <w:tc>
          <w:tcPr>
            <w:tcW w:w="3380" w:type="dxa"/>
            <w:tcBorders>
              <w:top w:val="nil" w:sz="6" w:space="0" w:color="auto"/>
              <w:left w:val="nil" w:sz="6" w:space="0" w:color="auto"/>
              <w:bottom w:val="nil" w:sz="6" w:space="0" w:color="auto"/>
              <w:right w:val="nil" w:sz="6" w:space="0" w:color="auto"/>
            </w:tcBorders>
          </w:tcPr>
          <w:p>
            <w:pPr>
              <w:pStyle w:val="TableParagraph"/>
              <w:spacing w:line="282" w:lineRule="exact"/>
              <w:ind w:left="239" w:right="0"/>
              <w:jc w:val="left"/>
              <w:rPr>
                <w:rFonts w:ascii="宋体" w:hAnsi="宋体" w:cs="宋体" w:eastAsia="宋体" w:hint="default"/>
                <w:sz w:val="24"/>
                <w:szCs w:val="24"/>
              </w:rPr>
            </w:pPr>
            <w:r>
              <w:rPr>
                <w:rFonts w:ascii="宋体" w:hAnsi="宋体" w:cs="宋体" w:eastAsia="宋体" w:hint="default"/>
                <w:sz w:val="24"/>
                <w:szCs w:val="24"/>
              </w:rPr>
              <w:t>无锡苏宁置业</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5"/>
              <w:jc w:val="right"/>
              <w:rPr>
                <w:rFonts w:ascii="Arial" w:hAnsi="Arial" w:cs="Arial" w:eastAsia="Arial" w:hint="default"/>
                <w:sz w:val="24"/>
                <w:szCs w:val="24"/>
              </w:rPr>
            </w:pPr>
            <w:r>
              <w:rPr>
                <w:rFonts w:ascii="Arial"/>
                <w:spacing w:val="-1"/>
                <w:sz w:val="24"/>
              </w:rPr>
              <w:t>1,430</w:t>
            </w: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52" w:hRule="exact"/>
        </w:trPr>
        <w:tc>
          <w:tcPr>
            <w:tcW w:w="723" w:type="dxa"/>
            <w:tcBorders>
              <w:top w:val="nil" w:sz="6" w:space="0" w:color="auto"/>
              <w:left w:val="nil" w:sz="6" w:space="0" w:color="auto"/>
              <w:bottom w:val="nil" w:sz="6" w:space="0" w:color="auto"/>
              <w:right w:val="nil" w:sz="6" w:space="0" w:color="auto"/>
            </w:tcBorders>
          </w:tcPr>
          <w:p>
            <w:pPr/>
          </w:p>
        </w:tc>
        <w:tc>
          <w:tcPr>
            <w:tcW w:w="3380" w:type="dxa"/>
            <w:tcBorders>
              <w:top w:val="nil" w:sz="6" w:space="0" w:color="auto"/>
              <w:left w:val="nil" w:sz="6" w:space="0" w:color="auto"/>
              <w:bottom w:val="nil" w:sz="6" w:space="0" w:color="auto"/>
              <w:right w:val="nil" w:sz="6" w:space="0" w:color="auto"/>
            </w:tcBorders>
          </w:tcPr>
          <w:p>
            <w:pPr>
              <w:pStyle w:val="TableParagraph"/>
              <w:spacing w:line="281" w:lineRule="exact"/>
              <w:ind w:left="239" w:right="0"/>
              <w:jc w:val="left"/>
              <w:rPr>
                <w:rFonts w:ascii="宋体" w:hAnsi="宋体" w:cs="宋体" w:eastAsia="宋体" w:hint="default"/>
                <w:sz w:val="24"/>
                <w:szCs w:val="24"/>
              </w:rPr>
            </w:pPr>
            <w:r>
              <w:rPr>
                <w:rFonts w:ascii="宋体" w:hAnsi="宋体" w:cs="宋体" w:eastAsia="宋体" w:hint="default"/>
                <w:sz w:val="24"/>
                <w:szCs w:val="24"/>
              </w:rPr>
              <w:t>福州苏宁置业</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3"/>
              <w:jc w:val="right"/>
              <w:rPr>
                <w:rFonts w:ascii="Arial" w:hAnsi="Arial" w:cs="Arial" w:eastAsia="Arial" w:hint="default"/>
                <w:sz w:val="24"/>
                <w:szCs w:val="24"/>
              </w:rPr>
            </w:pPr>
            <w:r>
              <w:rPr>
                <w:rFonts w:ascii="Arial"/>
                <w:w w:val="95"/>
                <w:sz w:val="24"/>
              </w:rPr>
              <w:t>470</w:t>
            </w:r>
            <w:r>
              <w:rPr>
                <w:rFonts w:ascii="Arial"/>
                <w:sz w:val="24"/>
              </w:rPr>
            </w: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51" w:hRule="exact"/>
        </w:trPr>
        <w:tc>
          <w:tcPr>
            <w:tcW w:w="723" w:type="dxa"/>
            <w:tcBorders>
              <w:top w:val="nil" w:sz="6" w:space="0" w:color="auto"/>
              <w:left w:val="nil" w:sz="6" w:space="0" w:color="auto"/>
              <w:bottom w:val="nil" w:sz="6" w:space="0" w:color="auto"/>
              <w:right w:val="nil" w:sz="6" w:space="0" w:color="auto"/>
            </w:tcBorders>
          </w:tcPr>
          <w:p>
            <w:pPr/>
          </w:p>
        </w:tc>
        <w:tc>
          <w:tcPr>
            <w:tcW w:w="3380" w:type="dxa"/>
            <w:tcBorders>
              <w:top w:val="nil" w:sz="6" w:space="0" w:color="auto"/>
              <w:left w:val="nil" w:sz="6" w:space="0" w:color="auto"/>
              <w:bottom w:val="nil" w:sz="6" w:space="0" w:color="auto"/>
              <w:right w:val="nil" w:sz="6" w:space="0" w:color="auto"/>
            </w:tcBorders>
          </w:tcPr>
          <w:p>
            <w:pPr>
              <w:pStyle w:val="TableParagraph"/>
              <w:spacing w:line="282" w:lineRule="exact"/>
              <w:ind w:left="239" w:right="0"/>
              <w:jc w:val="left"/>
              <w:rPr>
                <w:rFonts w:ascii="宋体" w:hAnsi="宋体" w:cs="宋体" w:eastAsia="宋体" w:hint="default"/>
                <w:sz w:val="24"/>
                <w:szCs w:val="24"/>
              </w:rPr>
            </w:pPr>
            <w:r>
              <w:rPr>
                <w:rFonts w:ascii="宋体" w:hAnsi="宋体" w:cs="宋体" w:eastAsia="宋体" w:hint="default"/>
                <w:sz w:val="24"/>
                <w:szCs w:val="24"/>
              </w:rPr>
              <w:t>盐城苏宁置业</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3"/>
              <w:jc w:val="right"/>
              <w:rPr>
                <w:rFonts w:ascii="Arial" w:hAnsi="Arial" w:cs="Arial" w:eastAsia="Arial" w:hint="default"/>
                <w:sz w:val="24"/>
                <w:szCs w:val="24"/>
              </w:rPr>
            </w:pPr>
            <w:r>
              <w:rPr>
                <w:rFonts w:ascii="Arial"/>
                <w:w w:val="95"/>
                <w:sz w:val="24"/>
              </w:rPr>
              <w:t>400</w:t>
            </w:r>
            <w:r>
              <w:rPr>
                <w:rFonts w:ascii="Arial"/>
                <w:sz w:val="24"/>
              </w:rPr>
            </w: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53" w:hRule="exact"/>
        </w:trPr>
        <w:tc>
          <w:tcPr>
            <w:tcW w:w="723" w:type="dxa"/>
            <w:tcBorders>
              <w:top w:val="nil" w:sz="6" w:space="0" w:color="auto"/>
              <w:left w:val="nil" w:sz="6" w:space="0" w:color="auto"/>
              <w:bottom w:val="nil" w:sz="6" w:space="0" w:color="auto"/>
              <w:right w:val="nil" w:sz="6" w:space="0" w:color="auto"/>
            </w:tcBorders>
          </w:tcPr>
          <w:p>
            <w:pPr/>
          </w:p>
        </w:tc>
        <w:tc>
          <w:tcPr>
            <w:tcW w:w="3380" w:type="dxa"/>
            <w:tcBorders>
              <w:top w:val="nil" w:sz="6" w:space="0" w:color="auto"/>
              <w:left w:val="nil" w:sz="6" w:space="0" w:color="auto"/>
              <w:bottom w:val="nil" w:sz="6" w:space="0" w:color="auto"/>
              <w:right w:val="nil" w:sz="6" w:space="0" w:color="auto"/>
            </w:tcBorders>
          </w:tcPr>
          <w:p>
            <w:pPr>
              <w:pStyle w:val="TableParagraph"/>
              <w:spacing w:line="282" w:lineRule="exact"/>
              <w:ind w:left="239" w:right="0"/>
              <w:jc w:val="left"/>
              <w:rPr>
                <w:rFonts w:ascii="宋体" w:hAnsi="宋体" w:cs="宋体" w:eastAsia="宋体" w:hint="default"/>
                <w:sz w:val="24"/>
                <w:szCs w:val="24"/>
              </w:rPr>
            </w:pPr>
            <w:r>
              <w:rPr>
                <w:rFonts w:ascii="宋体" w:hAnsi="宋体" w:cs="宋体" w:eastAsia="宋体" w:hint="default"/>
                <w:sz w:val="24"/>
                <w:szCs w:val="24"/>
              </w:rPr>
              <w:t>长春苏宁置业</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3"/>
              <w:jc w:val="right"/>
              <w:rPr>
                <w:rFonts w:ascii="Arial" w:hAnsi="Arial" w:cs="Arial" w:eastAsia="Arial" w:hint="default"/>
                <w:sz w:val="24"/>
                <w:szCs w:val="24"/>
              </w:rPr>
            </w:pPr>
            <w:r>
              <w:rPr>
                <w:rFonts w:ascii="Arial"/>
                <w:w w:val="95"/>
                <w:sz w:val="24"/>
              </w:rPr>
              <w:t>390</w:t>
            </w:r>
            <w:r>
              <w:rPr>
                <w:rFonts w:ascii="Arial"/>
                <w:sz w:val="24"/>
              </w:rPr>
            </w: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50" w:hRule="exact"/>
        </w:trPr>
        <w:tc>
          <w:tcPr>
            <w:tcW w:w="723" w:type="dxa"/>
            <w:tcBorders>
              <w:top w:val="nil" w:sz="6" w:space="0" w:color="auto"/>
              <w:left w:val="nil" w:sz="6" w:space="0" w:color="auto"/>
              <w:bottom w:val="nil" w:sz="6" w:space="0" w:color="auto"/>
              <w:right w:val="nil" w:sz="6" w:space="0" w:color="auto"/>
            </w:tcBorders>
          </w:tcPr>
          <w:p>
            <w:pPr/>
          </w:p>
        </w:tc>
        <w:tc>
          <w:tcPr>
            <w:tcW w:w="3380" w:type="dxa"/>
            <w:tcBorders>
              <w:top w:val="nil" w:sz="6" w:space="0" w:color="auto"/>
              <w:left w:val="nil" w:sz="6" w:space="0" w:color="auto"/>
              <w:bottom w:val="nil" w:sz="6" w:space="0" w:color="auto"/>
              <w:right w:val="nil" w:sz="6" w:space="0" w:color="auto"/>
            </w:tcBorders>
          </w:tcPr>
          <w:p>
            <w:pPr>
              <w:pStyle w:val="TableParagraph"/>
              <w:spacing w:line="282" w:lineRule="exact"/>
              <w:ind w:left="239" w:right="0"/>
              <w:jc w:val="left"/>
              <w:rPr>
                <w:rFonts w:ascii="宋体" w:hAnsi="宋体" w:cs="宋体" w:eastAsia="宋体" w:hint="default"/>
                <w:sz w:val="24"/>
                <w:szCs w:val="24"/>
              </w:rPr>
            </w:pPr>
            <w:r>
              <w:rPr>
                <w:rFonts w:ascii="宋体" w:hAnsi="宋体" w:cs="宋体" w:eastAsia="宋体" w:hint="default"/>
                <w:sz w:val="24"/>
                <w:szCs w:val="24"/>
              </w:rPr>
              <w:t>宿迁苏宁置业</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3"/>
              <w:jc w:val="right"/>
              <w:rPr>
                <w:rFonts w:ascii="Arial" w:hAnsi="Arial" w:cs="Arial" w:eastAsia="Arial" w:hint="default"/>
                <w:sz w:val="24"/>
                <w:szCs w:val="24"/>
              </w:rPr>
            </w:pPr>
            <w:r>
              <w:rPr>
                <w:rFonts w:ascii="Arial"/>
                <w:w w:val="95"/>
                <w:sz w:val="24"/>
              </w:rPr>
              <w:t>280</w:t>
            </w:r>
            <w:r>
              <w:rPr>
                <w:rFonts w:ascii="Arial"/>
                <w:sz w:val="24"/>
              </w:rPr>
            </w: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64" w:hRule="exact"/>
        </w:trPr>
        <w:tc>
          <w:tcPr>
            <w:tcW w:w="723" w:type="dxa"/>
            <w:tcBorders>
              <w:top w:val="nil" w:sz="6" w:space="0" w:color="auto"/>
              <w:left w:val="nil" w:sz="6" w:space="0" w:color="auto"/>
              <w:bottom w:val="nil" w:sz="6" w:space="0" w:color="auto"/>
              <w:right w:val="nil" w:sz="6" w:space="0" w:color="auto"/>
            </w:tcBorders>
          </w:tcPr>
          <w:p>
            <w:pPr/>
          </w:p>
        </w:tc>
        <w:tc>
          <w:tcPr>
            <w:tcW w:w="3380" w:type="dxa"/>
            <w:tcBorders>
              <w:top w:val="nil" w:sz="6" w:space="0" w:color="auto"/>
              <w:left w:val="nil" w:sz="6" w:space="0" w:color="auto"/>
              <w:bottom w:val="nil" w:sz="6" w:space="0" w:color="auto"/>
              <w:right w:val="nil" w:sz="6" w:space="0" w:color="auto"/>
            </w:tcBorders>
          </w:tcPr>
          <w:p>
            <w:pPr>
              <w:pStyle w:val="TableParagraph"/>
              <w:spacing w:line="282" w:lineRule="exact"/>
              <w:ind w:left="239" w:right="0"/>
              <w:jc w:val="left"/>
              <w:rPr>
                <w:rFonts w:ascii="宋体" w:hAnsi="宋体" w:cs="宋体" w:eastAsia="宋体" w:hint="default"/>
                <w:sz w:val="24"/>
                <w:szCs w:val="24"/>
              </w:rPr>
            </w:pPr>
            <w:r>
              <w:rPr>
                <w:rFonts w:ascii="宋体" w:hAnsi="宋体" w:cs="宋体" w:eastAsia="宋体" w:hint="default"/>
                <w:sz w:val="24"/>
                <w:szCs w:val="24"/>
              </w:rPr>
              <w:t>青岛苏宁置业</w:t>
            </w:r>
          </w:p>
        </w:tc>
        <w:tc>
          <w:tcPr>
            <w:tcW w:w="2482"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103"/>
              <w:jc w:val="right"/>
              <w:rPr>
                <w:rFonts w:ascii="Arial" w:hAnsi="Arial" w:cs="Arial" w:eastAsia="Arial" w:hint="default"/>
                <w:sz w:val="24"/>
                <w:szCs w:val="24"/>
              </w:rPr>
            </w:pPr>
            <w:r>
              <w:rPr>
                <w:rFonts w:ascii="Arial"/>
                <w:w w:val="95"/>
                <w:sz w:val="24"/>
              </w:rPr>
              <w:t>160</w:t>
            </w:r>
            <w:r>
              <w:rPr>
                <w:rFonts w:ascii="Arial"/>
                <w:sz w:val="24"/>
              </w:rPr>
            </w: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36" w:hRule="exact"/>
        </w:trPr>
        <w:tc>
          <w:tcPr>
            <w:tcW w:w="723" w:type="dxa"/>
            <w:tcBorders>
              <w:top w:val="nil" w:sz="6" w:space="0" w:color="auto"/>
              <w:left w:val="nil" w:sz="6" w:space="0" w:color="auto"/>
              <w:bottom w:val="nil" w:sz="6" w:space="0" w:color="auto"/>
              <w:right w:val="nil" w:sz="6" w:space="0" w:color="auto"/>
            </w:tcBorders>
          </w:tcPr>
          <w:p>
            <w:pPr/>
          </w:p>
        </w:tc>
        <w:tc>
          <w:tcPr>
            <w:tcW w:w="3380" w:type="dxa"/>
            <w:tcBorders>
              <w:top w:val="nil" w:sz="6" w:space="0" w:color="auto"/>
              <w:left w:val="nil" w:sz="6" w:space="0" w:color="auto"/>
              <w:bottom w:val="nil" w:sz="6" w:space="0" w:color="auto"/>
              <w:right w:val="nil" w:sz="6" w:space="0" w:color="auto"/>
            </w:tcBorders>
          </w:tcPr>
          <w:p>
            <w:pPr/>
          </w:p>
        </w:tc>
        <w:tc>
          <w:tcPr>
            <w:tcW w:w="2482" w:type="dxa"/>
            <w:tcBorders>
              <w:top w:val="single" w:sz="4" w:space="0" w:color="000000"/>
              <w:left w:val="nil" w:sz="6" w:space="0" w:color="auto"/>
              <w:bottom w:val="single" w:sz="12" w:space="0" w:color="000000"/>
              <w:right w:val="nil" w:sz="6" w:space="0" w:color="auto"/>
            </w:tcBorders>
          </w:tcPr>
          <w:p>
            <w:pPr>
              <w:pStyle w:val="TableParagraph"/>
              <w:spacing w:line="272" w:lineRule="exact"/>
              <w:ind w:right="105"/>
              <w:jc w:val="right"/>
              <w:rPr>
                <w:rFonts w:ascii="Arial" w:hAnsi="Arial" w:cs="Arial" w:eastAsia="Arial" w:hint="default"/>
                <w:sz w:val="24"/>
                <w:szCs w:val="24"/>
              </w:rPr>
            </w:pPr>
            <w:r>
              <w:rPr>
                <w:rFonts w:ascii="Arial"/>
                <w:spacing w:val="-1"/>
                <w:sz w:val="24"/>
              </w:rPr>
              <w:t>42,798</w:t>
            </w: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single" w:sz="4" w:space="0" w:color="000000"/>
              <w:left w:val="nil" w:sz="6" w:space="0" w:color="auto"/>
              <w:bottom w:val="single" w:sz="12" w:space="0" w:color="000000"/>
              <w:right w:val="nil" w:sz="6" w:space="0" w:color="auto"/>
            </w:tcBorders>
          </w:tcPr>
          <w:p>
            <w:pPr>
              <w:pStyle w:val="TableParagraph"/>
              <w:spacing w:line="272" w:lineRule="exact"/>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819" w:hRule="exact"/>
        </w:trPr>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right="28"/>
              <w:jc w:val="center"/>
              <w:rPr>
                <w:rFonts w:ascii="Arial" w:hAnsi="Arial" w:cs="Arial" w:eastAsia="Arial" w:hint="default"/>
                <w:sz w:val="24"/>
                <w:szCs w:val="24"/>
              </w:rPr>
            </w:pPr>
            <w:r>
              <w:rPr>
                <w:rFonts w:ascii="Arial"/>
                <w:sz w:val="24"/>
              </w:rPr>
              <w:t>(e)</w:t>
            </w:r>
          </w:p>
        </w:tc>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9" w:right="0"/>
              <w:jc w:val="left"/>
              <w:rPr>
                <w:rFonts w:ascii="宋体" w:hAnsi="宋体" w:cs="宋体" w:eastAsia="宋体" w:hint="default"/>
                <w:sz w:val="24"/>
                <w:szCs w:val="24"/>
              </w:rPr>
            </w:pPr>
            <w:r>
              <w:rPr>
                <w:rFonts w:ascii="宋体" w:hAnsi="宋体" w:cs="宋体" w:eastAsia="宋体" w:hint="default"/>
                <w:sz w:val="24"/>
                <w:szCs w:val="24"/>
              </w:rPr>
              <w:t>接受物业服务</w:t>
            </w:r>
          </w:p>
        </w:tc>
        <w:tc>
          <w:tcPr>
            <w:tcW w:w="2482" w:type="dxa"/>
            <w:tcBorders>
              <w:top w:val="single" w:sz="12" w:space="0" w:color="000000"/>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single" w:sz="12" w:space="0" w:color="000000"/>
              <w:left w:val="nil" w:sz="6" w:space="0" w:color="auto"/>
              <w:bottom w:val="nil" w:sz="6" w:space="0" w:color="auto"/>
              <w:right w:val="nil" w:sz="6" w:space="0" w:color="auto"/>
            </w:tcBorders>
          </w:tcPr>
          <w:p>
            <w:pPr/>
          </w:p>
        </w:tc>
      </w:tr>
      <w:tr>
        <w:trPr>
          <w:trHeight w:val="673" w:hRule="exact"/>
        </w:trPr>
        <w:tc>
          <w:tcPr>
            <w:tcW w:w="723" w:type="dxa"/>
            <w:tcBorders>
              <w:top w:val="nil" w:sz="6" w:space="0" w:color="auto"/>
              <w:left w:val="nil" w:sz="6" w:space="0" w:color="auto"/>
              <w:bottom w:val="nil" w:sz="6" w:space="0" w:color="auto"/>
              <w:right w:val="nil" w:sz="6" w:space="0" w:color="auto"/>
            </w:tcBorders>
          </w:tcPr>
          <w:p>
            <w:pPr/>
          </w:p>
        </w:tc>
        <w:tc>
          <w:tcPr>
            <w:tcW w:w="3380"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3"/>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541" w:hRule="exact"/>
        </w:trPr>
        <w:tc>
          <w:tcPr>
            <w:tcW w:w="723" w:type="dxa"/>
            <w:tcBorders>
              <w:top w:val="nil" w:sz="6" w:space="0" w:color="auto"/>
              <w:left w:val="nil" w:sz="6" w:space="0" w:color="auto"/>
              <w:bottom w:val="nil" w:sz="6" w:space="0" w:color="auto"/>
              <w:right w:val="nil" w:sz="6" w:space="0" w:color="auto"/>
            </w:tcBorders>
          </w:tcPr>
          <w:p>
            <w:pPr/>
          </w:p>
        </w:tc>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39" w:right="0"/>
              <w:jc w:val="left"/>
              <w:rPr>
                <w:rFonts w:ascii="宋体" w:hAnsi="宋体" w:cs="宋体" w:eastAsia="宋体" w:hint="default"/>
                <w:sz w:val="24"/>
                <w:szCs w:val="24"/>
              </w:rPr>
            </w:pPr>
            <w:r>
              <w:rPr>
                <w:rFonts w:ascii="宋体" w:hAnsi="宋体" w:cs="宋体" w:eastAsia="宋体" w:hint="default"/>
                <w:sz w:val="24"/>
                <w:szCs w:val="24"/>
              </w:rPr>
              <w:t>江苏银河物业</w:t>
            </w:r>
          </w:p>
        </w:tc>
        <w:tc>
          <w:tcPr>
            <w:tcW w:w="2482" w:type="dxa"/>
            <w:tcBorders>
              <w:top w:val="nil" w:sz="6" w:space="0" w:color="auto"/>
              <w:left w:val="nil" w:sz="6" w:space="0" w:color="auto"/>
              <w:bottom w:val="single" w:sz="12" w:space="0" w:color="000000"/>
              <w:right w:val="nil" w:sz="6" w:space="0" w:color="auto"/>
            </w:tcBorders>
          </w:tcPr>
          <w:p>
            <w:pPr>
              <w:pStyle w:val="TableParagraph"/>
              <w:spacing w:line="240" w:lineRule="auto" w:before="206"/>
              <w:ind w:right="105"/>
              <w:jc w:val="right"/>
              <w:rPr>
                <w:rFonts w:ascii="Arial" w:hAnsi="Arial" w:cs="Arial" w:eastAsia="Arial" w:hint="default"/>
                <w:sz w:val="24"/>
                <w:szCs w:val="24"/>
              </w:rPr>
            </w:pPr>
            <w:r>
              <w:rPr>
                <w:rFonts w:ascii="Arial"/>
                <w:spacing w:val="-1"/>
                <w:sz w:val="24"/>
              </w:rPr>
              <w:t>29,691</w:t>
            </w: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single" w:sz="12" w:space="0" w:color="000000"/>
              <w:right w:val="nil" w:sz="6" w:space="0" w:color="auto"/>
            </w:tcBorders>
          </w:tcPr>
          <w:p>
            <w:pPr>
              <w:pStyle w:val="TableParagraph"/>
              <w:spacing w:line="240" w:lineRule="auto" w:before="206"/>
              <w:ind w:right="103"/>
              <w:jc w:val="right"/>
              <w:rPr>
                <w:rFonts w:ascii="Arial" w:hAnsi="Arial" w:cs="Arial" w:eastAsia="Arial" w:hint="default"/>
                <w:sz w:val="24"/>
                <w:szCs w:val="24"/>
              </w:rPr>
            </w:pPr>
            <w:r>
              <w:rPr>
                <w:rFonts w:ascii="Arial"/>
                <w:w w:val="95"/>
                <w:sz w:val="24"/>
              </w:rPr>
              <w:t>570</w:t>
            </w:r>
            <w:r>
              <w:rPr>
                <w:rFonts w:ascii="Arial"/>
                <w:sz w:val="24"/>
              </w:rPr>
            </w:r>
          </w:p>
        </w:tc>
      </w:tr>
      <w:tr>
        <w:trPr>
          <w:trHeight w:val="819" w:hRule="exact"/>
        </w:trPr>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right="92"/>
              <w:jc w:val="center"/>
              <w:rPr>
                <w:rFonts w:ascii="Arial" w:hAnsi="Arial" w:cs="Arial" w:eastAsia="Arial" w:hint="default"/>
                <w:sz w:val="24"/>
                <w:szCs w:val="24"/>
              </w:rPr>
            </w:pPr>
            <w:r>
              <w:rPr>
                <w:rFonts w:ascii="Arial"/>
                <w:sz w:val="24"/>
              </w:rPr>
              <w:t>(f)</w:t>
            </w:r>
          </w:p>
        </w:tc>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9" w:right="0"/>
              <w:jc w:val="left"/>
              <w:rPr>
                <w:rFonts w:ascii="宋体" w:hAnsi="宋体" w:cs="宋体" w:eastAsia="宋体" w:hint="default"/>
                <w:sz w:val="24"/>
                <w:szCs w:val="24"/>
              </w:rPr>
            </w:pPr>
            <w:r>
              <w:rPr>
                <w:rFonts w:ascii="宋体" w:hAnsi="宋体" w:cs="宋体" w:eastAsia="宋体" w:hint="default"/>
                <w:sz w:val="24"/>
                <w:szCs w:val="24"/>
              </w:rPr>
              <w:t>购置设备</w:t>
            </w:r>
          </w:p>
        </w:tc>
        <w:tc>
          <w:tcPr>
            <w:tcW w:w="2482" w:type="dxa"/>
            <w:tcBorders>
              <w:top w:val="single" w:sz="12" w:space="0" w:color="000000"/>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single" w:sz="12" w:space="0" w:color="000000"/>
              <w:left w:val="nil" w:sz="6" w:space="0" w:color="auto"/>
              <w:bottom w:val="nil" w:sz="6" w:space="0" w:color="auto"/>
              <w:right w:val="nil" w:sz="6" w:space="0" w:color="auto"/>
            </w:tcBorders>
          </w:tcPr>
          <w:p>
            <w:pPr/>
          </w:p>
        </w:tc>
      </w:tr>
      <w:tr>
        <w:trPr>
          <w:trHeight w:val="673" w:hRule="exact"/>
        </w:trPr>
        <w:tc>
          <w:tcPr>
            <w:tcW w:w="723" w:type="dxa"/>
            <w:tcBorders>
              <w:top w:val="nil" w:sz="6" w:space="0" w:color="auto"/>
              <w:left w:val="nil" w:sz="6" w:space="0" w:color="auto"/>
              <w:bottom w:val="nil" w:sz="6" w:space="0" w:color="auto"/>
              <w:right w:val="nil" w:sz="6" w:space="0" w:color="auto"/>
            </w:tcBorders>
          </w:tcPr>
          <w:p>
            <w:pPr/>
          </w:p>
        </w:tc>
        <w:tc>
          <w:tcPr>
            <w:tcW w:w="3380"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3"/>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539" w:hRule="exact"/>
        </w:trPr>
        <w:tc>
          <w:tcPr>
            <w:tcW w:w="723" w:type="dxa"/>
            <w:tcBorders>
              <w:top w:val="nil" w:sz="6" w:space="0" w:color="auto"/>
              <w:left w:val="nil" w:sz="6" w:space="0" w:color="auto"/>
              <w:bottom w:val="nil" w:sz="6" w:space="0" w:color="auto"/>
              <w:right w:val="nil" w:sz="6" w:space="0" w:color="auto"/>
            </w:tcBorders>
          </w:tcPr>
          <w:p>
            <w:pPr/>
          </w:p>
        </w:tc>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39" w:right="0"/>
              <w:jc w:val="left"/>
              <w:rPr>
                <w:rFonts w:ascii="宋体" w:hAnsi="宋体" w:cs="宋体" w:eastAsia="宋体" w:hint="default"/>
                <w:sz w:val="24"/>
                <w:szCs w:val="24"/>
              </w:rPr>
            </w:pPr>
            <w:r>
              <w:rPr>
                <w:rFonts w:ascii="宋体" w:hAnsi="宋体" w:cs="宋体" w:eastAsia="宋体" w:hint="default"/>
                <w:sz w:val="24"/>
                <w:szCs w:val="24"/>
              </w:rPr>
              <w:t>江苏苏宁建材</w:t>
            </w:r>
          </w:p>
        </w:tc>
        <w:tc>
          <w:tcPr>
            <w:tcW w:w="2482" w:type="dxa"/>
            <w:tcBorders>
              <w:top w:val="nil" w:sz="6" w:space="0" w:color="auto"/>
              <w:left w:val="nil" w:sz="6" w:space="0" w:color="auto"/>
              <w:bottom w:val="single" w:sz="12" w:space="0" w:color="000000"/>
              <w:right w:val="nil" w:sz="6" w:space="0" w:color="auto"/>
            </w:tcBorders>
          </w:tcPr>
          <w:p>
            <w:pPr>
              <w:pStyle w:val="TableParagraph"/>
              <w:spacing w:line="240" w:lineRule="auto" w:before="203"/>
              <w:ind w:right="105"/>
              <w:jc w:val="right"/>
              <w:rPr>
                <w:rFonts w:ascii="Arial" w:hAnsi="Arial" w:cs="Arial" w:eastAsia="Arial" w:hint="default"/>
                <w:sz w:val="24"/>
                <w:szCs w:val="24"/>
              </w:rPr>
            </w:pPr>
            <w:r>
              <w:rPr>
                <w:rFonts w:ascii="Arial"/>
                <w:spacing w:val="-1"/>
                <w:sz w:val="24"/>
              </w:rPr>
              <w:t>4,096</w:t>
            </w:r>
          </w:p>
        </w:tc>
        <w:tc>
          <w:tcPr>
            <w:tcW w:w="54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single" w:sz="12" w:space="0" w:color="000000"/>
              <w:right w:val="nil" w:sz="6" w:space="0" w:color="auto"/>
            </w:tcBorders>
          </w:tcPr>
          <w:p>
            <w:pPr>
              <w:pStyle w:val="TableParagraph"/>
              <w:spacing w:line="240" w:lineRule="auto" w:before="203"/>
              <w:ind w:right="105"/>
              <w:jc w:val="right"/>
              <w:rPr>
                <w:rFonts w:ascii="Arial" w:hAnsi="Arial" w:cs="Arial" w:eastAsia="Arial" w:hint="default"/>
                <w:sz w:val="24"/>
                <w:szCs w:val="24"/>
              </w:rPr>
            </w:pPr>
            <w:r>
              <w:rPr>
                <w:rFonts w:ascii="Arial"/>
                <w:w w:val="99"/>
                <w:sz w:val="24"/>
              </w:rPr>
              <w:t>-</w:t>
            </w:r>
            <w:r>
              <w:rPr>
                <w:rFonts w:ascii="Arial"/>
                <w:sz w:val="24"/>
              </w:rPr>
            </w:r>
          </w:p>
        </w:tc>
      </w:tr>
    </w:tbl>
    <w:p>
      <w:pPr>
        <w:spacing w:after="0" w:line="240" w:lineRule="auto"/>
        <w:jc w:val="right"/>
        <w:rPr>
          <w:rFonts w:ascii="Arial" w:hAnsi="Arial" w:cs="Arial" w:eastAsia="Arial" w:hint="default"/>
          <w:sz w:val="24"/>
          <w:szCs w:val="24"/>
        </w:rPr>
        <w:sectPr>
          <w:headerReference w:type="default" r:id="rId101"/>
          <w:footerReference w:type="default" r:id="rId102"/>
          <w:pgSz w:w="11910" w:h="16850"/>
          <w:pgMar w:header="795" w:footer="708" w:top="2020" w:bottom="900" w:left="1420" w:right="0"/>
          <w:pgNumType w:start="202"/>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1595176" type="#_x0000_t75" stroked="false">
            <v:imagedata r:id="rId10" o:title=""/>
          </v:shape>
        </w:pict>
      </w:r>
    </w:p>
    <w:p>
      <w:pPr>
        <w:spacing w:line="240" w:lineRule="auto" w:before="8"/>
        <w:rPr>
          <w:rFonts w:ascii="Times New Roman" w:hAnsi="Times New Roman" w:cs="Times New Roman" w:eastAsia="Times New Roman"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728"/>
        <w:gridCol w:w="3375"/>
        <w:gridCol w:w="2484"/>
        <w:gridCol w:w="538"/>
        <w:gridCol w:w="2192"/>
      </w:tblGrid>
      <w:tr>
        <w:trPr>
          <w:trHeight w:val="497" w:hRule="exact"/>
        </w:trPr>
        <w:tc>
          <w:tcPr>
            <w:tcW w:w="728" w:type="dxa"/>
            <w:tcBorders>
              <w:top w:val="nil" w:sz="6" w:space="0" w:color="auto"/>
              <w:left w:val="nil" w:sz="6" w:space="0" w:color="auto"/>
              <w:bottom w:val="nil" w:sz="6" w:space="0" w:color="auto"/>
              <w:right w:val="nil" w:sz="6" w:space="0" w:color="auto"/>
            </w:tcBorders>
          </w:tcPr>
          <w:p>
            <w:pPr>
              <w:pStyle w:val="TableParagraph"/>
              <w:spacing w:line="240" w:lineRule="exact"/>
              <w:ind w:right="86"/>
              <w:jc w:val="center"/>
              <w:rPr>
                <w:rFonts w:ascii="黑体" w:hAnsi="黑体" w:cs="黑体" w:eastAsia="黑体" w:hint="default"/>
                <w:sz w:val="24"/>
                <w:szCs w:val="24"/>
              </w:rPr>
            </w:pPr>
            <w:r>
              <w:rPr>
                <w:rFonts w:ascii="黑体" w:hAnsi="黑体" w:cs="黑体" w:eastAsia="黑体" w:hint="default"/>
                <w:sz w:val="24"/>
                <w:szCs w:val="24"/>
              </w:rPr>
              <w:t>六</w:t>
            </w:r>
          </w:p>
        </w:tc>
        <w:tc>
          <w:tcPr>
            <w:tcW w:w="3375" w:type="dxa"/>
            <w:tcBorders>
              <w:top w:val="nil" w:sz="6" w:space="0" w:color="auto"/>
              <w:left w:val="nil" w:sz="6" w:space="0" w:color="auto"/>
              <w:bottom w:val="nil" w:sz="6" w:space="0" w:color="auto"/>
              <w:right w:val="nil" w:sz="6" w:space="0" w:color="auto"/>
            </w:tcBorders>
          </w:tcPr>
          <w:p>
            <w:pPr>
              <w:pStyle w:val="TableParagraph"/>
              <w:spacing w:line="257" w:lineRule="exact"/>
              <w:ind w:left="234"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84"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r>
      <w:tr>
        <w:trPr>
          <w:trHeight w:val="748" w:hRule="exact"/>
        </w:trPr>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32"/>
              <w:jc w:val="center"/>
              <w:rPr>
                <w:rFonts w:ascii="Arial" w:hAnsi="Arial" w:cs="Arial" w:eastAsia="Arial" w:hint="default"/>
                <w:sz w:val="24"/>
                <w:szCs w:val="24"/>
              </w:rPr>
            </w:pPr>
            <w:r>
              <w:rPr>
                <w:rFonts w:ascii="Arial"/>
                <w:sz w:val="24"/>
              </w:rPr>
              <w:t>(5)</w:t>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34"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84"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r>
      <w:tr>
        <w:trPr>
          <w:trHeight w:val="744" w:hRule="exact"/>
        </w:trPr>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35"/>
              <w:jc w:val="center"/>
              <w:rPr>
                <w:rFonts w:ascii="Arial" w:hAnsi="Arial" w:cs="Arial" w:eastAsia="Arial" w:hint="default"/>
                <w:sz w:val="24"/>
                <w:szCs w:val="24"/>
              </w:rPr>
            </w:pPr>
            <w:r>
              <w:rPr>
                <w:rFonts w:ascii="Arial"/>
                <w:sz w:val="24"/>
              </w:rPr>
              <w:t>(g)</w:t>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34" w:right="0"/>
              <w:jc w:val="left"/>
              <w:rPr>
                <w:rFonts w:ascii="宋体" w:hAnsi="宋体" w:cs="宋体" w:eastAsia="宋体" w:hint="default"/>
                <w:sz w:val="24"/>
                <w:szCs w:val="24"/>
              </w:rPr>
            </w:pPr>
            <w:r>
              <w:rPr>
                <w:rFonts w:ascii="宋体" w:hAnsi="宋体" w:cs="宋体" w:eastAsia="宋体" w:hint="default"/>
                <w:sz w:val="24"/>
                <w:szCs w:val="24"/>
              </w:rPr>
              <w:t>关联方为本集团提供的其他服</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 w:right="0"/>
              <w:jc w:val="left"/>
              <w:rPr>
                <w:rFonts w:ascii="宋体" w:hAnsi="宋体" w:cs="宋体" w:eastAsia="宋体" w:hint="default"/>
                <w:sz w:val="24"/>
                <w:szCs w:val="24"/>
              </w:rPr>
            </w:pPr>
            <w:r>
              <w:rPr>
                <w:rFonts w:ascii="宋体" w:hAnsi="宋体" w:cs="宋体" w:eastAsia="宋体" w:hint="default"/>
                <w:sz w:val="24"/>
                <w:szCs w:val="24"/>
              </w:rPr>
              <w:t>务</w:t>
            </w:r>
          </w:p>
        </w:tc>
        <w:tc>
          <w:tcPr>
            <w:tcW w:w="538"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r>
      <w:tr>
        <w:trPr>
          <w:trHeight w:val="754" w:hRule="exact"/>
        </w:trPr>
        <w:tc>
          <w:tcPr>
            <w:tcW w:w="728" w:type="dxa"/>
            <w:tcBorders>
              <w:top w:val="nil" w:sz="6" w:space="0" w:color="auto"/>
              <w:left w:val="nil" w:sz="6" w:space="0" w:color="auto"/>
              <w:bottom w:val="nil" w:sz="6" w:space="0" w:color="auto"/>
              <w:right w:val="nil" w:sz="6" w:space="0" w:color="auto"/>
            </w:tcBorders>
          </w:tcPr>
          <w:p>
            <w:pPr/>
          </w:p>
        </w:tc>
        <w:tc>
          <w:tcPr>
            <w:tcW w:w="3375" w:type="dxa"/>
            <w:tcBorders>
              <w:top w:val="nil" w:sz="6" w:space="0" w:color="auto"/>
              <w:left w:val="nil" w:sz="6" w:space="0" w:color="auto"/>
              <w:bottom w:val="nil" w:sz="6" w:space="0" w:color="auto"/>
              <w:right w:val="nil" w:sz="6" w:space="0" w:color="auto"/>
            </w:tcBorders>
          </w:tcPr>
          <w:p>
            <w:pP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7"/>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538"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578" w:hRule="exact"/>
        </w:trPr>
        <w:tc>
          <w:tcPr>
            <w:tcW w:w="728" w:type="dxa"/>
            <w:tcBorders>
              <w:top w:val="nil" w:sz="6" w:space="0" w:color="auto"/>
              <w:left w:val="nil" w:sz="6" w:space="0" w:color="auto"/>
              <w:bottom w:val="nil" w:sz="6" w:space="0" w:color="auto"/>
              <w:right w:val="nil" w:sz="6" w:space="0" w:color="auto"/>
            </w:tcBorders>
          </w:tcPr>
          <w:p>
            <w:pP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34" w:right="0"/>
              <w:jc w:val="lef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24"/>
                <w:szCs w:val="24"/>
              </w:rPr>
            </w:pPr>
            <w:r>
              <w:rPr>
                <w:rFonts w:ascii="Arial"/>
                <w:spacing w:val="-1"/>
                <w:sz w:val="24"/>
              </w:rPr>
              <w:t>5,830</w:t>
            </w:r>
          </w:p>
        </w:tc>
        <w:tc>
          <w:tcPr>
            <w:tcW w:w="538"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24"/>
                <w:szCs w:val="24"/>
              </w:rPr>
            </w:pPr>
            <w:r>
              <w:rPr>
                <w:rFonts w:ascii="Arial"/>
                <w:spacing w:val="-1"/>
                <w:sz w:val="24"/>
              </w:rPr>
              <w:t>3,841</w:t>
            </w:r>
          </w:p>
        </w:tc>
      </w:tr>
      <w:tr>
        <w:trPr>
          <w:trHeight w:val="391" w:hRule="exact"/>
        </w:trPr>
        <w:tc>
          <w:tcPr>
            <w:tcW w:w="728" w:type="dxa"/>
            <w:tcBorders>
              <w:top w:val="nil" w:sz="6" w:space="0" w:color="auto"/>
              <w:left w:val="nil" w:sz="6" w:space="0" w:color="auto"/>
              <w:bottom w:val="nil" w:sz="6" w:space="0" w:color="auto"/>
              <w:right w:val="nil" w:sz="6" w:space="0" w:color="auto"/>
            </w:tcBorders>
          </w:tcPr>
          <w:p>
            <w:pPr/>
          </w:p>
        </w:tc>
        <w:tc>
          <w:tcPr>
            <w:tcW w:w="3375" w:type="dxa"/>
            <w:tcBorders>
              <w:top w:val="nil" w:sz="6" w:space="0" w:color="auto"/>
              <w:left w:val="nil" w:sz="6" w:space="0" w:color="auto"/>
              <w:bottom w:val="nil" w:sz="6" w:space="0" w:color="auto"/>
              <w:right w:val="nil" w:sz="6" w:space="0" w:color="auto"/>
            </w:tcBorders>
          </w:tcPr>
          <w:p>
            <w:pPr>
              <w:pStyle w:val="TableParagraph"/>
              <w:spacing w:line="303" w:lineRule="exact"/>
              <w:ind w:left="234" w:right="0"/>
              <w:jc w:val="left"/>
              <w:rPr>
                <w:rFonts w:ascii="宋体" w:hAnsi="宋体" w:cs="宋体" w:eastAsia="宋体" w:hint="default"/>
                <w:sz w:val="24"/>
                <w:szCs w:val="24"/>
              </w:rPr>
            </w:pPr>
            <w:r>
              <w:rPr>
                <w:rFonts w:ascii="宋体" w:hAnsi="宋体" w:cs="宋体" w:eastAsia="宋体" w:hint="default"/>
                <w:sz w:val="24"/>
                <w:szCs w:val="24"/>
              </w:rPr>
              <w:t>银河诺富特酒店</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sz w:val="24"/>
              </w:rPr>
              <w:t>2,747</w:t>
            </w:r>
          </w:p>
        </w:tc>
        <w:tc>
          <w:tcPr>
            <w:tcW w:w="538"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4"/>
              <w:jc w:val="right"/>
              <w:rPr>
                <w:rFonts w:ascii="Arial" w:hAnsi="Arial" w:cs="Arial" w:eastAsia="Arial" w:hint="default"/>
                <w:sz w:val="24"/>
                <w:szCs w:val="24"/>
              </w:rPr>
            </w:pPr>
            <w:r>
              <w:rPr>
                <w:rFonts w:ascii="Arial"/>
                <w:w w:val="95"/>
                <w:sz w:val="24"/>
              </w:rPr>
              <w:t>434</w:t>
            </w:r>
            <w:r>
              <w:rPr>
                <w:rFonts w:ascii="Arial"/>
                <w:sz w:val="24"/>
              </w:rPr>
            </w:r>
          </w:p>
        </w:tc>
      </w:tr>
      <w:tr>
        <w:trPr>
          <w:trHeight w:val="391" w:hRule="exact"/>
        </w:trPr>
        <w:tc>
          <w:tcPr>
            <w:tcW w:w="728" w:type="dxa"/>
            <w:tcBorders>
              <w:top w:val="nil" w:sz="6" w:space="0" w:color="auto"/>
              <w:left w:val="nil" w:sz="6" w:space="0" w:color="auto"/>
              <w:bottom w:val="nil" w:sz="6" w:space="0" w:color="auto"/>
              <w:right w:val="nil" w:sz="6" w:space="0" w:color="auto"/>
            </w:tcBorders>
          </w:tcPr>
          <w:p>
            <w:pPr/>
          </w:p>
        </w:tc>
        <w:tc>
          <w:tcPr>
            <w:tcW w:w="3375" w:type="dxa"/>
            <w:tcBorders>
              <w:top w:val="nil" w:sz="6" w:space="0" w:color="auto"/>
              <w:left w:val="nil" w:sz="6" w:space="0" w:color="auto"/>
              <w:bottom w:val="nil" w:sz="6" w:space="0" w:color="auto"/>
              <w:right w:val="nil" w:sz="6" w:space="0" w:color="auto"/>
            </w:tcBorders>
          </w:tcPr>
          <w:p>
            <w:pPr>
              <w:pStyle w:val="TableParagraph"/>
              <w:spacing w:line="303" w:lineRule="exact"/>
              <w:ind w:left="234" w:right="0"/>
              <w:jc w:val="left"/>
              <w:rPr>
                <w:rFonts w:ascii="宋体" w:hAnsi="宋体" w:cs="宋体" w:eastAsia="宋体" w:hint="default"/>
                <w:sz w:val="24"/>
                <w:szCs w:val="24"/>
              </w:rPr>
            </w:pPr>
            <w:r>
              <w:rPr>
                <w:rFonts w:ascii="宋体" w:hAnsi="宋体" w:cs="宋体" w:eastAsia="宋体" w:hint="default"/>
                <w:sz w:val="24"/>
                <w:szCs w:val="24"/>
              </w:rPr>
              <w:t>钟山高尔夫酒店</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sz w:val="24"/>
              </w:rPr>
              <w:t>2,654</w:t>
            </w:r>
          </w:p>
        </w:tc>
        <w:tc>
          <w:tcPr>
            <w:tcW w:w="538"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w:hAnsi="Arial" w:cs="Arial" w:eastAsia="Arial" w:hint="default"/>
                <w:sz w:val="24"/>
                <w:szCs w:val="24"/>
              </w:rPr>
            </w:pPr>
            <w:r>
              <w:rPr>
                <w:rFonts w:ascii="Arial"/>
                <w:spacing w:val="-1"/>
                <w:sz w:val="24"/>
              </w:rPr>
              <w:t>5,128</w:t>
            </w:r>
            <w:r>
              <w:rPr>
                <w:rFonts w:ascii="Arial"/>
                <w:sz w:val="24"/>
              </w:rPr>
            </w:r>
          </w:p>
        </w:tc>
      </w:tr>
      <w:tr>
        <w:trPr>
          <w:trHeight w:val="391" w:hRule="exact"/>
        </w:trPr>
        <w:tc>
          <w:tcPr>
            <w:tcW w:w="728" w:type="dxa"/>
            <w:tcBorders>
              <w:top w:val="nil" w:sz="6" w:space="0" w:color="auto"/>
              <w:left w:val="nil" w:sz="6" w:space="0" w:color="auto"/>
              <w:bottom w:val="nil" w:sz="6" w:space="0" w:color="auto"/>
              <w:right w:val="nil" w:sz="6" w:space="0" w:color="auto"/>
            </w:tcBorders>
          </w:tcPr>
          <w:p>
            <w:pPr/>
          </w:p>
        </w:tc>
        <w:tc>
          <w:tcPr>
            <w:tcW w:w="3375" w:type="dxa"/>
            <w:tcBorders>
              <w:top w:val="nil" w:sz="6" w:space="0" w:color="auto"/>
              <w:left w:val="nil" w:sz="6" w:space="0" w:color="auto"/>
              <w:bottom w:val="nil" w:sz="6" w:space="0" w:color="auto"/>
              <w:right w:val="nil" w:sz="6" w:space="0" w:color="auto"/>
            </w:tcBorders>
          </w:tcPr>
          <w:p>
            <w:pPr>
              <w:pStyle w:val="TableParagraph"/>
              <w:spacing w:line="303" w:lineRule="exact"/>
              <w:ind w:left="234" w:right="0"/>
              <w:jc w:val="left"/>
              <w:rPr>
                <w:rFonts w:ascii="宋体" w:hAnsi="宋体" w:cs="宋体" w:eastAsia="宋体" w:hint="default"/>
                <w:sz w:val="24"/>
                <w:szCs w:val="24"/>
              </w:rPr>
            </w:pPr>
            <w:r>
              <w:rPr>
                <w:rFonts w:ascii="宋体" w:hAnsi="宋体" w:cs="宋体" w:eastAsia="宋体" w:hint="default"/>
                <w:sz w:val="24"/>
                <w:szCs w:val="24"/>
              </w:rPr>
              <w:t>索菲特银河大酒店</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sz w:val="24"/>
              </w:rPr>
              <w:t>1,423</w:t>
            </w:r>
          </w:p>
        </w:tc>
        <w:tc>
          <w:tcPr>
            <w:tcW w:w="538"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w:hAnsi="Arial" w:cs="Arial" w:eastAsia="Arial" w:hint="default"/>
                <w:sz w:val="24"/>
                <w:szCs w:val="24"/>
              </w:rPr>
            </w:pPr>
            <w:r>
              <w:rPr>
                <w:rFonts w:ascii="Arial"/>
                <w:spacing w:val="-1"/>
                <w:sz w:val="24"/>
              </w:rPr>
              <w:t>6,027</w:t>
            </w:r>
            <w:r>
              <w:rPr>
                <w:rFonts w:ascii="Arial"/>
                <w:sz w:val="24"/>
              </w:rPr>
            </w:r>
          </w:p>
        </w:tc>
      </w:tr>
      <w:tr>
        <w:trPr>
          <w:trHeight w:val="391" w:hRule="exact"/>
        </w:trPr>
        <w:tc>
          <w:tcPr>
            <w:tcW w:w="728" w:type="dxa"/>
            <w:tcBorders>
              <w:top w:val="nil" w:sz="6" w:space="0" w:color="auto"/>
              <w:left w:val="nil" w:sz="6" w:space="0" w:color="auto"/>
              <w:bottom w:val="nil" w:sz="6" w:space="0" w:color="auto"/>
              <w:right w:val="nil" w:sz="6" w:space="0" w:color="auto"/>
            </w:tcBorders>
          </w:tcPr>
          <w:p>
            <w:pPr/>
          </w:p>
        </w:tc>
        <w:tc>
          <w:tcPr>
            <w:tcW w:w="3375" w:type="dxa"/>
            <w:tcBorders>
              <w:top w:val="nil" w:sz="6" w:space="0" w:color="auto"/>
              <w:left w:val="nil" w:sz="6" w:space="0" w:color="auto"/>
              <w:bottom w:val="nil" w:sz="6" w:space="0" w:color="auto"/>
              <w:right w:val="nil" w:sz="6" w:space="0" w:color="auto"/>
            </w:tcBorders>
          </w:tcPr>
          <w:p>
            <w:pPr>
              <w:pStyle w:val="TableParagraph"/>
              <w:spacing w:line="303" w:lineRule="exact"/>
              <w:ind w:left="234" w:right="0"/>
              <w:jc w:val="left"/>
              <w:rPr>
                <w:rFonts w:ascii="宋体" w:hAnsi="宋体" w:cs="宋体" w:eastAsia="宋体" w:hint="default"/>
                <w:sz w:val="24"/>
                <w:szCs w:val="24"/>
              </w:rPr>
            </w:pPr>
            <w:r>
              <w:rPr>
                <w:rFonts w:ascii="宋体" w:hAnsi="宋体" w:cs="宋体" w:eastAsia="宋体" w:hint="default"/>
                <w:sz w:val="24"/>
                <w:szCs w:val="24"/>
              </w:rPr>
              <w:t>银河国际购物广场</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w w:val="95"/>
                <w:sz w:val="24"/>
              </w:rPr>
              <w:t>82</w:t>
            </w:r>
            <w:r>
              <w:rPr>
                <w:rFonts w:ascii="Arial"/>
                <w:sz w:val="24"/>
              </w:rPr>
            </w:r>
          </w:p>
        </w:tc>
        <w:tc>
          <w:tcPr>
            <w:tcW w:w="538"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5"/>
                <w:sz w:val="24"/>
              </w:rPr>
              <w:t>824</w:t>
            </w:r>
            <w:r>
              <w:rPr>
                <w:rFonts w:ascii="Arial"/>
                <w:sz w:val="24"/>
              </w:rPr>
            </w:r>
          </w:p>
        </w:tc>
      </w:tr>
      <w:tr>
        <w:trPr>
          <w:trHeight w:val="391" w:hRule="exact"/>
        </w:trPr>
        <w:tc>
          <w:tcPr>
            <w:tcW w:w="728" w:type="dxa"/>
            <w:tcBorders>
              <w:top w:val="nil" w:sz="6" w:space="0" w:color="auto"/>
              <w:left w:val="nil" w:sz="6" w:space="0" w:color="auto"/>
              <w:bottom w:val="nil" w:sz="6" w:space="0" w:color="auto"/>
              <w:right w:val="nil" w:sz="6" w:space="0" w:color="auto"/>
            </w:tcBorders>
          </w:tcPr>
          <w:p>
            <w:pPr/>
          </w:p>
        </w:tc>
        <w:tc>
          <w:tcPr>
            <w:tcW w:w="3375" w:type="dxa"/>
            <w:tcBorders>
              <w:top w:val="nil" w:sz="6" w:space="0" w:color="auto"/>
              <w:left w:val="nil" w:sz="6" w:space="0" w:color="auto"/>
              <w:bottom w:val="nil" w:sz="6" w:space="0" w:color="auto"/>
              <w:right w:val="nil" w:sz="6" w:space="0" w:color="auto"/>
            </w:tcBorders>
          </w:tcPr>
          <w:p>
            <w:pPr>
              <w:pStyle w:val="TableParagraph"/>
              <w:spacing w:line="303" w:lineRule="exact"/>
              <w:ind w:left="234" w:right="0"/>
              <w:jc w:val="left"/>
              <w:rPr>
                <w:rFonts w:ascii="宋体" w:hAnsi="宋体" w:cs="宋体" w:eastAsia="宋体" w:hint="default"/>
                <w:sz w:val="24"/>
                <w:szCs w:val="24"/>
              </w:rPr>
            </w:pPr>
            <w:r>
              <w:rPr>
                <w:rFonts w:ascii="宋体" w:hAnsi="宋体" w:cs="宋体" w:eastAsia="宋体" w:hint="default"/>
                <w:sz w:val="24"/>
                <w:szCs w:val="24"/>
              </w:rPr>
              <w:t>华商会所</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w w:val="95"/>
                <w:sz w:val="24"/>
              </w:rPr>
              <w:t>35</w:t>
            </w:r>
            <w:r>
              <w:rPr>
                <w:rFonts w:ascii="Arial"/>
                <w:sz w:val="24"/>
              </w:rPr>
            </w:r>
          </w:p>
        </w:tc>
        <w:tc>
          <w:tcPr>
            <w:tcW w:w="538"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1"/>
              <w:jc w:val="right"/>
              <w:rPr>
                <w:rFonts w:ascii="Arial" w:hAnsi="Arial" w:cs="Arial" w:eastAsia="Arial" w:hint="default"/>
                <w:sz w:val="24"/>
                <w:szCs w:val="24"/>
              </w:rPr>
            </w:pPr>
            <w:r>
              <w:rPr>
                <w:rFonts w:ascii="Arial"/>
                <w:w w:val="99"/>
                <w:sz w:val="24"/>
              </w:rPr>
              <w:t>-</w:t>
            </w:r>
            <w:r>
              <w:rPr>
                <w:rFonts w:ascii="Arial"/>
                <w:sz w:val="24"/>
              </w:rPr>
            </w:r>
          </w:p>
        </w:tc>
      </w:tr>
      <w:tr>
        <w:trPr>
          <w:trHeight w:val="384" w:hRule="exact"/>
        </w:trPr>
        <w:tc>
          <w:tcPr>
            <w:tcW w:w="728" w:type="dxa"/>
            <w:tcBorders>
              <w:top w:val="nil" w:sz="6" w:space="0" w:color="auto"/>
              <w:left w:val="nil" w:sz="6" w:space="0" w:color="auto"/>
              <w:bottom w:val="nil" w:sz="6" w:space="0" w:color="auto"/>
              <w:right w:val="nil" w:sz="6" w:space="0" w:color="auto"/>
            </w:tcBorders>
          </w:tcPr>
          <w:p>
            <w:pPr/>
          </w:p>
        </w:tc>
        <w:tc>
          <w:tcPr>
            <w:tcW w:w="3375" w:type="dxa"/>
            <w:tcBorders>
              <w:top w:val="nil" w:sz="6" w:space="0" w:color="auto"/>
              <w:left w:val="nil" w:sz="6" w:space="0" w:color="auto"/>
              <w:bottom w:val="nil" w:sz="6" w:space="0" w:color="auto"/>
              <w:right w:val="nil" w:sz="6" w:space="0" w:color="auto"/>
            </w:tcBorders>
          </w:tcPr>
          <w:p>
            <w:pPr>
              <w:pStyle w:val="TableParagraph"/>
              <w:spacing w:line="303" w:lineRule="exact"/>
              <w:ind w:left="234" w:right="0"/>
              <w:jc w:val="left"/>
              <w:rPr>
                <w:rFonts w:ascii="宋体" w:hAnsi="宋体" w:cs="宋体" w:eastAsia="宋体" w:hint="default"/>
                <w:sz w:val="24"/>
                <w:szCs w:val="24"/>
              </w:rPr>
            </w:pPr>
            <w:r>
              <w:rPr>
                <w:rFonts w:ascii="宋体" w:hAnsi="宋体" w:cs="宋体" w:eastAsia="宋体" w:hint="default"/>
                <w:sz w:val="24"/>
                <w:szCs w:val="24"/>
              </w:rPr>
              <w:t>苏宁电器集团有限公司</w:t>
            </w:r>
          </w:p>
        </w:tc>
        <w:tc>
          <w:tcPr>
            <w:tcW w:w="248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38"/>
              <w:jc w:val="right"/>
              <w:rPr>
                <w:rFonts w:ascii="Arial" w:hAnsi="Arial" w:cs="Arial" w:eastAsia="Arial" w:hint="default"/>
                <w:sz w:val="24"/>
                <w:szCs w:val="24"/>
              </w:rPr>
            </w:pPr>
            <w:r>
              <w:rPr>
                <w:rFonts w:ascii="Arial"/>
                <w:w w:val="99"/>
                <w:sz w:val="24"/>
              </w:rPr>
              <w:t>-</w:t>
            </w:r>
            <w:r>
              <w:rPr>
                <w:rFonts w:ascii="Arial"/>
                <w:sz w:val="24"/>
              </w:rPr>
            </w:r>
          </w:p>
        </w:tc>
        <w:tc>
          <w:tcPr>
            <w:tcW w:w="538"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spacing w:val="-1"/>
                <w:sz w:val="24"/>
              </w:rPr>
              <w:t>7,794</w:t>
            </w:r>
          </w:p>
        </w:tc>
      </w:tr>
      <w:tr>
        <w:trPr>
          <w:trHeight w:val="375" w:hRule="exact"/>
        </w:trPr>
        <w:tc>
          <w:tcPr>
            <w:tcW w:w="728" w:type="dxa"/>
            <w:tcBorders>
              <w:top w:val="nil" w:sz="6" w:space="0" w:color="auto"/>
              <w:left w:val="nil" w:sz="6" w:space="0" w:color="auto"/>
              <w:bottom w:val="nil" w:sz="6" w:space="0" w:color="auto"/>
              <w:right w:val="nil" w:sz="6" w:space="0" w:color="auto"/>
            </w:tcBorders>
          </w:tcPr>
          <w:p>
            <w:pPr/>
          </w:p>
        </w:tc>
        <w:tc>
          <w:tcPr>
            <w:tcW w:w="3375" w:type="dxa"/>
            <w:tcBorders>
              <w:top w:val="nil" w:sz="6" w:space="0" w:color="auto"/>
              <w:left w:val="nil" w:sz="6" w:space="0" w:color="auto"/>
              <w:bottom w:val="nil" w:sz="6" w:space="0" w:color="auto"/>
              <w:right w:val="nil" w:sz="6" w:space="0" w:color="auto"/>
            </w:tcBorders>
          </w:tcPr>
          <w:p>
            <w:pPr/>
          </w:p>
        </w:tc>
        <w:tc>
          <w:tcPr>
            <w:tcW w:w="2484"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14"/>
              <w:jc w:val="right"/>
              <w:rPr>
                <w:rFonts w:ascii="Arial" w:hAnsi="Arial" w:cs="Arial" w:eastAsia="Arial" w:hint="default"/>
                <w:sz w:val="24"/>
                <w:szCs w:val="24"/>
              </w:rPr>
            </w:pPr>
            <w:r>
              <w:rPr>
                <w:rFonts w:ascii="Arial"/>
                <w:spacing w:val="-1"/>
                <w:sz w:val="24"/>
              </w:rPr>
              <w:t>12,771</w:t>
            </w:r>
          </w:p>
        </w:tc>
        <w:tc>
          <w:tcPr>
            <w:tcW w:w="538" w:type="dxa"/>
            <w:tcBorders>
              <w:top w:val="nil" w:sz="6" w:space="0" w:color="auto"/>
              <w:left w:val="nil" w:sz="6" w:space="0" w:color="auto"/>
              <w:bottom w:val="nil" w:sz="6" w:space="0" w:color="auto"/>
              <w:right w:val="nil" w:sz="6" w:space="0" w:color="auto"/>
            </w:tcBorders>
          </w:tcPr>
          <w:p>
            <w:pPr/>
          </w:p>
        </w:tc>
        <w:tc>
          <w:tcPr>
            <w:tcW w:w="2192"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4"/>
              <w:jc w:val="right"/>
              <w:rPr>
                <w:rFonts w:ascii="Arial" w:hAnsi="Arial" w:cs="Arial" w:eastAsia="Arial" w:hint="default"/>
                <w:sz w:val="24"/>
                <w:szCs w:val="24"/>
              </w:rPr>
            </w:pPr>
            <w:r>
              <w:rPr>
                <w:rFonts w:ascii="Arial"/>
                <w:spacing w:val="-1"/>
                <w:sz w:val="24"/>
              </w:rPr>
              <w:t>24,048</w:t>
            </w:r>
          </w:p>
        </w:tc>
      </w:tr>
      <w:tr>
        <w:trPr>
          <w:trHeight w:val="687" w:hRule="exact"/>
        </w:trPr>
        <w:tc>
          <w:tcPr>
            <w:tcW w:w="728" w:type="dxa"/>
            <w:tcBorders>
              <w:top w:val="nil" w:sz="6" w:space="0" w:color="auto"/>
              <w:left w:val="nil" w:sz="6" w:space="0" w:color="auto"/>
              <w:bottom w:val="nil" w:sz="6" w:space="0" w:color="auto"/>
              <w:right w:val="nil" w:sz="6" w:space="0" w:color="auto"/>
            </w:tcBorders>
          </w:tcPr>
          <w:p>
            <w:pPr/>
          </w:p>
        </w:tc>
        <w:tc>
          <w:tcPr>
            <w:tcW w:w="58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234" w:right="0"/>
              <w:jc w:val="left"/>
              <w:rPr>
                <w:rFonts w:ascii="宋体" w:hAnsi="宋体" w:cs="宋体" w:eastAsia="宋体" w:hint="default"/>
                <w:sz w:val="24"/>
                <w:szCs w:val="24"/>
              </w:rPr>
            </w:pPr>
            <w:r>
              <w:rPr>
                <w:rFonts w:ascii="宋体" w:hAnsi="宋体" w:cs="宋体" w:eastAsia="宋体" w:hint="default"/>
                <w:sz w:val="24"/>
                <w:szCs w:val="24"/>
              </w:rPr>
              <w:t>以上关联方主要为本集团提供餐饮会务服务。</w:t>
            </w:r>
          </w:p>
        </w:tc>
        <w:tc>
          <w:tcPr>
            <w:tcW w:w="538" w:type="dxa"/>
            <w:tcBorders>
              <w:top w:val="nil" w:sz="6" w:space="0" w:color="auto"/>
              <w:left w:val="nil" w:sz="6" w:space="0" w:color="auto"/>
              <w:bottom w:val="nil" w:sz="6" w:space="0" w:color="auto"/>
              <w:right w:val="nil" w:sz="6" w:space="0" w:color="auto"/>
            </w:tcBorders>
          </w:tcPr>
          <w:p>
            <w:pPr/>
          </w:p>
        </w:tc>
        <w:tc>
          <w:tcPr>
            <w:tcW w:w="2192" w:type="dxa"/>
            <w:tcBorders>
              <w:top w:val="single" w:sz="12" w:space="0" w:color="000000"/>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720"/>
        <w:gridCol w:w="8661"/>
      </w:tblGrid>
      <w:tr>
        <w:trPr>
          <w:trHeight w:val="323"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(h)</w:t>
            </w:r>
          </w:p>
        </w:tc>
        <w:tc>
          <w:tcPr>
            <w:tcW w:w="8661" w:type="dxa"/>
            <w:tcBorders>
              <w:top w:val="nil" w:sz="6" w:space="0" w:color="auto"/>
              <w:left w:val="nil" w:sz="6" w:space="0" w:color="auto"/>
              <w:bottom w:val="nil" w:sz="6" w:space="0" w:color="auto"/>
              <w:right w:val="nil" w:sz="6" w:space="0" w:color="auto"/>
            </w:tcBorders>
          </w:tcPr>
          <w:p>
            <w:pPr>
              <w:pStyle w:val="TableParagraph"/>
              <w:spacing w:line="247" w:lineRule="exact"/>
              <w:ind w:left="226" w:right="0"/>
              <w:jc w:val="left"/>
              <w:rPr>
                <w:rFonts w:ascii="宋体" w:hAnsi="宋体" w:cs="宋体" w:eastAsia="宋体" w:hint="default"/>
                <w:sz w:val="24"/>
                <w:szCs w:val="24"/>
              </w:rPr>
            </w:pPr>
            <w:r>
              <w:rPr>
                <w:rFonts w:ascii="宋体" w:hAnsi="宋体" w:cs="宋体" w:eastAsia="宋体" w:hint="default"/>
                <w:sz w:val="24"/>
                <w:szCs w:val="24"/>
              </w:rPr>
              <w:t>商标使用许可协议</w:t>
            </w:r>
          </w:p>
        </w:tc>
      </w:tr>
      <w:tr>
        <w:trPr>
          <w:trHeight w:val="5752" w:hRule="exact"/>
        </w:trPr>
        <w:tc>
          <w:tcPr>
            <w:tcW w:w="720" w:type="dxa"/>
            <w:tcBorders>
              <w:top w:val="nil" w:sz="6" w:space="0" w:color="auto"/>
              <w:left w:val="nil" w:sz="6" w:space="0" w:color="auto"/>
              <w:bottom w:val="nil" w:sz="6" w:space="0" w:color="auto"/>
              <w:right w:val="nil" w:sz="6" w:space="0" w:color="auto"/>
            </w:tcBorders>
          </w:tcPr>
          <w:p>
            <w:pPr/>
          </w:p>
        </w:tc>
        <w:tc>
          <w:tcPr>
            <w:tcW w:w="8661" w:type="dxa"/>
            <w:tcBorders>
              <w:top w:val="nil" w:sz="6" w:space="0" w:color="auto"/>
              <w:left w:val="nil" w:sz="6" w:space="0" w:color="auto"/>
              <w:bottom w:val="nil" w:sz="6" w:space="0" w:color="auto"/>
              <w:right w:val="nil" w:sz="6" w:space="0" w:color="auto"/>
            </w:tcBorders>
          </w:tcPr>
          <w:p>
            <w:pPr>
              <w:pStyle w:val="TableParagraph"/>
              <w:spacing w:line="230" w:lineRule="auto" w:before="12"/>
              <w:ind w:left="226" w:right="198"/>
              <w:jc w:val="both"/>
              <w:rPr>
                <w:rFonts w:ascii="宋体" w:hAnsi="宋体" w:cs="宋体" w:eastAsia="宋体" w:hint="default"/>
                <w:sz w:val="24"/>
                <w:szCs w:val="24"/>
              </w:rPr>
            </w:pPr>
            <w:r>
              <w:rPr>
                <w:rFonts w:ascii="Arial" w:hAnsi="Arial" w:cs="Arial" w:eastAsia="Arial" w:hint="default"/>
                <w:sz w:val="24"/>
                <w:szCs w:val="24"/>
              </w:rPr>
              <w:t>(1)</w:t>
            </w:r>
            <w:r>
              <w:rPr>
                <w:rFonts w:ascii="Arial" w:hAnsi="Arial" w:cs="Arial" w:eastAsia="Arial" w:hint="default"/>
                <w:spacing w:val="51"/>
                <w:sz w:val="24"/>
                <w:szCs w:val="24"/>
              </w:rPr>
              <w:t> </w:t>
            </w:r>
            <w:r>
              <w:rPr>
                <w:rFonts w:ascii="宋体" w:hAnsi="宋体" w:cs="宋体" w:eastAsia="宋体" w:hint="default"/>
                <w:sz w:val="24"/>
                <w:szCs w:val="24"/>
              </w:rPr>
              <w:t>于</w:t>
            </w:r>
            <w:r>
              <w:rPr>
                <w:rFonts w:ascii="宋体" w:hAnsi="宋体" w:cs="宋体" w:eastAsia="宋体" w:hint="default"/>
                <w:spacing w:val="-47"/>
                <w:sz w:val="24"/>
                <w:szCs w:val="24"/>
              </w:rPr>
              <w:t> </w:t>
            </w:r>
            <w:r>
              <w:rPr>
                <w:rFonts w:ascii="Arial" w:hAnsi="Arial" w:cs="Arial" w:eastAsia="Arial" w:hint="default"/>
                <w:sz w:val="24"/>
                <w:szCs w:val="24"/>
              </w:rPr>
              <w:t>2002</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sz w:val="24"/>
                <w:szCs w:val="24"/>
              </w:rPr>
              <w:t>4</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Arial" w:hAnsi="Arial" w:cs="Arial" w:eastAsia="Arial" w:hint="default"/>
                <w:sz w:val="24"/>
                <w:szCs w:val="24"/>
              </w:rPr>
              <w:t>20</w:t>
            </w:r>
            <w:r>
              <w:rPr>
                <w:rFonts w:ascii="Arial" w:hAnsi="Arial" w:cs="Arial" w:eastAsia="Arial" w:hint="default"/>
                <w:spacing w:val="7"/>
                <w:sz w:val="24"/>
                <w:szCs w:val="24"/>
              </w:rPr>
              <w:t> </w:t>
            </w:r>
            <w:r>
              <w:rPr>
                <w:rFonts w:ascii="宋体" w:hAnsi="宋体" w:cs="宋体" w:eastAsia="宋体" w:hint="default"/>
                <w:sz w:val="24"/>
                <w:szCs w:val="24"/>
              </w:rPr>
              <w:t>日，经本集团</w:t>
            </w:r>
            <w:r>
              <w:rPr>
                <w:rFonts w:ascii="宋体" w:hAnsi="宋体" w:cs="宋体" w:eastAsia="宋体" w:hint="default"/>
                <w:spacing w:val="-47"/>
                <w:sz w:val="24"/>
                <w:szCs w:val="24"/>
              </w:rPr>
              <w:t> </w:t>
            </w:r>
            <w:r>
              <w:rPr>
                <w:rFonts w:ascii="Arial" w:hAnsi="Arial" w:cs="Arial" w:eastAsia="Arial" w:hint="default"/>
                <w:sz w:val="24"/>
                <w:szCs w:val="24"/>
              </w:rPr>
              <w:t>2001</w:t>
            </w:r>
            <w:r>
              <w:rPr>
                <w:rFonts w:ascii="Arial" w:hAnsi="Arial" w:cs="Arial" w:eastAsia="Arial" w:hint="default"/>
                <w:spacing w:val="5"/>
                <w:sz w:val="24"/>
                <w:szCs w:val="24"/>
              </w:rPr>
              <w:t> </w:t>
            </w:r>
            <w:r>
              <w:rPr>
                <w:rFonts w:ascii="宋体" w:hAnsi="宋体" w:cs="宋体" w:eastAsia="宋体" w:hint="default"/>
                <w:sz w:val="24"/>
                <w:szCs w:val="24"/>
              </w:rPr>
              <w:t>年年度股东大会批准，同意环球集 团及其全资、控股公司和具有实际控制权的公司在规定的投资行业中，无偿使</w:t>
            </w:r>
            <w:r>
              <w:rPr>
                <w:rFonts w:ascii="宋体" w:hAnsi="宋体" w:cs="宋体" w:eastAsia="宋体" w:hint="default"/>
                <w:spacing w:val="-59"/>
                <w:sz w:val="24"/>
                <w:szCs w:val="24"/>
              </w:rPr>
              <w:t> </w:t>
            </w:r>
            <w:r>
              <w:rPr>
                <w:rFonts w:ascii="宋体" w:hAnsi="宋体" w:cs="宋体" w:eastAsia="宋体" w:hint="default"/>
                <w:spacing w:val="-59"/>
                <w:sz w:val="24"/>
                <w:szCs w:val="24"/>
              </w:rPr>
            </w:r>
            <w:r>
              <w:rPr>
                <w:rFonts w:ascii="宋体" w:hAnsi="宋体" w:cs="宋体" w:eastAsia="宋体" w:hint="default"/>
                <w:sz w:val="24"/>
                <w:szCs w:val="24"/>
              </w:rPr>
              <w:t>用</w:t>
            </w:r>
            <w:r>
              <w:rPr>
                <w:rFonts w:ascii="Arial" w:hAnsi="Arial" w:cs="Arial" w:eastAsia="Arial" w:hint="default"/>
                <w:sz w:val="24"/>
                <w:szCs w:val="24"/>
              </w:rPr>
              <w:t>“</w:t>
            </w:r>
            <w:r>
              <w:rPr>
                <w:rFonts w:ascii="宋体" w:hAnsi="宋体" w:cs="宋体" w:eastAsia="宋体" w:hint="default"/>
                <w:sz w:val="24"/>
                <w:szCs w:val="24"/>
              </w:rPr>
              <w:t>蘇寧</w:t>
            </w:r>
            <w:r>
              <w:rPr>
                <w:rFonts w:ascii="Arial" w:hAnsi="Arial" w:cs="Arial" w:eastAsia="Arial" w:hint="default"/>
                <w:sz w:val="24"/>
                <w:szCs w:val="24"/>
              </w:rPr>
              <w:t>”</w:t>
            </w:r>
            <w:r>
              <w:rPr>
                <w:rFonts w:ascii="宋体" w:hAnsi="宋体" w:cs="宋体" w:eastAsia="宋体" w:hint="default"/>
                <w:sz w:val="24"/>
                <w:szCs w:val="24"/>
              </w:rPr>
              <w:t>、 </w:t>
            </w:r>
            <w:r>
              <w:rPr>
                <w:rFonts w:ascii="Arial" w:hAnsi="Arial" w:cs="Arial" w:eastAsia="Arial" w:hint="default"/>
                <w:sz w:val="24"/>
                <w:szCs w:val="24"/>
              </w:rPr>
              <w:t>“</w:t>
            </w:r>
            <w:r>
              <w:rPr>
                <w:rFonts w:ascii="宋体" w:hAnsi="宋体" w:cs="宋体" w:eastAsia="宋体" w:hint="default"/>
                <w:sz w:val="24"/>
                <w:szCs w:val="24"/>
              </w:rPr>
              <w:t>苏宁</w:t>
            </w:r>
            <w:r>
              <w:rPr>
                <w:rFonts w:ascii="Arial" w:hAnsi="Arial" w:cs="Arial" w:eastAsia="Arial" w:hint="default"/>
                <w:sz w:val="24"/>
                <w:szCs w:val="24"/>
              </w:rPr>
              <w:t>”</w:t>
            </w:r>
            <w:r>
              <w:rPr>
                <w:rFonts w:ascii="宋体" w:hAnsi="宋体" w:cs="宋体" w:eastAsia="宋体" w:hint="default"/>
                <w:sz w:val="24"/>
                <w:szCs w:val="24"/>
              </w:rPr>
              <w:t>及</w:t>
            </w:r>
            <w:r>
              <w:rPr>
                <w:rFonts w:ascii="宋体" w:hAnsi="宋体" w:cs="宋体" w:eastAsia="宋体" w:hint="default"/>
                <w:spacing w:val="-2"/>
                <w:sz w:val="24"/>
                <w:szCs w:val="24"/>
              </w:rPr>
              <w:t> </w:t>
            </w:r>
            <w:r>
              <w:rPr>
                <w:rFonts w:ascii="Arial" w:hAnsi="Arial" w:cs="Arial" w:eastAsia="Arial" w:hint="default"/>
                <w:sz w:val="24"/>
                <w:szCs w:val="24"/>
              </w:rPr>
              <w:t>“NS”</w:t>
            </w:r>
            <w:r>
              <w:rPr>
                <w:rFonts w:ascii="宋体" w:hAnsi="宋体" w:cs="宋体" w:eastAsia="宋体" w:hint="default"/>
                <w:sz w:val="24"/>
                <w:szCs w:val="24"/>
              </w:rPr>
              <w:t>组合的系列注册商标。</w:t>
            </w:r>
          </w:p>
          <w:p>
            <w:pPr>
              <w:pStyle w:val="TableParagraph"/>
              <w:spacing w:line="240" w:lineRule="auto" w:before="4"/>
              <w:ind w:right="0"/>
              <w:jc w:val="left"/>
              <w:rPr>
                <w:rFonts w:ascii="Times New Roman" w:hAnsi="Times New Roman" w:cs="Times New Roman" w:eastAsia="Times New Roman" w:hint="default"/>
                <w:sz w:val="30"/>
                <w:szCs w:val="30"/>
              </w:rPr>
            </w:pPr>
          </w:p>
          <w:p>
            <w:pPr>
              <w:pStyle w:val="TableParagraph"/>
              <w:spacing w:line="230" w:lineRule="auto"/>
              <w:ind w:left="226" w:right="198"/>
              <w:jc w:val="both"/>
              <w:rPr>
                <w:rFonts w:ascii="宋体" w:hAnsi="宋体" w:cs="宋体" w:eastAsia="宋体" w:hint="default"/>
                <w:sz w:val="24"/>
                <w:szCs w:val="24"/>
              </w:rPr>
            </w:pPr>
            <w:r>
              <w:rPr>
                <w:rFonts w:ascii="Arial" w:hAnsi="Arial" w:cs="Arial" w:eastAsia="Arial" w:hint="default"/>
                <w:sz w:val="24"/>
                <w:szCs w:val="24"/>
              </w:rPr>
              <w:t>(2)</w:t>
            </w:r>
            <w:r>
              <w:rPr>
                <w:rFonts w:ascii="Arial" w:hAnsi="Arial" w:cs="Arial" w:eastAsia="Arial" w:hint="default"/>
                <w:spacing w:val="51"/>
                <w:sz w:val="24"/>
                <w:szCs w:val="24"/>
              </w:rPr>
              <w:t> </w:t>
            </w:r>
            <w:r>
              <w:rPr>
                <w:rFonts w:ascii="宋体" w:hAnsi="宋体" w:cs="宋体" w:eastAsia="宋体" w:hint="default"/>
                <w:sz w:val="24"/>
                <w:szCs w:val="24"/>
              </w:rPr>
              <w:t>于</w:t>
            </w:r>
            <w:r>
              <w:rPr>
                <w:rFonts w:ascii="宋体" w:hAnsi="宋体" w:cs="宋体" w:eastAsia="宋体" w:hint="default"/>
                <w:spacing w:val="-47"/>
                <w:sz w:val="24"/>
                <w:szCs w:val="24"/>
              </w:rPr>
              <w:t> </w:t>
            </w:r>
            <w:r>
              <w:rPr>
                <w:rFonts w:ascii="Arial" w:hAnsi="Arial" w:cs="Arial" w:eastAsia="Arial" w:hint="default"/>
                <w:sz w:val="24"/>
                <w:szCs w:val="24"/>
              </w:rPr>
              <w:t>2008</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Arial" w:hAnsi="Arial" w:cs="Arial" w:eastAsia="Arial" w:hint="default"/>
                <w:sz w:val="24"/>
                <w:szCs w:val="24"/>
              </w:rPr>
              <w:t>20</w:t>
            </w:r>
            <w:r>
              <w:rPr>
                <w:rFonts w:ascii="Arial" w:hAnsi="Arial" w:cs="Arial" w:eastAsia="Arial" w:hint="default"/>
                <w:spacing w:val="7"/>
                <w:sz w:val="24"/>
                <w:szCs w:val="24"/>
              </w:rPr>
              <w:t> </w:t>
            </w:r>
            <w:r>
              <w:rPr>
                <w:rFonts w:ascii="宋体" w:hAnsi="宋体" w:cs="宋体" w:eastAsia="宋体" w:hint="default"/>
                <w:sz w:val="24"/>
                <w:szCs w:val="24"/>
              </w:rPr>
              <w:t>日，经本公司</w:t>
            </w:r>
            <w:r>
              <w:rPr>
                <w:rFonts w:ascii="宋体" w:hAnsi="宋体" w:cs="宋体" w:eastAsia="宋体" w:hint="default"/>
                <w:spacing w:val="-47"/>
                <w:sz w:val="24"/>
                <w:szCs w:val="24"/>
              </w:rPr>
              <w:t> </w:t>
            </w:r>
            <w:r>
              <w:rPr>
                <w:rFonts w:ascii="Arial" w:hAnsi="Arial" w:cs="Arial" w:eastAsia="Arial" w:hint="default"/>
                <w:sz w:val="24"/>
                <w:szCs w:val="24"/>
              </w:rPr>
              <w:t>2007</w:t>
            </w:r>
            <w:r>
              <w:rPr>
                <w:rFonts w:ascii="Arial" w:hAnsi="Arial" w:cs="Arial" w:eastAsia="Arial" w:hint="default"/>
                <w:spacing w:val="5"/>
                <w:sz w:val="24"/>
                <w:szCs w:val="24"/>
              </w:rPr>
              <w:t> </w:t>
            </w:r>
            <w:r>
              <w:rPr>
                <w:rFonts w:ascii="宋体" w:hAnsi="宋体" w:cs="宋体" w:eastAsia="宋体" w:hint="default"/>
                <w:sz w:val="24"/>
                <w:szCs w:val="24"/>
              </w:rPr>
              <w:t>年年度股东大会批准，同意许可苏 宁电器集团有限公司及其全资、控股子公司和具有实际控制权的公司使用本公</w:t>
            </w:r>
            <w:r>
              <w:rPr>
                <w:rFonts w:ascii="宋体" w:hAnsi="宋体" w:cs="宋体" w:eastAsia="宋体" w:hint="default"/>
                <w:spacing w:val="-60"/>
                <w:sz w:val="24"/>
                <w:szCs w:val="24"/>
              </w:rPr>
              <w:t> </w:t>
            </w:r>
            <w:r>
              <w:rPr>
                <w:rFonts w:ascii="宋体" w:hAnsi="宋体" w:cs="宋体" w:eastAsia="宋体" w:hint="default"/>
                <w:spacing w:val="-60"/>
                <w:sz w:val="24"/>
                <w:szCs w:val="24"/>
              </w:rPr>
            </w:r>
            <w:r>
              <w:rPr>
                <w:rFonts w:ascii="宋体" w:hAnsi="宋体" w:cs="宋体" w:eastAsia="宋体" w:hint="default"/>
                <w:spacing w:val="2"/>
                <w:sz w:val="24"/>
                <w:szCs w:val="24"/>
              </w:rPr>
              <w:t>司已注册的部分</w:t>
            </w:r>
            <w:r>
              <w:rPr>
                <w:rFonts w:ascii="Arial" w:hAnsi="Arial" w:cs="Arial" w:eastAsia="Arial" w:hint="default"/>
                <w:spacing w:val="2"/>
                <w:sz w:val="24"/>
                <w:szCs w:val="24"/>
              </w:rPr>
              <w:t>“</w:t>
            </w:r>
            <w:r>
              <w:rPr>
                <w:rFonts w:ascii="宋体" w:hAnsi="宋体" w:cs="宋体" w:eastAsia="宋体" w:hint="default"/>
                <w:spacing w:val="2"/>
                <w:sz w:val="24"/>
                <w:szCs w:val="24"/>
              </w:rPr>
              <w:t>蘇寧</w:t>
            </w:r>
            <w:r>
              <w:rPr>
                <w:rFonts w:ascii="Arial" w:hAnsi="Arial" w:cs="Arial" w:eastAsia="Arial" w:hint="default"/>
                <w:spacing w:val="2"/>
                <w:sz w:val="24"/>
                <w:szCs w:val="24"/>
              </w:rPr>
              <w:t>”</w:t>
            </w:r>
            <w:r>
              <w:rPr>
                <w:rFonts w:ascii="宋体" w:hAnsi="宋体" w:cs="宋体" w:eastAsia="宋体" w:hint="default"/>
                <w:spacing w:val="2"/>
                <w:sz w:val="24"/>
                <w:szCs w:val="24"/>
              </w:rPr>
              <w:t>系列注册商标以及部分</w:t>
            </w:r>
            <w:r>
              <w:rPr>
                <w:rFonts w:ascii="Arial" w:hAnsi="Arial" w:cs="Arial" w:eastAsia="Arial" w:hint="default"/>
                <w:spacing w:val="2"/>
                <w:sz w:val="24"/>
                <w:szCs w:val="24"/>
              </w:rPr>
              <w:t>“</w:t>
            </w:r>
            <w:r>
              <w:rPr>
                <w:rFonts w:ascii="宋体" w:hAnsi="宋体" w:cs="宋体" w:eastAsia="宋体" w:hint="default"/>
                <w:spacing w:val="2"/>
                <w:sz w:val="24"/>
                <w:szCs w:val="24"/>
              </w:rPr>
              <w:t>苏宁</w:t>
            </w:r>
            <w:r>
              <w:rPr>
                <w:rFonts w:ascii="Arial" w:hAnsi="Arial" w:cs="Arial" w:eastAsia="Arial" w:hint="default"/>
                <w:spacing w:val="2"/>
                <w:sz w:val="24"/>
                <w:szCs w:val="24"/>
              </w:rPr>
              <w:t>”</w:t>
            </w:r>
            <w:r>
              <w:rPr>
                <w:rFonts w:ascii="宋体" w:hAnsi="宋体" w:cs="宋体" w:eastAsia="宋体" w:hint="default"/>
                <w:spacing w:val="2"/>
                <w:sz w:val="24"/>
                <w:szCs w:val="24"/>
              </w:rPr>
              <w:t>及</w:t>
            </w:r>
            <w:r>
              <w:rPr>
                <w:rFonts w:ascii="宋体" w:hAnsi="宋体" w:cs="宋体" w:eastAsia="宋体" w:hint="default"/>
                <w:spacing w:val="29"/>
                <w:sz w:val="24"/>
                <w:szCs w:val="24"/>
              </w:rPr>
              <w:t> </w:t>
            </w:r>
            <w:r>
              <w:rPr>
                <w:rFonts w:ascii="Arial" w:hAnsi="Arial" w:cs="Arial" w:eastAsia="Arial" w:hint="default"/>
                <w:sz w:val="24"/>
                <w:szCs w:val="24"/>
              </w:rPr>
              <w:t>“NS”</w:t>
            </w:r>
            <w:r>
              <w:rPr>
                <w:rFonts w:ascii="宋体" w:hAnsi="宋体" w:cs="宋体" w:eastAsia="宋体" w:hint="default"/>
                <w:sz w:val="24"/>
                <w:szCs w:val="24"/>
              </w:rPr>
              <w:t>组合的系列注册商</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标。</w:t>
            </w:r>
          </w:p>
          <w:p>
            <w:pPr>
              <w:pStyle w:val="TableParagraph"/>
              <w:spacing w:line="240" w:lineRule="auto" w:before="10"/>
              <w:ind w:right="0"/>
              <w:jc w:val="left"/>
              <w:rPr>
                <w:rFonts w:ascii="Times New Roman" w:hAnsi="Times New Roman" w:cs="Times New Roman" w:eastAsia="Times New Roman" w:hint="default"/>
                <w:sz w:val="30"/>
                <w:szCs w:val="30"/>
              </w:rPr>
            </w:pPr>
          </w:p>
          <w:p>
            <w:pPr>
              <w:pStyle w:val="TableParagraph"/>
              <w:spacing w:line="322" w:lineRule="exact"/>
              <w:ind w:left="226" w:right="0"/>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6"/>
                <w:sz w:val="24"/>
                <w:szCs w:val="24"/>
              </w:rPr>
              <w:t> </w:t>
            </w:r>
            <w:r>
              <w:rPr>
                <w:rFonts w:ascii="Arial" w:hAnsi="Arial" w:cs="Arial" w:eastAsia="Arial" w:hint="default"/>
                <w:sz w:val="24"/>
                <w:szCs w:val="24"/>
              </w:rPr>
              <w:t>2008</w:t>
            </w:r>
            <w:r>
              <w:rPr>
                <w:rFonts w:ascii="Arial" w:hAnsi="Arial" w:cs="Arial" w:eastAsia="Arial"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Arial" w:hAnsi="Arial" w:cs="Arial" w:eastAsia="Arial" w:hint="default"/>
                <w:sz w:val="24"/>
                <w:szCs w:val="24"/>
              </w:rPr>
              <w:t>5</w:t>
            </w:r>
            <w:r>
              <w:rPr>
                <w:rFonts w:ascii="Arial" w:hAnsi="Arial" w:cs="Arial" w:eastAsia="Arial"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Arial" w:hAnsi="Arial" w:cs="Arial" w:eastAsia="Arial" w:hint="default"/>
                <w:sz w:val="24"/>
                <w:szCs w:val="24"/>
              </w:rPr>
              <w:t>15</w:t>
            </w:r>
            <w:r>
              <w:rPr>
                <w:rFonts w:ascii="Arial" w:hAnsi="Arial" w:cs="Arial" w:eastAsia="Arial" w:hint="default"/>
                <w:spacing w:val="-12"/>
                <w:sz w:val="24"/>
                <w:szCs w:val="24"/>
              </w:rPr>
              <w:t> </w:t>
            </w:r>
            <w:r>
              <w:rPr>
                <w:rFonts w:ascii="宋体" w:hAnsi="宋体" w:cs="宋体" w:eastAsia="宋体" w:hint="default"/>
                <w:sz w:val="24"/>
                <w:szCs w:val="24"/>
              </w:rPr>
              <w:t>日，本公司与苏宁电器集团有限公司签订《商标使用许可协</w:t>
            </w:r>
          </w:p>
          <w:p>
            <w:pPr>
              <w:pStyle w:val="TableParagraph"/>
              <w:spacing w:line="230" w:lineRule="auto" w:before="1"/>
              <w:ind w:left="226" w:right="198"/>
              <w:jc w:val="both"/>
              <w:rPr>
                <w:rFonts w:ascii="宋体" w:hAnsi="宋体" w:cs="宋体" w:eastAsia="宋体" w:hint="default"/>
                <w:sz w:val="24"/>
                <w:szCs w:val="24"/>
              </w:rPr>
            </w:pPr>
            <w:r>
              <w:rPr>
                <w:rFonts w:ascii="宋体" w:hAnsi="宋体" w:cs="宋体" w:eastAsia="宋体" w:hint="default"/>
                <w:spacing w:val="-20"/>
                <w:sz w:val="24"/>
                <w:szCs w:val="24"/>
              </w:rPr>
              <w:t>议》，约定自</w:t>
            </w:r>
            <w:r>
              <w:rPr>
                <w:rFonts w:ascii="宋体" w:hAnsi="宋体" w:cs="宋体" w:eastAsia="宋体" w:hint="default"/>
                <w:spacing w:val="-45"/>
                <w:sz w:val="24"/>
                <w:szCs w:val="24"/>
              </w:rPr>
              <w:t> </w:t>
            </w:r>
            <w:r>
              <w:rPr>
                <w:rFonts w:ascii="Arial" w:hAnsi="Arial" w:cs="Arial" w:eastAsia="Arial" w:hint="default"/>
                <w:spacing w:val="-1"/>
                <w:w w:val="99"/>
                <w:sz w:val="24"/>
                <w:szCs w:val="24"/>
              </w:rPr>
              <w:t>2008</w:t>
            </w:r>
            <w:r>
              <w:rPr>
                <w:rFonts w:ascii="Arial" w:hAnsi="Arial" w:cs="Arial" w:eastAsia="Arial" w:hint="default"/>
                <w:spacing w:val="9"/>
                <w:w w:val="99"/>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Arial" w:hAnsi="Arial" w:cs="Arial" w:eastAsia="Arial" w:hint="default"/>
                <w:w w:val="99"/>
                <w:sz w:val="24"/>
                <w:szCs w:val="24"/>
              </w:rPr>
              <w:t>6</w:t>
            </w:r>
            <w:r>
              <w:rPr>
                <w:rFonts w:ascii="Arial" w:hAnsi="Arial" w:cs="Arial" w:eastAsia="Arial" w:hint="default"/>
                <w:spacing w:val="9"/>
                <w:w w:val="99"/>
                <w:sz w:val="24"/>
                <w:szCs w:val="24"/>
              </w:rPr>
              <w:t> </w:t>
            </w:r>
            <w:r>
              <w:rPr>
                <w:rFonts w:ascii="宋体" w:hAnsi="宋体" w:cs="宋体" w:eastAsia="宋体" w:hint="default"/>
                <w:sz w:val="24"/>
                <w:szCs w:val="24"/>
              </w:rPr>
              <w:t>月</w:t>
            </w:r>
            <w:r>
              <w:rPr>
                <w:rFonts w:ascii="宋体" w:hAnsi="宋体" w:cs="宋体" w:eastAsia="宋体" w:hint="default"/>
                <w:spacing w:val="-45"/>
                <w:sz w:val="24"/>
                <w:szCs w:val="24"/>
              </w:rPr>
              <w:t> </w:t>
            </w:r>
            <w:r>
              <w:rPr>
                <w:rFonts w:ascii="Arial" w:hAnsi="Arial" w:cs="Arial" w:eastAsia="Arial" w:hint="default"/>
                <w:w w:val="99"/>
                <w:sz w:val="24"/>
                <w:szCs w:val="24"/>
              </w:rPr>
              <w:t>1</w:t>
            </w:r>
            <w:r>
              <w:rPr>
                <w:rFonts w:ascii="Arial" w:hAnsi="Arial" w:cs="Arial" w:eastAsia="Arial" w:hint="default"/>
                <w:spacing w:val="9"/>
                <w:w w:val="99"/>
                <w:sz w:val="24"/>
                <w:szCs w:val="24"/>
              </w:rPr>
              <w:t> </w:t>
            </w:r>
            <w:r>
              <w:rPr>
                <w:rFonts w:ascii="宋体" w:hAnsi="宋体" w:cs="宋体" w:eastAsia="宋体" w:hint="default"/>
                <w:spacing w:val="-1"/>
                <w:sz w:val="24"/>
                <w:szCs w:val="24"/>
              </w:rPr>
              <w:t>日起，苏宁电器股份有限公司在其拥有</w:t>
            </w:r>
            <w:r>
              <w:rPr>
                <w:rFonts w:ascii="Arial" w:hAnsi="Arial" w:cs="Arial" w:eastAsia="Arial" w:hint="default"/>
                <w:spacing w:val="-1"/>
                <w:sz w:val="24"/>
                <w:szCs w:val="24"/>
              </w:rPr>
              <w:t>“</w:t>
            </w:r>
            <w:r>
              <w:rPr>
                <w:rFonts w:ascii="宋体" w:hAnsi="宋体" w:cs="宋体" w:eastAsia="宋体" w:hint="default"/>
                <w:spacing w:val="-1"/>
                <w:sz w:val="24"/>
                <w:szCs w:val="24"/>
              </w:rPr>
              <w:t>蘇寧</w:t>
            </w:r>
            <w:r>
              <w:rPr>
                <w:rFonts w:ascii="Arial" w:hAnsi="Arial" w:cs="Arial" w:eastAsia="Arial" w:hint="default"/>
                <w:spacing w:val="-1"/>
                <w:sz w:val="24"/>
                <w:szCs w:val="24"/>
              </w:rPr>
              <w:t>”</w:t>
            </w:r>
            <w:r>
              <w:rPr>
                <w:rFonts w:ascii="宋体" w:hAnsi="宋体" w:cs="宋体" w:eastAsia="宋体" w:hint="default"/>
                <w:spacing w:val="-1"/>
                <w:sz w:val="24"/>
                <w:szCs w:val="24"/>
              </w:rPr>
              <w:t>系列</w:t>
            </w:r>
            <w:r>
              <w:rPr>
                <w:rFonts w:ascii="宋体" w:hAnsi="宋体" w:cs="宋体" w:eastAsia="宋体" w:hint="default"/>
                <w:sz w:val="24"/>
                <w:szCs w:val="24"/>
              </w:rPr>
              <w:t> </w:t>
            </w:r>
            <w:r>
              <w:rPr>
                <w:rFonts w:ascii="宋体" w:hAnsi="宋体" w:cs="宋体" w:eastAsia="宋体" w:hint="default"/>
                <w:spacing w:val="-3"/>
                <w:w w:val="99"/>
                <w:sz w:val="24"/>
                <w:szCs w:val="24"/>
              </w:rPr>
              <w:t>注册商标以及部分</w:t>
            </w:r>
            <w:r>
              <w:rPr>
                <w:rFonts w:ascii="Arial" w:hAnsi="Arial" w:cs="Arial" w:eastAsia="Arial" w:hint="default"/>
                <w:spacing w:val="-3"/>
                <w:w w:val="99"/>
                <w:sz w:val="24"/>
                <w:szCs w:val="24"/>
              </w:rPr>
              <w:t>“</w:t>
            </w:r>
            <w:r>
              <w:rPr>
                <w:rFonts w:ascii="宋体" w:hAnsi="宋体" w:cs="宋体" w:eastAsia="宋体" w:hint="default"/>
                <w:spacing w:val="-3"/>
                <w:w w:val="99"/>
                <w:sz w:val="24"/>
                <w:szCs w:val="24"/>
              </w:rPr>
              <w:t>苏宁</w:t>
            </w:r>
            <w:r>
              <w:rPr>
                <w:rFonts w:ascii="Arial" w:hAnsi="Arial" w:cs="Arial" w:eastAsia="Arial" w:hint="default"/>
                <w:spacing w:val="-3"/>
                <w:w w:val="99"/>
                <w:sz w:val="24"/>
                <w:szCs w:val="24"/>
              </w:rPr>
              <w:t>”</w:t>
            </w:r>
            <w:r>
              <w:rPr>
                <w:rFonts w:ascii="宋体" w:hAnsi="宋体" w:cs="宋体" w:eastAsia="宋体" w:hint="default"/>
                <w:spacing w:val="-3"/>
                <w:w w:val="99"/>
                <w:sz w:val="24"/>
                <w:szCs w:val="24"/>
              </w:rPr>
              <w:t>及</w:t>
            </w:r>
            <w:r>
              <w:rPr>
                <w:rFonts w:ascii="Arial" w:hAnsi="Arial" w:cs="Arial" w:eastAsia="Arial" w:hint="default"/>
                <w:spacing w:val="-3"/>
                <w:w w:val="99"/>
                <w:sz w:val="24"/>
                <w:szCs w:val="24"/>
              </w:rPr>
              <w:t>“NS”</w:t>
            </w:r>
            <w:r>
              <w:rPr>
                <w:rFonts w:ascii="宋体" w:hAnsi="宋体" w:cs="宋体" w:eastAsia="宋体" w:hint="default"/>
                <w:spacing w:val="-3"/>
                <w:w w:val="99"/>
                <w:sz w:val="24"/>
                <w:szCs w:val="24"/>
              </w:rPr>
              <w:t>组合的系列注册商标的专用权期限内，许可苏宁</w:t>
            </w:r>
            <w:r>
              <w:rPr>
                <w:rFonts w:ascii="宋体" w:hAnsi="宋体" w:cs="宋体" w:eastAsia="宋体" w:hint="default"/>
                <w:spacing w:val="-110"/>
                <w:w w:val="99"/>
                <w:sz w:val="24"/>
                <w:szCs w:val="24"/>
              </w:rPr>
              <w:t> </w:t>
            </w:r>
            <w:r>
              <w:rPr>
                <w:rFonts w:ascii="宋体" w:hAnsi="宋体" w:cs="宋体" w:eastAsia="宋体" w:hint="default"/>
                <w:spacing w:val="-110"/>
                <w:w w:val="99"/>
                <w:sz w:val="24"/>
                <w:szCs w:val="24"/>
              </w:rPr>
            </w:r>
            <w:r>
              <w:rPr>
                <w:rFonts w:ascii="宋体" w:hAnsi="宋体" w:cs="宋体" w:eastAsia="宋体" w:hint="default"/>
                <w:sz w:val="24"/>
                <w:szCs w:val="24"/>
              </w:rPr>
              <w:t>电器集团有限公司无限期有偿使用部分注册商标，苏宁电器集团有限公司每年</w:t>
            </w:r>
            <w:r>
              <w:rPr>
                <w:rFonts w:ascii="宋体" w:hAnsi="宋体" w:cs="宋体" w:eastAsia="宋体" w:hint="default"/>
                <w:spacing w:val="-59"/>
                <w:sz w:val="24"/>
                <w:szCs w:val="24"/>
              </w:rPr>
              <w:t> </w:t>
            </w:r>
            <w:r>
              <w:rPr>
                <w:rFonts w:ascii="宋体" w:hAnsi="宋体" w:cs="宋体" w:eastAsia="宋体" w:hint="default"/>
                <w:spacing w:val="-59"/>
                <w:sz w:val="24"/>
                <w:szCs w:val="24"/>
              </w:rPr>
            </w:r>
            <w:r>
              <w:rPr>
                <w:rFonts w:ascii="宋体" w:hAnsi="宋体" w:cs="宋体" w:eastAsia="宋体" w:hint="default"/>
                <w:sz w:val="24"/>
                <w:szCs w:val="24"/>
              </w:rPr>
              <w:t>支付本公司商标使用费人民币</w:t>
            </w:r>
            <w:r>
              <w:rPr>
                <w:rFonts w:ascii="宋体" w:hAnsi="宋体" w:cs="宋体" w:eastAsia="宋体" w:hint="default"/>
                <w:spacing w:val="-61"/>
                <w:sz w:val="24"/>
                <w:szCs w:val="24"/>
              </w:rPr>
              <w:t> </w:t>
            </w:r>
            <w:r>
              <w:rPr>
                <w:rFonts w:ascii="Arial" w:hAnsi="Arial" w:cs="Arial" w:eastAsia="Arial" w:hint="default"/>
                <w:sz w:val="24"/>
                <w:szCs w:val="24"/>
              </w:rPr>
              <w:t>100</w:t>
            </w:r>
            <w:r>
              <w:rPr>
                <w:rFonts w:ascii="Arial" w:hAnsi="Arial" w:cs="Arial" w:eastAsia="Arial" w:hint="default"/>
                <w:spacing w:val="-7"/>
                <w:sz w:val="24"/>
                <w:szCs w:val="24"/>
              </w:rPr>
              <w:t> </w:t>
            </w:r>
            <w:r>
              <w:rPr>
                <w:rFonts w:ascii="宋体" w:hAnsi="宋体" w:cs="宋体" w:eastAsia="宋体" w:hint="default"/>
                <w:sz w:val="24"/>
                <w:szCs w:val="24"/>
              </w:rPr>
              <w:t>万元。</w:t>
            </w:r>
          </w:p>
          <w:p>
            <w:pPr>
              <w:pStyle w:val="TableParagraph"/>
              <w:spacing w:line="240" w:lineRule="auto" w:before="10"/>
              <w:ind w:right="0"/>
              <w:jc w:val="left"/>
              <w:rPr>
                <w:rFonts w:ascii="Times New Roman" w:hAnsi="Times New Roman" w:cs="Times New Roman" w:eastAsia="Times New Roman" w:hint="default"/>
                <w:sz w:val="30"/>
                <w:szCs w:val="30"/>
              </w:rPr>
            </w:pPr>
          </w:p>
          <w:p>
            <w:pPr>
              <w:pStyle w:val="TableParagraph"/>
              <w:spacing w:line="225" w:lineRule="auto"/>
              <w:ind w:left="226" w:right="199"/>
              <w:jc w:val="both"/>
              <w:rPr>
                <w:rFonts w:ascii="宋体" w:hAnsi="宋体" w:cs="宋体" w:eastAsia="宋体" w:hint="default"/>
                <w:sz w:val="24"/>
                <w:szCs w:val="24"/>
              </w:rPr>
            </w:pPr>
            <w:r>
              <w:rPr>
                <w:rFonts w:ascii="Arial" w:hAnsi="Arial" w:cs="Arial" w:eastAsia="Arial" w:hint="default"/>
                <w:sz w:val="24"/>
                <w:szCs w:val="24"/>
              </w:rPr>
              <w:t>(3)</w:t>
            </w:r>
            <w:r>
              <w:rPr>
                <w:rFonts w:ascii="Arial" w:hAnsi="Arial" w:cs="Arial" w:eastAsia="Arial" w:hint="default"/>
                <w:spacing w:val="51"/>
                <w:sz w:val="24"/>
                <w:szCs w:val="24"/>
              </w:rPr>
              <w:t> </w:t>
            </w:r>
            <w:r>
              <w:rPr>
                <w:rFonts w:ascii="宋体" w:hAnsi="宋体" w:cs="宋体" w:eastAsia="宋体" w:hint="default"/>
                <w:sz w:val="24"/>
                <w:szCs w:val="24"/>
              </w:rPr>
              <w:t>于</w:t>
            </w:r>
            <w:r>
              <w:rPr>
                <w:rFonts w:ascii="宋体" w:hAnsi="宋体" w:cs="宋体" w:eastAsia="宋体" w:hint="default"/>
                <w:spacing w:val="-47"/>
                <w:sz w:val="24"/>
                <w:szCs w:val="24"/>
              </w:rPr>
              <w:t> </w:t>
            </w:r>
            <w:r>
              <w:rPr>
                <w:rFonts w:ascii="Arial" w:hAnsi="Arial" w:cs="Arial" w:eastAsia="Arial" w:hint="default"/>
                <w:sz w:val="24"/>
                <w:szCs w:val="24"/>
              </w:rPr>
              <w:t>2009</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日，经本公司</w:t>
            </w:r>
            <w:r>
              <w:rPr>
                <w:rFonts w:ascii="宋体" w:hAnsi="宋体" w:cs="宋体" w:eastAsia="宋体" w:hint="default"/>
                <w:spacing w:val="-47"/>
                <w:sz w:val="24"/>
                <w:szCs w:val="24"/>
              </w:rPr>
              <w:t> </w:t>
            </w:r>
            <w:r>
              <w:rPr>
                <w:rFonts w:ascii="Arial" w:hAnsi="Arial" w:cs="Arial" w:eastAsia="Arial" w:hint="default"/>
                <w:sz w:val="24"/>
                <w:szCs w:val="24"/>
              </w:rPr>
              <w:t>2008</w:t>
            </w:r>
            <w:r>
              <w:rPr>
                <w:rFonts w:ascii="Arial" w:hAnsi="Arial" w:cs="Arial" w:eastAsia="Arial" w:hint="default"/>
                <w:spacing w:val="5"/>
                <w:sz w:val="24"/>
                <w:szCs w:val="24"/>
              </w:rPr>
              <w:t> </w:t>
            </w:r>
            <w:r>
              <w:rPr>
                <w:rFonts w:ascii="宋体" w:hAnsi="宋体" w:cs="宋体" w:eastAsia="宋体" w:hint="default"/>
                <w:sz w:val="24"/>
                <w:szCs w:val="24"/>
              </w:rPr>
              <w:t>年年度股东大会批准，同意许可苏 宁电器集团有限公司及其直接或间接持有 </w:t>
            </w:r>
            <w:r>
              <w:rPr>
                <w:rFonts w:ascii="Arial" w:hAnsi="Arial" w:cs="Arial" w:eastAsia="Arial" w:hint="default"/>
                <w:sz w:val="24"/>
                <w:szCs w:val="24"/>
              </w:rPr>
              <w:t>20%</w:t>
            </w:r>
            <w:r>
              <w:rPr>
                <w:rFonts w:ascii="宋体" w:hAnsi="宋体" w:cs="宋体" w:eastAsia="宋体" w:hint="default"/>
                <w:sz w:val="24"/>
                <w:szCs w:val="24"/>
              </w:rPr>
              <w:t>以上</w:t>
            </w:r>
            <w:r>
              <w:rPr>
                <w:rFonts w:ascii="Arial" w:hAnsi="Arial" w:cs="Arial" w:eastAsia="Arial" w:hint="default"/>
                <w:sz w:val="24"/>
                <w:szCs w:val="24"/>
              </w:rPr>
              <w:t>(</w:t>
            </w:r>
            <w:r>
              <w:rPr>
                <w:rFonts w:ascii="宋体" w:hAnsi="宋体" w:cs="宋体" w:eastAsia="宋体" w:hint="default"/>
                <w:sz w:val="24"/>
                <w:szCs w:val="24"/>
              </w:rPr>
              <w:t>含</w:t>
            </w:r>
            <w:r>
              <w:rPr>
                <w:rFonts w:ascii="宋体" w:hAnsi="宋体" w:cs="宋体" w:eastAsia="宋体" w:hint="default"/>
                <w:spacing w:val="-94"/>
                <w:sz w:val="24"/>
                <w:szCs w:val="24"/>
              </w:rPr>
              <w:t> </w:t>
            </w:r>
            <w:r>
              <w:rPr>
                <w:rFonts w:ascii="Arial" w:hAnsi="Arial" w:cs="Arial" w:eastAsia="Arial" w:hint="default"/>
                <w:sz w:val="24"/>
                <w:szCs w:val="24"/>
              </w:rPr>
              <w:t>20%)</w:t>
            </w:r>
            <w:r>
              <w:rPr>
                <w:rFonts w:ascii="宋体" w:hAnsi="宋体" w:cs="宋体" w:eastAsia="宋体" w:hint="default"/>
                <w:sz w:val="24"/>
                <w:szCs w:val="24"/>
              </w:rPr>
              <w:t>股份的公司使用公</w:t>
            </w:r>
            <w:r>
              <w:rPr>
                <w:rFonts w:ascii="宋体" w:hAnsi="宋体" w:cs="宋体" w:eastAsia="宋体" w:hint="default"/>
                <w:w w:val="99"/>
                <w:sz w:val="24"/>
                <w:szCs w:val="24"/>
              </w:rPr>
              <w:t> </w:t>
            </w:r>
            <w:r>
              <w:rPr>
                <w:rFonts w:ascii="宋体" w:hAnsi="宋体" w:cs="宋体" w:eastAsia="宋体" w:hint="default"/>
                <w:sz w:val="24"/>
                <w:szCs w:val="24"/>
              </w:rPr>
              <w:t>司已注册的部分</w:t>
            </w:r>
            <w:r>
              <w:rPr>
                <w:rFonts w:ascii="Arial" w:hAnsi="Arial" w:cs="Arial" w:eastAsia="Arial" w:hint="default"/>
                <w:sz w:val="24"/>
                <w:szCs w:val="24"/>
              </w:rPr>
              <w:t>“</w:t>
            </w:r>
            <w:r>
              <w:rPr>
                <w:rFonts w:ascii="宋体" w:hAnsi="宋体" w:cs="宋体" w:eastAsia="宋体" w:hint="default"/>
                <w:sz w:val="24"/>
                <w:szCs w:val="24"/>
              </w:rPr>
              <w:t>苏宁</w:t>
            </w:r>
            <w:r>
              <w:rPr>
                <w:rFonts w:ascii="Arial" w:hAnsi="Arial" w:cs="Arial" w:eastAsia="Arial" w:hint="default"/>
                <w:sz w:val="24"/>
                <w:szCs w:val="24"/>
              </w:rPr>
              <w:t>”</w:t>
            </w:r>
            <w:r>
              <w:rPr>
                <w:rFonts w:ascii="宋体" w:hAnsi="宋体" w:cs="宋体" w:eastAsia="宋体" w:hint="default"/>
                <w:sz w:val="24"/>
                <w:szCs w:val="24"/>
              </w:rPr>
              <w:t>以及</w:t>
            </w:r>
            <w:r>
              <w:rPr>
                <w:rFonts w:ascii="Arial" w:hAnsi="Arial" w:cs="Arial" w:eastAsia="Arial" w:hint="default"/>
                <w:sz w:val="24"/>
                <w:szCs w:val="24"/>
              </w:rPr>
              <w:t>“</w:t>
            </w:r>
            <w:r>
              <w:rPr>
                <w:rFonts w:ascii="宋体" w:hAnsi="宋体" w:cs="宋体" w:eastAsia="宋体" w:hint="default"/>
                <w:sz w:val="24"/>
                <w:szCs w:val="24"/>
              </w:rPr>
              <w:t>苏宁</w:t>
            </w:r>
            <w:r>
              <w:rPr>
                <w:rFonts w:ascii="Arial" w:hAnsi="Arial" w:cs="Arial" w:eastAsia="Arial" w:hint="default"/>
                <w:sz w:val="24"/>
                <w:szCs w:val="24"/>
              </w:rPr>
              <w:t>”</w:t>
            </w:r>
            <w:r>
              <w:rPr>
                <w:rFonts w:ascii="宋体" w:hAnsi="宋体" w:cs="宋体" w:eastAsia="宋体" w:hint="default"/>
                <w:sz w:val="24"/>
                <w:szCs w:val="24"/>
              </w:rPr>
              <w:t>的汉语拼音</w:t>
            </w:r>
            <w:r>
              <w:rPr>
                <w:rFonts w:ascii="Arial" w:hAnsi="Arial" w:cs="Arial" w:eastAsia="Arial" w:hint="default"/>
                <w:sz w:val="24"/>
                <w:szCs w:val="24"/>
              </w:rPr>
              <w:t>“SUNING”</w:t>
            </w:r>
            <w:r>
              <w:rPr>
                <w:rFonts w:ascii="宋体" w:hAnsi="宋体" w:cs="宋体" w:eastAsia="宋体" w:hint="default"/>
                <w:sz w:val="24"/>
                <w:szCs w:val="24"/>
              </w:rPr>
              <w:t>系列商标。</w:t>
            </w:r>
          </w:p>
        </w:tc>
      </w:tr>
    </w:tbl>
    <w:p>
      <w:pPr>
        <w:spacing w:after="0" w:line="225" w:lineRule="auto"/>
        <w:jc w:val="both"/>
        <w:rPr>
          <w:rFonts w:ascii="宋体" w:hAnsi="宋体" w:cs="宋体" w:eastAsia="宋体"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4024" type="#_x0000_t75" stroked="false">
            <v:imagedata r:id="rId10" o:title=""/>
          </v:shape>
        </w:pict>
      </w:r>
    </w:p>
    <w:p>
      <w:pPr>
        <w:spacing w:line="240" w:lineRule="auto" w:before="2"/>
        <w:rPr>
          <w:rFonts w:ascii="Times New Roman" w:hAnsi="Times New Roman" w:cs="Times New Roman" w:eastAsia="Times New Roman" w:hint="default"/>
          <w:sz w:val="13"/>
          <w:szCs w:val="13"/>
        </w:rPr>
      </w:pPr>
    </w:p>
    <w:tbl>
      <w:tblPr>
        <w:tblW w:w="0" w:type="auto"/>
        <w:jc w:val="left"/>
        <w:tblInd w:w="161" w:type="dxa"/>
        <w:tblLayout w:type="fixed"/>
        <w:tblCellMar>
          <w:top w:w="0" w:type="dxa"/>
          <w:left w:w="0" w:type="dxa"/>
          <w:bottom w:w="0" w:type="dxa"/>
          <w:right w:w="0" w:type="dxa"/>
        </w:tblCellMar>
        <w:tblLook w:val="01E0"/>
      </w:tblPr>
      <w:tblGrid>
        <w:gridCol w:w="720"/>
        <w:gridCol w:w="9069"/>
      </w:tblGrid>
      <w:tr>
        <w:trPr>
          <w:trHeight w:val="416"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exact"/>
              <w:ind w:right="77"/>
              <w:jc w:val="center"/>
              <w:rPr>
                <w:rFonts w:ascii="黑体" w:hAnsi="黑体" w:cs="黑体" w:eastAsia="黑体" w:hint="default"/>
                <w:sz w:val="24"/>
                <w:szCs w:val="24"/>
              </w:rPr>
            </w:pPr>
            <w:r>
              <w:rPr>
                <w:rFonts w:ascii="黑体" w:hAnsi="黑体" w:cs="黑体" w:eastAsia="黑体" w:hint="default"/>
                <w:sz w:val="24"/>
                <w:szCs w:val="24"/>
              </w:rPr>
              <w:t>六</w:t>
            </w:r>
          </w:p>
        </w:tc>
        <w:tc>
          <w:tcPr>
            <w:tcW w:w="9069" w:type="dxa"/>
            <w:tcBorders>
              <w:top w:val="nil" w:sz="6" w:space="0" w:color="auto"/>
              <w:left w:val="nil" w:sz="6" w:space="0" w:color="auto"/>
              <w:bottom w:val="nil" w:sz="6" w:space="0" w:color="auto"/>
              <w:right w:val="nil" w:sz="6" w:space="0" w:color="auto"/>
            </w:tcBorders>
          </w:tcPr>
          <w:p>
            <w:pPr>
              <w:pStyle w:val="TableParagraph"/>
              <w:spacing w:line="257" w:lineRule="exact"/>
              <w:ind w:left="226"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4"/>
              <w:jc w:val="center"/>
              <w:rPr>
                <w:rFonts w:ascii="Arial" w:hAnsi="Arial" w:cs="Arial" w:eastAsia="Arial" w:hint="default"/>
                <w:sz w:val="24"/>
                <w:szCs w:val="24"/>
              </w:rPr>
            </w:pPr>
            <w:r>
              <w:rPr>
                <w:rFonts w:ascii="Arial"/>
                <w:sz w:val="24"/>
              </w:rPr>
              <w:t>(5)</w:t>
            </w:r>
          </w:p>
        </w:tc>
        <w:tc>
          <w:tcPr>
            <w:tcW w:w="906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26"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91"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4"/>
              <w:jc w:val="center"/>
              <w:rPr>
                <w:rFonts w:ascii="Arial" w:hAnsi="Arial" w:cs="Arial" w:eastAsia="Arial" w:hint="default"/>
                <w:sz w:val="24"/>
                <w:szCs w:val="24"/>
              </w:rPr>
            </w:pPr>
            <w:r>
              <w:rPr>
                <w:rFonts w:ascii="Arial"/>
                <w:sz w:val="24"/>
              </w:rPr>
              <w:t>(h)</w:t>
            </w:r>
          </w:p>
        </w:tc>
        <w:tc>
          <w:tcPr>
            <w:tcW w:w="906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26" w:right="0"/>
              <w:jc w:val="left"/>
              <w:rPr>
                <w:rFonts w:ascii="Arial" w:hAnsi="Arial" w:cs="Arial" w:eastAsia="Arial" w:hint="default"/>
                <w:sz w:val="24"/>
                <w:szCs w:val="24"/>
              </w:rPr>
            </w:pPr>
            <w:r>
              <w:rPr>
                <w:rFonts w:ascii="宋体" w:hAnsi="宋体" w:cs="宋体" w:eastAsia="宋体" w:hint="default"/>
                <w:sz w:val="24"/>
                <w:szCs w:val="24"/>
              </w:rPr>
              <w:t>商标使用许可协议</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1665" w:hRule="exact"/>
        </w:trPr>
        <w:tc>
          <w:tcPr>
            <w:tcW w:w="720" w:type="dxa"/>
            <w:tcBorders>
              <w:top w:val="nil" w:sz="6" w:space="0" w:color="auto"/>
              <w:left w:val="nil" w:sz="6" w:space="0" w:color="auto"/>
              <w:bottom w:val="nil" w:sz="6" w:space="0" w:color="auto"/>
              <w:right w:val="nil" w:sz="6" w:space="0" w:color="auto"/>
            </w:tcBorders>
          </w:tcPr>
          <w:p>
            <w:pPr/>
          </w:p>
        </w:tc>
        <w:tc>
          <w:tcPr>
            <w:tcW w:w="9069" w:type="dxa"/>
            <w:tcBorders>
              <w:top w:val="nil" w:sz="6" w:space="0" w:color="auto"/>
              <w:left w:val="nil" w:sz="6" w:space="0" w:color="auto"/>
              <w:bottom w:val="nil" w:sz="6" w:space="0" w:color="auto"/>
              <w:right w:val="nil" w:sz="6" w:space="0" w:color="auto"/>
            </w:tcBorders>
          </w:tcPr>
          <w:p>
            <w:pPr>
              <w:pStyle w:val="TableParagraph"/>
              <w:spacing w:line="228" w:lineRule="auto" w:before="107"/>
              <w:ind w:left="226" w:right="198"/>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8"/>
                <w:sz w:val="24"/>
                <w:szCs w:val="24"/>
              </w:rPr>
              <w:t> </w:t>
            </w:r>
            <w:r>
              <w:rPr>
                <w:rFonts w:ascii="Arial" w:hAnsi="Arial" w:cs="Arial" w:eastAsia="Arial" w:hint="default"/>
                <w:spacing w:val="-1"/>
                <w:w w:val="99"/>
                <w:sz w:val="24"/>
                <w:szCs w:val="24"/>
              </w:rPr>
              <w:t>2009</w:t>
            </w:r>
            <w:r>
              <w:rPr>
                <w:rFonts w:ascii="Arial" w:hAnsi="Arial" w:cs="Arial" w:eastAsia="Arial" w:hint="default"/>
                <w:spacing w:val="-4"/>
                <w:w w:val="99"/>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w w:val="99"/>
                <w:sz w:val="24"/>
                <w:szCs w:val="24"/>
              </w:rPr>
              <w:t>6</w:t>
            </w:r>
            <w:r>
              <w:rPr>
                <w:rFonts w:ascii="Arial" w:hAnsi="Arial" w:cs="Arial" w:eastAsia="Arial" w:hint="default"/>
                <w:spacing w:val="-4"/>
                <w:w w:val="99"/>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spacing w:val="-1"/>
                <w:w w:val="99"/>
                <w:sz w:val="24"/>
                <w:szCs w:val="24"/>
              </w:rPr>
              <w:t>26</w:t>
            </w:r>
            <w:r>
              <w:rPr>
                <w:rFonts w:ascii="Arial" w:hAnsi="Arial" w:cs="Arial" w:eastAsia="Arial" w:hint="default"/>
                <w:spacing w:val="-4"/>
                <w:w w:val="99"/>
                <w:sz w:val="24"/>
                <w:szCs w:val="24"/>
              </w:rPr>
              <w:t> </w:t>
            </w:r>
            <w:r>
              <w:rPr>
                <w:rFonts w:ascii="宋体" w:hAnsi="宋体" w:cs="宋体" w:eastAsia="宋体" w:hint="default"/>
                <w:spacing w:val="-12"/>
                <w:sz w:val="24"/>
                <w:szCs w:val="24"/>
              </w:rPr>
              <w:t>日，本公司与苏宁电器集团有限公司签订《商标使用许可协议》，</w:t>
            </w:r>
            <w:r>
              <w:rPr>
                <w:rFonts w:ascii="宋体" w:hAnsi="宋体" w:cs="宋体" w:eastAsia="宋体" w:hint="default"/>
                <w:sz w:val="24"/>
                <w:szCs w:val="24"/>
              </w:rPr>
              <w:t> 约定自签订协议之日起，苏宁电器股份有限公司在其拥有</w:t>
            </w:r>
            <w:r>
              <w:rPr>
                <w:rFonts w:ascii="Arial" w:hAnsi="Arial" w:cs="Arial" w:eastAsia="Arial" w:hint="default"/>
                <w:sz w:val="24"/>
                <w:szCs w:val="24"/>
              </w:rPr>
              <w:t>“</w:t>
            </w:r>
            <w:r>
              <w:rPr>
                <w:rFonts w:ascii="宋体" w:hAnsi="宋体" w:cs="宋体" w:eastAsia="宋体" w:hint="default"/>
                <w:sz w:val="24"/>
                <w:szCs w:val="24"/>
              </w:rPr>
              <w:t>苏宁</w:t>
            </w:r>
            <w:r>
              <w:rPr>
                <w:rFonts w:ascii="Arial" w:hAnsi="Arial" w:cs="Arial" w:eastAsia="Arial" w:hint="default"/>
                <w:sz w:val="24"/>
                <w:szCs w:val="24"/>
              </w:rPr>
              <w:t>”</w:t>
            </w:r>
            <w:r>
              <w:rPr>
                <w:rFonts w:ascii="宋体" w:hAnsi="宋体" w:cs="宋体" w:eastAsia="宋体" w:hint="default"/>
                <w:sz w:val="24"/>
                <w:szCs w:val="24"/>
              </w:rPr>
              <w:t>以及</w:t>
            </w:r>
            <w:r>
              <w:rPr>
                <w:rFonts w:ascii="Arial" w:hAnsi="Arial" w:cs="Arial" w:eastAsia="Arial" w:hint="default"/>
                <w:sz w:val="24"/>
                <w:szCs w:val="24"/>
              </w:rPr>
              <w:t>“</w:t>
            </w:r>
            <w:r>
              <w:rPr>
                <w:rFonts w:ascii="宋体" w:hAnsi="宋体" w:cs="宋体" w:eastAsia="宋体" w:hint="default"/>
                <w:sz w:val="24"/>
                <w:szCs w:val="24"/>
              </w:rPr>
              <w:t>苏宁</w:t>
            </w:r>
            <w:r>
              <w:rPr>
                <w:rFonts w:ascii="Arial" w:hAnsi="Arial" w:cs="Arial" w:eastAsia="Arial" w:hint="default"/>
                <w:sz w:val="24"/>
                <w:szCs w:val="24"/>
              </w:rPr>
              <w:t>”</w:t>
            </w:r>
            <w:r>
              <w:rPr>
                <w:rFonts w:ascii="宋体" w:hAnsi="宋体" w:cs="宋体" w:eastAsia="宋体" w:hint="default"/>
                <w:sz w:val="24"/>
                <w:szCs w:val="24"/>
              </w:rPr>
              <w:t>的汉语</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拼音</w:t>
            </w:r>
            <w:r>
              <w:rPr>
                <w:rFonts w:ascii="Arial" w:hAnsi="Arial" w:cs="Arial" w:eastAsia="Arial" w:hint="default"/>
                <w:sz w:val="24"/>
                <w:szCs w:val="24"/>
              </w:rPr>
              <w:t>“</w:t>
            </w:r>
            <w:r>
              <w:rPr>
                <w:rFonts w:ascii="Arial" w:hAnsi="Arial" w:cs="Arial" w:eastAsia="Arial" w:hint="default"/>
                <w:sz w:val="24"/>
                <w:szCs w:val="24"/>
              </w:rPr>
              <w:t>SUNING</w:t>
            </w:r>
            <w:r>
              <w:rPr>
                <w:rFonts w:ascii="Arial" w:hAnsi="Arial" w:cs="Arial" w:eastAsia="Arial" w:hint="default"/>
                <w:sz w:val="24"/>
                <w:szCs w:val="24"/>
              </w:rPr>
              <w:t>”</w:t>
            </w:r>
            <w:r>
              <w:rPr>
                <w:rFonts w:ascii="宋体" w:hAnsi="宋体" w:cs="宋体" w:eastAsia="宋体" w:hint="default"/>
                <w:sz w:val="24"/>
                <w:szCs w:val="24"/>
              </w:rPr>
              <w:t>系列注册商标的专用权期限内，许可苏宁电器集团有限公司无限期</w:t>
            </w:r>
            <w:r>
              <w:rPr>
                <w:rFonts w:ascii="宋体" w:hAnsi="宋体" w:cs="宋体" w:eastAsia="宋体" w:hint="default"/>
                <w:w w:val="99"/>
                <w:sz w:val="24"/>
                <w:szCs w:val="24"/>
              </w:rPr>
              <w:t> </w:t>
            </w:r>
            <w:r>
              <w:rPr>
                <w:rFonts w:ascii="宋体" w:hAnsi="宋体" w:cs="宋体" w:eastAsia="宋体" w:hint="default"/>
                <w:spacing w:val="-4"/>
                <w:w w:val="99"/>
                <w:sz w:val="24"/>
                <w:szCs w:val="24"/>
              </w:rPr>
              <w:t>有偿使用部分注册商标，苏宁电器集团有限公司每年支付本公司商标使用费人民币</w:t>
            </w:r>
            <w:r>
              <w:rPr>
                <w:rFonts w:ascii="宋体" w:hAnsi="宋体" w:cs="宋体" w:eastAsia="宋体" w:hint="default"/>
                <w:spacing w:val="-94"/>
                <w:w w:val="99"/>
                <w:sz w:val="24"/>
                <w:szCs w:val="24"/>
              </w:rPr>
              <w:t> </w:t>
            </w:r>
            <w:r>
              <w:rPr>
                <w:rFonts w:ascii="宋体" w:hAnsi="宋体" w:cs="宋体" w:eastAsia="宋体" w:hint="default"/>
                <w:spacing w:val="-94"/>
                <w:w w:val="99"/>
                <w:sz w:val="24"/>
                <w:szCs w:val="24"/>
              </w:rPr>
            </w:r>
            <w:r>
              <w:rPr>
                <w:rFonts w:ascii="Arial" w:hAnsi="Arial" w:cs="Arial" w:eastAsia="Arial" w:hint="default"/>
                <w:sz w:val="24"/>
                <w:szCs w:val="24"/>
              </w:rPr>
              <w:t>100</w:t>
            </w:r>
            <w:r>
              <w:rPr>
                <w:rFonts w:ascii="Arial" w:hAnsi="Arial" w:cs="Arial" w:eastAsia="Arial" w:hint="default"/>
                <w:spacing w:val="-7"/>
                <w:sz w:val="24"/>
                <w:szCs w:val="24"/>
              </w:rPr>
              <w:t> </w:t>
            </w:r>
            <w:r>
              <w:rPr>
                <w:rFonts w:ascii="宋体" w:hAnsi="宋体" w:cs="宋体" w:eastAsia="宋体" w:hint="default"/>
                <w:sz w:val="24"/>
                <w:szCs w:val="24"/>
              </w:rPr>
              <w:t>万元。</w:t>
            </w:r>
          </w:p>
        </w:tc>
      </w:tr>
    </w:tbl>
    <w:p>
      <w:pPr>
        <w:spacing w:line="240" w:lineRule="auto" w:before="5"/>
        <w:rPr>
          <w:rFonts w:ascii="Times New Roman" w:hAnsi="Times New Roman" w:cs="Times New Roman" w:eastAsia="Times New Roman" w:hint="default"/>
          <w:sz w:val="29"/>
          <w:szCs w:val="29"/>
        </w:rPr>
      </w:pPr>
    </w:p>
    <w:tbl>
      <w:tblPr>
        <w:tblW w:w="0" w:type="auto"/>
        <w:jc w:val="left"/>
        <w:tblInd w:w="115" w:type="dxa"/>
        <w:tblLayout w:type="fixed"/>
        <w:tblCellMar>
          <w:top w:w="0" w:type="dxa"/>
          <w:left w:w="0" w:type="dxa"/>
          <w:bottom w:w="0" w:type="dxa"/>
          <w:right w:w="0" w:type="dxa"/>
        </w:tblCellMar>
        <w:tblLook w:val="01E0"/>
      </w:tblPr>
      <w:tblGrid>
        <w:gridCol w:w="730"/>
        <w:gridCol w:w="4358"/>
        <w:gridCol w:w="2186"/>
        <w:gridCol w:w="243"/>
        <w:gridCol w:w="2098"/>
      </w:tblGrid>
      <w:tr>
        <w:trPr>
          <w:trHeight w:val="461"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45" w:lineRule="exact"/>
              <w:ind w:right="11"/>
              <w:jc w:val="center"/>
              <w:rPr>
                <w:rFonts w:ascii="Arial" w:hAnsi="Arial" w:cs="Arial" w:eastAsia="Arial" w:hint="default"/>
                <w:sz w:val="24"/>
                <w:szCs w:val="24"/>
              </w:rPr>
            </w:pPr>
            <w:r>
              <w:rPr>
                <w:rFonts w:ascii="Arial"/>
                <w:sz w:val="24"/>
              </w:rPr>
              <w:t>(i)</w:t>
            </w:r>
          </w:p>
        </w:tc>
        <w:tc>
          <w:tcPr>
            <w:tcW w:w="4358" w:type="dxa"/>
            <w:tcBorders>
              <w:top w:val="nil" w:sz="6" w:space="0" w:color="auto"/>
              <w:left w:val="nil" w:sz="6" w:space="0" w:color="auto"/>
              <w:bottom w:val="nil" w:sz="6" w:space="0" w:color="auto"/>
              <w:right w:val="nil" w:sz="6" w:space="0" w:color="auto"/>
            </w:tcBorders>
          </w:tcPr>
          <w:p>
            <w:pPr>
              <w:pStyle w:val="TableParagraph"/>
              <w:spacing w:line="247" w:lineRule="exact"/>
              <w:ind w:left="259" w:right="0"/>
              <w:jc w:val="left"/>
              <w:rPr>
                <w:rFonts w:ascii="宋体" w:hAnsi="宋体" w:cs="宋体" w:eastAsia="宋体" w:hint="default"/>
                <w:sz w:val="24"/>
                <w:szCs w:val="24"/>
              </w:rPr>
            </w:pPr>
            <w:r>
              <w:rPr>
                <w:rFonts w:ascii="宋体" w:hAnsi="宋体" w:cs="宋体" w:eastAsia="宋体" w:hint="default"/>
                <w:sz w:val="24"/>
                <w:szCs w:val="24"/>
              </w:rPr>
              <w:t>商标转让协议</w:t>
            </w:r>
          </w:p>
        </w:tc>
        <w:tc>
          <w:tcPr>
            <w:tcW w:w="2186"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
        </w:tc>
      </w:tr>
      <w:tr>
        <w:trPr>
          <w:trHeight w:val="1293" w:hRule="exact"/>
        </w:trPr>
        <w:tc>
          <w:tcPr>
            <w:tcW w:w="9614" w:type="dxa"/>
            <w:gridSpan w:val="5"/>
            <w:tcBorders>
              <w:top w:val="nil" w:sz="6" w:space="0" w:color="auto"/>
              <w:left w:val="nil" w:sz="6" w:space="0" w:color="auto"/>
              <w:bottom w:val="nil" w:sz="6" w:space="0" w:color="auto"/>
              <w:right w:val="nil" w:sz="6" w:space="0" w:color="auto"/>
            </w:tcBorders>
          </w:tcPr>
          <w:p>
            <w:pPr>
              <w:pStyle w:val="TableParagraph"/>
              <w:spacing w:line="312" w:lineRule="exact" w:before="170"/>
              <w:ind w:left="989" w:right="156"/>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pacing w:val="-1"/>
                <w:w w:val="99"/>
                <w:sz w:val="24"/>
                <w:szCs w:val="24"/>
              </w:rPr>
              <w:t>2012</w:t>
            </w:r>
            <w:r>
              <w:rPr>
                <w:rFonts w:ascii="Arial" w:hAnsi="Arial" w:cs="Arial" w:eastAsia="Arial" w:hint="default"/>
                <w:spacing w:val="-6"/>
                <w:w w:val="99"/>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w w:val="99"/>
                <w:sz w:val="24"/>
                <w:szCs w:val="24"/>
              </w:rPr>
              <w:t>8</w:t>
            </w:r>
            <w:r>
              <w:rPr>
                <w:rFonts w:ascii="Arial" w:hAnsi="Arial" w:cs="Arial" w:eastAsia="Arial" w:hint="default"/>
                <w:spacing w:val="-6"/>
                <w:w w:val="99"/>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w w:val="99"/>
                <w:sz w:val="24"/>
                <w:szCs w:val="24"/>
              </w:rPr>
              <w:t>1</w:t>
            </w:r>
            <w:r>
              <w:rPr>
                <w:rFonts w:ascii="Arial" w:hAnsi="Arial" w:cs="Arial" w:eastAsia="Arial" w:hint="default"/>
                <w:spacing w:val="-6"/>
                <w:w w:val="99"/>
                <w:sz w:val="24"/>
                <w:szCs w:val="24"/>
              </w:rPr>
              <w:t> </w:t>
            </w:r>
            <w:r>
              <w:rPr>
                <w:rFonts w:ascii="宋体" w:hAnsi="宋体" w:cs="宋体" w:eastAsia="宋体" w:hint="default"/>
                <w:spacing w:val="-5"/>
                <w:sz w:val="24"/>
                <w:szCs w:val="24"/>
              </w:rPr>
              <w:t>日，本公司与苏宁电器集团有限公司签署《商标转让协议》，公</w:t>
            </w:r>
            <w:r>
              <w:rPr>
                <w:rFonts w:ascii="宋体" w:hAnsi="宋体" w:cs="宋体" w:eastAsia="宋体" w:hint="default"/>
                <w:sz w:val="24"/>
                <w:szCs w:val="24"/>
              </w:rPr>
              <w:t> 司受让苏宁电器集团有限公司国内及海外商标，本次交易公司共计支付商标受让</w:t>
            </w:r>
            <w:r>
              <w:rPr>
                <w:rFonts w:ascii="宋体" w:hAnsi="宋体" w:cs="宋体" w:eastAsia="宋体" w:hint="default"/>
                <w:spacing w:val="-65"/>
                <w:sz w:val="24"/>
                <w:szCs w:val="24"/>
              </w:rPr>
              <w:t> </w:t>
            </w:r>
            <w:r>
              <w:rPr>
                <w:rFonts w:ascii="宋体" w:hAnsi="宋体" w:cs="宋体" w:eastAsia="宋体" w:hint="default"/>
                <w:spacing w:val="-65"/>
                <w:sz w:val="24"/>
                <w:szCs w:val="24"/>
              </w:rPr>
            </w:r>
            <w:r>
              <w:rPr>
                <w:rFonts w:ascii="宋体" w:hAnsi="宋体" w:cs="宋体" w:eastAsia="宋体" w:hint="default"/>
                <w:sz w:val="24"/>
                <w:szCs w:val="24"/>
              </w:rPr>
              <w:t>款项人民币</w:t>
            </w:r>
            <w:r>
              <w:rPr>
                <w:rFonts w:ascii="宋体" w:hAnsi="宋体" w:cs="宋体" w:eastAsia="宋体" w:hint="default"/>
                <w:spacing w:val="-62"/>
                <w:sz w:val="24"/>
                <w:szCs w:val="24"/>
              </w:rPr>
              <w:t> </w:t>
            </w:r>
            <w:r>
              <w:rPr>
                <w:rFonts w:ascii="Arial" w:hAnsi="Arial" w:cs="Arial" w:eastAsia="Arial" w:hint="default"/>
                <w:sz w:val="24"/>
                <w:szCs w:val="24"/>
              </w:rPr>
              <w:t>59.47</w:t>
            </w:r>
            <w:r>
              <w:rPr>
                <w:rFonts w:ascii="Arial" w:hAnsi="Arial" w:cs="Arial" w:eastAsia="Arial" w:hint="default"/>
                <w:spacing w:val="-8"/>
                <w:sz w:val="24"/>
                <w:szCs w:val="24"/>
              </w:rPr>
              <w:t> </w:t>
            </w:r>
            <w:r>
              <w:rPr>
                <w:rFonts w:ascii="宋体" w:hAnsi="宋体" w:cs="宋体" w:eastAsia="宋体" w:hint="default"/>
                <w:sz w:val="24"/>
                <w:szCs w:val="24"/>
              </w:rPr>
              <w:t>万元。</w:t>
            </w:r>
          </w:p>
        </w:tc>
      </w:tr>
      <w:tr>
        <w:trPr>
          <w:trHeight w:val="665"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195"/>
              <w:jc w:val="right"/>
              <w:rPr>
                <w:rFonts w:ascii="Arial" w:hAnsi="Arial" w:cs="Arial" w:eastAsia="Arial" w:hint="default"/>
                <w:sz w:val="24"/>
                <w:szCs w:val="24"/>
              </w:rPr>
            </w:pPr>
            <w:r>
              <w:rPr>
                <w:rFonts w:ascii="Arial"/>
                <w:spacing w:val="-1"/>
                <w:sz w:val="24"/>
              </w:rPr>
              <w:t>(j)</w:t>
            </w:r>
          </w:p>
        </w:tc>
        <w:tc>
          <w:tcPr>
            <w:tcW w:w="4358"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97" w:right="0"/>
              <w:jc w:val="left"/>
              <w:rPr>
                <w:rFonts w:ascii="宋体" w:hAnsi="宋体" w:cs="宋体" w:eastAsia="宋体" w:hint="default"/>
                <w:sz w:val="24"/>
                <w:szCs w:val="24"/>
              </w:rPr>
            </w:pPr>
            <w:r>
              <w:rPr>
                <w:rFonts w:ascii="宋体" w:hAnsi="宋体" w:cs="宋体" w:eastAsia="宋体" w:hint="default"/>
                <w:sz w:val="24"/>
                <w:szCs w:val="24"/>
              </w:rPr>
              <w:t>关键管理人员薪酬</w:t>
            </w:r>
          </w:p>
        </w:tc>
        <w:tc>
          <w:tcPr>
            <w:tcW w:w="2186"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
        </w:tc>
      </w:tr>
      <w:tr>
        <w:trPr>
          <w:trHeight w:val="673" w:hRule="exact"/>
        </w:trPr>
        <w:tc>
          <w:tcPr>
            <w:tcW w:w="730" w:type="dxa"/>
            <w:tcBorders>
              <w:top w:val="nil" w:sz="6" w:space="0" w:color="auto"/>
              <w:left w:val="nil" w:sz="6" w:space="0" w:color="auto"/>
              <w:bottom w:val="nil" w:sz="6" w:space="0" w:color="auto"/>
              <w:right w:val="nil" w:sz="6" w:space="0" w:color="auto"/>
            </w:tcBorders>
          </w:tcPr>
          <w:p>
            <w:pPr/>
          </w:p>
        </w:tc>
        <w:tc>
          <w:tcPr>
            <w:tcW w:w="4358"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50"/>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43"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5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539" w:hRule="exact"/>
        </w:trPr>
        <w:tc>
          <w:tcPr>
            <w:tcW w:w="730" w:type="dxa"/>
            <w:tcBorders>
              <w:top w:val="nil" w:sz="6" w:space="0" w:color="auto"/>
              <w:left w:val="nil" w:sz="6" w:space="0" w:color="auto"/>
              <w:bottom w:val="nil" w:sz="6" w:space="0" w:color="auto"/>
              <w:right w:val="nil" w:sz="6" w:space="0" w:color="auto"/>
            </w:tcBorders>
          </w:tcPr>
          <w:p>
            <w:pPr/>
          </w:p>
        </w:tc>
        <w:tc>
          <w:tcPr>
            <w:tcW w:w="435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97" w:right="0"/>
              <w:jc w:val="left"/>
              <w:rPr>
                <w:rFonts w:ascii="宋体" w:hAnsi="宋体" w:cs="宋体" w:eastAsia="宋体" w:hint="default"/>
                <w:sz w:val="24"/>
                <w:szCs w:val="24"/>
              </w:rPr>
            </w:pPr>
            <w:r>
              <w:rPr>
                <w:rFonts w:ascii="宋体" w:hAnsi="宋体" w:cs="宋体" w:eastAsia="宋体" w:hint="default"/>
                <w:sz w:val="24"/>
                <w:szCs w:val="24"/>
              </w:rPr>
              <w:t>关键管理人员薪酬</w:t>
            </w:r>
          </w:p>
        </w:tc>
        <w:tc>
          <w:tcPr>
            <w:tcW w:w="2186" w:type="dxa"/>
            <w:tcBorders>
              <w:top w:val="nil" w:sz="6" w:space="0" w:color="auto"/>
              <w:left w:val="nil" w:sz="6" w:space="0" w:color="auto"/>
              <w:bottom w:val="single" w:sz="12" w:space="0" w:color="000000"/>
              <w:right w:val="nil" w:sz="6" w:space="0" w:color="auto"/>
            </w:tcBorders>
          </w:tcPr>
          <w:p>
            <w:pPr>
              <w:pStyle w:val="TableParagraph"/>
              <w:spacing w:line="240" w:lineRule="auto" w:before="203"/>
              <w:ind w:right="52"/>
              <w:jc w:val="right"/>
              <w:rPr>
                <w:rFonts w:ascii="Arial" w:hAnsi="Arial" w:cs="Arial" w:eastAsia="Arial" w:hint="default"/>
                <w:sz w:val="24"/>
                <w:szCs w:val="24"/>
              </w:rPr>
            </w:pPr>
            <w:r>
              <w:rPr>
                <w:rFonts w:ascii="Arial"/>
                <w:spacing w:val="-1"/>
                <w:sz w:val="24"/>
              </w:rPr>
              <w:t>8,400</w:t>
            </w:r>
          </w:p>
        </w:tc>
        <w:tc>
          <w:tcPr>
            <w:tcW w:w="243"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single" w:sz="12" w:space="0" w:color="000000"/>
              <w:right w:val="nil" w:sz="6" w:space="0" w:color="auto"/>
            </w:tcBorders>
          </w:tcPr>
          <w:p>
            <w:pPr>
              <w:pStyle w:val="TableParagraph"/>
              <w:spacing w:line="240" w:lineRule="auto" w:before="203"/>
              <w:ind w:right="54"/>
              <w:jc w:val="right"/>
              <w:rPr>
                <w:rFonts w:ascii="Arial" w:hAnsi="Arial" w:cs="Arial" w:eastAsia="Arial" w:hint="default"/>
                <w:sz w:val="24"/>
                <w:szCs w:val="24"/>
              </w:rPr>
            </w:pPr>
            <w:r>
              <w:rPr>
                <w:rFonts w:ascii="Arial"/>
                <w:spacing w:val="-1"/>
                <w:sz w:val="24"/>
              </w:rPr>
              <w:t>6,220</w:t>
            </w:r>
          </w:p>
        </w:tc>
      </w:tr>
      <w:tr>
        <w:trPr>
          <w:trHeight w:val="605"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right="234"/>
              <w:jc w:val="right"/>
              <w:rPr>
                <w:rFonts w:ascii="Arial" w:hAnsi="Arial" w:cs="Arial" w:eastAsia="Arial" w:hint="default"/>
                <w:sz w:val="24"/>
                <w:szCs w:val="24"/>
              </w:rPr>
            </w:pPr>
            <w:r>
              <w:rPr>
                <w:rFonts w:ascii="Arial"/>
                <w:w w:val="95"/>
                <w:sz w:val="24"/>
              </w:rPr>
              <w:t>(6)</w:t>
            </w:r>
            <w:r>
              <w:rPr>
                <w:rFonts w:ascii="Arial"/>
                <w:sz w:val="24"/>
              </w:rPr>
            </w:r>
          </w:p>
        </w:tc>
        <w:tc>
          <w:tcPr>
            <w:tcW w:w="43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97" w:right="0"/>
              <w:jc w:val="left"/>
              <w:rPr>
                <w:rFonts w:ascii="黑体" w:hAnsi="黑体" w:cs="黑体" w:eastAsia="黑体" w:hint="default"/>
                <w:sz w:val="24"/>
                <w:szCs w:val="24"/>
              </w:rPr>
            </w:pPr>
            <w:r>
              <w:rPr>
                <w:rFonts w:ascii="黑体" w:hAnsi="黑体" w:cs="黑体" w:eastAsia="黑体" w:hint="default"/>
                <w:sz w:val="24"/>
                <w:szCs w:val="24"/>
              </w:rPr>
              <w:t>应收、应付关联方款项余额</w:t>
            </w:r>
          </w:p>
        </w:tc>
        <w:tc>
          <w:tcPr>
            <w:tcW w:w="2186" w:type="dxa"/>
            <w:tcBorders>
              <w:top w:val="single" w:sz="12" w:space="0" w:color="000000"/>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2098" w:type="dxa"/>
            <w:tcBorders>
              <w:top w:val="single" w:sz="12" w:space="0" w:color="000000"/>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883" w:type="dxa"/>
        <w:tblLayout w:type="fixed"/>
        <w:tblCellMar>
          <w:top w:w="0" w:type="dxa"/>
          <w:left w:w="0" w:type="dxa"/>
          <w:bottom w:w="0" w:type="dxa"/>
          <w:right w:w="0" w:type="dxa"/>
        </w:tblCellMar>
        <w:tblLook w:val="01E0"/>
      </w:tblPr>
      <w:tblGrid>
        <w:gridCol w:w="1499"/>
        <w:gridCol w:w="2821"/>
        <w:gridCol w:w="2198"/>
        <w:gridCol w:w="231"/>
        <w:gridCol w:w="2102"/>
      </w:tblGrid>
      <w:tr>
        <w:trPr>
          <w:trHeight w:val="379" w:hRule="exact"/>
        </w:trPr>
        <w:tc>
          <w:tcPr>
            <w:tcW w:w="8851" w:type="dxa"/>
            <w:gridSpan w:val="5"/>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应收关联方款项：</w:t>
            </w:r>
          </w:p>
        </w:tc>
      </w:tr>
      <w:tr>
        <w:trPr>
          <w:trHeight w:val="559" w:hRule="exact"/>
        </w:trPr>
        <w:tc>
          <w:tcPr>
            <w:tcW w:w="1499" w:type="dxa"/>
            <w:tcBorders>
              <w:top w:val="nil" w:sz="6" w:space="0" w:color="auto"/>
              <w:left w:val="nil" w:sz="6" w:space="0" w:color="auto"/>
              <w:bottom w:val="nil" w:sz="6" w:space="0" w:color="auto"/>
              <w:right w:val="nil" w:sz="6" w:space="0" w:color="auto"/>
            </w:tcBorders>
          </w:tcPr>
          <w:p>
            <w:pPr/>
          </w:p>
        </w:tc>
        <w:tc>
          <w:tcPr>
            <w:tcW w:w="525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5"/>
              <w:ind w:left="2928"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56"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38"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64"/>
              <w:jc w:val="right"/>
              <w:rPr>
                <w:rFonts w:ascii="Arial" w:hAnsi="Arial" w:cs="Arial" w:eastAsia="Arial" w:hint="default"/>
                <w:sz w:val="24"/>
                <w:szCs w:val="24"/>
              </w:rPr>
            </w:pPr>
            <w:r>
              <w:rPr>
                <w:rFonts w:ascii="Arial"/>
                <w:spacing w:val="-1"/>
                <w:sz w:val="24"/>
              </w:rPr>
              <w:t>1,659</w:t>
            </w:r>
          </w:p>
        </w:tc>
        <w:tc>
          <w:tcPr>
            <w:tcW w:w="231"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21" w:type="dxa"/>
            <w:tcBorders>
              <w:top w:val="nil" w:sz="6" w:space="0" w:color="auto"/>
              <w:left w:val="nil" w:sz="6" w:space="0" w:color="auto"/>
              <w:bottom w:val="nil" w:sz="6" w:space="0" w:color="auto"/>
              <w:right w:val="nil" w:sz="6" w:space="0" w:color="auto"/>
            </w:tcBorders>
          </w:tcPr>
          <w:p>
            <w:pPr>
              <w:pStyle w:val="TableParagraph"/>
              <w:spacing w:line="262" w:lineRule="exact"/>
              <w:ind w:left="338" w:right="0"/>
              <w:jc w:val="left"/>
              <w:rPr>
                <w:rFonts w:ascii="宋体" w:hAnsi="宋体" w:cs="宋体" w:eastAsia="宋体" w:hint="default"/>
                <w:sz w:val="24"/>
                <w:szCs w:val="24"/>
              </w:rPr>
            </w:pPr>
            <w:r>
              <w:rPr>
                <w:rFonts w:ascii="宋体" w:hAnsi="宋体" w:cs="宋体" w:eastAsia="宋体" w:hint="default"/>
                <w:sz w:val="24"/>
                <w:szCs w:val="24"/>
              </w:rPr>
              <w:t>钟山高尔夫置业</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2"/>
              <w:jc w:val="right"/>
              <w:rPr>
                <w:rFonts w:ascii="Arial" w:hAnsi="Arial" w:cs="Arial" w:eastAsia="Arial" w:hint="default"/>
                <w:sz w:val="24"/>
                <w:szCs w:val="24"/>
              </w:rPr>
            </w:pPr>
            <w:r>
              <w:rPr>
                <w:rFonts w:ascii="Arial"/>
                <w:w w:val="95"/>
                <w:sz w:val="24"/>
              </w:rPr>
              <w:t>772</w:t>
            </w:r>
            <w:r>
              <w:rPr>
                <w:rFonts w:ascii="Arial"/>
                <w:sz w:val="24"/>
              </w:rPr>
            </w:r>
          </w:p>
        </w:tc>
        <w:tc>
          <w:tcPr>
            <w:tcW w:w="231"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21" w:type="dxa"/>
            <w:tcBorders>
              <w:top w:val="nil" w:sz="6" w:space="0" w:color="auto"/>
              <w:left w:val="nil" w:sz="6" w:space="0" w:color="auto"/>
              <w:bottom w:val="nil" w:sz="6" w:space="0" w:color="auto"/>
              <w:right w:val="nil" w:sz="6" w:space="0" w:color="auto"/>
            </w:tcBorders>
          </w:tcPr>
          <w:p>
            <w:pPr>
              <w:pStyle w:val="TableParagraph"/>
              <w:spacing w:line="262" w:lineRule="exact"/>
              <w:ind w:left="338" w:right="0"/>
              <w:jc w:val="lef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2"/>
              <w:jc w:val="right"/>
              <w:rPr>
                <w:rFonts w:ascii="Arial" w:hAnsi="Arial" w:cs="Arial" w:eastAsia="Arial" w:hint="default"/>
                <w:sz w:val="24"/>
                <w:szCs w:val="24"/>
              </w:rPr>
            </w:pPr>
            <w:r>
              <w:rPr>
                <w:rFonts w:ascii="Arial"/>
                <w:w w:val="95"/>
                <w:sz w:val="24"/>
              </w:rPr>
              <w:t>35</w:t>
            </w:r>
            <w:r>
              <w:rPr>
                <w:rFonts w:ascii="Arial"/>
                <w:sz w:val="24"/>
              </w:rPr>
            </w:r>
          </w:p>
        </w:tc>
        <w:tc>
          <w:tcPr>
            <w:tcW w:w="231"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21" w:type="dxa"/>
            <w:tcBorders>
              <w:top w:val="nil" w:sz="6" w:space="0" w:color="auto"/>
              <w:left w:val="nil" w:sz="6" w:space="0" w:color="auto"/>
              <w:bottom w:val="nil" w:sz="6" w:space="0" w:color="auto"/>
              <w:right w:val="nil" w:sz="6" w:space="0" w:color="auto"/>
            </w:tcBorders>
          </w:tcPr>
          <w:p>
            <w:pPr>
              <w:pStyle w:val="TableParagraph"/>
              <w:spacing w:line="262" w:lineRule="exact"/>
              <w:ind w:left="338" w:right="0"/>
              <w:jc w:val="left"/>
              <w:rPr>
                <w:rFonts w:ascii="宋体" w:hAnsi="宋体" w:cs="宋体" w:eastAsia="宋体" w:hint="default"/>
                <w:sz w:val="24"/>
                <w:szCs w:val="24"/>
              </w:rPr>
            </w:pPr>
            <w:r>
              <w:rPr>
                <w:rFonts w:ascii="宋体" w:hAnsi="宋体" w:cs="宋体" w:eastAsia="宋体" w:hint="default"/>
                <w:sz w:val="24"/>
                <w:szCs w:val="24"/>
              </w:rPr>
              <w:t>沃德置业</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2"/>
              <w:jc w:val="right"/>
              <w:rPr>
                <w:rFonts w:ascii="Arial" w:hAnsi="Arial" w:cs="Arial" w:eastAsia="Arial" w:hint="default"/>
                <w:sz w:val="24"/>
                <w:szCs w:val="24"/>
              </w:rPr>
            </w:pPr>
            <w:r>
              <w:rPr>
                <w:rFonts w:ascii="Arial"/>
                <w:w w:val="95"/>
                <w:sz w:val="24"/>
              </w:rPr>
              <w:t>27</w:t>
            </w:r>
            <w:r>
              <w:rPr>
                <w:rFonts w:ascii="Arial"/>
                <w:sz w:val="24"/>
              </w:rPr>
            </w:r>
          </w:p>
        </w:tc>
        <w:tc>
          <w:tcPr>
            <w:tcW w:w="231"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10"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21" w:type="dxa"/>
            <w:tcBorders>
              <w:top w:val="nil" w:sz="6" w:space="0" w:color="auto"/>
              <w:left w:val="nil" w:sz="6" w:space="0" w:color="auto"/>
              <w:bottom w:val="nil" w:sz="6" w:space="0" w:color="auto"/>
              <w:right w:val="nil" w:sz="6" w:space="0" w:color="auto"/>
            </w:tcBorders>
          </w:tcPr>
          <w:p>
            <w:pPr>
              <w:pStyle w:val="TableParagraph"/>
              <w:spacing w:line="262" w:lineRule="exact"/>
              <w:ind w:left="338" w:right="0"/>
              <w:jc w:val="left"/>
              <w:rPr>
                <w:rFonts w:ascii="宋体" w:hAnsi="宋体" w:cs="宋体" w:eastAsia="宋体" w:hint="default"/>
                <w:sz w:val="24"/>
                <w:szCs w:val="24"/>
              </w:rPr>
            </w:pPr>
            <w:r>
              <w:rPr>
                <w:rFonts w:ascii="宋体" w:hAnsi="宋体" w:cs="宋体" w:eastAsia="宋体" w:hint="default"/>
                <w:sz w:val="24"/>
                <w:szCs w:val="24"/>
              </w:rPr>
              <w:t>银河诺富特酒店</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2"/>
              <w:jc w:val="right"/>
              <w:rPr>
                <w:rFonts w:ascii="Arial" w:hAnsi="Arial" w:cs="Arial" w:eastAsia="Arial" w:hint="default"/>
                <w:sz w:val="24"/>
                <w:szCs w:val="24"/>
              </w:rPr>
            </w:pPr>
            <w:r>
              <w:rPr>
                <w:rFonts w:ascii="Arial"/>
                <w:w w:val="95"/>
                <w:sz w:val="24"/>
              </w:rPr>
              <w:t>19</w:t>
            </w:r>
            <w:r>
              <w:rPr>
                <w:rFonts w:ascii="Arial"/>
                <w:sz w:val="24"/>
              </w:rPr>
            </w:r>
          </w:p>
        </w:tc>
        <w:tc>
          <w:tcPr>
            <w:tcW w:w="231"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21" w:type="dxa"/>
            <w:tcBorders>
              <w:top w:val="nil" w:sz="6" w:space="0" w:color="auto"/>
              <w:left w:val="nil" w:sz="6" w:space="0" w:color="auto"/>
              <w:bottom w:val="nil" w:sz="6" w:space="0" w:color="auto"/>
              <w:right w:val="nil" w:sz="6" w:space="0" w:color="auto"/>
            </w:tcBorders>
          </w:tcPr>
          <w:p>
            <w:pPr>
              <w:pStyle w:val="TableParagraph"/>
              <w:spacing w:line="262" w:lineRule="exact"/>
              <w:ind w:left="338" w:right="0"/>
              <w:jc w:val="left"/>
              <w:rPr>
                <w:rFonts w:ascii="宋体" w:hAnsi="宋体" w:cs="宋体" w:eastAsia="宋体" w:hint="default"/>
                <w:sz w:val="24"/>
                <w:szCs w:val="24"/>
              </w:rPr>
            </w:pPr>
            <w:r>
              <w:rPr>
                <w:rFonts w:ascii="宋体" w:hAnsi="宋体" w:cs="宋体" w:eastAsia="宋体" w:hint="default"/>
                <w:sz w:val="24"/>
                <w:szCs w:val="24"/>
              </w:rPr>
              <w:t>江苏银河物业</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2"/>
              <w:jc w:val="right"/>
              <w:rPr>
                <w:rFonts w:ascii="Arial" w:hAnsi="Arial" w:cs="Arial" w:eastAsia="Arial" w:hint="default"/>
                <w:sz w:val="24"/>
                <w:szCs w:val="24"/>
              </w:rPr>
            </w:pPr>
            <w:r>
              <w:rPr>
                <w:rFonts w:ascii="Arial"/>
                <w:w w:val="95"/>
                <w:sz w:val="24"/>
              </w:rPr>
              <w:t>12</w:t>
            </w:r>
            <w:r>
              <w:rPr>
                <w:rFonts w:ascii="Arial"/>
                <w:sz w:val="24"/>
              </w:rPr>
            </w:r>
          </w:p>
        </w:tc>
        <w:tc>
          <w:tcPr>
            <w:tcW w:w="231"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21" w:type="dxa"/>
            <w:tcBorders>
              <w:top w:val="nil" w:sz="6" w:space="0" w:color="auto"/>
              <w:left w:val="nil" w:sz="6" w:space="0" w:color="auto"/>
              <w:bottom w:val="nil" w:sz="6" w:space="0" w:color="auto"/>
              <w:right w:val="nil" w:sz="6" w:space="0" w:color="auto"/>
            </w:tcBorders>
          </w:tcPr>
          <w:p>
            <w:pPr>
              <w:pStyle w:val="TableParagraph"/>
              <w:spacing w:line="262" w:lineRule="exact"/>
              <w:ind w:left="338" w:right="0"/>
              <w:jc w:val="left"/>
              <w:rPr>
                <w:rFonts w:ascii="宋体" w:hAnsi="宋体" w:cs="宋体" w:eastAsia="宋体" w:hint="default"/>
                <w:sz w:val="24"/>
                <w:szCs w:val="24"/>
              </w:rPr>
            </w:pPr>
            <w:r>
              <w:rPr>
                <w:rFonts w:ascii="宋体" w:hAnsi="宋体" w:cs="宋体" w:eastAsia="宋体" w:hint="default"/>
                <w:sz w:val="24"/>
                <w:szCs w:val="24"/>
              </w:rPr>
              <w:t>索菲特银河大酒店</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6"/>
              <w:jc w:val="right"/>
              <w:rPr>
                <w:rFonts w:ascii="Arial" w:hAnsi="Arial" w:cs="Arial" w:eastAsia="Arial" w:hint="default"/>
                <w:sz w:val="24"/>
                <w:szCs w:val="24"/>
              </w:rPr>
            </w:pPr>
            <w:r>
              <w:rPr>
                <w:rFonts w:ascii="Arial"/>
                <w:w w:val="99"/>
                <w:sz w:val="24"/>
              </w:rPr>
              <w:t>2</w:t>
            </w:r>
            <w:r>
              <w:rPr>
                <w:rFonts w:ascii="Arial"/>
                <w:sz w:val="24"/>
              </w:rPr>
            </w:r>
          </w:p>
        </w:tc>
        <w:tc>
          <w:tcPr>
            <w:tcW w:w="231"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821" w:type="dxa"/>
            <w:tcBorders>
              <w:top w:val="nil" w:sz="6" w:space="0" w:color="auto"/>
              <w:left w:val="nil" w:sz="6" w:space="0" w:color="auto"/>
              <w:bottom w:val="nil" w:sz="6" w:space="0" w:color="auto"/>
              <w:right w:val="nil" w:sz="6" w:space="0" w:color="auto"/>
            </w:tcBorders>
          </w:tcPr>
          <w:p>
            <w:pPr>
              <w:pStyle w:val="TableParagraph"/>
              <w:spacing w:line="262" w:lineRule="exact"/>
              <w:ind w:left="338" w:right="0"/>
              <w:jc w:val="left"/>
              <w:rPr>
                <w:rFonts w:ascii="宋体" w:hAnsi="宋体" w:cs="宋体" w:eastAsia="宋体" w:hint="default"/>
                <w:sz w:val="24"/>
                <w:szCs w:val="24"/>
              </w:rPr>
            </w:pPr>
            <w:r>
              <w:rPr>
                <w:rFonts w:ascii="宋体" w:hAnsi="宋体" w:cs="宋体" w:eastAsia="宋体" w:hint="default"/>
                <w:sz w:val="24"/>
                <w:szCs w:val="24"/>
              </w:rPr>
              <w:t>银河国际购物广场</w:t>
            </w:r>
          </w:p>
        </w:tc>
        <w:tc>
          <w:tcPr>
            <w:tcW w:w="2198" w:type="dxa"/>
            <w:tcBorders>
              <w:top w:val="nil" w:sz="6" w:space="0" w:color="auto"/>
              <w:left w:val="nil" w:sz="6" w:space="0" w:color="auto"/>
              <w:bottom w:val="nil" w:sz="6" w:space="0" w:color="auto"/>
              <w:right w:val="nil" w:sz="6" w:space="0" w:color="auto"/>
            </w:tcBorders>
          </w:tcPr>
          <w:p>
            <w:pPr>
              <w:pStyle w:val="TableParagraph"/>
              <w:tabs>
                <w:tab w:pos="2051" w:val="left" w:leader="none"/>
              </w:tabs>
              <w:spacing w:line="240" w:lineRule="auto" w:before="17"/>
              <w:ind w:right="6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c>
          <w:tcPr>
            <w:tcW w:w="231"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tabs>
                <w:tab w:pos="1658" w:val="left" w:leader="none"/>
              </w:tabs>
              <w:spacing w:line="240" w:lineRule="auto" w:before="17"/>
              <w:ind w:right="3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194</w:t>
            </w:r>
            <w:r>
              <w:rPr>
                <w:rFonts w:ascii="Arial"/>
                <w:w w:val="95"/>
                <w:sz w:val="24"/>
              </w:rPr>
            </w:r>
            <w:r>
              <w:rPr>
                <w:rFonts w:ascii="Arial"/>
                <w:sz w:val="24"/>
              </w:rPr>
            </w:r>
          </w:p>
        </w:tc>
      </w:tr>
      <w:tr>
        <w:trPr>
          <w:trHeight w:val="287" w:hRule="exact"/>
        </w:trPr>
        <w:tc>
          <w:tcPr>
            <w:tcW w:w="1499" w:type="dxa"/>
            <w:tcBorders>
              <w:top w:val="nil" w:sz="6" w:space="0" w:color="auto"/>
              <w:left w:val="nil" w:sz="6" w:space="0" w:color="auto"/>
              <w:bottom w:val="nil" w:sz="6" w:space="0" w:color="auto"/>
              <w:right w:val="nil" w:sz="6" w:space="0" w:color="auto"/>
            </w:tcBorders>
          </w:tcPr>
          <w:p>
            <w:pPr/>
          </w:p>
        </w:tc>
        <w:tc>
          <w:tcPr>
            <w:tcW w:w="5250" w:type="dxa"/>
            <w:gridSpan w:val="3"/>
            <w:tcBorders>
              <w:top w:val="nil" w:sz="6" w:space="0" w:color="auto"/>
              <w:left w:val="nil" w:sz="6" w:space="0" w:color="auto"/>
              <w:bottom w:val="nil" w:sz="6" w:space="0" w:color="auto"/>
              <w:right w:val="nil" w:sz="6" w:space="0" w:color="auto"/>
            </w:tcBorders>
          </w:tcPr>
          <w:p>
            <w:pPr>
              <w:pStyle w:val="TableParagraph"/>
              <w:spacing w:line="268" w:lineRule="exact"/>
              <w:ind w:right="295"/>
              <w:jc w:val="right"/>
              <w:rPr>
                <w:rFonts w:ascii="Arial" w:hAnsi="Arial" w:cs="Arial" w:eastAsia="Arial" w:hint="default"/>
                <w:sz w:val="24"/>
                <w:szCs w:val="24"/>
              </w:rPr>
            </w:pPr>
            <w:r>
              <w:rPr>
                <w:rFonts w:ascii="Arial"/>
                <w:spacing w:val="-1"/>
                <w:sz w:val="24"/>
              </w:rPr>
              <w:t>2,526</w:t>
            </w:r>
          </w:p>
        </w:tc>
        <w:tc>
          <w:tcPr>
            <w:tcW w:w="2102" w:type="dxa"/>
            <w:tcBorders>
              <w:top w:val="nil" w:sz="6" w:space="0" w:color="auto"/>
              <w:left w:val="nil" w:sz="6" w:space="0" w:color="auto"/>
              <w:bottom w:val="single" w:sz="12" w:space="0" w:color="000000"/>
              <w:right w:val="nil" w:sz="6" w:space="0" w:color="auto"/>
            </w:tcBorders>
          </w:tcPr>
          <w:p>
            <w:pPr>
              <w:pStyle w:val="TableParagraph"/>
              <w:spacing w:line="268" w:lineRule="exact"/>
              <w:ind w:right="38"/>
              <w:jc w:val="right"/>
              <w:rPr>
                <w:rFonts w:ascii="Arial" w:hAnsi="Arial" w:cs="Arial" w:eastAsia="Arial" w:hint="default"/>
                <w:sz w:val="24"/>
                <w:szCs w:val="24"/>
              </w:rPr>
            </w:pPr>
            <w:r>
              <w:rPr>
                <w:rFonts w:ascii="Arial"/>
                <w:w w:val="95"/>
                <w:sz w:val="24"/>
              </w:rPr>
              <w:t>194</w:t>
            </w:r>
            <w:r>
              <w:rPr>
                <w:rFonts w:ascii="Arial"/>
                <w:sz w:val="24"/>
              </w:rPr>
            </w:r>
          </w:p>
        </w:tc>
      </w:tr>
      <w:tr>
        <w:trPr>
          <w:trHeight w:val="619"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青岛苏宁置业</w:t>
            </w:r>
          </w:p>
        </w:tc>
        <w:tc>
          <w:tcPr>
            <w:tcW w:w="21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64"/>
              <w:jc w:val="right"/>
              <w:rPr>
                <w:rFonts w:ascii="Arial" w:hAnsi="Arial" w:cs="Arial" w:eastAsia="Arial" w:hint="default"/>
                <w:sz w:val="24"/>
                <w:szCs w:val="24"/>
              </w:rPr>
            </w:pPr>
            <w:r>
              <w:rPr>
                <w:rFonts w:ascii="Arial"/>
                <w:w w:val="99"/>
                <w:sz w:val="24"/>
              </w:rPr>
              <w:t>-</w:t>
            </w:r>
            <w:r>
              <w:rPr>
                <w:rFonts w:ascii="Arial"/>
                <w:sz w:val="24"/>
              </w:rPr>
            </w:r>
          </w:p>
        </w:tc>
        <w:tc>
          <w:tcPr>
            <w:tcW w:w="231" w:type="dxa"/>
            <w:tcBorders>
              <w:top w:val="nil" w:sz="6" w:space="0" w:color="auto"/>
              <w:left w:val="nil" w:sz="6" w:space="0" w:color="auto"/>
              <w:bottom w:val="nil" w:sz="6" w:space="0" w:color="auto"/>
              <w:right w:val="nil" w:sz="6" w:space="0" w:color="auto"/>
            </w:tcBorders>
          </w:tcPr>
          <w:p>
            <w:pPr/>
          </w:p>
        </w:tc>
        <w:tc>
          <w:tcPr>
            <w:tcW w:w="2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0"/>
              <w:jc w:val="right"/>
              <w:rPr>
                <w:rFonts w:ascii="Arial" w:hAnsi="Arial" w:cs="Arial" w:eastAsia="Arial" w:hint="default"/>
                <w:sz w:val="24"/>
                <w:szCs w:val="24"/>
              </w:rPr>
            </w:pPr>
            <w:r>
              <w:rPr>
                <w:rFonts w:ascii="Arial"/>
                <w:spacing w:val="-1"/>
                <w:sz w:val="24"/>
              </w:rPr>
              <w:t>29,973</w:t>
            </w:r>
          </w:p>
        </w:tc>
      </w:tr>
    </w:tbl>
    <w:p>
      <w:pPr>
        <w:spacing w:after="0" w:line="240" w:lineRule="auto"/>
        <w:jc w:val="right"/>
        <w:rPr>
          <w:rFonts w:ascii="Arial" w:hAnsi="Arial" w:cs="Arial" w:eastAsia="Arial" w:hint="default"/>
          <w:sz w:val="24"/>
          <w:szCs w:val="24"/>
        </w:rPr>
        <w:sectPr>
          <w:pgSz w:w="11910" w:h="16850"/>
          <w:pgMar w:header="795" w:footer="708" w:top="2020" w:bottom="900" w:left="136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1595128" type="#_x0000_t75" stroked="false">
            <v:imagedata r:id="rId10" o:title=""/>
          </v:shape>
        </w:pict>
      </w:r>
    </w:p>
    <w:p>
      <w:pPr>
        <w:spacing w:line="240" w:lineRule="auto" w:before="9"/>
        <w:rPr>
          <w:rFonts w:ascii="Times New Roman" w:hAnsi="Times New Roman" w:cs="Times New Roman" w:eastAsia="Times New Roman"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720"/>
        <w:gridCol w:w="3706"/>
      </w:tblGrid>
      <w:tr>
        <w:trPr>
          <w:trHeight w:val="495"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exact"/>
              <w:ind w:right="77"/>
              <w:jc w:val="center"/>
              <w:rPr>
                <w:rFonts w:ascii="黑体" w:hAnsi="黑体" w:cs="黑体" w:eastAsia="黑体" w:hint="default"/>
                <w:sz w:val="24"/>
                <w:szCs w:val="24"/>
              </w:rPr>
            </w:pPr>
            <w:r>
              <w:rPr>
                <w:rFonts w:ascii="黑体" w:hAnsi="黑体" w:cs="黑体" w:eastAsia="黑体" w:hint="default"/>
                <w:sz w:val="24"/>
                <w:szCs w:val="24"/>
              </w:rPr>
              <w:t>六</w:t>
            </w:r>
          </w:p>
        </w:tc>
        <w:tc>
          <w:tcPr>
            <w:tcW w:w="3706" w:type="dxa"/>
            <w:tcBorders>
              <w:top w:val="nil" w:sz="6" w:space="0" w:color="auto"/>
              <w:left w:val="nil" w:sz="6" w:space="0" w:color="auto"/>
              <w:bottom w:val="nil" w:sz="6" w:space="0" w:color="auto"/>
              <w:right w:val="nil" w:sz="6" w:space="0" w:color="auto"/>
            </w:tcBorders>
          </w:tcPr>
          <w:p>
            <w:pPr>
              <w:pStyle w:val="TableParagraph"/>
              <w:spacing w:line="257" w:lineRule="exact"/>
              <w:ind w:left="226"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1"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24"/>
              <w:jc w:val="center"/>
              <w:rPr>
                <w:rFonts w:ascii="Arial" w:hAnsi="Arial" w:cs="Arial" w:eastAsia="Arial" w:hint="default"/>
                <w:sz w:val="24"/>
                <w:szCs w:val="24"/>
              </w:rPr>
            </w:pPr>
            <w:r>
              <w:rPr>
                <w:rFonts w:ascii="Arial"/>
                <w:sz w:val="24"/>
              </w:rPr>
              <w:t>(6)</w:t>
            </w:r>
          </w:p>
        </w:tc>
        <w:tc>
          <w:tcPr>
            <w:tcW w:w="3706"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26" w:right="0"/>
              <w:jc w:val="left"/>
              <w:rPr>
                <w:rFonts w:ascii="Arial" w:hAnsi="Arial" w:cs="Arial" w:eastAsia="Arial" w:hint="default"/>
                <w:sz w:val="24"/>
                <w:szCs w:val="24"/>
              </w:rPr>
            </w:pPr>
            <w:r>
              <w:rPr>
                <w:rFonts w:ascii="黑体" w:hAnsi="黑体" w:cs="黑体" w:eastAsia="黑体" w:hint="default"/>
                <w:sz w:val="24"/>
                <w:szCs w:val="24"/>
              </w:rPr>
              <w:t>应收、应付关联方款项余额</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0" w:hRule="exact"/>
        </w:trPr>
        <w:tc>
          <w:tcPr>
            <w:tcW w:w="720" w:type="dxa"/>
            <w:tcBorders>
              <w:top w:val="nil" w:sz="6" w:space="0" w:color="auto"/>
              <w:left w:val="nil" w:sz="6" w:space="0" w:color="auto"/>
              <w:bottom w:val="nil" w:sz="6" w:space="0" w:color="auto"/>
              <w:right w:val="nil" w:sz="6" w:space="0" w:color="auto"/>
            </w:tcBorders>
          </w:tcPr>
          <w:p>
            <w:pPr/>
          </w:p>
        </w:tc>
        <w:tc>
          <w:tcPr>
            <w:tcW w:w="3706"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26" w:right="0"/>
              <w:jc w:val="left"/>
              <w:rPr>
                <w:rFonts w:ascii="宋体" w:hAnsi="宋体" w:cs="宋体" w:eastAsia="宋体" w:hint="default"/>
                <w:sz w:val="24"/>
                <w:szCs w:val="24"/>
              </w:rPr>
            </w:pPr>
            <w:r>
              <w:rPr>
                <w:rFonts w:ascii="宋体" w:hAnsi="宋体" w:cs="宋体" w:eastAsia="宋体" w:hint="default"/>
                <w:sz w:val="24"/>
                <w:szCs w:val="24"/>
              </w:rPr>
              <w:t>应收关联方款项</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3"/>
          <w:szCs w:val="13"/>
        </w:rPr>
      </w:pPr>
    </w:p>
    <w:tbl>
      <w:tblPr>
        <w:tblW w:w="0" w:type="auto"/>
        <w:jc w:val="left"/>
        <w:tblInd w:w="818" w:type="dxa"/>
        <w:tblLayout w:type="fixed"/>
        <w:tblCellMar>
          <w:top w:w="0" w:type="dxa"/>
          <w:left w:w="0" w:type="dxa"/>
          <w:bottom w:w="0" w:type="dxa"/>
          <w:right w:w="0" w:type="dxa"/>
        </w:tblCellMar>
        <w:tblLook w:val="01E0"/>
      </w:tblPr>
      <w:tblGrid>
        <w:gridCol w:w="1748"/>
        <w:gridCol w:w="2578"/>
        <w:gridCol w:w="2186"/>
        <w:gridCol w:w="243"/>
        <w:gridCol w:w="2266"/>
      </w:tblGrid>
      <w:tr>
        <w:trPr>
          <w:trHeight w:val="420" w:hRule="exact"/>
        </w:trPr>
        <w:tc>
          <w:tcPr>
            <w:tcW w:w="6756" w:type="dxa"/>
            <w:gridSpan w:val="4"/>
            <w:tcBorders>
              <w:top w:val="nil" w:sz="6" w:space="0" w:color="auto"/>
              <w:left w:val="nil" w:sz="6" w:space="0" w:color="auto"/>
              <w:bottom w:val="nil" w:sz="6" w:space="0" w:color="auto"/>
              <w:right w:val="nil" w:sz="6" w:space="0" w:color="auto"/>
            </w:tcBorders>
          </w:tcPr>
          <w:p>
            <w:pPr>
              <w:pStyle w:val="TableParagraph"/>
              <w:spacing w:line="257" w:lineRule="exact"/>
              <w:ind w:left="4384"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Arial" w:hAnsi="Arial" w:cs="Arial" w:eastAsia="Arial" w:hint="default"/>
                <w:sz w:val="24"/>
                <w:szCs w:val="24"/>
              </w:rPr>
              <w:t>12</w:t>
            </w:r>
            <w:r>
              <w:rPr>
                <w:rFonts w:ascii="Arial" w:hAnsi="Arial" w:cs="Arial" w:eastAsia="Arial"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z w:val="24"/>
                <w:szCs w:val="24"/>
              </w:rPr>
              <w:t>日</w:t>
            </w:r>
          </w:p>
        </w:tc>
        <w:tc>
          <w:tcPr>
            <w:tcW w:w="2266" w:type="dxa"/>
            <w:tcBorders>
              <w:top w:val="nil" w:sz="6" w:space="0" w:color="auto"/>
              <w:left w:val="nil" w:sz="6" w:space="0" w:color="auto"/>
              <w:bottom w:val="nil" w:sz="6" w:space="0" w:color="auto"/>
              <w:right w:val="nil" w:sz="6" w:space="0" w:color="auto"/>
            </w:tcBorders>
          </w:tcPr>
          <w:p>
            <w:pPr>
              <w:pStyle w:val="TableParagraph"/>
              <w:spacing w:line="257" w:lineRule="exact"/>
              <w:ind w:left="105"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59"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9"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8" w:right="0"/>
              <w:jc w:val="left"/>
              <w:rPr>
                <w:rFonts w:ascii="宋体" w:hAnsi="宋体" w:cs="宋体" w:eastAsia="宋体" w:hint="default"/>
                <w:sz w:val="24"/>
                <w:szCs w:val="24"/>
              </w:rPr>
            </w:pPr>
            <w:r>
              <w:rPr>
                <w:rFonts w:ascii="宋体" w:hAnsi="宋体" w:cs="宋体" w:eastAsia="宋体" w:hint="default"/>
                <w:sz w:val="24"/>
                <w:szCs w:val="24"/>
              </w:rPr>
              <w:t>银河诺富特酒店</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53"/>
              <w:jc w:val="right"/>
              <w:rPr>
                <w:rFonts w:ascii="Arial" w:hAnsi="Arial" w:cs="Arial" w:eastAsia="Arial" w:hint="default"/>
                <w:sz w:val="24"/>
                <w:szCs w:val="24"/>
              </w:rPr>
            </w:pPr>
            <w:r>
              <w:rPr>
                <w:rFonts w:ascii="Arial"/>
                <w:w w:val="95"/>
                <w:sz w:val="24"/>
              </w:rPr>
              <w:t>507</w:t>
            </w:r>
            <w:r>
              <w:rPr>
                <w:rFonts w:ascii="Arial"/>
                <w:sz w:val="24"/>
              </w:rPr>
            </w:r>
          </w:p>
        </w:tc>
        <w:tc>
          <w:tcPr>
            <w:tcW w:w="24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129"/>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62" w:lineRule="exact"/>
              <w:ind w:left="209"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98"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2186" w:type="dxa"/>
            <w:tcBorders>
              <w:top w:val="nil" w:sz="6" w:space="0" w:color="auto"/>
              <w:left w:val="nil" w:sz="6" w:space="0" w:color="auto"/>
              <w:bottom w:val="nil" w:sz="6" w:space="0" w:color="auto"/>
              <w:right w:val="nil" w:sz="6" w:space="0" w:color="auto"/>
            </w:tcBorders>
          </w:tcPr>
          <w:p>
            <w:pPr>
              <w:pStyle w:val="TableParagraph"/>
              <w:tabs>
                <w:tab w:pos="2049" w:val="left" w:leader="none"/>
              </w:tabs>
              <w:spacing w:line="240" w:lineRule="auto" w:before="17"/>
              <w:ind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c>
          <w:tcPr>
            <w:tcW w:w="24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tabs>
                <w:tab w:pos="1785" w:val="left" w:leader="none"/>
                <w:tab w:pos="2265" w:val="left" w:leader="none"/>
              </w:tabs>
              <w:spacing w:line="240" w:lineRule="auto" w:before="17"/>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250</w:t>
            </w:r>
            <w:r>
              <w:rPr>
                <w:rFonts w:ascii="Arial"/>
                <w:sz w:val="24"/>
                <w:u w:val="single" w:color="000000"/>
              </w:rPr>
              <w:tab/>
            </w:r>
            <w:r>
              <w:rPr>
                <w:rFonts w:ascii="Arial"/>
                <w:sz w:val="24"/>
              </w:rPr>
            </w:r>
          </w:p>
        </w:tc>
      </w:tr>
      <w:tr>
        <w:trPr>
          <w:trHeight w:val="287" w:hRule="exact"/>
        </w:trPr>
        <w:tc>
          <w:tcPr>
            <w:tcW w:w="1748" w:type="dxa"/>
            <w:tcBorders>
              <w:top w:val="nil" w:sz="6" w:space="0" w:color="auto"/>
              <w:left w:val="nil" w:sz="6" w:space="0" w:color="auto"/>
              <w:bottom w:val="nil" w:sz="6" w:space="0" w:color="auto"/>
              <w:right w:val="nil" w:sz="6" w:space="0" w:color="auto"/>
            </w:tcBorders>
          </w:tcPr>
          <w:p>
            <w:pPr/>
          </w:p>
        </w:tc>
        <w:tc>
          <w:tcPr>
            <w:tcW w:w="5008" w:type="dxa"/>
            <w:gridSpan w:val="3"/>
            <w:tcBorders>
              <w:top w:val="nil" w:sz="6" w:space="0" w:color="auto"/>
              <w:left w:val="nil" w:sz="6" w:space="0" w:color="auto"/>
              <w:bottom w:val="nil" w:sz="6" w:space="0" w:color="auto"/>
              <w:right w:val="nil" w:sz="6" w:space="0" w:color="auto"/>
            </w:tcBorders>
          </w:tcPr>
          <w:p>
            <w:pPr>
              <w:pStyle w:val="TableParagraph"/>
              <w:spacing w:line="268" w:lineRule="exact"/>
              <w:ind w:right="296"/>
              <w:jc w:val="right"/>
              <w:rPr>
                <w:rFonts w:ascii="Arial" w:hAnsi="Arial" w:cs="Arial" w:eastAsia="Arial" w:hint="default"/>
                <w:sz w:val="24"/>
                <w:szCs w:val="24"/>
              </w:rPr>
            </w:pPr>
            <w:r>
              <w:rPr>
                <w:rFonts w:ascii="Arial"/>
                <w:w w:val="95"/>
                <w:sz w:val="24"/>
              </w:rPr>
              <w:t>507</w:t>
            </w:r>
            <w:r>
              <w:rPr>
                <w:rFonts w:ascii="Arial"/>
                <w:sz w:val="24"/>
              </w:rPr>
            </w:r>
          </w:p>
        </w:tc>
        <w:tc>
          <w:tcPr>
            <w:tcW w:w="2266" w:type="dxa"/>
            <w:tcBorders>
              <w:top w:val="nil" w:sz="6" w:space="0" w:color="auto"/>
              <w:left w:val="nil" w:sz="6" w:space="0" w:color="auto"/>
              <w:bottom w:val="single" w:sz="12" w:space="0" w:color="000000"/>
              <w:right w:val="nil" w:sz="6" w:space="0" w:color="auto"/>
            </w:tcBorders>
          </w:tcPr>
          <w:p>
            <w:pPr>
              <w:pStyle w:val="TableParagraph"/>
              <w:spacing w:line="268" w:lineRule="exact"/>
              <w:ind w:right="74"/>
              <w:jc w:val="right"/>
              <w:rPr>
                <w:rFonts w:ascii="Arial" w:hAnsi="Arial" w:cs="Arial" w:eastAsia="Arial" w:hint="default"/>
                <w:sz w:val="24"/>
                <w:szCs w:val="24"/>
              </w:rPr>
            </w:pPr>
            <w:r>
              <w:rPr>
                <w:rFonts w:ascii="Arial"/>
                <w:w w:val="95"/>
                <w:sz w:val="24"/>
              </w:rPr>
              <w:t>250</w:t>
            </w:r>
            <w:r>
              <w:rPr>
                <w:rFonts w:ascii="Arial"/>
                <w:sz w:val="24"/>
              </w:rPr>
            </w:r>
          </w:p>
        </w:tc>
      </w:tr>
      <w:tr>
        <w:trPr>
          <w:trHeight w:val="617"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宋体" w:hAnsi="宋体" w:cs="宋体" w:eastAsia="宋体" w:hint="default"/>
                <w:sz w:val="24"/>
                <w:szCs w:val="24"/>
              </w:rPr>
            </w:pPr>
            <w:r>
              <w:rPr>
                <w:rFonts w:ascii="宋体" w:hAnsi="宋体" w:cs="宋体" w:eastAsia="宋体" w:hint="default"/>
                <w:sz w:val="24"/>
                <w:szCs w:val="24"/>
              </w:rPr>
              <w:t>其他流动资产</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宋体" w:hAnsi="宋体" w:cs="宋体" w:eastAsia="宋体" w:hint="default"/>
                <w:sz w:val="24"/>
                <w:szCs w:val="24"/>
              </w:rPr>
            </w:pPr>
            <w:r>
              <w:rPr>
                <w:rFonts w:ascii="宋体" w:hAnsi="宋体" w:cs="宋体" w:eastAsia="宋体" w:hint="default"/>
                <w:sz w:val="24"/>
                <w:szCs w:val="24"/>
              </w:rPr>
              <w:t>银河国际购物广场</w:t>
            </w:r>
          </w:p>
        </w:tc>
        <w:tc>
          <w:tcPr>
            <w:tcW w:w="2186"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4"/>
              <w:jc w:val="right"/>
              <w:rPr>
                <w:rFonts w:ascii="Arial" w:hAnsi="Arial" w:cs="Arial" w:eastAsia="Arial" w:hint="default"/>
                <w:sz w:val="24"/>
                <w:szCs w:val="24"/>
              </w:rPr>
            </w:pPr>
            <w:r>
              <w:rPr>
                <w:rFonts w:ascii="Arial"/>
                <w:spacing w:val="-1"/>
                <w:sz w:val="24"/>
              </w:rPr>
              <w:t>4,124</w:t>
            </w:r>
          </w:p>
        </w:tc>
        <w:tc>
          <w:tcPr>
            <w:tcW w:w="243" w:type="dxa"/>
            <w:tcBorders>
              <w:top w:val="nil" w:sz="6" w:space="0" w:color="auto"/>
              <w:left w:val="nil" w:sz="6" w:space="0" w:color="auto"/>
              <w:bottom w:val="nil" w:sz="6" w:space="0" w:color="auto"/>
              <w:right w:val="nil" w:sz="6" w:space="0" w:color="auto"/>
            </w:tcBorders>
          </w:tcPr>
          <w:p>
            <w:pPr/>
          </w:p>
        </w:tc>
        <w:tc>
          <w:tcPr>
            <w:tcW w:w="2266"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66"/>
              <w:jc w:val="right"/>
              <w:rPr>
                <w:rFonts w:ascii="Arial" w:hAnsi="Arial" w:cs="Arial" w:eastAsia="Arial" w:hint="default"/>
                <w:sz w:val="24"/>
                <w:szCs w:val="24"/>
              </w:rPr>
            </w:pPr>
            <w:r>
              <w:rPr>
                <w:rFonts w:ascii="Arial"/>
                <w:w w:val="99"/>
                <w:sz w:val="24"/>
              </w:rPr>
              <w:t>-</w:t>
            </w:r>
            <w:r>
              <w:rPr>
                <w:rFonts w:ascii="Arial"/>
                <w:sz w:val="24"/>
              </w:rPr>
            </w:r>
          </w:p>
        </w:tc>
      </w:tr>
      <w:tr>
        <w:trPr>
          <w:trHeight w:val="310"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62" w:lineRule="exact"/>
              <w:ind w:right="96"/>
              <w:jc w:val="right"/>
              <w:rPr>
                <w:rFonts w:ascii="宋体" w:hAnsi="宋体" w:cs="宋体" w:eastAsia="宋体" w:hint="default"/>
                <w:sz w:val="24"/>
                <w:szCs w:val="24"/>
              </w:rPr>
            </w:pPr>
            <w:r>
              <w:rPr>
                <w:rFonts w:ascii="宋体" w:hAnsi="宋体" w:cs="宋体" w:eastAsia="宋体" w:hint="default"/>
                <w:sz w:val="24"/>
                <w:szCs w:val="24"/>
              </w:rPr>
              <w:t>其他流动资产</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98"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4"/>
              <w:jc w:val="right"/>
              <w:rPr>
                <w:rFonts w:ascii="Arial" w:hAnsi="Arial" w:cs="Arial" w:eastAsia="Arial" w:hint="default"/>
                <w:sz w:val="24"/>
                <w:szCs w:val="24"/>
              </w:rPr>
            </w:pPr>
            <w:r>
              <w:rPr>
                <w:rFonts w:ascii="Arial"/>
                <w:spacing w:val="-1"/>
                <w:sz w:val="24"/>
              </w:rPr>
              <w:t>2,146</w:t>
            </w:r>
          </w:p>
        </w:tc>
        <w:tc>
          <w:tcPr>
            <w:tcW w:w="24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6"/>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62" w:lineRule="exact"/>
              <w:ind w:right="96"/>
              <w:jc w:val="right"/>
              <w:rPr>
                <w:rFonts w:ascii="宋体" w:hAnsi="宋体" w:cs="宋体" w:eastAsia="宋体" w:hint="default"/>
                <w:sz w:val="24"/>
                <w:szCs w:val="24"/>
              </w:rPr>
            </w:pPr>
            <w:r>
              <w:rPr>
                <w:rFonts w:ascii="宋体" w:hAnsi="宋体" w:cs="宋体" w:eastAsia="宋体" w:hint="default"/>
                <w:sz w:val="24"/>
                <w:szCs w:val="24"/>
              </w:rPr>
              <w:t>其他流动资产</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98" w:right="0"/>
              <w:jc w:val="left"/>
              <w:rPr>
                <w:rFonts w:ascii="宋体" w:hAnsi="宋体" w:cs="宋体" w:eastAsia="宋体" w:hint="default"/>
                <w:sz w:val="24"/>
                <w:szCs w:val="24"/>
              </w:rPr>
            </w:pPr>
            <w:r>
              <w:rPr>
                <w:rFonts w:ascii="宋体" w:hAnsi="宋体" w:cs="宋体" w:eastAsia="宋体" w:hint="default"/>
                <w:sz w:val="24"/>
                <w:szCs w:val="24"/>
              </w:rPr>
              <w:t>江苏银河物业</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3"/>
              <w:jc w:val="right"/>
              <w:rPr>
                <w:rFonts w:ascii="Arial" w:hAnsi="Arial" w:cs="Arial" w:eastAsia="Arial" w:hint="default"/>
                <w:sz w:val="24"/>
                <w:szCs w:val="24"/>
              </w:rPr>
            </w:pPr>
            <w:r>
              <w:rPr>
                <w:rFonts w:ascii="Arial"/>
                <w:w w:val="95"/>
                <w:sz w:val="24"/>
              </w:rPr>
              <w:t>207</w:t>
            </w:r>
            <w:r>
              <w:rPr>
                <w:rFonts w:ascii="Arial"/>
                <w:sz w:val="24"/>
              </w:rPr>
            </w:r>
          </w:p>
        </w:tc>
        <w:tc>
          <w:tcPr>
            <w:tcW w:w="24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2578" w:type="dxa"/>
            <w:vMerge w:val="restart"/>
            <w:tcBorders>
              <w:top w:val="nil" w:sz="6" w:space="0" w:color="auto"/>
              <w:left w:val="nil" w:sz="6" w:space="0" w:color="auto"/>
              <w:right w:val="nil" w:sz="6" w:space="0" w:color="auto"/>
            </w:tcBorders>
          </w:tcPr>
          <w:p>
            <w:pPr>
              <w:pStyle w:val="TableParagraph"/>
              <w:spacing w:line="261" w:lineRule="exact"/>
              <w:ind w:left="103" w:right="0"/>
              <w:jc w:val="left"/>
              <w:rPr>
                <w:rFonts w:ascii="宋体" w:hAnsi="宋体" w:cs="宋体" w:eastAsia="宋体" w:hint="default"/>
                <w:sz w:val="24"/>
                <w:szCs w:val="24"/>
              </w:rPr>
            </w:pPr>
            <w:r>
              <w:rPr>
                <w:rFonts w:ascii="宋体" w:hAnsi="宋体" w:cs="宋体" w:eastAsia="宋体" w:hint="default"/>
                <w:spacing w:val="22"/>
                <w:sz w:val="24"/>
                <w:szCs w:val="24"/>
              </w:rPr>
              <w:t>苏宁电器集团有限公</w:t>
            </w:r>
          </w:p>
          <w:p>
            <w:pPr>
              <w:pStyle w:val="TableParagraph"/>
              <w:spacing w:line="313" w:lineRule="exact"/>
              <w:ind w:left="374" w:right="0"/>
              <w:jc w:val="left"/>
              <w:rPr>
                <w:rFonts w:ascii="宋体" w:hAnsi="宋体" w:cs="宋体" w:eastAsia="宋体" w:hint="default"/>
                <w:sz w:val="24"/>
                <w:szCs w:val="24"/>
              </w:rPr>
            </w:pPr>
            <w:r>
              <w:rPr>
                <w:rFonts w:ascii="宋体" w:hAnsi="宋体" w:cs="宋体" w:eastAsia="宋体" w:hint="default"/>
                <w:sz w:val="24"/>
                <w:szCs w:val="24"/>
              </w:rPr>
              <w:t>司</w:t>
            </w:r>
          </w:p>
        </w:tc>
        <w:tc>
          <w:tcPr>
            <w:tcW w:w="2186"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
        </w:tc>
      </w:tr>
      <w:tr>
        <w:trPr>
          <w:trHeight w:val="311" w:hRule="exact"/>
        </w:trPr>
        <w:tc>
          <w:tcPr>
            <w:tcW w:w="1748" w:type="dxa"/>
            <w:tcBorders>
              <w:top w:val="nil" w:sz="6" w:space="0" w:color="auto"/>
              <w:left w:val="nil" w:sz="6" w:space="0" w:color="auto"/>
              <w:bottom w:val="nil" w:sz="6" w:space="0" w:color="auto"/>
              <w:right w:val="nil" w:sz="6" w:space="0" w:color="auto"/>
            </w:tcBorders>
          </w:tcPr>
          <w:p>
            <w:pPr/>
          </w:p>
        </w:tc>
        <w:tc>
          <w:tcPr>
            <w:tcW w:w="2578" w:type="dxa"/>
            <w:vMerge/>
            <w:tcBorders>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9"/>
              <w:jc w:val="right"/>
              <w:rPr>
                <w:rFonts w:ascii="Arial" w:hAnsi="Arial" w:cs="Arial" w:eastAsia="Arial" w:hint="default"/>
                <w:sz w:val="24"/>
                <w:szCs w:val="24"/>
              </w:rPr>
            </w:pPr>
            <w:r>
              <w:rPr>
                <w:rFonts w:ascii="Arial"/>
                <w:w w:val="99"/>
                <w:sz w:val="24"/>
              </w:rPr>
              <w:t>-</w:t>
            </w:r>
            <w:r>
              <w:rPr>
                <w:rFonts w:ascii="Arial"/>
                <w:sz w:val="24"/>
              </w:rPr>
            </w:r>
          </w:p>
        </w:tc>
        <w:tc>
          <w:tcPr>
            <w:tcW w:w="24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5"/>
              <w:jc w:val="right"/>
              <w:rPr>
                <w:rFonts w:ascii="Arial" w:hAnsi="Arial" w:cs="Arial" w:eastAsia="Arial" w:hint="default"/>
                <w:sz w:val="24"/>
                <w:szCs w:val="24"/>
              </w:rPr>
            </w:pPr>
            <w:r>
              <w:rPr>
                <w:rFonts w:ascii="Arial"/>
                <w:spacing w:val="-1"/>
                <w:sz w:val="24"/>
              </w:rPr>
              <w:t>3,688</w:t>
            </w:r>
          </w:p>
        </w:tc>
      </w:tr>
      <w:tr>
        <w:trPr>
          <w:trHeight w:val="313"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49" w:right="0"/>
              <w:jc w:val="left"/>
              <w:rPr>
                <w:rFonts w:ascii="宋体" w:hAnsi="宋体" w:cs="宋体" w:eastAsia="宋体" w:hint="default"/>
                <w:sz w:val="24"/>
                <w:szCs w:val="24"/>
              </w:rPr>
            </w:pPr>
            <w:r>
              <w:rPr>
                <w:rFonts w:ascii="宋体" w:hAnsi="宋体" w:cs="宋体" w:eastAsia="宋体" w:hint="default"/>
                <w:sz w:val="24"/>
                <w:szCs w:val="24"/>
              </w:rPr>
              <w:t>青岛苏宁置业</w:t>
            </w:r>
          </w:p>
        </w:tc>
        <w:tc>
          <w:tcPr>
            <w:tcW w:w="2186" w:type="dxa"/>
            <w:tcBorders>
              <w:top w:val="nil" w:sz="6" w:space="0" w:color="auto"/>
              <w:left w:val="nil" w:sz="6" w:space="0" w:color="auto"/>
              <w:bottom w:val="nil" w:sz="6" w:space="0" w:color="auto"/>
              <w:right w:val="nil" w:sz="6" w:space="0" w:color="auto"/>
            </w:tcBorders>
          </w:tcPr>
          <w:p>
            <w:pPr>
              <w:pStyle w:val="TableParagraph"/>
              <w:tabs>
                <w:tab w:pos="2044" w:val="left" w:leader="none"/>
              </w:tabs>
              <w:spacing w:line="240" w:lineRule="auto" w:before="19"/>
              <w:ind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c>
          <w:tcPr>
            <w:tcW w:w="24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tabs>
                <w:tab w:pos="1576" w:val="left" w:leader="none"/>
                <w:tab w:pos="2265" w:val="left" w:leader="none"/>
              </w:tabs>
              <w:spacing w:line="240" w:lineRule="auto" w:before="19"/>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1,390</w:t>
              <w:tab/>
            </w:r>
            <w:r>
              <w:rPr>
                <w:rFonts w:ascii="Arial"/>
                <w:spacing w:val="-1"/>
                <w:sz w:val="24"/>
              </w:rPr>
            </w:r>
          </w:p>
        </w:tc>
      </w:tr>
      <w:tr>
        <w:trPr>
          <w:trHeight w:val="287" w:hRule="exact"/>
        </w:trPr>
        <w:tc>
          <w:tcPr>
            <w:tcW w:w="1748" w:type="dxa"/>
            <w:tcBorders>
              <w:top w:val="nil" w:sz="6" w:space="0" w:color="auto"/>
              <w:left w:val="nil" w:sz="6" w:space="0" w:color="auto"/>
              <w:bottom w:val="nil" w:sz="6" w:space="0" w:color="auto"/>
              <w:right w:val="nil" w:sz="6" w:space="0" w:color="auto"/>
            </w:tcBorders>
          </w:tcPr>
          <w:p>
            <w:pPr/>
          </w:p>
        </w:tc>
        <w:tc>
          <w:tcPr>
            <w:tcW w:w="5008" w:type="dxa"/>
            <w:gridSpan w:val="3"/>
            <w:tcBorders>
              <w:top w:val="nil" w:sz="6" w:space="0" w:color="auto"/>
              <w:left w:val="nil" w:sz="6" w:space="0" w:color="auto"/>
              <w:bottom w:val="nil" w:sz="6" w:space="0" w:color="auto"/>
              <w:right w:val="nil" w:sz="6" w:space="0" w:color="auto"/>
            </w:tcBorders>
          </w:tcPr>
          <w:p>
            <w:pPr>
              <w:pStyle w:val="TableParagraph"/>
              <w:spacing w:line="268" w:lineRule="exact"/>
              <w:ind w:right="286"/>
              <w:jc w:val="right"/>
              <w:rPr>
                <w:rFonts w:ascii="Arial" w:hAnsi="Arial" w:cs="Arial" w:eastAsia="Arial" w:hint="default"/>
                <w:sz w:val="24"/>
                <w:szCs w:val="24"/>
              </w:rPr>
            </w:pPr>
            <w:r>
              <w:rPr>
                <w:rFonts w:ascii="Arial"/>
                <w:spacing w:val="-1"/>
                <w:sz w:val="24"/>
              </w:rPr>
              <w:t>6,477</w:t>
            </w:r>
            <w:r>
              <w:rPr>
                <w:rFonts w:ascii="Arial"/>
                <w:sz w:val="24"/>
              </w:rPr>
            </w:r>
          </w:p>
        </w:tc>
        <w:tc>
          <w:tcPr>
            <w:tcW w:w="2266" w:type="dxa"/>
            <w:tcBorders>
              <w:top w:val="nil" w:sz="6" w:space="0" w:color="auto"/>
              <w:left w:val="nil" w:sz="6" w:space="0" w:color="auto"/>
              <w:bottom w:val="single" w:sz="12" w:space="0" w:color="000000"/>
              <w:right w:val="nil" w:sz="6" w:space="0" w:color="auto"/>
            </w:tcBorders>
          </w:tcPr>
          <w:p>
            <w:pPr>
              <w:pStyle w:val="TableParagraph"/>
              <w:spacing w:line="268" w:lineRule="exact"/>
              <w:ind w:right="85"/>
              <w:jc w:val="right"/>
              <w:rPr>
                <w:rFonts w:ascii="Arial" w:hAnsi="Arial" w:cs="Arial" w:eastAsia="Arial" w:hint="default"/>
                <w:sz w:val="24"/>
                <w:szCs w:val="24"/>
              </w:rPr>
            </w:pPr>
            <w:r>
              <w:rPr>
                <w:rFonts w:ascii="Arial"/>
                <w:spacing w:val="-1"/>
                <w:sz w:val="24"/>
              </w:rPr>
              <w:t>5,078</w:t>
            </w:r>
          </w:p>
        </w:tc>
      </w:tr>
      <w:tr>
        <w:trPr>
          <w:trHeight w:val="745" w:hRule="exact"/>
        </w:trPr>
        <w:tc>
          <w:tcPr>
            <w:tcW w:w="902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09" w:right="0"/>
              <w:jc w:val="left"/>
              <w:rPr>
                <w:rFonts w:ascii="宋体" w:hAnsi="宋体" w:cs="宋体" w:eastAsia="宋体" w:hint="default"/>
                <w:sz w:val="24"/>
                <w:szCs w:val="24"/>
              </w:rPr>
            </w:pPr>
            <w:r>
              <w:rPr>
                <w:rFonts w:ascii="宋体" w:hAnsi="宋体" w:cs="宋体" w:eastAsia="宋体" w:hint="default"/>
                <w:sz w:val="24"/>
                <w:szCs w:val="24"/>
              </w:rPr>
              <w:t>应付</w:t>
            </w:r>
            <w:r>
              <w:rPr>
                <w:rFonts w:ascii="Arial" w:hAnsi="Arial" w:cs="Arial" w:eastAsia="Arial" w:hint="default"/>
                <w:sz w:val="24"/>
                <w:szCs w:val="24"/>
              </w:rPr>
              <w:t>/</w:t>
            </w:r>
            <w:r>
              <w:rPr>
                <w:rFonts w:ascii="宋体" w:hAnsi="宋体" w:cs="宋体" w:eastAsia="宋体" w:hint="default"/>
                <w:sz w:val="24"/>
                <w:szCs w:val="24"/>
              </w:rPr>
              <w:t>预收关联方款项：</w:t>
            </w:r>
          </w:p>
        </w:tc>
      </w:tr>
      <w:tr>
        <w:trPr>
          <w:trHeight w:val="587" w:hRule="exact"/>
        </w:trPr>
        <w:tc>
          <w:tcPr>
            <w:tcW w:w="1748" w:type="dxa"/>
            <w:tcBorders>
              <w:top w:val="nil" w:sz="6" w:space="0" w:color="auto"/>
              <w:left w:val="nil" w:sz="6" w:space="0" w:color="auto"/>
              <w:bottom w:val="nil" w:sz="6" w:space="0" w:color="auto"/>
              <w:right w:val="nil" w:sz="6" w:space="0" w:color="auto"/>
            </w:tcBorders>
          </w:tcPr>
          <w:p>
            <w:pPr/>
          </w:p>
        </w:tc>
        <w:tc>
          <w:tcPr>
            <w:tcW w:w="50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3"/>
              <w:ind w:left="2691"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Arial" w:hAnsi="Arial" w:cs="Arial" w:eastAsia="Arial" w:hint="default"/>
                <w:sz w:val="24"/>
                <w:szCs w:val="24"/>
              </w:rPr>
              <w:t>12</w:t>
            </w:r>
            <w:r>
              <w:rPr>
                <w:rFonts w:ascii="Arial" w:hAnsi="Arial" w:cs="Arial" w:eastAsia="Arial"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z w:val="24"/>
                <w:szCs w:val="24"/>
              </w:rPr>
              <w:t>日</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9"/>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611"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60"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92" w:right="0"/>
              <w:jc w:val="left"/>
              <w:rPr>
                <w:rFonts w:ascii="宋体" w:hAnsi="宋体" w:cs="宋体" w:eastAsia="宋体" w:hint="default"/>
                <w:sz w:val="24"/>
                <w:szCs w:val="24"/>
              </w:rPr>
            </w:pPr>
            <w:r>
              <w:rPr>
                <w:rFonts w:ascii="宋体" w:hAnsi="宋体" w:cs="宋体" w:eastAsia="宋体" w:hint="default"/>
                <w:sz w:val="24"/>
                <w:szCs w:val="24"/>
              </w:rPr>
              <w:t>钟山高尔夫酒店</w:t>
            </w:r>
          </w:p>
        </w:tc>
        <w:tc>
          <w:tcPr>
            <w:tcW w:w="2186" w:type="dxa"/>
            <w:tcBorders>
              <w:top w:val="nil" w:sz="6" w:space="0" w:color="auto"/>
              <w:left w:val="nil" w:sz="6" w:space="0" w:color="auto"/>
              <w:bottom w:val="nil" w:sz="6" w:space="0" w:color="auto"/>
              <w:right w:val="nil" w:sz="6" w:space="0" w:color="auto"/>
            </w:tcBorders>
          </w:tcPr>
          <w:p>
            <w:pPr>
              <w:pStyle w:val="TableParagraph"/>
              <w:tabs>
                <w:tab w:pos="1675" w:val="left" w:leader="none"/>
                <w:tab w:pos="2183" w:val="left" w:leader="none"/>
              </w:tabs>
              <w:spacing w:line="240" w:lineRule="auto" w:before="166"/>
              <w:ind w:left="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315</w:t>
              <w:tab/>
            </w:r>
            <w:r>
              <w:rPr>
                <w:rFonts w:ascii="Arial"/>
                <w:sz w:val="24"/>
              </w:rPr>
            </w:r>
          </w:p>
        </w:tc>
        <w:tc>
          <w:tcPr>
            <w:tcW w:w="24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tabs>
                <w:tab w:pos="2078" w:val="left" w:leader="none"/>
                <w:tab w:pos="2265" w:val="left" w:leader="none"/>
              </w:tabs>
              <w:spacing w:line="240" w:lineRule="auto" w:before="166"/>
              <w:ind w:left="-8"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w:t>
              <w:tab/>
            </w:r>
            <w:r>
              <w:rPr>
                <w:rFonts w:ascii="Arial"/>
                <w:sz w:val="24"/>
              </w:rPr>
            </w:r>
          </w:p>
        </w:tc>
      </w:tr>
      <w:tr>
        <w:trPr>
          <w:trHeight w:val="464"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9"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1" w:right="0"/>
              <w:jc w:val="left"/>
              <w:rPr>
                <w:rFonts w:ascii="宋体" w:hAnsi="宋体" w:cs="宋体" w:eastAsia="宋体" w:hint="default"/>
                <w:sz w:val="24"/>
                <w:szCs w:val="24"/>
              </w:rPr>
            </w:pPr>
            <w:r>
              <w:rPr>
                <w:rFonts w:ascii="宋体" w:hAnsi="宋体" w:cs="宋体" w:eastAsia="宋体" w:hint="default"/>
                <w:sz w:val="24"/>
                <w:szCs w:val="24"/>
              </w:rPr>
              <w:t>江苏苏宁建材</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107"/>
              <w:jc w:val="right"/>
              <w:rPr>
                <w:rFonts w:ascii="Arial" w:hAnsi="Arial" w:cs="Arial" w:eastAsia="Arial" w:hint="default"/>
                <w:sz w:val="24"/>
                <w:szCs w:val="24"/>
              </w:rPr>
            </w:pPr>
            <w:r>
              <w:rPr>
                <w:rFonts w:ascii="Arial"/>
                <w:spacing w:val="-1"/>
                <w:sz w:val="24"/>
              </w:rPr>
              <w:t>1,972</w:t>
            </w:r>
          </w:p>
        </w:tc>
        <w:tc>
          <w:tcPr>
            <w:tcW w:w="24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
        </w:tc>
      </w:tr>
      <w:tr>
        <w:trPr>
          <w:trHeight w:val="312"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62" w:lineRule="exact"/>
              <w:ind w:left="26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92" w:right="0"/>
              <w:jc w:val="left"/>
              <w:rPr>
                <w:rFonts w:ascii="宋体" w:hAnsi="宋体" w:cs="宋体" w:eastAsia="宋体" w:hint="default"/>
                <w:sz w:val="24"/>
                <w:szCs w:val="24"/>
              </w:rPr>
            </w:pPr>
            <w:r>
              <w:rPr>
                <w:rFonts w:ascii="宋体" w:hAnsi="宋体" w:cs="宋体" w:eastAsia="宋体" w:hint="default"/>
                <w:sz w:val="24"/>
                <w:szCs w:val="24"/>
              </w:rPr>
              <w:t>徐州苏宁置业</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Arial" w:hAnsi="Arial" w:cs="Arial" w:eastAsia="Arial" w:hint="default"/>
                <w:sz w:val="24"/>
                <w:szCs w:val="24"/>
              </w:rPr>
            </w:pPr>
            <w:r>
              <w:rPr>
                <w:rFonts w:ascii="Arial"/>
                <w:spacing w:val="-1"/>
                <w:sz w:val="24"/>
              </w:rPr>
              <w:t>1,100</w:t>
            </w:r>
          </w:p>
        </w:tc>
        <w:tc>
          <w:tcPr>
            <w:tcW w:w="24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10"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62" w:lineRule="exact"/>
              <w:ind w:left="26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92" w:right="0"/>
              <w:jc w:val="left"/>
              <w:rPr>
                <w:rFonts w:ascii="宋体" w:hAnsi="宋体" w:cs="宋体" w:eastAsia="宋体" w:hint="default"/>
                <w:sz w:val="24"/>
                <w:szCs w:val="24"/>
              </w:rPr>
            </w:pPr>
            <w:r>
              <w:rPr>
                <w:rFonts w:ascii="宋体" w:hAnsi="宋体" w:cs="宋体" w:eastAsia="宋体" w:hint="default"/>
                <w:sz w:val="24"/>
                <w:szCs w:val="24"/>
              </w:rPr>
              <w:t>盐城苏宁置业</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24"/>
                <w:szCs w:val="24"/>
              </w:rPr>
            </w:pPr>
            <w:r>
              <w:rPr>
                <w:rFonts w:ascii="Arial"/>
                <w:w w:val="95"/>
                <w:sz w:val="24"/>
              </w:rPr>
              <w:t>280</w:t>
            </w:r>
            <w:r>
              <w:rPr>
                <w:rFonts w:ascii="Arial"/>
                <w:sz w:val="24"/>
              </w:rPr>
            </w:r>
          </w:p>
        </w:tc>
        <w:tc>
          <w:tcPr>
            <w:tcW w:w="24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62" w:lineRule="exact"/>
              <w:ind w:left="26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92" w:right="0"/>
              <w:jc w:val="lef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Arial" w:hAnsi="Arial" w:cs="Arial" w:eastAsia="Arial" w:hint="default"/>
                <w:sz w:val="24"/>
                <w:szCs w:val="24"/>
              </w:rPr>
            </w:pPr>
            <w:r>
              <w:rPr>
                <w:rFonts w:ascii="Arial"/>
                <w:w w:val="95"/>
                <w:sz w:val="24"/>
              </w:rPr>
              <w:t>418</w:t>
            </w:r>
            <w:r>
              <w:rPr>
                <w:rFonts w:ascii="Arial"/>
                <w:sz w:val="24"/>
              </w:rPr>
            </w:r>
          </w:p>
        </w:tc>
        <w:tc>
          <w:tcPr>
            <w:tcW w:w="24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62" w:lineRule="exact"/>
              <w:ind w:left="26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92" w:right="0"/>
              <w:jc w:val="left"/>
              <w:rPr>
                <w:rFonts w:ascii="宋体" w:hAnsi="宋体" w:cs="宋体" w:eastAsia="宋体" w:hint="default"/>
                <w:sz w:val="24"/>
                <w:szCs w:val="24"/>
              </w:rPr>
            </w:pPr>
            <w:r>
              <w:rPr>
                <w:rFonts w:ascii="宋体" w:hAnsi="宋体" w:cs="宋体" w:eastAsia="宋体" w:hint="default"/>
                <w:sz w:val="24"/>
                <w:szCs w:val="24"/>
              </w:rPr>
              <w:t>银河诺富特酒店</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Arial" w:hAnsi="Arial" w:cs="Arial" w:eastAsia="Arial" w:hint="default"/>
                <w:sz w:val="24"/>
                <w:szCs w:val="24"/>
              </w:rPr>
            </w:pPr>
            <w:r>
              <w:rPr>
                <w:rFonts w:ascii="Arial"/>
                <w:spacing w:val="-7"/>
                <w:sz w:val="24"/>
              </w:rPr>
              <w:t>211</w:t>
            </w:r>
          </w:p>
        </w:tc>
        <w:tc>
          <w:tcPr>
            <w:tcW w:w="24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10"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62" w:lineRule="exact"/>
              <w:ind w:left="26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92" w:right="0"/>
              <w:jc w:val="left"/>
              <w:rPr>
                <w:rFonts w:ascii="宋体" w:hAnsi="宋体" w:cs="宋体" w:eastAsia="宋体" w:hint="default"/>
                <w:sz w:val="24"/>
                <w:szCs w:val="24"/>
              </w:rPr>
            </w:pPr>
            <w:r>
              <w:rPr>
                <w:rFonts w:ascii="宋体" w:hAnsi="宋体" w:cs="宋体" w:eastAsia="宋体" w:hint="default"/>
                <w:sz w:val="24"/>
                <w:szCs w:val="24"/>
              </w:rPr>
              <w:t>索菲特银河大酒店</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24"/>
                <w:szCs w:val="24"/>
              </w:rPr>
            </w:pPr>
            <w:r>
              <w:rPr>
                <w:rFonts w:ascii="Arial"/>
                <w:w w:val="95"/>
                <w:sz w:val="24"/>
              </w:rPr>
              <w:t>108</w:t>
            </w:r>
            <w:r>
              <w:rPr>
                <w:rFonts w:ascii="Arial"/>
                <w:sz w:val="24"/>
              </w:rPr>
            </w:r>
          </w:p>
        </w:tc>
        <w:tc>
          <w:tcPr>
            <w:tcW w:w="24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62" w:lineRule="exact"/>
              <w:ind w:left="26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92" w:right="0"/>
              <w:jc w:val="left"/>
              <w:rPr>
                <w:rFonts w:ascii="宋体" w:hAnsi="宋体" w:cs="宋体" w:eastAsia="宋体" w:hint="default"/>
                <w:sz w:val="24"/>
                <w:szCs w:val="24"/>
              </w:rPr>
            </w:pPr>
            <w:r>
              <w:rPr>
                <w:rFonts w:ascii="宋体" w:hAnsi="宋体" w:cs="宋体" w:eastAsia="宋体" w:hint="default"/>
                <w:sz w:val="24"/>
                <w:szCs w:val="24"/>
              </w:rPr>
              <w:t>钟山高尔夫酒店</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Arial" w:hAnsi="Arial" w:cs="Arial" w:eastAsia="Arial" w:hint="default"/>
                <w:sz w:val="24"/>
                <w:szCs w:val="24"/>
              </w:rPr>
            </w:pPr>
            <w:r>
              <w:rPr>
                <w:rFonts w:ascii="Arial"/>
                <w:w w:val="95"/>
                <w:sz w:val="24"/>
              </w:rPr>
              <w:t>83</w:t>
            </w:r>
            <w:r>
              <w:rPr>
                <w:rFonts w:ascii="Arial"/>
                <w:sz w:val="24"/>
              </w:rPr>
            </w:r>
          </w:p>
        </w:tc>
        <w:tc>
          <w:tcPr>
            <w:tcW w:w="24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62" w:lineRule="exact"/>
              <w:ind w:left="26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92" w:right="0"/>
              <w:jc w:val="left"/>
              <w:rPr>
                <w:rFonts w:ascii="宋体" w:hAnsi="宋体" w:cs="宋体" w:eastAsia="宋体" w:hint="default"/>
                <w:sz w:val="24"/>
                <w:szCs w:val="24"/>
              </w:rPr>
            </w:pPr>
            <w:r>
              <w:rPr>
                <w:rFonts w:ascii="宋体" w:hAnsi="宋体" w:cs="宋体" w:eastAsia="宋体" w:hint="default"/>
                <w:sz w:val="24"/>
                <w:szCs w:val="24"/>
              </w:rPr>
              <w:t>华商会所</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Arial" w:hAnsi="Arial" w:cs="Arial" w:eastAsia="Arial" w:hint="default"/>
                <w:sz w:val="24"/>
                <w:szCs w:val="24"/>
              </w:rPr>
            </w:pPr>
            <w:r>
              <w:rPr>
                <w:rFonts w:ascii="Arial"/>
                <w:w w:val="95"/>
                <w:sz w:val="24"/>
              </w:rPr>
              <w:t>21</w:t>
            </w:r>
            <w:r>
              <w:rPr>
                <w:rFonts w:ascii="Arial"/>
                <w:sz w:val="24"/>
              </w:rPr>
            </w:r>
          </w:p>
        </w:tc>
        <w:tc>
          <w:tcPr>
            <w:tcW w:w="24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10"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62" w:lineRule="exact"/>
              <w:ind w:left="26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92"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24"/>
                <w:szCs w:val="24"/>
              </w:rPr>
            </w:pPr>
            <w:r>
              <w:rPr>
                <w:rFonts w:ascii="Arial"/>
                <w:w w:val="99"/>
                <w:sz w:val="24"/>
              </w:rPr>
              <w:t>-</w:t>
            </w:r>
            <w:r>
              <w:rPr>
                <w:rFonts w:ascii="Arial"/>
                <w:sz w:val="24"/>
              </w:rPr>
            </w:r>
          </w:p>
        </w:tc>
        <w:tc>
          <w:tcPr>
            <w:tcW w:w="24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Arial" w:hAnsi="Arial" w:cs="Arial" w:eastAsia="Arial" w:hint="default"/>
                <w:sz w:val="24"/>
                <w:szCs w:val="24"/>
              </w:rPr>
            </w:pPr>
            <w:r>
              <w:rPr>
                <w:rFonts w:ascii="Arial"/>
                <w:spacing w:val="-1"/>
                <w:sz w:val="24"/>
              </w:rPr>
              <w:t>2,010</w:t>
            </w:r>
          </w:p>
        </w:tc>
      </w:tr>
      <w:tr>
        <w:trPr>
          <w:trHeight w:val="313"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62" w:lineRule="exact"/>
              <w:ind w:left="26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8" w:type="dxa"/>
            <w:tcBorders>
              <w:top w:val="nil" w:sz="6" w:space="0" w:color="auto"/>
              <w:left w:val="nil" w:sz="6" w:space="0" w:color="auto"/>
              <w:bottom w:val="nil" w:sz="6" w:space="0" w:color="auto"/>
              <w:right w:val="nil" w:sz="6" w:space="0" w:color="auto"/>
            </w:tcBorders>
          </w:tcPr>
          <w:p>
            <w:pPr>
              <w:pStyle w:val="TableParagraph"/>
              <w:spacing w:line="262" w:lineRule="exact"/>
              <w:ind w:left="192" w:right="0"/>
              <w:jc w:val="left"/>
              <w:rPr>
                <w:rFonts w:ascii="宋体" w:hAnsi="宋体" w:cs="宋体" w:eastAsia="宋体" w:hint="default"/>
                <w:sz w:val="24"/>
                <w:szCs w:val="24"/>
              </w:rPr>
            </w:pPr>
            <w:r>
              <w:rPr>
                <w:rFonts w:ascii="宋体" w:hAnsi="宋体" w:cs="宋体" w:eastAsia="宋体" w:hint="default"/>
                <w:sz w:val="24"/>
                <w:szCs w:val="24"/>
              </w:rPr>
              <w:t>银河国际购物广场</w:t>
            </w:r>
          </w:p>
        </w:tc>
        <w:tc>
          <w:tcPr>
            <w:tcW w:w="2186" w:type="dxa"/>
            <w:tcBorders>
              <w:top w:val="nil" w:sz="6" w:space="0" w:color="auto"/>
              <w:left w:val="nil" w:sz="6" w:space="0" w:color="auto"/>
              <w:bottom w:val="nil" w:sz="6" w:space="0" w:color="auto"/>
              <w:right w:val="nil" w:sz="6" w:space="0" w:color="auto"/>
            </w:tcBorders>
          </w:tcPr>
          <w:p>
            <w:pPr>
              <w:pStyle w:val="TableParagraph"/>
              <w:tabs>
                <w:tab w:pos="1996" w:val="left" w:leader="none"/>
                <w:tab w:pos="2183" w:val="left" w:leader="none"/>
              </w:tabs>
              <w:spacing w:line="240" w:lineRule="auto" w:before="19"/>
              <w:ind w:left="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c>
          <w:tcPr>
            <w:tcW w:w="24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tabs>
                <w:tab w:pos="1756" w:val="left" w:leader="none"/>
                <w:tab w:pos="2265" w:val="left" w:leader="none"/>
              </w:tabs>
              <w:spacing w:line="240" w:lineRule="auto" w:before="19"/>
              <w:ind w:left="-8"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304</w:t>
            </w:r>
            <w:r>
              <w:rPr>
                <w:rFonts w:ascii="Arial"/>
                <w:sz w:val="24"/>
                <w:u w:val="single" w:color="000000"/>
              </w:rPr>
              <w:tab/>
            </w:r>
            <w:r>
              <w:rPr>
                <w:rFonts w:ascii="Arial"/>
                <w:sz w:val="24"/>
              </w:rPr>
            </w:r>
          </w:p>
        </w:tc>
      </w:tr>
      <w:tr>
        <w:trPr>
          <w:trHeight w:val="289" w:hRule="exact"/>
        </w:trPr>
        <w:tc>
          <w:tcPr>
            <w:tcW w:w="1748"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single" w:sz="12" w:space="0" w:color="000000"/>
              <w:right w:val="nil" w:sz="6" w:space="0" w:color="auto"/>
            </w:tcBorders>
          </w:tcPr>
          <w:p>
            <w:pPr>
              <w:pStyle w:val="TableParagraph"/>
              <w:spacing w:line="268" w:lineRule="exact"/>
              <w:ind w:right="107"/>
              <w:jc w:val="right"/>
              <w:rPr>
                <w:rFonts w:ascii="Arial" w:hAnsi="Arial" w:cs="Arial" w:eastAsia="Arial" w:hint="default"/>
                <w:sz w:val="24"/>
                <w:szCs w:val="24"/>
              </w:rPr>
            </w:pPr>
            <w:r>
              <w:rPr>
                <w:rFonts w:ascii="Arial"/>
                <w:spacing w:val="-1"/>
                <w:sz w:val="24"/>
              </w:rPr>
              <w:t>4,193</w:t>
            </w:r>
          </w:p>
        </w:tc>
        <w:tc>
          <w:tcPr>
            <w:tcW w:w="24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12" w:space="0" w:color="000000"/>
              <w:right w:val="nil" w:sz="6" w:space="0" w:color="auto"/>
            </w:tcBorders>
          </w:tcPr>
          <w:p>
            <w:pPr>
              <w:pStyle w:val="TableParagraph"/>
              <w:spacing w:line="268" w:lineRule="exact"/>
              <w:ind w:right="105"/>
              <w:jc w:val="right"/>
              <w:rPr>
                <w:rFonts w:ascii="Arial" w:hAnsi="Arial" w:cs="Arial" w:eastAsia="Arial" w:hint="default"/>
                <w:sz w:val="24"/>
                <w:szCs w:val="24"/>
              </w:rPr>
            </w:pPr>
            <w:r>
              <w:rPr>
                <w:rFonts w:ascii="Arial"/>
                <w:spacing w:val="-1"/>
                <w:sz w:val="24"/>
              </w:rPr>
              <w:t>2,314</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874" w:type="dxa"/>
        <w:tblLayout w:type="fixed"/>
        <w:tblCellMar>
          <w:top w:w="0" w:type="dxa"/>
          <w:left w:w="0" w:type="dxa"/>
          <w:bottom w:w="0" w:type="dxa"/>
          <w:right w:w="0" w:type="dxa"/>
        </w:tblCellMar>
        <w:tblLook w:val="01E0"/>
      </w:tblPr>
      <w:tblGrid>
        <w:gridCol w:w="1746"/>
        <w:gridCol w:w="2533"/>
        <w:gridCol w:w="2177"/>
        <w:gridCol w:w="245"/>
        <w:gridCol w:w="2266"/>
      </w:tblGrid>
      <w:tr>
        <w:trPr>
          <w:trHeight w:val="290"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宋体" w:hAnsi="宋体" w:cs="宋体" w:eastAsia="宋体" w:hint="default"/>
                <w:sz w:val="24"/>
                <w:szCs w:val="24"/>
              </w:rPr>
            </w:pPr>
            <w:r>
              <w:rPr>
                <w:rFonts w:ascii="宋体" w:hAnsi="宋体" w:cs="宋体" w:eastAsia="宋体" w:hint="default"/>
                <w:sz w:val="24"/>
                <w:szCs w:val="24"/>
              </w:rPr>
              <w:t>其他流动负债</w:t>
            </w:r>
          </w:p>
        </w:tc>
        <w:tc>
          <w:tcPr>
            <w:tcW w:w="2533" w:type="dxa"/>
            <w:vMerge w:val="restart"/>
            <w:tcBorders>
              <w:top w:val="nil" w:sz="6" w:space="0" w:color="auto"/>
              <w:left w:val="nil" w:sz="6" w:space="0" w:color="auto"/>
              <w:right w:val="nil" w:sz="6" w:space="0" w:color="auto"/>
            </w:tcBorders>
          </w:tcPr>
          <w:p>
            <w:pPr>
              <w:pStyle w:val="TableParagraph"/>
              <w:spacing w:line="239" w:lineRule="exact"/>
              <w:ind w:left="105" w:right="0"/>
              <w:jc w:val="left"/>
              <w:rPr>
                <w:rFonts w:ascii="宋体" w:hAnsi="宋体" w:cs="宋体" w:eastAsia="宋体" w:hint="default"/>
                <w:sz w:val="24"/>
                <w:szCs w:val="24"/>
              </w:rPr>
            </w:pPr>
            <w:r>
              <w:rPr>
                <w:rFonts w:ascii="宋体" w:hAnsi="宋体" w:cs="宋体" w:eastAsia="宋体" w:hint="default"/>
                <w:spacing w:val="19"/>
                <w:sz w:val="24"/>
                <w:szCs w:val="24"/>
              </w:rPr>
              <w:t>苏宁电器集团有限公</w:t>
            </w:r>
            <w:r>
              <w:rPr>
                <w:rFonts w:ascii="宋体" w:hAnsi="宋体" w:cs="宋体" w:eastAsia="宋体" w:hint="default"/>
                <w:sz w:val="24"/>
                <w:szCs w:val="24"/>
              </w:rPr>
            </w:r>
          </w:p>
          <w:p>
            <w:pPr>
              <w:pStyle w:val="TableParagraph"/>
              <w:spacing w:line="313" w:lineRule="exact"/>
              <w:ind w:left="377" w:right="0"/>
              <w:jc w:val="left"/>
              <w:rPr>
                <w:rFonts w:ascii="宋体" w:hAnsi="宋体" w:cs="宋体" w:eastAsia="宋体" w:hint="default"/>
                <w:sz w:val="24"/>
                <w:szCs w:val="24"/>
              </w:rPr>
            </w:pPr>
            <w:r>
              <w:rPr>
                <w:rFonts w:ascii="宋体" w:hAnsi="宋体" w:cs="宋体" w:eastAsia="宋体" w:hint="default"/>
                <w:sz w:val="24"/>
                <w:szCs w:val="24"/>
              </w:rPr>
              <w:t>司</w:t>
            </w:r>
          </w:p>
        </w:tc>
        <w:tc>
          <w:tcPr>
            <w:tcW w:w="2177"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
        </w:tc>
      </w:tr>
      <w:tr>
        <w:trPr>
          <w:trHeight w:val="352" w:hRule="exact"/>
        </w:trPr>
        <w:tc>
          <w:tcPr>
            <w:tcW w:w="1746" w:type="dxa"/>
            <w:tcBorders>
              <w:top w:val="nil" w:sz="6" w:space="0" w:color="auto"/>
              <w:left w:val="nil" w:sz="6" w:space="0" w:color="auto"/>
              <w:bottom w:val="nil" w:sz="6" w:space="0" w:color="auto"/>
              <w:right w:val="nil" w:sz="6" w:space="0" w:color="auto"/>
            </w:tcBorders>
          </w:tcPr>
          <w:p>
            <w:pPr/>
          </w:p>
        </w:tc>
        <w:tc>
          <w:tcPr>
            <w:tcW w:w="2533" w:type="dxa"/>
            <w:vMerge/>
            <w:tcBorders>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2"/>
              <w:jc w:val="right"/>
              <w:rPr>
                <w:rFonts w:ascii="Arial" w:hAnsi="Arial" w:cs="Arial" w:eastAsia="Arial" w:hint="default"/>
                <w:sz w:val="24"/>
                <w:szCs w:val="24"/>
              </w:rPr>
            </w:pPr>
            <w:r>
              <w:rPr>
                <w:rFonts w:ascii="Arial"/>
                <w:spacing w:val="-1"/>
                <w:sz w:val="24"/>
              </w:rPr>
              <w:t>5,382</w:t>
            </w:r>
          </w:p>
        </w:tc>
        <w:tc>
          <w:tcPr>
            <w:tcW w:w="245"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83"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302" w:lineRule="exact"/>
              <w:ind w:right="103"/>
              <w:jc w:val="right"/>
              <w:rPr>
                <w:rFonts w:ascii="宋体" w:hAnsi="宋体" w:cs="宋体" w:eastAsia="宋体" w:hint="default"/>
                <w:sz w:val="24"/>
                <w:szCs w:val="24"/>
              </w:rPr>
            </w:pPr>
            <w:r>
              <w:rPr>
                <w:rFonts w:ascii="宋体" w:hAnsi="宋体" w:cs="宋体" w:eastAsia="宋体" w:hint="default"/>
                <w:sz w:val="24"/>
                <w:szCs w:val="24"/>
              </w:rPr>
              <w:t>其他流动负债</w:t>
            </w:r>
          </w:p>
        </w:tc>
        <w:tc>
          <w:tcPr>
            <w:tcW w:w="2533" w:type="dxa"/>
            <w:tcBorders>
              <w:top w:val="nil" w:sz="6" w:space="0" w:color="auto"/>
              <w:left w:val="nil" w:sz="6" w:space="0" w:color="auto"/>
              <w:bottom w:val="nil" w:sz="6" w:space="0" w:color="auto"/>
              <w:right w:val="nil" w:sz="6" w:space="0" w:color="auto"/>
            </w:tcBorders>
          </w:tcPr>
          <w:p>
            <w:pPr>
              <w:pStyle w:val="TableParagraph"/>
              <w:spacing w:line="302" w:lineRule="exact"/>
              <w:ind w:left="151"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17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1"/>
              <w:jc w:val="right"/>
              <w:rPr>
                <w:rFonts w:ascii="Arial" w:hAnsi="Arial" w:cs="Arial" w:eastAsia="Arial" w:hint="default"/>
                <w:sz w:val="24"/>
                <w:szCs w:val="24"/>
              </w:rPr>
            </w:pPr>
            <w:r>
              <w:rPr>
                <w:rFonts w:ascii="Arial"/>
                <w:w w:val="95"/>
                <w:sz w:val="24"/>
              </w:rPr>
              <w:t>435</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77" w:hRule="exact"/>
        </w:trPr>
        <w:tc>
          <w:tcPr>
            <w:tcW w:w="1746"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2"/>
              <w:jc w:val="right"/>
              <w:rPr>
                <w:rFonts w:ascii="Arial" w:hAnsi="Arial" w:cs="Arial" w:eastAsia="Arial" w:hint="default"/>
                <w:sz w:val="24"/>
                <w:szCs w:val="24"/>
              </w:rPr>
            </w:pPr>
            <w:r>
              <w:rPr>
                <w:rFonts w:ascii="Arial"/>
                <w:spacing w:val="-1"/>
                <w:sz w:val="24"/>
              </w:rPr>
              <w:t>5,817</w:t>
            </w:r>
          </w:p>
        </w:tc>
        <w:tc>
          <w:tcPr>
            <w:tcW w:w="245" w:type="dxa"/>
            <w:tcBorders>
              <w:top w:val="nil" w:sz="6" w:space="0" w:color="auto"/>
              <w:left w:val="nil" w:sz="6" w:space="0" w:color="auto"/>
              <w:bottom w:val="nil" w:sz="6" w:space="0" w:color="auto"/>
              <w:right w:val="nil" w:sz="6" w:space="0" w:color="auto"/>
            </w:tcBorders>
          </w:tcPr>
          <w:p>
            <w:pPr/>
          </w:p>
        </w:tc>
        <w:tc>
          <w:tcPr>
            <w:tcW w:w="2266"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5"/>
              <w:jc w:val="right"/>
              <w:rPr>
                <w:rFonts w:ascii="Arial" w:hAnsi="Arial" w:cs="Arial" w:eastAsia="Arial" w:hint="default"/>
                <w:sz w:val="24"/>
                <w:szCs w:val="24"/>
              </w:rPr>
            </w:pPr>
            <w:r>
              <w:rPr>
                <w:rFonts w:ascii="Arial"/>
                <w:w w:val="99"/>
                <w:sz w:val="24"/>
              </w:rPr>
              <w:t>-</w:t>
            </w:r>
            <w:r>
              <w:rPr>
                <w:rFonts w:ascii="Arial"/>
                <w:sz w:val="24"/>
              </w:rPr>
            </w:r>
          </w:p>
        </w:tc>
      </w:tr>
    </w:tbl>
    <w:p>
      <w:pPr>
        <w:spacing w:after="0" w:line="240" w:lineRule="auto"/>
        <w:jc w:val="right"/>
        <w:rPr>
          <w:rFonts w:ascii="Arial" w:hAnsi="Arial" w:cs="Arial" w:eastAsia="Arial"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4072" type="#_x0000_t75" stroked="false">
            <v:imagedata r:id="rId10" o:title=""/>
          </v:shape>
        </w:pict>
      </w: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25"/>
        <w:gridCol w:w="8928"/>
      </w:tblGrid>
      <w:tr>
        <w:trPr>
          <w:trHeight w:val="497"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40" w:lineRule="exact"/>
              <w:ind w:right="82"/>
              <w:jc w:val="center"/>
              <w:rPr>
                <w:rFonts w:ascii="黑体" w:hAnsi="黑体" w:cs="黑体" w:eastAsia="黑体" w:hint="default"/>
                <w:sz w:val="24"/>
                <w:szCs w:val="24"/>
              </w:rPr>
            </w:pPr>
            <w:r>
              <w:rPr>
                <w:rFonts w:ascii="黑体" w:hAnsi="黑体" w:cs="黑体" w:eastAsia="黑体" w:hint="default"/>
                <w:sz w:val="24"/>
                <w:szCs w:val="24"/>
              </w:rPr>
              <w:t>六</w:t>
            </w:r>
          </w:p>
        </w:tc>
        <w:tc>
          <w:tcPr>
            <w:tcW w:w="8928" w:type="dxa"/>
            <w:tcBorders>
              <w:top w:val="nil" w:sz="6" w:space="0" w:color="auto"/>
              <w:left w:val="nil" w:sz="6" w:space="0" w:color="auto"/>
              <w:bottom w:val="nil" w:sz="6" w:space="0" w:color="auto"/>
              <w:right w:val="nil" w:sz="6" w:space="0" w:color="auto"/>
            </w:tcBorders>
          </w:tcPr>
          <w:p>
            <w:pPr>
              <w:pStyle w:val="TableParagraph"/>
              <w:spacing w:line="257" w:lineRule="exact"/>
              <w:ind w:left="231"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5"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9"/>
              <w:jc w:val="center"/>
              <w:rPr>
                <w:rFonts w:ascii="Arial" w:hAnsi="Arial" w:cs="Arial" w:eastAsia="Arial" w:hint="default"/>
                <w:sz w:val="24"/>
                <w:szCs w:val="24"/>
              </w:rPr>
            </w:pPr>
            <w:r>
              <w:rPr>
                <w:rFonts w:ascii="Arial"/>
                <w:sz w:val="24"/>
              </w:rPr>
              <w:t>(7)</w:t>
            </w:r>
          </w:p>
        </w:tc>
        <w:tc>
          <w:tcPr>
            <w:tcW w:w="8928"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31" w:right="0"/>
              <w:jc w:val="left"/>
              <w:rPr>
                <w:rFonts w:ascii="黑体" w:hAnsi="黑体" w:cs="黑体" w:eastAsia="黑体" w:hint="default"/>
                <w:sz w:val="24"/>
                <w:szCs w:val="24"/>
              </w:rPr>
            </w:pPr>
            <w:r>
              <w:rPr>
                <w:rFonts w:ascii="黑体" w:hAnsi="黑体" w:cs="黑体" w:eastAsia="黑体" w:hint="default"/>
                <w:sz w:val="24"/>
                <w:szCs w:val="24"/>
              </w:rPr>
              <w:t>关联方承诺</w:t>
            </w:r>
          </w:p>
        </w:tc>
      </w:tr>
      <w:tr>
        <w:trPr>
          <w:trHeight w:val="803" w:hRule="exact"/>
        </w:trPr>
        <w:tc>
          <w:tcPr>
            <w:tcW w:w="725" w:type="dxa"/>
            <w:tcBorders>
              <w:top w:val="nil" w:sz="6" w:space="0" w:color="auto"/>
              <w:left w:val="nil" w:sz="6" w:space="0" w:color="auto"/>
              <w:bottom w:val="nil" w:sz="6" w:space="0" w:color="auto"/>
              <w:right w:val="nil" w:sz="6" w:space="0" w:color="auto"/>
            </w:tcBorders>
          </w:tcPr>
          <w:p>
            <w:pPr/>
          </w:p>
        </w:tc>
        <w:tc>
          <w:tcPr>
            <w:tcW w:w="8928"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231" w:right="198"/>
              <w:jc w:val="left"/>
              <w:rPr>
                <w:rFonts w:ascii="宋体" w:hAnsi="宋体" w:cs="宋体" w:eastAsia="宋体" w:hint="default"/>
                <w:sz w:val="24"/>
                <w:szCs w:val="24"/>
              </w:rPr>
            </w:pPr>
            <w:r>
              <w:rPr>
                <w:rFonts w:ascii="宋体" w:hAnsi="宋体" w:cs="宋体" w:eastAsia="宋体" w:hint="default"/>
                <w:spacing w:val="2"/>
                <w:sz w:val="24"/>
                <w:szCs w:val="24"/>
              </w:rPr>
              <w:t>以下为本集团于资产负债表日，已签约而尚不必在资产负债表上列示的与关联方</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有关的承诺事项：</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847" w:type="dxa"/>
        <w:tblLayout w:type="fixed"/>
        <w:tblCellMar>
          <w:top w:w="0" w:type="dxa"/>
          <w:left w:w="0" w:type="dxa"/>
          <w:bottom w:w="0" w:type="dxa"/>
          <w:right w:w="0" w:type="dxa"/>
        </w:tblCellMar>
        <w:tblLook w:val="01E0"/>
      </w:tblPr>
      <w:tblGrid>
        <w:gridCol w:w="3916"/>
        <w:gridCol w:w="2340"/>
        <w:gridCol w:w="252"/>
        <w:gridCol w:w="2314"/>
      </w:tblGrid>
      <w:tr>
        <w:trPr>
          <w:trHeight w:val="494" w:hRule="exact"/>
        </w:trPr>
        <w:tc>
          <w:tcPr>
            <w:tcW w:w="391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接受劳务</w:t>
            </w:r>
          </w:p>
        </w:tc>
        <w:tc>
          <w:tcPr>
            <w:tcW w:w="2340"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
        </w:tc>
      </w:tr>
      <w:tr>
        <w:trPr>
          <w:trHeight w:val="753" w:hRule="exact"/>
        </w:trPr>
        <w:tc>
          <w:tcPr>
            <w:tcW w:w="62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0"/>
              <w:ind w:left="4026"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52"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127"/>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69" w:hRule="exact"/>
        </w:trPr>
        <w:tc>
          <w:tcPr>
            <w:tcW w:w="3916"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00" w:right="0"/>
              <w:jc w:val="left"/>
              <w:rPr>
                <w:rFonts w:ascii="宋体" w:hAnsi="宋体" w:cs="宋体" w:eastAsia="宋体" w:hint="default"/>
                <w:sz w:val="24"/>
                <w:szCs w:val="24"/>
              </w:rPr>
            </w:pPr>
            <w:r>
              <w:rPr>
                <w:rFonts w:ascii="Arial" w:hAnsi="Arial" w:cs="Arial" w:eastAsia="Arial" w:hint="default"/>
                <w:sz w:val="24"/>
                <w:szCs w:val="24"/>
              </w:rPr>
              <w:t>-</w:t>
            </w:r>
            <w:r>
              <w:rPr>
                <w:rFonts w:ascii="宋体" w:hAnsi="宋体" w:cs="宋体" w:eastAsia="宋体" w:hint="default"/>
                <w:sz w:val="24"/>
                <w:szCs w:val="24"/>
              </w:rPr>
              <w:t>代建服务</w:t>
            </w:r>
          </w:p>
        </w:tc>
        <w:tc>
          <w:tcPr>
            <w:tcW w:w="2340"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
        </w:tc>
      </w:tr>
      <w:tr>
        <w:trPr>
          <w:trHeight w:val="400" w:hRule="exact"/>
        </w:trPr>
        <w:tc>
          <w:tcPr>
            <w:tcW w:w="3916" w:type="dxa"/>
            <w:tcBorders>
              <w:top w:val="nil" w:sz="6" w:space="0" w:color="auto"/>
              <w:left w:val="nil" w:sz="6" w:space="0" w:color="auto"/>
              <w:bottom w:val="nil" w:sz="6" w:space="0" w:color="auto"/>
              <w:right w:val="nil" w:sz="6" w:space="0" w:color="auto"/>
            </w:tcBorders>
          </w:tcPr>
          <w:p>
            <w:pPr>
              <w:pStyle w:val="TableParagraph"/>
              <w:spacing w:line="310" w:lineRule="exact"/>
              <w:ind w:left="90" w:right="0"/>
              <w:jc w:val="center"/>
              <w:rPr>
                <w:rFonts w:ascii="宋体" w:hAnsi="宋体" w:cs="宋体" w:eastAsia="宋体" w:hint="default"/>
                <w:sz w:val="24"/>
                <w:szCs w:val="24"/>
              </w:rPr>
            </w:pPr>
            <w:r>
              <w:rPr>
                <w:rFonts w:ascii="宋体" w:hAnsi="宋体" w:cs="宋体" w:eastAsia="宋体" w:hint="default"/>
                <w:sz w:val="24"/>
                <w:szCs w:val="24"/>
              </w:rPr>
              <w:t>苏宁置业</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2"/>
              <w:jc w:val="right"/>
              <w:rPr>
                <w:rFonts w:ascii="Arial" w:hAnsi="Arial" w:cs="Arial" w:eastAsia="Arial" w:hint="default"/>
                <w:sz w:val="24"/>
                <w:szCs w:val="24"/>
              </w:rPr>
            </w:pPr>
            <w:r>
              <w:rPr>
                <w:rFonts w:ascii="Arial"/>
                <w:w w:val="95"/>
                <w:sz w:val="24"/>
              </w:rPr>
              <w:t>60,262</w:t>
            </w:r>
            <w:r>
              <w:rPr>
                <w:rFonts w:ascii="Arial"/>
                <w:sz w:val="24"/>
              </w:rPr>
            </w:r>
          </w:p>
        </w:tc>
        <w:tc>
          <w:tcPr>
            <w:tcW w:w="252"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2"/>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3916" w:type="dxa"/>
            <w:tcBorders>
              <w:top w:val="nil" w:sz="6" w:space="0" w:color="auto"/>
              <w:left w:val="nil" w:sz="6" w:space="0" w:color="auto"/>
              <w:bottom w:val="nil" w:sz="6" w:space="0" w:color="auto"/>
              <w:right w:val="nil" w:sz="6" w:space="0" w:color="auto"/>
            </w:tcBorders>
          </w:tcPr>
          <w:p>
            <w:pPr>
              <w:pStyle w:val="TableParagraph"/>
              <w:spacing w:line="301" w:lineRule="exact"/>
              <w:ind w:left="1523" w:right="0"/>
              <w:jc w:val="left"/>
              <w:rPr>
                <w:rFonts w:ascii="宋体" w:hAnsi="宋体" w:cs="宋体" w:eastAsia="宋体" w:hint="default"/>
                <w:sz w:val="24"/>
                <w:szCs w:val="24"/>
              </w:rPr>
            </w:pPr>
            <w:r>
              <w:rPr>
                <w:rFonts w:ascii="宋体" w:hAnsi="宋体" w:cs="宋体" w:eastAsia="宋体" w:hint="default"/>
                <w:sz w:val="24"/>
                <w:szCs w:val="24"/>
              </w:rPr>
              <w:t>上海苏宁房地产开发</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4"/>
                <w:sz w:val="24"/>
              </w:rPr>
              <w:t>15,110</w:t>
            </w:r>
          </w:p>
        </w:tc>
        <w:tc>
          <w:tcPr>
            <w:tcW w:w="252"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3916" w:type="dxa"/>
            <w:tcBorders>
              <w:top w:val="nil" w:sz="6" w:space="0" w:color="auto"/>
              <w:left w:val="nil" w:sz="6" w:space="0" w:color="auto"/>
              <w:bottom w:val="nil" w:sz="6" w:space="0" w:color="auto"/>
              <w:right w:val="nil" w:sz="6" w:space="0" w:color="auto"/>
            </w:tcBorders>
          </w:tcPr>
          <w:p>
            <w:pPr>
              <w:pStyle w:val="TableParagraph"/>
              <w:spacing w:line="301" w:lineRule="exact"/>
              <w:ind w:left="1523" w:right="0"/>
              <w:jc w:val="left"/>
              <w:rPr>
                <w:rFonts w:ascii="宋体" w:hAnsi="宋体" w:cs="宋体" w:eastAsia="宋体" w:hint="default"/>
                <w:sz w:val="24"/>
                <w:szCs w:val="24"/>
              </w:rPr>
            </w:pPr>
            <w:r>
              <w:rPr>
                <w:rFonts w:ascii="宋体" w:hAnsi="宋体" w:cs="宋体" w:eastAsia="宋体" w:hint="default"/>
                <w:sz w:val="24"/>
                <w:szCs w:val="24"/>
              </w:rPr>
              <w:t>北京苏宁置业</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13,500</w:t>
            </w:r>
          </w:p>
        </w:tc>
        <w:tc>
          <w:tcPr>
            <w:tcW w:w="252"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3916" w:type="dxa"/>
            <w:tcBorders>
              <w:top w:val="nil" w:sz="6" w:space="0" w:color="auto"/>
              <w:left w:val="nil" w:sz="6" w:space="0" w:color="auto"/>
              <w:bottom w:val="nil" w:sz="6" w:space="0" w:color="auto"/>
              <w:right w:val="nil" w:sz="6" w:space="0" w:color="auto"/>
            </w:tcBorders>
          </w:tcPr>
          <w:p>
            <w:pPr>
              <w:pStyle w:val="TableParagraph"/>
              <w:spacing w:line="301" w:lineRule="exact"/>
              <w:ind w:left="1523" w:right="0"/>
              <w:jc w:val="left"/>
              <w:rPr>
                <w:rFonts w:ascii="宋体" w:hAnsi="宋体" w:cs="宋体" w:eastAsia="宋体" w:hint="default"/>
                <w:sz w:val="24"/>
                <w:szCs w:val="24"/>
              </w:rPr>
            </w:pPr>
            <w:r>
              <w:rPr>
                <w:rFonts w:ascii="宋体" w:hAnsi="宋体" w:cs="宋体" w:eastAsia="宋体" w:hint="default"/>
                <w:sz w:val="24"/>
                <w:szCs w:val="24"/>
              </w:rPr>
              <w:t>无锡苏宁置业</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3,330</w:t>
            </w:r>
          </w:p>
        </w:tc>
        <w:tc>
          <w:tcPr>
            <w:tcW w:w="252"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3916" w:type="dxa"/>
            <w:tcBorders>
              <w:top w:val="nil" w:sz="6" w:space="0" w:color="auto"/>
              <w:left w:val="nil" w:sz="6" w:space="0" w:color="auto"/>
              <w:bottom w:val="nil" w:sz="6" w:space="0" w:color="auto"/>
              <w:right w:val="nil" w:sz="6" w:space="0" w:color="auto"/>
            </w:tcBorders>
          </w:tcPr>
          <w:p>
            <w:pPr>
              <w:pStyle w:val="TableParagraph"/>
              <w:spacing w:line="302" w:lineRule="exact"/>
              <w:ind w:left="1523" w:right="0"/>
              <w:jc w:val="left"/>
              <w:rPr>
                <w:rFonts w:ascii="宋体" w:hAnsi="宋体" w:cs="宋体" w:eastAsia="宋体" w:hint="default"/>
                <w:sz w:val="24"/>
                <w:szCs w:val="24"/>
              </w:rPr>
            </w:pPr>
            <w:r>
              <w:rPr>
                <w:rFonts w:ascii="宋体" w:hAnsi="宋体" w:cs="宋体" w:eastAsia="宋体" w:hint="default"/>
                <w:sz w:val="24"/>
                <w:szCs w:val="24"/>
              </w:rPr>
              <w:t>福州苏宁置业</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1,100</w:t>
            </w:r>
          </w:p>
        </w:tc>
        <w:tc>
          <w:tcPr>
            <w:tcW w:w="252"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
        </w:tc>
      </w:tr>
      <w:tr>
        <w:trPr>
          <w:trHeight w:val="391" w:hRule="exact"/>
        </w:trPr>
        <w:tc>
          <w:tcPr>
            <w:tcW w:w="3916" w:type="dxa"/>
            <w:tcBorders>
              <w:top w:val="nil" w:sz="6" w:space="0" w:color="auto"/>
              <w:left w:val="nil" w:sz="6" w:space="0" w:color="auto"/>
              <w:bottom w:val="nil" w:sz="6" w:space="0" w:color="auto"/>
              <w:right w:val="nil" w:sz="6" w:space="0" w:color="auto"/>
            </w:tcBorders>
          </w:tcPr>
          <w:p>
            <w:pPr>
              <w:pStyle w:val="TableParagraph"/>
              <w:spacing w:line="301" w:lineRule="exact"/>
              <w:ind w:left="1523" w:right="0"/>
              <w:jc w:val="left"/>
              <w:rPr>
                <w:rFonts w:ascii="宋体" w:hAnsi="宋体" w:cs="宋体" w:eastAsia="宋体" w:hint="default"/>
                <w:sz w:val="24"/>
                <w:szCs w:val="24"/>
              </w:rPr>
            </w:pPr>
            <w:r>
              <w:rPr>
                <w:rFonts w:ascii="宋体" w:hAnsi="宋体" w:cs="宋体" w:eastAsia="宋体" w:hint="default"/>
                <w:sz w:val="24"/>
                <w:szCs w:val="24"/>
              </w:rPr>
              <w:t>长春苏宁置业</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1"/>
              <w:jc w:val="right"/>
              <w:rPr>
                <w:rFonts w:ascii="Arial" w:hAnsi="Arial" w:cs="Arial" w:eastAsia="Arial" w:hint="default"/>
                <w:sz w:val="24"/>
                <w:szCs w:val="24"/>
              </w:rPr>
            </w:pPr>
            <w:r>
              <w:rPr>
                <w:rFonts w:ascii="Arial"/>
                <w:w w:val="95"/>
                <w:sz w:val="24"/>
              </w:rPr>
              <w:t>910</w:t>
            </w:r>
            <w:r>
              <w:rPr>
                <w:rFonts w:ascii="Arial"/>
                <w:sz w:val="24"/>
              </w:rPr>
            </w:r>
          </w:p>
        </w:tc>
        <w:tc>
          <w:tcPr>
            <w:tcW w:w="252"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3916" w:type="dxa"/>
            <w:tcBorders>
              <w:top w:val="nil" w:sz="6" w:space="0" w:color="auto"/>
              <w:left w:val="nil" w:sz="6" w:space="0" w:color="auto"/>
              <w:bottom w:val="nil" w:sz="6" w:space="0" w:color="auto"/>
              <w:right w:val="nil" w:sz="6" w:space="0" w:color="auto"/>
            </w:tcBorders>
          </w:tcPr>
          <w:p>
            <w:pPr>
              <w:pStyle w:val="TableParagraph"/>
              <w:spacing w:line="301" w:lineRule="exact"/>
              <w:ind w:left="1523" w:right="0"/>
              <w:jc w:val="left"/>
              <w:rPr>
                <w:rFonts w:ascii="宋体" w:hAnsi="宋体" w:cs="宋体" w:eastAsia="宋体" w:hint="default"/>
                <w:sz w:val="24"/>
                <w:szCs w:val="24"/>
              </w:rPr>
            </w:pPr>
            <w:r>
              <w:rPr>
                <w:rFonts w:ascii="宋体" w:hAnsi="宋体" w:cs="宋体" w:eastAsia="宋体" w:hint="default"/>
                <w:sz w:val="24"/>
                <w:szCs w:val="24"/>
              </w:rPr>
              <w:t>宿迁苏宁置业</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1"/>
              <w:jc w:val="right"/>
              <w:rPr>
                <w:rFonts w:ascii="Arial" w:hAnsi="Arial" w:cs="Arial" w:eastAsia="Arial" w:hint="default"/>
                <w:sz w:val="24"/>
                <w:szCs w:val="24"/>
              </w:rPr>
            </w:pPr>
            <w:r>
              <w:rPr>
                <w:rFonts w:ascii="Arial"/>
                <w:w w:val="95"/>
                <w:sz w:val="24"/>
              </w:rPr>
              <w:t>650</w:t>
            </w:r>
            <w:r>
              <w:rPr>
                <w:rFonts w:ascii="Arial"/>
                <w:sz w:val="24"/>
              </w:rPr>
            </w:r>
          </w:p>
        </w:tc>
        <w:tc>
          <w:tcPr>
            <w:tcW w:w="252"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3916" w:type="dxa"/>
            <w:tcBorders>
              <w:top w:val="nil" w:sz="6" w:space="0" w:color="auto"/>
              <w:left w:val="nil" w:sz="6" w:space="0" w:color="auto"/>
              <w:bottom w:val="nil" w:sz="6" w:space="0" w:color="auto"/>
              <w:right w:val="nil" w:sz="6" w:space="0" w:color="auto"/>
            </w:tcBorders>
          </w:tcPr>
          <w:p>
            <w:pPr>
              <w:pStyle w:val="TableParagraph"/>
              <w:spacing w:line="301" w:lineRule="exact"/>
              <w:ind w:left="1523" w:right="0"/>
              <w:jc w:val="left"/>
              <w:rPr>
                <w:rFonts w:ascii="宋体" w:hAnsi="宋体" w:cs="宋体" w:eastAsia="宋体" w:hint="default"/>
                <w:sz w:val="24"/>
                <w:szCs w:val="24"/>
              </w:rPr>
            </w:pPr>
            <w:r>
              <w:rPr>
                <w:rFonts w:ascii="宋体" w:hAnsi="宋体" w:cs="宋体" w:eastAsia="宋体" w:hint="default"/>
                <w:sz w:val="24"/>
                <w:szCs w:val="24"/>
              </w:rPr>
              <w:t>青岛苏宁置业</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1"/>
              <w:jc w:val="right"/>
              <w:rPr>
                <w:rFonts w:ascii="Arial" w:hAnsi="Arial" w:cs="Arial" w:eastAsia="Arial" w:hint="default"/>
                <w:sz w:val="24"/>
                <w:szCs w:val="24"/>
              </w:rPr>
            </w:pPr>
            <w:r>
              <w:rPr>
                <w:rFonts w:ascii="Arial"/>
                <w:w w:val="95"/>
                <w:sz w:val="24"/>
              </w:rPr>
              <w:t>370</w:t>
            </w:r>
            <w:r>
              <w:rPr>
                <w:rFonts w:ascii="Arial"/>
                <w:sz w:val="24"/>
              </w:rPr>
            </w:r>
          </w:p>
        </w:tc>
        <w:tc>
          <w:tcPr>
            <w:tcW w:w="252"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w w:val="99"/>
                <w:sz w:val="24"/>
              </w:rPr>
              <w:t>-</w:t>
            </w:r>
            <w:r>
              <w:rPr>
                <w:rFonts w:ascii="Arial"/>
                <w:sz w:val="24"/>
              </w:rPr>
            </w:r>
          </w:p>
        </w:tc>
      </w:tr>
      <w:tr>
        <w:trPr>
          <w:trHeight w:val="383" w:hRule="exact"/>
        </w:trPr>
        <w:tc>
          <w:tcPr>
            <w:tcW w:w="3916" w:type="dxa"/>
            <w:tcBorders>
              <w:top w:val="nil" w:sz="6" w:space="0" w:color="auto"/>
              <w:left w:val="nil" w:sz="6" w:space="0" w:color="auto"/>
              <w:bottom w:val="nil" w:sz="6" w:space="0" w:color="auto"/>
              <w:right w:val="nil" w:sz="6" w:space="0" w:color="auto"/>
            </w:tcBorders>
          </w:tcPr>
          <w:p>
            <w:pPr>
              <w:pStyle w:val="TableParagraph"/>
              <w:spacing w:line="301" w:lineRule="exact"/>
              <w:ind w:left="1523" w:right="0"/>
              <w:jc w:val="left"/>
              <w:rPr>
                <w:rFonts w:ascii="宋体" w:hAnsi="宋体" w:cs="宋体" w:eastAsia="宋体" w:hint="default"/>
                <w:sz w:val="24"/>
                <w:szCs w:val="24"/>
              </w:rPr>
            </w:pPr>
            <w:r>
              <w:rPr>
                <w:rFonts w:ascii="宋体" w:hAnsi="宋体" w:cs="宋体" w:eastAsia="宋体" w:hint="default"/>
                <w:sz w:val="24"/>
                <w:szCs w:val="24"/>
              </w:rPr>
              <w:t>盐城苏宁置业</w:t>
            </w:r>
          </w:p>
        </w:tc>
        <w:tc>
          <w:tcPr>
            <w:tcW w:w="234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1"/>
              <w:jc w:val="right"/>
              <w:rPr>
                <w:rFonts w:ascii="Arial" w:hAnsi="Arial" w:cs="Arial" w:eastAsia="Arial" w:hint="default"/>
                <w:sz w:val="24"/>
                <w:szCs w:val="24"/>
              </w:rPr>
            </w:pPr>
            <w:r>
              <w:rPr>
                <w:rFonts w:ascii="Arial"/>
                <w:w w:val="95"/>
                <w:sz w:val="24"/>
              </w:rPr>
              <w:t>10</w:t>
            </w:r>
            <w:r>
              <w:rPr>
                <w:rFonts w:ascii="Arial"/>
                <w:sz w:val="24"/>
              </w:rPr>
            </w:r>
          </w:p>
        </w:tc>
        <w:tc>
          <w:tcPr>
            <w:tcW w:w="252"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w w:val="99"/>
                <w:sz w:val="24"/>
              </w:rPr>
              <w:t>-</w:t>
            </w:r>
            <w:r>
              <w:rPr>
                <w:rFonts w:ascii="Arial"/>
                <w:sz w:val="24"/>
              </w:rPr>
            </w:r>
          </w:p>
        </w:tc>
      </w:tr>
      <w:tr>
        <w:trPr>
          <w:trHeight w:val="377" w:hRule="exact"/>
        </w:trPr>
        <w:tc>
          <w:tcPr>
            <w:tcW w:w="3916" w:type="dxa"/>
            <w:tcBorders>
              <w:top w:val="nil" w:sz="6" w:space="0" w:color="auto"/>
              <w:left w:val="nil" w:sz="6" w:space="0" w:color="auto"/>
              <w:bottom w:val="nil" w:sz="6" w:space="0" w:color="auto"/>
              <w:right w:val="nil" w:sz="6" w:space="0" w:color="auto"/>
            </w:tcBorders>
          </w:tcPr>
          <w:p>
            <w:pPr/>
          </w:p>
        </w:tc>
        <w:tc>
          <w:tcPr>
            <w:tcW w:w="2340"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2"/>
              <w:jc w:val="right"/>
              <w:rPr>
                <w:rFonts w:ascii="Arial" w:hAnsi="Arial" w:cs="Arial" w:eastAsia="Arial" w:hint="default"/>
                <w:sz w:val="24"/>
                <w:szCs w:val="24"/>
              </w:rPr>
            </w:pPr>
            <w:r>
              <w:rPr>
                <w:rFonts w:ascii="Arial"/>
                <w:spacing w:val="-1"/>
                <w:sz w:val="24"/>
              </w:rPr>
              <w:t>95,242</w:t>
            </w:r>
          </w:p>
        </w:tc>
        <w:tc>
          <w:tcPr>
            <w:tcW w:w="252" w:type="dxa"/>
            <w:tcBorders>
              <w:top w:val="nil" w:sz="6" w:space="0" w:color="auto"/>
              <w:left w:val="nil" w:sz="6" w:space="0" w:color="auto"/>
              <w:bottom w:val="nil" w:sz="6" w:space="0" w:color="auto"/>
              <w:right w:val="nil" w:sz="6" w:space="0" w:color="auto"/>
            </w:tcBorders>
          </w:tcPr>
          <w:p>
            <w:pPr/>
          </w:p>
        </w:tc>
        <w:tc>
          <w:tcPr>
            <w:tcW w:w="2314"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2"/>
              <w:jc w:val="right"/>
              <w:rPr>
                <w:rFonts w:ascii="Arial" w:hAnsi="Arial" w:cs="Arial" w:eastAsia="Arial" w:hint="default"/>
                <w:sz w:val="24"/>
                <w:szCs w:val="24"/>
              </w:rPr>
            </w:pPr>
            <w:r>
              <w:rPr>
                <w:rFonts w:ascii="Arial"/>
                <w:w w:val="99"/>
                <w:sz w:val="24"/>
              </w:rPr>
              <w:t>-</w:t>
            </w:r>
            <w:r>
              <w:rPr>
                <w:rFonts w:ascii="Arial"/>
                <w:sz w:val="24"/>
              </w:rPr>
            </w:r>
          </w:p>
        </w:tc>
      </w:tr>
    </w:tbl>
    <w:p>
      <w:pPr>
        <w:spacing w:after="0" w:line="240" w:lineRule="auto"/>
        <w:jc w:val="right"/>
        <w:rPr>
          <w:rFonts w:ascii="Arial" w:hAnsi="Arial" w:cs="Arial" w:eastAsia="Arial"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09"/>
        <w:gridCol w:w="3514"/>
        <w:gridCol w:w="2324"/>
        <w:gridCol w:w="262"/>
        <w:gridCol w:w="2376"/>
      </w:tblGrid>
      <w:tr>
        <w:trPr>
          <w:trHeight w:val="497"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六</w:t>
            </w:r>
          </w:p>
        </w:tc>
        <w:tc>
          <w:tcPr>
            <w:tcW w:w="3514" w:type="dxa"/>
            <w:tcBorders>
              <w:top w:val="nil" w:sz="6" w:space="0" w:color="auto"/>
              <w:left w:val="nil" w:sz="6" w:space="0" w:color="auto"/>
              <w:bottom w:val="nil" w:sz="6" w:space="0" w:color="auto"/>
              <w:right w:val="nil" w:sz="6" w:space="0" w:color="auto"/>
            </w:tcBorders>
          </w:tcPr>
          <w:p>
            <w:pPr>
              <w:pStyle w:val="TableParagraph"/>
              <w:spacing w:line="257" w:lineRule="exact"/>
              <w:ind w:left="215"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24"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
        </w:tc>
      </w:tr>
      <w:tr>
        <w:trPr>
          <w:trHeight w:val="751"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3"/>
              <w:jc w:val="center"/>
              <w:rPr>
                <w:rFonts w:ascii="Arial" w:hAnsi="Arial" w:cs="Arial" w:eastAsia="Arial" w:hint="default"/>
                <w:sz w:val="24"/>
                <w:szCs w:val="24"/>
              </w:rPr>
            </w:pPr>
            <w:r>
              <w:rPr>
                <w:rFonts w:ascii="Arial"/>
                <w:sz w:val="24"/>
              </w:rPr>
              <w:t>(7)</w:t>
            </w: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46" w:right="0"/>
              <w:jc w:val="left"/>
              <w:rPr>
                <w:rFonts w:ascii="Arial" w:hAnsi="Arial" w:cs="Arial" w:eastAsia="Arial" w:hint="default"/>
                <w:sz w:val="24"/>
                <w:szCs w:val="24"/>
              </w:rPr>
            </w:pPr>
            <w:r>
              <w:rPr>
                <w:rFonts w:ascii="黑体" w:hAnsi="黑体" w:cs="黑体" w:eastAsia="黑体" w:hint="default"/>
                <w:sz w:val="24"/>
                <w:szCs w:val="24"/>
              </w:rPr>
              <w:t>关联方承诺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24"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
        </w:tc>
      </w:tr>
      <w:tr>
        <w:trPr>
          <w:trHeight w:val="563" w:hRule="exact"/>
        </w:trPr>
        <w:tc>
          <w:tcPr>
            <w:tcW w:w="709" w:type="dxa"/>
            <w:tcBorders>
              <w:top w:val="nil" w:sz="6" w:space="0" w:color="auto"/>
              <w:left w:val="nil" w:sz="6" w:space="0" w:color="auto"/>
              <w:bottom w:val="nil" w:sz="6" w:space="0" w:color="auto"/>
              <w:right w:val="nil" w:sz="6" w:space="0" w:color="auto"/>
            </w:tcBorders>
          </w:tcPr>
          <w:p>
            <w:pP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30" w:right="0"/>
              <w:jc w:val="left"/>
              <w:rPr>
                <w:rFonts w:ascii="宋体" w:hAnsi="宋体" w:cs="宋体" w:eastAsia="宋体" w:hint="default"/>
                <w:sz w:val="24"/>
                <w:szCs w:val="24"/>
              </w:rPr>
            </w:pPr>
            <w:r>
              <w:rPr>
                <w:rFonts w:ascii="宋体" w:hAnsi="宋体" w:cs="宋体" w:eastAsia="宋体" w:hint="default"/>
                <w:sz w:val="24"/>
                <w:szCs w:val="24"/>
              </w:rPr>
              <w:t>租赁</w:t>
            </w:r>
          </w:p>
        </w:tc>
        <w:tc>
          <w:tcPr>
            <w:tcW w:w="2324"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
        </w:tc>
      </w:tr>
      <w:tr>
        <w:trPr>
          <w:trHeight w:val="575" w:hRule="exact"/>
        </w:trPr>
        <w:tc>
          <w:tcPr>
            <w:tcW w:w="709" w:type="dxa"/>
            <w:tcBorders>
              <w:top w:val="nil" w:sz="6" w:space="0" w:color="auto"/>
              <w:left w:val="nil" w:sz="6" w:space="0" w:color="auto"/>
              <w:bottom w:val="nil" w:sz="6" w:space="0" w:color="auto"/>
              <w:right w:val="nil" w:sz="6" w:space="0" w:color="auto"/>
            </w:tcBorders>
          </w:tcPr>
          <w:p>
            <w:pPr/>
          </w:p>
        </w:tc>
        <w:tc>
          <w:tcPr>
            <w:tcW w:w="58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left="3624"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62"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7"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69" w:hRule="exact"/>
        </w:trPr>
        <w:tc>
          <w:tcPr>
            <w:tcW w:w="709" w:type="dxa"/>
            <w:tcBorders>
              <w:top w:val="nil" w:sz="6" w:space="0" w:color="auto"/>
              <w:left w:val="nil" w:sz="6" w:space="0" w:color="auto"/>
              <w:bottom w:val="nil" w:sz="6" w:space="0" w:color="auto"/>
              <w:right w:val="nil" w:sz="6" w:space="0" w:color="auto"/>
            </w:tcBorders>
          </w:tcPr>
          <w:p>
            <w:pP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30" w:right="0"/>
              <w:jc w:val="left"/>
              <w:rPr>
                <w:rFonts w:ascii="宋体" w:hAnsi="宋体" w:cs="宋体" w:eastAsia="宋体" w:hint="default"/>
                <w:sz w:val="24"/>
                <w:szCs w:val="24"/>
              </w:rPr>
            </w:pPr>
            <w:r>
              <w:rPr>
                <w:rFonts w:ascii="Arial" w:hAnsi="Arial" w:cs="Arial" w:eastAsia="Arial" w:hint="default"/>
                <w:sz w:val="24"/>
                <w:szCs w:val="24"/>
              </w:rPr>
              <w:t>-</w:t>
            </w:r>
            <w:r>
              <w:rPr>
                <w:rFonts w:ascii="Arial" w:hAnsi="Arial" w:cs="Arial" w:eastAsia="Arial" w:hint="default"/>
                <w:spacing w:val="51"/>
                <w:sz w:val="24"/>
                <w:szCs w:val="24"/>
              </w:rPr>
              <w:t> </w:t>
            </w:r>
            <w:r>
              <w:rPr>
                <w:rFonts w:ascii="宋体" w:hAnsi="宋体" w:cs="宋体" w:eastAsia="宋体" w:hint="default"/>
                <w:sz w:val="24"/>
                <w:szCs w:val="24"/>
              </w:rPr>
              <w:t>租入</w:t>
            </w:r>
          </w:p>
        </w:tc>
        <w:tc>
          <w:tcPr>
            <w:tcW w:w="2324"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
        </w:tc>
      </w:tr>
      <w:tr>
        <w:trPr>
          <w:trHeight w:val="400" w:hRule="exact"/>
        </w:trPr>
        <w:tc>
          <w:tcPr>
            <w:tcW w:w="709" w:type="dxa"/>
            <w:tcBorders>
              <w:top w:val="nil" w:sz="6" w:space="0" w:color="auto"/>
              <w:left w:val="nil" w:sz="6" w:space="0" w:color="auto"/>
              <w:bottom w:val="nil" w:sz="6" w:space="0" w:color="auto"/>
              <w:right w:val="nil" w:sz="6" w:space="0" w:color="auto"/>
            </w:tcBorders>
          </w:tcPr>
          <w:p>
            <w:pPr/>
          </w:p>
        </w:tc>
        <w:tc>
          <w:tcPr>
            <w:tcW w:w="3514" w:type="dxa"/>
            <w:tcBorders>
              <w:top w:val="nil" w:sz="6" w:space="0" w:color="auto"/>
              <w:left w:val="nil" w:sz="6" w:space="0" w:color="auto"/>
              <w:bottom w:val="nil" w:sz="6" w:space="0" w:color="auto"/>
              <w:right w:val="nil" w:sz="6" w:space="0" w:color="auto"/>
            </w:tcBorders>
          </w:tcPr>
          <w:p>
            <w:pPr>
              <w:pStyle w:val="TableParagraph"/>
              <w:spacing w:line="310" w:lineRule="exact"/>
              <w:ind w:left="99" w:right="0"/>
              <w:jc w:val="center"/>
              <w:rPr>
                <w:rFonts w:ascii="宋体" w:hAnsi="宋体" w:cs="宋体" w:eastAsia="宋体" w:hint="default"/>
                <w:sz w:val="24"/>
                <w:szCs w:val="24"/>
              </w:rPr>
            </w:pPr>
            <w:r>
              <w:rPr>
                <w:rFonts w:ascii="宋体" w:hAnsi="宋体" w:cs="宋体" w:eastAsia="宋体" w:hint="default"/>
                <w:sz w:val="24"/>
                <w:szCs w:val="24"/>
              </w:rPr>
              <w:t>苏宁置业</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3"/>
              <w:jc w:val="right"/>
              <w:rPr>
                <w:rFonts w:ascii="Arial" w:hAnsi="Arial" w:cs="Arial" w:eastAsia="Arial" w:hint="default"/>
                <w:sz w:val="24"/>
                <w:szCs w:val="24"/>
              </w:rPr>
            </w:pPr>
            <w:r>
              <w:rPr>
                <w:rFonts w:ascii="Arial"/>
                <w:spacing w:val="-1"/>
                <w:sz w:val="24"/>
              </w:rPr>
              <w:t>396,281</w:t>
            </w:r>
          </w:p>
        </w:tc>
        <w:tc>
          <w:tcPr>
            <w:tcW w:w="262"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703" w:hRule="exact"/>
        </w:trPr>
        <w:tc>
          <w:tcPr>
            <w:tcW w:w="709" w:type="dxa"/>
            <w:tcBorders>
              <w:top w:val="nil" w:sz="6" w:space="0" w:color="auto"/>
              <w:left w:val="nil" w:sz="6" w:space="0" w:color="auto"/>
              <w:bottom w:val="nil" w:sz="6" w:space="0" w:color="auto"/>
              <w:right w:val="nil" w:sz="6" w:space="0" w:color="auto"/>
            </w:tcBorders>
          </w:tcPr>
          <w:p>
            <w:pPr/>
          </w:p>
        </w:tc>
        <w:tc>
          <w:tcPr>
            <w:tcW w:w="3514" w:type="dxa"/>
            <w:tcBorders>
              <w:top w:val="nil" w:sz="6" w:space="0" w:color="auto"/>
              <w:left w:val="nil" w:sz="6" w:space="0" w:color="auto"/>
              <w:bottom w:val="nil" w:sz="6" w:space="0" w:color="auto"/>
              <w:right w:val="nil" w:sz="6" w:space="0" w:color="auto"/>
            </w:tcBorders>
          </w:tcPr>
          <w:p>
            <w:pPr>
              <w:pStyle w:val="TableParagraph"/>
              <w:spacing w:line="312" w:lineRule="exact" w:before="18"/>
              <w:ind w:left="1560" w:right="110" w:hanging="234"/>
              <w:jc w:val="left"/>
              <w:rPr>
                <w:rFonts w:ascii="宋体" w:hAnsi="宋体" w:cs="宋体" w:eastAsia="宋体" w:hint="default"/>
                <w:sz w:val="24"/>
                <w:szCs w:val="24"/>
              </w:rPr>
            </w:pPr>
            <w:r>
              <w:rPr>
                <w:rFonts w:ascii="宋体" w:hAnsi="宋体" w:cs="宋体" w:eastAsia="宋体" w:hint="default"/>
                <w:spacing w:val="18"/>
                <w:sz w:val="24"/>
                <w:szCs w:val="24"/>
              </w:rPr>
              <w:t>苏宁电器集团有限</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公司</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101"/>
              <w:jc w:val="right"/>
              <w:rPr>
                <w:rFonts w:ascii="Arial" w:hAnsi="Arial" w:cs="Arial" w:eastAsia="Arial" w:hint="default"/>
                <w:sz w:val="24"/>
                <w:szCs w:val="24"/>
              </w:rPr>
            </w:pPr>
            <w:r>
              <w:rPr>
                <w:rFonts w:ascii="Arial"/>
                <w:spacing w:val="-1"/>
                <w:sz w:val="24"/>
              </w:rPr>
              <w:t>231,598</w:t>
            </w:r>
          </w:p>
        </w:tc>
        <w:tc>
          <w:tcPr>
            <w:tcW w:w="262"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103"/>
              <w:jc w:val="right"/>
              <w:rPr>
                <w:rFonts w:ascii="Arial" w:hAnsi="Arial" w:cs="Arial" w:eastAsia="Arial" w:hint="default"/>
                <w:sz w:val="24"/>
                <w:szCs w:val="24"/>
              </w:rPr>
            </w:pPr>
            <w:r>
              <w:rPr>
                <w:rFonts w:ascii="Arial"/>
                <w:spacing w:val="-1"/>
                <w:sz w:val="24"/>
              </w:rPr>
              <w:t>257,319</w:t>
            </w:r>
          </w:p>
        </w:tc>
      </w:tr>
      <w:tr>
        <w:trPr>
          <w:trHeight w:val="391" w:hRule="exact"/>
        </w:trPr>
        <w:tc>
          <w:tcPr>
            <w:tcW w:w="709" w:type="dxa"/>
            <w:tcBorders>
              <w:top w:val="nil" w:sz="6" w:space="0" w:color="auto"/>
              <w:left w:val="nil" w:sz="6" w:space="0" w:color="auto"/>
              <w:bottom w:val="nil" w:sz="6" w:space="0" w:color="auto"/>
              <w:right w:val="nil" w:sz="6" w:space="0" w:color="auto"/>
            </w:tcBorders>
          </w:tcPr>
          <w:p>
            <w:pPr/>
          </w:p>
        </w:tc>
        <w:tc>
          <w:tcPr>
            <w:tcW w:w="3514" w:type="dxa"/>
            <w:tcBorders>
              <w:top w:val="nil" w:sz="6" w:space="0" w:color="auto"/>
              <w:left w:val="nil" w:sz="6" w:space="0" w:color="auto"/>
              <w:bottom w:val="nil" w:sz="6" w:space="0" w:color="auto"/>
              <w:right w:val="nil" w:sz="6" w:space="0" w:color="auto"/>
            </w:tcBorders>
          </w:tcPr>
          <w:p>
            <w:pPr>
              <w:pStyle w:val="TableParagraph"/>
              <w:spacing w:line="301" w:lineRule="exact"/>
              <w:ind w:left="1276"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Arial" w:hAnsi="Arial" w:cs="Arial" w:eastAsia="Arial" w:hint="default"/>
                <w:sz w:val="24"/>
                <w:szCs w:val="24"/>
              </w:rPr>
            </w:pPr>
            <w:r>
              <w:rPr>
                <w:rFonts w:ascii="Arial"/>
                <w:spacing w:val="-1"/>
                <w:sz w:val="24"/>
              </w:rPr>
              <w:t>169,594</w:t>
            </w:r>
          </w:p>
        </w:tc>
        <w:tc>
          <w:tcPr>
            <w:tcW w:w="262"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4"/>
              <w:jc w:val="right"/>
              <w:rPr>
                <w:rFonts w:ascii="Arial" w:hAnsi="Arial" w:cs="Arial" w:eastAsia="Arial" w:hint="default"/>
                <w:sz w:val="24"/>
                <w:szCs w:val="24"/>
              </w:rPr>
            </w:pPr>
            <w:r>
              <w:rPr>
                <w:rFonts w:ascii="Arial"/>
                <w:spacing w:val="-1"/>
                <w:sz w:val="24"/>
              </w:rPr>
              <w:t>175,407</w:t>
            </w:r>
          </w:p>
        </w:tc>
      </w:tr>
      <w:tr>
        <w:trPr>
          <w:trHeight w:val="391" w:hRule="exact"/>
        </w:trPr>
        <w:tc>
          <w:tcPr>
            <w:tcW w:w="709" w:type="dxa"/>
            <w:tcBorders>
              <w:top w:val="nil" w:sz="6" w:space="0" w:color="auto"/>
              <w:left w:val="nil" w:sz="6" w:space="0" w:color="auto"/>
              <w:bottom w:val="nil" w:sz="6" w:space="0" w:color="auto"/>
              <w:right w:val="nil" w:sz="6" w:space="0" w:color="auto"/>
            </w:tcBorders>
          </w:tcPr>
          <w:p>
            <w:pPr/>
          </w:p>
        </w:tc>
        <w:tc>
          <w:tcPr>
            <w:tcW w:w="3514" w:type="dxa"/>
            <w:tcBorders>
              <w:top w:val="nil" w:sz="6" w:space="0" w:color="auto"/>
              <w:left w:val="nil" w:sz="6" w:space="0" w:color="auto"/>
              <w:bottom w:val="nil" w:sz="6" w:space="0" w:color="auto"/>
              <w:right w:val="nil" w:sz="6" w:space="0" w:color="auto"/>
            </w:tcBorders>
          </w:tcPr>
          <w:p>
            <w:pPr>
              <w:pStyle w:val="TableParagraph"/>
              <w:spacing w:line="301" w:lineRule="exact"/>
              <w:ind w:left="1276" w:right="0"/>
              <w:jc w:val="left"/>
              <w:rPr>
                <w:rFonts w:ascii="宋体" w:hAnsi="宋体" w:cs="宋体" w:eastAsia="宋体" w:hint="default"/>
                <w:sz w:val="24"/>
                <w:szCs w:val="24"/>
              </w:rPr>
            </w:pPr>
            <w:r>
              <w:rPr>
                <w:rFonts w:ascii="宋体" w:hAnsi="宋体" w:cs="宋体" w:eastAsia="宋体" w:hint="default"/>
                <w:sz w:val="24"/>
                <w:szCs w:val="24"/>
              </w:rPr>
              <w:t>青岛苏宁置业</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Arial" w:hAnsi="Arial" w:cs="Arial" w:eastAsia="Arial" w:hint="default"/>
                <w:sz w:val="24"/>
                <w:szCs w:val="24"/>
              </w:rPr>
            </w:pPr>
            <w:r>
              <w:rPr>
                <w:rFonts w:ascii="Arial"/>
                <w:spacing w:val="-6"/>
                <w:sz w:val="24"/>
              </w:rPr>
              <w:t>111,539</w:t>
            </w:r>
          </w:p>
        </w:tc>
        <w:tc>
          <w:tcPr>
            <w:tcW w:w="262"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4"/>
              <w:jc w:val="right"/>
              <w:rPr>
                <w:rFonts w:ascii="Arial" w:hAnsi="Arial" w:cs="Arial" w:eastAsia="Arial" w:hint="default"/>
                <w:sz w:val="24"/>
                <w:szCs w:val="24"/>
              </w:rPr>
            </w:pPr>
            <w:r>
              <w:rPr>
                <w:rFonts w:ascii="Arial"/>
                <w:spacing w:val="-3"/>
                <w:sz w:val="24"/>
              </w:rPr>
              <w:t>119,808</w:t>
            </w:r>
          </w:p>
        </w:tc>
      </w:tr>
      <w:tr>
        <w:trPr>
          <w:trHeight w:val="380" w:hRule="exact"/>
        </w:trPr>
        <w:tc>
          <w:tcPr>
            <w:tcW w:w="709" w:type="dxa"/>
            <w:tcBorders>
              <w:top w:val="nil" w:sz="6" w:space="0" w:color="auto"/>
              <w:left w:val="nil" w:sz="6" w:space="0" w:color="auto"/>
              <w:bottom w:val="nil" w:sz="6" w:space="0" w:color="auto"/>
              <w:right w:val="nil" w:sz="6" w:space="0" w:color="auto"/>
            </w:tcBorders>
          </w:tcPr>
          <w:p>
            <w:pPr/>
          </w:p>
        </w:tc>
        <w:tc>
          <w:tcPr>
            <w:tcW w:w="3514" w:type="dxa"/>
            <w:tcBorders>
              <w:top w:val="nil" w:sz="6" w:space="0" w:color="auto"/>
              <w:left w:val="nil" w:sz="6" w:space="0" w:color="auto"/>
              <w:bottom w:val="nil" w:sz="6" w:space="0" w:color="auto"/>
              <w:right w:val="nil" w:sz="6" w:space="0" w:color="auto"/>
            </w:tcBorders>
          </w:tcPr>
          <w:p>
            <w:pPr>
              <w:pStyle w:val="TableParagraph"/>
              <w:spacing w:line="301" w:lineRule="exact"/>
              <w:ind w:right="315"/>
              <w:jc w:val="right"/>
              <w:rPr>
                <w:rFonts w:ascii="宋体" w:hAnsi="宋体" w:cs="宋体" w:eastAsia="宋体" w:hint="default"/>
                <w:sz w:val="24"/>
                <w:szCs w:val="24"/>
              </w:rPr>
            </w:pPr>
            <w:r>
              <w:rPr>
                <w:rFonts w:ascii="宋体" w:hAnsi="宋体" w:cs="宋体" w:eastAsia="宋体" w:hint="default"/>
                <w:sz w:val="24"/>
                <w:szCs w:val="24"/>
              </w:rPr>
              <w:t>银河国际购物广场</w:t>
            </w:r>
          </w:p>
        </w:tc>
        <w:tc>
          <w:tcPr>
            <w:tcW w:w="2324" w:type="dxa"/>
            <w:tcBorders>
              <w:top w:val="nil" w:sz="6" w:space="0" w:color="auto"/>
              <w:left w:val="nil" w:sz="6" w:space="0" w:color="auto"/>
              <w:bottom w:val="single" w:sz="2" w:space="0" w:color="000000"/>
              <w:right w:val="nil" w:sz="6" w:space="0" w:color="auto"/>
            </w:tcBorders>
          </w:tcPr>
          <w:p>
            <w:pPr>
              <w:pStyle w:val="TableParagraph"/>
              <w:spacing w:line="240" w:lineRule="auto" w:before="59"/>
              <w:ind w:right="98"/>
              <w:jc w:val="right"/>
              <w:rPr>
                <w:rFonts w:ascii="Arial" w:hAnsi="Arial" w:cs="Arial" w:eastAsia="Arial" w:hint="default"/>
                <w:sz w:val="24"/>
                <w:szCs w:val="24"/>
              </w:rPr>
            </w:pPr>
            <w:r>
              <w:rPr>
                <w:rFonts w:ascii="Arial"/>
                <w:spacing w:val="-1"/>
                <w:sz w:val="24"/>
              </w:rPr>
              <w:t>20,661</w:t>
            </w:r>
          </w:p>
        </w:tc>
        <w:tc>
          <w:tcPr>
            <w:tcW w:w="262"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single" w:sz="2" w:space="0" w:color="000000"/>
              <w:right w:val="nil" w:sz="6" w:space="0" w:color="auto"/>
            </w:tcBorders>
          </w:tcPr>
          <w:p>
            <w:pPr>
              <w:pStyle w:val="TableParagraph"/>
              <w:spacing w:line="240" w:lineRule="auto" w:before="59"/>
              <w:ind w:right="54"/>
              <w:jc w:val="right"/>
              <w:rPr>
                <w:rFonts w:ascii="Arial" w:hAnsi="Arial" w:cs="Arial" w:eastAsia="Arial" w:hint="default"/>
                <w:sz w:val="24"/>
                <w:szCs w:val="24"/>
              </w:rPr>
            </w:pPr>
            <w:r>
              <w:rPr>
                <w:rFonts w:ascii="Arial"/>
                <w:spacing w:val="-1"/>
                <w:sz w:val="24"/>
              </w:rPr>
              <w:t>44,100</w:t>
            </w:r>
          </w:p>
        </w:tc>
      </w:tr>
      <w:tr>
        <w:trPr>
          <w:trHeight w:val="374" w:hRule="exact"/>
        </w:trPr>
        <w:tc>
          <w:tcPr>
            <w:tcW w:w="709" w:type="dxa"/>
            <w:tcBorders>
              <w:top w:val="nil" w:sz="6" w:space="0" w:color="auto"/>
              <w:left w:val="nil" w:sz="6" w:space="0" w:color="auto"/>
              <w:bottom w:val="nil" w:sz="6" w:space="0" w:color="auto"/>
              <w:right w:val="nil" w:sz="6" w:space="0" w:color="auto"/>
            </w:tcBorders>
          </w:tcPr>
          <w:p>
            <w:pPr/>
          </w:p>
        </w:tc>
        <w:tc>
          <w:tcPr>
            <w:tcW w:w="3514" w:type="dxa"/>
            <w:tcBorders>
              <w:top w:val="nil" w:sz="6" w:space="0" w:color="auto"/>
              <w:left w:val="nil" w:sz="6" w:space="0" w:color="auto"/>
              <w:bottom w:val="nil" w:sz="6" w:space="0" w:color="auto"/>
              <w:right w:val="nil" w:sz="6" w:space="0" w:color="auto"/>
            </w:tcBorders>
          </w:tcPr>
          <w:p>
            <w:pPr/>
          </w:p>
        </w:tc>
        <w:tc>
          <w:tcPr>
            <w:tcW w:w="2324" w:type="dxa"/>
            <w:tcBorders>
              <w:top w:val="single" w:sz="2" w:space="0" w:color="000000"/>
              <w:left w:val="nil" w:sz="6" w:space="0" w:color="auto"/>
              <w:bottom w:val="single" w:sz="12" w:space="0" w:color="000000"/>
              <w:right w:val="nil" w:sz="6" w:space="0" w:color="auto"/>
            </w:tcBorders>
          </w:tcPr>
          <w:p>
            <w:pPr>
              <w:pStyle w:val="TableParagraph"/>
              <w:spacing w:line="240" w:lineRule="auto" w:before="36"/>
              <w:ind w:right="96"/>
              <w:jc w:val="right"/>
              <w:rPr>
                <w:rFonts w:ascii="Arial" w:hAnsi="Arial" w:cs="Arial" w:eastAsia="Arial" w:hint="default"/>
                <w:sz w:val="24"/>
                <w:szCs w:val="24"/>
              </w:rPr>
            </w:pPr>
            <w:r>
              <w:rPr>
                <w:rFonts w:ascii="Arial"/>
                <w:spacing w:val="-1"/>
                <w:sz w:val="24"/>
              </w:rPr>
              <w:t>929,673</w:t>
            </w:r>
          </w:p>
        </w:tc>
        <w:tc>
          <w:tcPr>
            <w:tcW w:w="262" w:type="dxa"/>
            <w:tcBorders>
              <w:top w:val="nil" w:sz="6" w:space="0" w:color="auto"/>
              <w:left w:val="nil" w:sz="6" w:space="0" w:color="auto"/>
              <w:bottom w:val="nil" w:sz="6" w:space="0" w:color="auto"/>
              <w:right w:val="nil" w:sz="6" w:space="0" w:color="auto"/>
            </w:tcBorders>
          </w:tcPr>
          <w:p>
            <w:pPr/>
          </w:p>
        </w:tc>
        <w:tc>
          <w:tcPr>
            <w:tcW w:w="2376" w:type="dxa"/>
            <w:tcBorders>
              <w:top w:val="single" w:sz="2" w:space="0" w:color="000000"/>
              <w:left w:val="nil" w:sz="6" w:space="0" w:color="auto"/>
              <w:bottom w:val="single" w:sz="12" w:space="0" w:color="000000"/>
              <w:right w:val="nil" w:sz="6" w:space="0" w:color="auto"/>
            </w:tcBorders>
          </w:tcPr>
          <w:p>
            <w:pPr>
              <w:pStyle w:val="TableParagraph"/>
              <w:spacing w:line="240" w:lineRule="auto" w:before="36"/>
              <w:ind w:right="54"/>
              <w:jc w:val="right"/>
              <w:rPr>
                <w:rFonts w:ascii="Arial" w:hAnsi="Arial" w:cs="Arial" w:eastAsia="Arial" w:hint="default"/>
                <w:sz w:val="24"/>
                <w:szCs w:val="24"/>
              </w:rPr>
            </w:pPr>
            <w:r>
              <w:rPr>
                <w:rFonts w:ascii="Arial"/>
                <w:spacing w:val="-1"/>
                <w:sz w:val="24"/>
              </w:rPr>
              <w:t>596,634</w:t>
            </w:r>
          </w:p>
        </w:tc>
      </w:tr>
      <w:tr>
        <w:trPr>
          <w:trHeight w:val="766" w:hRule="exact"/>
        </w:trPr>
        <w:tc>
          <w:tcPr>
            <w:tcW w:w="709" w:type="dxa"/>
            <w:tcBorders>
              <w:top w:val="nil" w:sz="6" w:space="0" w:color="auto"/>
              <w:left w:val="nil" w:sz="6" w:space="0" w:color="auto"/>
              <w:bottom w:val="nil" w:sz="6" w:space="0" w:color="auto"/>
              <w:right w:val="nil" w:sz="6" w:space="0" w:color="auto"/>
            </w:tcBorders>
          </w:tcPr>
          <w:p>
            <w:pP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left="230" w:right="0"/>
              <w:jc w:val="left"/>
              <w:rPr>
                <w:rFonts w:ascii="宋体" w:hAnsi="宋体" w:cs="宋体" w:eastAsia="宋体" w:hint="default"/>
                <w:sz w:val="24"/>
                <w:szCs w:val="24"/>
              </w:rPr>
            </w:pPr>
            <w:r>
              <w:rPr>
                <w:rFonts w:ascii="Arial" w:hAnsi="Arial" w:cs="Arial" w:eastAsia="Arial" w:hint="default"/>
                <w:sz w:val="24"/>
                <w:szCs w:val="24"/>
              </w:rPr>
              <w:t>-</w:t>
            </w:r>
            <w:r>
              <w:rPr>
                <w:rFonts w:ascii="Arial" w:hAnsi="Arial" w:cs="Arial" w:eastAsia="Arial" w:hint="default"/>
                <w:spacing w:val="51"/>
                <w:sz w:val="24"/>
                <w:szCs w:val="24"/>
              </w:rPr>
              <w:t> </w:t>
            </w:r>
            <w:r>
              <w:rPr>
                <w:rFonts w:ascii="宋体" w:hAnsi="宋体" w:cs="宋体" w:eastAsia="宋体" w:hint="default"/>
                <w:sz w:val="24"/>
                <w:szCs w:val="24"/>
              </w:rPr>
              <w:t>租出</w:t>
            </w:r>
          </w:p>
        </w:tc>
        <w:tc>
          <w:tcPr>
            <w:tcW w:w="2324" w:type="dxa"/>
            <w:tcBorders>
              <w:top w:val="single" w:sz="12" w:space="0" w:color="000000"/>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2376" w:type="dxa"/>
            <w:tcBorders>
              <w:top w:val="single" w:sz="12" w:space="0" w:color="000000"/>
              <w:left w:val="nil" w:sz="6" w:space="0" w:color="auto"/>
              <w:bottom w:val="nil" w:sz="6" w:space="0" w:color="auto"/>
              <w:right w:val="nil" w:sz="6" w:space="0" w:color="auto"/>
            </w:tcBorders>
          </w:tcPr>
          <w:p>
            <w:pPr/>
          </w:p>
        </w:tc>
      </w:tr>
      <w:tr>
        <w:trPr>
          <w:trHeight w:val="400" w:hRule="exact"/>
        </w:trPr>
        <w:tc>
          <w:tcPr>
            <w:tcW w:w="709" w:type="dxa"/>
            <w:tcBorders>
              <w:top w:val="nil" w:sz="6" w:space="0" w:color="auto"/>
              <w:left w:val="nil" w:sz="6" w:space="0" w:color="auto"/>
              <w:bottom w:val="nil" w:sz="6" w:space="0" w:color="auto"/>
              <w:right w:val="nil" w:sz="6" w:space="0" w:color="auto"/>
            </w:tcBorders>
          </w:tcPr>
          <w:p>
            <w:pPr/>
          </w:p>
        </w:tc>
        <w:tc>
          <w:tcPr>
            <w:tcW w:w="3514" w:type="dxa"/>
            <w:tcBorders>
              <w:top w:val="nil" w:sz="6" w:space="0" w:color="auto"/>
              <w:left w:val="nil" w:sz="6" w:space="0" w:color="auto"/>
              <w:bottom w:val="nil" w:sz="6" w:space="0" w:color="auto"/>
              <w:right w:val="nil" w:sz="6" w:space="0" w:color="auto"/>
            </w:tcBorders>
          </w:tcPr>
          <w:p>
            <w:pPr>
              <w:pStyle w:val="TableParagraph"/>
              <w:spacing w:line="310" w:lineRule="exact"/>
              <w:ind w:left="1326" w:right="0"/>
              <w:jc w:val="left"/>
              <w:rPr>
                <w:rFonts w:ascii="宋体" w:hAnsi="宋体" w:cs="宋体" w:eastAsia="宋体" w:hint="default"/>
                <w:sz w:val="24"/>
                <w:szCs w:val="24"/>
              </w:rPr>
            </w:pPr>
            <w:r>
              <w:rPr>
                <w:rFonts w:ascii="宋体" w:hAnsi="宋体" w:cs="宋体" w:eastAsia="宋体" w:hint="default"/>
                <w:sz w:val="24"/>
                <w:szCs w:val="24"/>
              </w:rPr>
              <w:t>玄武苏宁置业</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3"/>
              <w:jc w:val="right"/>
              <w:rPr>
                <w:rFonts w:ascii="Arial" w:hAnsi="Arial" w:cs="Arial" w:eastAsia="Arial" w:hint="default"/>
                <w:sz w:val="24"/>
                <w:szCs w:val="24"/>
              </w:rPr>
            </w:pPr>
            <w:r>
              <w:rPr>
                <w:rFonts w:ascii="Arial"/>
                <w:spacing w:val="-3"/>
                <w:w w:val="95"/>
                <w:sz w:val="24"/>
              </w:rPr>
              <w:t>292,112</w:t>
            </w:r>
            <w:r>
              <w:rPr>
                <w:rFonts w:ascii="Arial"/>
                <w:spacing w:val="-3"/>
                <w:sz w:val="24"/>
              </w:rPr>
            </w:r>
          </w:p>
        </w:tc>
        <w:tc>
          <w:tcPr>
            <w:tcW w:w="262"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3"/>
              <w:jc w:val="right"/>
              <w:rPr>
                <w:rFonts w:ascii="Arial" w:hAnsi="Arial" w:cs="Arial" w:eastAsia="Arial" w:hint="default"/>
                <w:sz w:val="24"/>
                <w:szCs w:val="24"/>
              </w:rPr>
            </w:pPr>
            <w:r>
              <w:rPr>
                <w:rFonts w:ascii="Arial"/>
                <w:spacing w:val="-1"/>
                <w:sz w:val="24"/>
              </w:rPr>
              <w:t>310,751</w:t>
            </w:r>
          </w:p>
        </w:tc>
      </w:tr>
      <w:tr>
        <w:trPr>
          <w:trHeight w:val="391" w:hRule="exact"/>
        </w:trPr>
        <w:tc>
          <w:tcPr>
            <w:tcW w:w="709" w:type="dxa"/>
            <w:tcBorders>
              <w:top w:val="nil" w:sz="6" w:space="0" w:color="auto"/>
              <w:left w:val="nil" w:sz="6" w:space="0" w:color="auto"/>
              <w:bottom w:val="nil" w:sz="6" w:space="0" w:color="auto"/>
              <w:right w:val="nil" w:sz="6" w:space="0" w:color="auto"/>
            </w:tcBorders>
          </w:tcPr>
          <w:p>
            <w:pPr/>
          </w:p>
        </w:tc>
        <w:tc>
          <w:tcPr>
            <w:tcW w:w="3514" w:type="dxa"/>
            <w:tcBorders>
              <w:top w:val="nil" w:sz="6" w:space="0" w:color="auto"/>
              <w:left w:val="nil" w:sz="6" w:space="0" w:color="auto"/>
              <w:bottom w:val="nil" w:sz="6" w:space="0" w:color="auto"/>
              <w:right w:val="nil" w:sz="6" w:space="0" w:color="auto"/>
            </w:tcBorders>
          </w:tcPr>
          <w:p>
            <w:pPr>
              <w:pStyle w:val="TableParagraph"/>
              <w:spacing w:line="301" w:lineRule="exact"/>
              <w:ind w:left="99" w:right="0"/>
              <w:jc w:val="center"/>
              <w:rPr>
                <w:rFonts w:ascii="宋体" w:hAnsi="宋体" w:cs="宋体" w:eastAsia="宋体" w:hint="default"/>
                <w:sz w:val="24"/>
                <w:szCs w:val="24"/>
              </w:rPr>
            </w:pPr>
            <w:r>
              <w:rPr>
                <w:rFonts w:ascii="宋体" w:hAnsi="宋体" w:cs="宋体" w:eastAsia="宋体" w:hint="default"/>
                <w:sz w:val="24"/>
                <w:szCs w:val="24"/>
              </w:rPr>
              <w:t>苏宁置业</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34,009</w:t>
            </w:r>
          </w:p>
        </w:tc>
        <w:tc>
          <w:tcPr>
            <w:tcW w:w="262"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Arial" w:hAnsi="Arial" w:cs="Arial" w:eastAsia="Arial" w:hint="default"/>
                <w:sz w:val="24"/>
                <w:szCs w:val="24"/>
              </w:rPr>
            </w:pPr>
            <w:r>
              <w:rPr>
                <w:rFonts w:ascii="Arial"/>
                <w:spacing w:val="-1"/>
                <w:sz w:val="24"/>
              </w:rPr>
              <w:t>45,802</w:t>
            </w:r>
          </w:p>
        </w:tc>
      </w:tr>
      <w:tr>
        <w:trPr>
          <w:trHeight w:val="391" w:hRule="exact"/>
        </w:trPr>
        <w:tc>
          <w:tcPr>
            <w:tcW w:w="709" w:type="dxa"/>
            <w:tcBorders>
              <w:top w:val="nil" w:sz="6" w:space="0" w:color="auto"/>
              <w:left w:val="nil" w:sz="6" w:space="0" w:color="auto"/>
              <w:bottom w:val="nil" w:sz="6" w:space="0" w:color="auto"/>
              <w:right w:val="nil" w:sz="6" w:space="0" w:color="auto"/>
            </w:tcBorders>
          </w:tcPr>
          <w:p>
            <w:pPr/>
          </w:p>
        </w:tc>
        <w:tc>
          <w:tcPr>
            <w:tcW w:w="3514" w:type="dxa"/>
            <w:tcBorders>
              <w:top w:val="nil" w:sz="6" w:space="0" w:color="auto"/>
              <w:left w:val="nil" w:sz="6" w:space="0" w:color="auto"/>
              <w:bottom w:val="nil" w:sz="6" w:space="0" w:color="auto"/>
              <w:right w:val="nil" w:sz="6" w:space="0" w:color="auto"/>
            </w:tcBorders>
          </w:tcPr>
          <w:p>
            <w:pPr>
              <w:pStyle w:val="TableParagraph"/>
              <w:spacing w:line="301" w:lineRule="exact"/>
              <w:ind w:right="266"/>
              <w:jc w:val="right"/>
              <w:rPr>
                <w:rFonts w:ascii="宋体" w:hAnsi="宋体" w:cs="宋体" w:eastAsia="宋体" w:hint="default"/>
                <w:sz w:val="24"/>
                <w:szCs w:val="24"/>
              </w:rPr>
            </w:pPr>
            <w:r>
              <w:rPr>
                <w:rFonts w:ascii="宋体" w:hAnsi="宋体" w:cs="宋体" w:eastAsia="宋体" w:hint="default"/>
                <w:sz w:val="24"/>
                <w:szCs w:val="24"/>
              </w:rPr>
              <w:t>苏宁商业管理公司</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1,618</w:t>
            </w:r>
          </w:p>
        </w:tc>
        <w:tc>
          <w:tcPr>
            <w:tcW w:w="262"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4"/>
              <w:jc w:val="right"/>
              <w:rPr>
                <w:rFonts w:ascii="Arial" w:hAnsi="Arial" w:cs="Arial" w:eastAsia="Arial" w:hint="default"/>
                <w:sz w:val="24"/>
                <w:szCs w:val="24"/>
              </w:rPr>
            </w:pPr>
            <w:r>
              <w:rPr>
                <w:rFonts w:ascii="Arial"/>
                <w:spacing w:val="-1"/>
                <w:sz w:val="24"/>
              </w:rPr>
              <w:t>3,220</w:t>
            </w:r>
          </w:p>
        </w:tc>
      </w:tr>
      <w:tr>
        <w:trPr>
          <w:trHeight w:val="391" w:hRule="exact"/>
        </w:trPr>
        <w:tc>
          <w:tcPr>
            <w:tcW w:w="709" w:type="dxa"/>
            <w:tcBorders>
              <w:top w:val="nil" w:sz="6" w:space="0" w:color="auto"/>
              <w:left w:val="nil" w:sz="6" w:space="0" w:color="auto"/>
              <w:bottom w:val="nil" w:sz="6" w:space="0" w:color="auto"/>
              <w:right w:val="nil" w:sz="6" w:space="0" w:color="auto"/>
            </w:tcBorders>
          </w:tcPr>
          <w:p>
            <w:pPr/>
          </w:p>
        </w:tc>
        <w:tc>
          <w:tcPr>
            <w:tcW w:w="3514" w:type="dxa"/>
            <w:tcBorders>
              <w:top w:val="nil" w:sz="6" w:space="0" w:color="auto"/>
              <w:left w:val="nil" w:sz="6" w:space="0" w:color="auto"/>
              <w:bottom w:val="nil" w:sz="6" w:space="0" w:color="auto"/>
              <w:right w:val="nil" w:sz="6" w:space="0" w:color="auto"/>
            </w:tcBorders>
          </w:tcPr>
          <w:p>
            <w:pPr>
              <w:pStyle w:val="TableParagraph"/>
              <w:spacing w:line="301" w:lineRule="exact"/>
              <w:ind w:right="266"/>
              <w:jc w:val="righ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1,188</w:t>
            </w:r>
          </w:p>
        </w:tc>
        <w:tc>
          <w:tcPr>
            <w:tcW w:w="262"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4"/>
              <w:jc w:val="right"/>
              <w:rPr>
                <w:rFonts w:ascii="Arial" w:hAnsi="Arial" w:cs="Arial" w:eastAsia="Arial" w:hint="default"/>
                <w:sz w:val="24"/>
                <w:szCs w:val="24"/>
              </w:rPr>
            </w:pPr>
            <w:r>
              <w:rPr>
                <w:rFonts w:ascii="Arial"/>
                <w:spacing w:val="-1"/>
                <w:sz w:val="24"/>
              </w:rPr>
              <w:t>1,518</w:t>
            </w:r>
          </w:p>
        </w:tc>
      </w:tr>
      <w:tr>
        <w:trPr>
          <w:trHeight w:val="391" w:hRule="exact"/>
        </w:trPr>
        <w:tc>
          <w:tcPr>
            <w:tcW w:w="709" w:type="dxa"/>
            <w:tcBorders>
              <w:top w:val="nil" w:sz="6" w:space="0" w:color="auto"/>
              <w:left w:val="nil" w:sz="6" w:space="0" w:color="auto"/>
              <w:bottom w:val="nil" w:sz="6" w:space="0" w:color="auto"/>
              <w:right w:val="nil" w:sz="6" w:space="0" w:color="auto"/>
            </w:tcBorders>
          </w:tcPr>
          <w:p>
            <w:pPr/>
          </w:p>
        </w:tc>
        <w:tc>
          <w:tcPr>
            <w:tcW w:w="3514" w:type="dxa"/>
            <w:tcBorders>
              <w:top w:val="nil" w:sz="6" w:space="0" w:color="auto"/>
              <w:left w:val="nil" w:sz="6" w:space="0" w:color="auto"/>
              <w:bottom w:val="nil" w:sz="6" w:space="0" w:color="auto"/>
              <w:right w:val="nil" w:sz="6" w:space="0" w:color="auto"/>
            </w:tcBorders>
          </w:tcPr>
          <w:p>
            <w:pPr>
              <w:pStyle w:val="TableParagraph"/>
              <w:spacing w:line="301" w:lineRule="exact"/>
              <w:ind w:left="1326" w:right="0"/>
              <w:jc w:val="left"/>
              <w:rPr>
                <w:rFonts w:ascii="宋体" w:hAnsi="宋体" w:cs="宋体" w:eastAsia="宋体" w:hint="default"/>
                <w:sz w:val="24"/>
                <w:szCs w:val="24"/>
              </w:rPr>
            </w:pPr>
            <w:r>
              <w:rPr>
                <w:rFonts w:ascii="宋体" w:hAnsi="宋体" w:cs="宋体" w:eastAsia="宋体" w:hint="default"/>
                <w:sz w:val="24"/>
                <w:szCs w:val="24"/>
              </w:rPr>
              <w:t>福州苏宁置业</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1"/>
              <w:jc w:val="right"/>
              <w:rPr>
                <w:rFonts w:ascii="Arial" w:hAnsi="Arial" w:cs="Arial" w:eastAsia="Arial" w:hint="default"/>
                <w:sz w:val="24"/>
                <w:szCs w:val="24"/>
              </w:rPr>
            </w:pPr>
            <w:r>
              <w:rPr>
                <w:rFonts w:ascii="Arial"/>
                <w:w w:val="95"/>
                <w:sz w:val="24"/>
              </w:rPr>
              <w:t>363</w:t>
            </w:r>
            <w:r>
              <w:rPr>
                <w:rFonts w:ascii="Arial"/>
                <w:sz w:val="24"/>
              </w:rPr>
            </w:r>
          </w:p>
        </w:tc>
        <w:tc>
          <w:tcPr>
            <w:tcW w:w="262"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Arial" w:hAnsi="Arial" w:cs="Arial" w:eastAsia="Arial" w:hint="default"/>
                <w:sz w:val="24"/>
                <w:szCs w:val="24"/>
              </w:rPr>
            </w:pPr>
            <w:r>
              <w:rPr>
                <w:rFonts w:ascii="Arial"/>
                <w:w w:val="95"/>
                <w:sz w:val="24"/>
              </w:rPr>
              <w:t>630</w:t>
            </w:r>
            <w:r>
              <w:rPr>
                <w:rFonts w:ascii="Arial"/>
                <w:sz w:val="24"/>
              </w:rPr>
            </w:r>
          </w:p>
        </w:tc>
      </w:tr>
      <w:tr>
        <w:trPr>
          <w:trHeight w:val="391" w:hRule="exact"/>
        </w:trPr>
        <w:tc>
          <w:tcPr>
            <w:tcW w:w="709" w:type="dxa"/>
            <w:tcBorders>
              <w:top w:val="nil" w:sz="6" w:space="0" w:color="auto"/>
              <w:left w:val="nil" w:sz="6" w:space="0" w:color="auto"/>
              <w:bottom w:val="nil" w:sz="6" w:space="0" w:color="auto"/>
              <w:right w:val="nil" w:sz="6" w:space="0" w:color="auto"/>
            </w:tcBorders>
          </w:tcPr>
          <w:p>
            <w:pPr/>
          </w:p>
        </w:tc>
        <w:tc>
          <w:tcPr>
            <w:tcW w:w="3514" w:type="dxa"/>
            <w:tcBorders>
              <w:top w:val="nil" w:sz="6" w:space="0" w:color="auto"/>
              <w:left w:val="nil" w:sz="6" w:space="0" w:color="auto"/>
              <w:bottom w:val="nil" w:sz="6" w:space="0" w:color="auto"/>
              <w:right w:val="nil" w:sz="6" w:space="0" w:color="auto"/>
            </w:tcBorders>
          </w:tcPr>
          <w:p>
            <w:pPr>
              <w:pStyle w:val="TableParagraph"/>
              <w:spacing w:line="301" w:lineRule="exact"/>
              <w:ind w:right="266"/>
              <w:jc w:val="right"/>
              <w:rPr>
                <w:rFonts w:ascii="宋体" w:hAnsi="宋体" w:cs="宋体" w:eastAsia="宋体" w:hint="default"/>
                <w:sz w:val="24"/>
                <w:szCs w:val="24"/>
              </w:rPr>
            </w:pPr>
            <w:r>
              <w:rPr>
                <w:rFonts w:ascii="宋体" w:hAnsi="宋体" w:cs="宋体" w:eastAsia="宋体" w:hint="default"/>
                <w:sz w:val="24"/>
                <w:szCs w:val="24"/>
              </w:rPr>
              <w:t>银河国际购物广场</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1"/>
              <w:jc w:val="right"/>
              <w:rPr>
                <w:rFonts w:ascii="Arial" w:hAnsi="Arial" w:cs="Arial" w:eastAsia="Arial" w:hint="default"/>
                <w:sz w:val="24"/>
                <w:szCs w:val="24"/>
              </w:rPr>
            </w:pPr>
            <w:r>
              <w:rPr>
                <w:rFonts w:ascii="Arial"/>
                <w:w w:val="95"/>
                <w:sz w:val="24"/>
              </w:rPr>
              <w:t>21</w:t>
            </w:r>
            <w:r>
              <w:rPr>
                <w:rFonts w:ascii="Arial"/>
                <w:sz w:val="24"/>
              </w:rPr>
            </w:r>
          </w:p>
        </w:tc>
        <w:tc>
          <w:tcPr>
            <w:tcW w:w="262"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83" w:hRule="exact"/>
        </w:trPr>
        <w:tc>
          <w:tcPr>
            <w:tcW w:w="709" w:type="dxa"/>
            <w:tcBorders>
              <w:top w:val="nil" w:sz="6" w:space="0" w:color="auto"/>
              <w:left w:val="nil" w:sz="6" w:space="0" w:color="auto"/>
              <w:bottom w:val="nil" w:sz="6" w:space="0" w:color="auto"/>
              <w:right w:val="nil" w:sz="6" w:space="0" w:color="auto"/>
            </w:tcBorders>
          </w:tcPr>
          <w:p>
            <w:pPr/>
          </w:p>
        </w:tc>
        <w:tc>
          <w:tcPr>
            <w:tcW w:w="3514" w:type="dxa"/>
            <w:tcBorders>
              <w:top w:val="nil" w:sz="6" w:space="0" w:color="auto"/>
              <w:left w:val="nil" w:sz="6" w:space="0" w:color="auto"/>
              <w:bottom w:val="nil" w:sz="6" w:space="0" w:color="auto"/>
              <w:right w:val="nil" w:sz="6" w:space="0" w:color="auto"/>
            </w:tcBorders>
          </w:tcPr>
          <w:p>
            <w:pPr>
              <w:pStyle w:val="TableParagraph"/>
              <w:spacing w:line="301" w:lineRule="exact"/>
              <w:ind w:left="1326"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2324" w:type="dxa"/>
            <w:tcBorders>
              <w:top w:val="nil" w:sz="6" w:space="0" w:color="auto"/>
              <w:left w:val="nil" w:sz="6" w:space="0" w:color="auto"/>
              <w:bottom w:val="single" w:sz="2" w:space="0" w:color="000000"/>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w w:val="99"/>
                <w:sz w:val="24"/>
              </w:rPr>
              <w:t>-</w:t>
            </w:r>
            <w:r>
              <w:rPr>
                <w:rFonts w:ascii="Arial"/>
                <w:sz w:val="24"/>
              </w:rPr>
            </w:r>
          </w:p>
        </w:tc>
        <w:tc>
          <w:tcPr>
            <w:tcW w:w="262"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single" w:sz="2" w:space="0" w:color="000000"/>
              <w:right w:val="nil" w:sz="6" w:space="0" w:color="auto"/>
            </w:tcBorders>
          </w:tcPr>
          <w:p>
            <w:pPr>
              <w:pStyle w:val="TableParagraph"/>
              <w:spacing w:line="240" w:lineRule="auto" w:before="59"/>
              <w:ind w:right="104"/>
              <w:jc w:val="right"/>
              <w:rPr>
                <w:rFonts w:ascii="Arial" w:hAnsi="Arial" w:cs="Arial" w:eastAsia="Arial" w:hint="default"/>
                <w:sz w:val="24"/>
                <w:szCs w:val="24"/>
              </w:rPr>
            </w:pPr>
            <w:r>
              <w:rPr>
                <w:rFonts w:ascii="Arial"/>
                <w:w w:val="95"/>
                <w:sz w:val="24"/>
              </w:rPr>
              <w:t>255</w:t>
            </w:r>
            <w:r>
              <w:rPr>
                <w:rFonts w:ascii="Arial"/>
                <w:sz w:val="24"/>
              </w:rPr>
            </w:r>
          </w:p>
        </w:tc>
      </w:tr>
      <w:tr>
        <w:trPr>
          <w:trHeight w:val="373" w:hRule="exact"/>
        </w:trPr>
        <w:tc>
          <w:tcPr>
            <w:tcW w:w="709" w:type="dxa"/>
            <w:tcBorders>
              <w:top w:val="nil" w:sz="6" w:space="0" w:color="auto"/>
              <w:left w:val="nil" w:sz="6" w:space="0" w:color="auto"/>
              <w:bottom w:val="nil" w:sz="6" w:space="0" w:color="auto"/>
              <w:right w:val="nil" w:sz="6" w:space="0" w:color="auto"/>
            </w:tcBorders>
          </w:tcPr>
          <w:p>
            <w:pPr/>
          </w:p>
        </w:tc>
        <w:tc>
          <w:tcPr>
            <w:tcW w:w="3514" w:type="dxa"/>
            <w:tcBorders>
              <w:top w:val="nil" w:sz="6" w:space="0" w:color="auto"/>
              <w:left w:val="nil" w:sz="6" w:space="0" w:color="auto"/>
              <w:bottom w:val="nil" w:sz="6" w:space="0" w:color="auto"/>
              <w:right w:val="nil" w:sz="6" w:space="0" w:color="auto"/>
            </w:tcBorders>
          </w:tcPr>
          <w:p>
            <w:pPr/>
          </w:p>
        </w:tc>
        <w:tc>
          <w:tcPr>
            <w:tcW w:w="2324" w:type="dxa"/>
            <w:tcBorders>
              <w:top w:val="single" w:sz="2" w:space="0" w:color="000000"/>
              <w:left w:val="nil" w:sz="6" w:space="0" w:color="auto"/>
              <w:bottom w:val="single" w:sz="12" w:space="0" w:color="000000"/>
              <w:right w:val="nil" w:sz="6" w:space="0" w:color="auto"/>
            </w:tcBorders>
          </w:tcPr>
          <w:p>
            <w:pPr>
              <w:pStyle w:val="TableParagraph"/>
              <w:spacing w:line="240" w:lineRule="auto" w:before="37"/>
              <w:ind w:right="102"/>
              <w:jc w:val="right"/>
              <w:rPr>
                <w:rFonts w:ascii="Arial" w:hAnsi="Arial" w:cs="Arial" w:eastAsia="Arial" w:hint="default"/>
                <w:sz w:val="24"/>
                <w:szCs w:val="24"/>
              </w:rPr>
            </w:pPr>
            <w:r>
              <w:rPr>
                <w:rFonts w:ascii="Arial"/>
                <w:spacing w:val="-3"/>
                <w:sz w:val="24"/>
              </w:rPr>
              <w:t>329,311</w:t>
            </w:r>
          </w:p>
        </w:tc>
        <w:tc>
          <w:tcPr>
            <w:tcW w:w="262" w:type="dxa"/>
            <w:tcBorders>
              <w:top w:val="nil" w:sz="6" w:space="0" w:color="auto"/>
              <w:left w:val="nil" w:sz="6" w:space="0" w:color="auto"/>
              <w:bottom w:val="nil" w:sz="6" w:space="0" w:color="auto"/>
              <w:right w:val="nil" w:sz="6" w:space="0" w:color="auto"/>
            </w:tcBorders>
          </w:tcPr>
          <w:p>
            <w:pPr/>
          </w:p>
        </w:tc>
        <w:tc>
          <w:tcPr>
            <w:tcW w:w="2376" w:type="dxa"/>
            <w:tcBorders>
              <w:top w:val="single" w:sz="2" w:space="0" w:color="000000"/>
              <w:left w:val="nil" w:sz="6" w:space="0" w:color="auto"/>
              <w:bottom w:val="single" w:sz="12" w:space="0" w:color="000000"/>
              <w:right w:val="nil" w:sz="6" w:space="0" w:color="auto"/>
            </w:tcBorders>
          </w:tcPr>
          <w:p>
            <w:pPr>
              <w:pStyle w:val="TableParagraph"/>
              <w:spacing w:line="240" w:lineRule="auto" w:before="37"/>
              <w:ind w:right="103"/>
              <w:jc w:val="right"/>
              <w:rPr>
                <w:rFonts w:ascii="Arial" w:hAnsi="Arial" w:cs="Arial" w:eastAsia="Arial" w:hint="default"/>
                <w:sz w:val="24"/>
                <w:szCs w:val="24"/>
              </w:rPr>
            </w:pPr>
            <w:r>
              <w:rPr>
                <w:rFonts w:ascii="Arial"/>
                <w:spacing w:val="-1"/>
                <w:sz w:val="24"/>
              </w:rPr>
              <w:t>362,176</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690"/>
        <w:gridCol w:w="5898"/>
      </w:tblGrid>
      <w:tr>
        <w:trPr>
          <w:trHeight w:val="493" w:hRule="exact"/>
        </w:trPr>
        <w:tc>
          <w:tcPr>
            <w:tcW w:w="69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七</w:t>
            </w:r>
          </w:p>
        </w:tc>
        <w:tc>
          <w:tcPr>
            <w:tcW w:w="5898" w:type="dxa"/>
            <w:tcBorders>
              <w:top w:val="nil" w:sz="6" w:space="0" w:color="auto"/>
              <w:left w:val="nil" w:sz="6" w:space="0" w:color="auto"/>
              <w:bottom w:val="nil" w:sz="6" w:space="0" w:color="auto"/>
              <w:right w:val="nil" w:sz="6" w:space="0" w:color="auto"/>
            </w:tcBorders>
          </w:tcPr>
          <w:p>
            <w:pPr>
              <w:pStyle w:val="TableParagraph"/>
              <w:spacing w:line="240" w:lineRule="exact"/>
              <w:ind w:left="249" w:right="0"/>
              <w:jc w:val="left"/>
              <w:rPr>
                <w:rFonts w:ascii="黑体" w:hAnsi="黑体" w:cs="黑体" w:eastAsia="黑体" w:hint="default"/>
                <w:sz w:val="24"/>
                <w:szCs w:val="24"/>
              </w:rPr>
            </w:pPr>
            <w:r>
              <w:rPr>
                <w:rFonts w:ascii="黑体" w:hAnsi="黑体" w:cs="黑体" w:eastAsia="黑体" w:hint="default"/>
                <w:sz w:val="24"/>
                <w:szCs w:val="24"/>
              </w:rPr>
              <w:t>或有事项</w:t>
            </w:r>
          </w:p>
        </w:tc>
      </w:tr>
      <w:tr>
        <w:trPr>
          <w:trHeight w:val="505" w:hRule="exact"/>
        </w:trPr>
        <w:tc>
          <w:tcPr>
            <w:tcW w:w="690" w:type="dxa"/>
            <w:tcBorders>
              <w:top w:val="nil" w:sz="6" w:space="0" w:color="auto"/>
              <w:left w:val="nil" w:sz="6" w:space="0" w:color="auto"/>
              <w:bottom w:val="nil" w:sz="6" w:space="0" w:color="auto"/>
              <w:right w:val="nil" w:sz="6" w:space="0" w:color="auto"/>
            </w:tcBorders>
          </w:tcPr>
          <w:p>
            <w:pPr/>
          </w:p>
        </w:tc>
        <w:tc>
          <w:tcPr>
            <w:tcW w:w="5898"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49" w:right="0"/>
              <w:jc w:val="left"/>
              <w:rPr>
                <w:rFonts w:ascii="宋体" w:hAnsi="宋体" w:cs="宋体" w:eastAsia="宋体" w:hint="default"/>
                <w:sz w:val="24"/>
                <w:szCs w:val="24"/>
              </w:rPr>
            </w:pPr>
            <w:r>
              <w:rPr>
                <w:rFonts w:ascii="宋体" w:hAnsi="宋体" w:cs="宋体" w:eastAsia="宋体" w:hint="default"/>
                <w:sz w:val="24"/>
                <w:szCs w:val="24"/>
              </w:rPr>
              <w:t>于 </w:t>
            </w:r>
            <w:r>
              <w:rPr>
                <w:rFonts w:ascii="Arial" w:hAnsi="Arial" w:cs="Arial" w:eastAsia="Arial" w:hint="default"/>
                <w:sz w:val="24"/>
                <w:szCs w:val="24"/>
              </w:rPr>
              <w:t>2012 </w:t>
            </w:r>
            <w:r>
              <w:rPr>
                <w:rFonts w:ascii="宋体" w:hAnsi="宋体" w:cs="宋体" w:eastAsia="宋体" w:hint="default"/>
                <w:sz w:val="24"/>
                <w:szCs w:val="24"/>
              </w:rPr>
              <w:t>年 </w:t>
            </w:r>
            <w:r>
              <w:rPr>
                <w:rFonts w:ascii="Arial" w:hAnsi="Arial" w:cs="Arial" w:eastAsia="Arial" w:hint="default"/>
                <w:sz w:val="24"/>
                <w:szCs w:val="24"/>
              </w:rPr>
              <w:t>12 </w:t>
            </w:r>
            <w:r>
              <w:rPr>
                <w:rFonts w:ascii="宋体" w:hAnsi="宋体" w:cs="宋体" w:eastAsia="宋体" w:hint="default"/>
                <w:sz w:val="24"/>
                <w:szCs w:val="24"/>
              </w:rPr>
              <w:t>月 </w:t>
            </w:r>
            <w:r>
              <w:rPr>
                <w:rFonts w:ascii="Arial" w:hAnsi="Arial" w:cs="Arial" w:eastAsia="Arial" w:hint="default"/>
                <w:sz w:val="24"/>
                <w:szCs w:val="24"/>
              </w:rPr>
              <w:t>31</w:t>
            </w:r>
            <w:r>
              <w:rPr>
                <w:rFonts w:ascii="Arial" w:hAnsi="Arial" w:cs="Arial" w:eastAsia="Arial" w:hint="default"/>
                <w:spacing w:val="-25"/>
                <w:sz w:val="24"/>
                <w:szCs w:val="24"/>
              </w:rPr>
              <w:t> </w:t>
            </w:r>
            <w:r>
              <w:rPr>
                <w:rFonts w:ascii="宋体" w:hAnsi="宋体" w:cs="宋体" w:eastAsia="宋体" w:hint="default"/>
                <w:sz w:val="24"/>
                <w:szCs w:val="24"/>
              </w:rPr>
              <w:t>日，本集团无重大或有事项。</w:t>
            </w:r>
          </w:p>
        </w:tc>
      </w:tr>
    </w:tbl>
    <w:p>
      <w:pPr>
        <w:spacing w:after="0" w:line="240" w:lineRule="auto"/>
        <w:jc w:val="left"/>
        <w:rPr>
          <w:rFonts w:ascii="宋体" w:hAnsi="宋体" w:cs="宋体" w:eastAsia="宋体" w:hint="default"/>
          <w:sz w:val="24"/>
          <w:szCs w:val="24"/>
        </w:rPr>
        <w:sectPr>
          <w:footerReference w:type="default" r:id="rId103"/>
          <w:pgSz w:w="11910" w:h="16850"/>
          <w:pgMar w:footer="1340" w:header="795" w:top="2020" w:bottom="1540" w:left="1420" w:right="0"/>
          <w:pgNumType w:start="207"/>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29"/>
        <w:gridCol w:w="3146"/>
        <w:gridCol w:w="2436"/>
        <w:gridCol w:w="270"/>
        <w:gridCol w:w="2442"/>
      </w:tblGrid>
      <w:tr>
        <w:trPr>
          <w:trHeight w:val="491" w:hRule="exact"/>
        </w:trPr>
        <w:tc>
          <w:tcPr>
            <w:tcW w:w="729" w:type="dxa"/>
            <w:tcBorders>
              <w:top w:val="nil" w:sz="6" w:space="0" w:color="auto"/>
              <w:left w:val="nil" w:sz="6" w:space="0" w:color="auto"/>
              <w:bottom w:val="nil" w:sz="6" w:space="0" w:color="auto"/>
              <w:right w:val="nil" w:sz="6" w:space="0" w:color="auto"/>
            </w:tcBorders>
          </w:tcPr>
          <w:p>
            <w:pPr>
              <w:pStyle w:val="TableParagraph"/>
              <w:spacing w:line="240" w:lineRule="exact"/>
              <w:ind w:right="87"/>
              <w:jc w:val="center"/>
              <w:rPr>
                <w:rFonts w:ascii="黑体" w:hAnsi="黑体" w:cs="黑体" w:eastAsia="黑体" w:hint="default"/>
                <w:sz w:val="24"/>
                <w:szCs w:val="24"/>
              </w:rPr>
            </w:pPr>
            <w:r>
              <w:rPr>
                <w:rFonts w:ascii="黑体" w:hAnsi="黑体" w:cs="黑体" w:eastAsia="黑体" w:hint="default"/>
                <w:sz w:val="24"/>
                <w:szCs w:val="24"/>
              </w:rPr>
              <w:t>八</w:t>
            </w:r>
          </w:p>
        </w:tc>
        <w:tc>
          <w:tcPr>
            <w:tcW w:w="3146" w:type="dxa"/>
            <w:tcBorders>
              <w:top w:val="nil" w:sz="6" w:space="0" w:color="auto"/>
              <w:left w:val="nil" w:sz="6" w:space="0" w:color="auto"/>
              <w:bottom w:val="nil" w:sz="6" w:space="0" w:color="auto"/>
              <w:right w:val="nil" w:sz="6" w:space="0" w:color="auto"/>
            </w:tcBorders>
          </w:tcPr>
          <w:p>
            <w:pPr>
              <w:pStyle w:val="TableParagraph"/>
              <w:spacing w:line="240" w:lineRule="exact"/>
              <w:ind w:left="236" w:right="0"/>
              <w:jc w:val="left"/>
              <w:rPr>
                <w:rFonts w:ascii="黑体" w:hAnsi="黑体" w:cs="黑体" w:eastAsia="黑体" w:hint="default"/>
                <w:sz w:val="24"/>
                <w:szCs w:val="24"/>
              </w:rPr>
            </w:pPr>
            <w:r>
              <w:rPr>
                <w:rFonts w:ascii="黑体" w:hAnsi="黑体" w:cs="黑体" w:eastAsia="黑体" w:hint="default"/>
                <w:sz w:val="24"/>
                <w:szCs w:val="24"/>
              </w:rPr>
              <w:t>承诺事项</w:t>
            </w:r>
          </w:p>
        </w:tc>
        <w:tc>
          <w:tcPr>
            <w:tcW w:w="2436" w:type="dxa"/>
            <w:tcBorders>
              <w:top w:val="nil" w:sz="6" w:space="0" w:color="auto"/>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
        </w:tc>
      </w:tr>
      <w:tr>
        <w:trPr>
          <w:trHeight w:val="751" w:hRule="exact"/>
        </w:trPr>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34"/>
              <w:jc w:val="center"/>
              <w:rPr>
                <w:rFonts w:ascii="Arial" w:hAnsi="Arial" w:cs="Arial" w:eastAsia="Arial" w:hint="default"/>
                <w:sz w:val="24"/>
                <w:szCs w:val="24"/>
              </w:rPr>
            </w:pPr>
            <w:r>
              <w:rPr>
                <w:rFonts w:ascii="Arial"/>
                <w:sz w:val="24"/>
              </w:rPr>
              <w:t>(1)</w:t>
            </w:r>
          </w:p>
        </w:tc>
        <w:tc>
          <w:tcPr>
            <w:tcW w:w="3146"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236" w:right="0"/>
              <w:jc w:val="left"/>
              <w:rPr>
                <w:rFonts w:ascii="黑体" w:hAnsi="黑体" w:cs="黑体" w:eastAsia="黑体" w:hint="default"/>
                <w:sz w:val="24"/>
                <w:szCs w:val="24"/>
              </w:rPr>
            </w:pPr>
            <w:r>
              <w:rPr>
                <w:rFonts w:ascii="黑体" w:hAnsi="黑体" w:cs="黑体" w:eastAsia="黑体" w:hint="default"/>
                <w:sz w:val="24"/>
                <w:szCs w:val="24"/>
              </w:rPr>
              <w:t>资本性支出承诺事项</w:t>
            </w:r>
          </w:p>
        </w:tc>
        <w:tc>
          <w:tcPr>
            <w:tcW w:w="2436" w:type="dxa"/>
            <w:tcBorders>
              <w:top w:val="nil" w:sz="6" w:space="0" w:color="auto"/>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
        </w:tc>
      </w:tr>
      <w:tr>
        <w:trPr>
          <w:trHeight w:val="1058" w:hRule="exact"/>
        </w:trPr>
        <w:tc>
          <w:tcPr>
            <w:tcW w:w="9024" w:type="dxa"/>
            <w:gridSpan w:val="5"/>
            <w:tcBorders>
              <w:top w:val="nil" w:sz="6" w:space="0" w:color="auto"/>
              <w:left w:val="nil" w:sz="6" w:space="0" w:color="auto"/>
              <w:bottom w:val="nil" w:sz="6" w:space="0" w:color="auto"/>
              <w:right w:val="nil" w:sz="6" w:space="0" w:color="auto"/>
            </w:tcBorders>
          </w:tcPr>
          <w:p>
            <w:pPr>
              <w:pStyle w:val="TableParagraph"/>
              <w:spacing w:line="310" w:lineRule="exact" w:before="211"/>
              <w:ind w:left="965" w:right="86"/>
              <w:jc w:val="left"/>
              <w:rPr>
                <w:rFonts w:ascii="宋体" w:hAnsi="宋体" w:cs="宋体" w:eastAsia="宋体" w:hint="default"/>
                <w:sz w:val="24"/>
                <w:szCs w:val="24"/>
              </w:rPr>
            </w:pPr>
            <w:r>
              <w:rPr>
                <w:rFonts w:ascii="宋体" w:hAnsi="宋体" w:cs="宋体" w:eastAsia="宋体" w:hint="default"/>
                <w:sz w:val="24"/>
                <w:szCs w:val="24"/>
              </w:rPr>
              <w:t>以下为本集团于资产负债表日，已签约而尚不必在资产负债表上列示的资本</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性支出承诺：</w:t>
            </w:r>
          </w:p>
        </w:tc>
      </w:tr>
      <w:tr>
        <w:trPr>
          <w:trHeight w:val="754" w:hRule="exact"/>
        </w:trPr>
        <w:tc>
          <w:tcPr>
            <w:tcW w:w="729" w:type="dxa"/>
            <w:tcBorders>
              <w:top w:val="nil" w:sz="6" w:space="0" w:color="auto"/>
              <w:left w:val="nil" w:sz="6" w:space="0" w:color="auto"/>
              <w:bottom w:val="nil" w:sz="6" w:space="0" w:color="auto"/>
              <w:right w:val="nil" w:sz="6" w:space="0" w:color="auto"/>
            </w:tcBorders>
          </w:tcPr>
          <w:p>
            <w:pPr/>
          </w:p>
        </w:tc>
        <w:tc>
          <w:tcPr>
            <w:tcW w:w="55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0"/>
              <w:ind w:left="3385"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70"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103"/>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78" w:hRule="exact"/>
        </w:trPr>
        <w:tc>
          <w:tcPr>
            <w:tcW w:w="729" w:type="dxa"/>
            <w:tcBorders>
              <w:top w:val="nil" w:sz="6" w:space="0" w:color="auto"/>
              <w:left w:val="nil" w:sz="6" w:space="0" w:color="auto"/>
              <w:bottom w:val="nil" w:sz="6" w:space="0" w:color="auto"/>
              <w:right w:val="nil" w:sz="6" w:space="0" w:color="auto"/>
            </w:tcBorders>
          </w:tcPr>
          <w:p>
            <w:pPr/>
          </w:p>
        </w:tc>
        <w:tc>
          <w:tcPr>
            <w:tcW w:w="3146"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36" w:right="0"/>
              <w:jc w:val="left"/>
              <w:rPr>
                <w:rFonts w:ascii="宋体" w:hAnsi="宋体" w:cs="宋体" w:eastAsia="宋体" w:hint="default"/>
                <w:sz w:val="24"/>
                <w:szCs w:val="24"/>
              </w:rPr>
            </w:pPr>
            <w:r>
              <w:rPr>
                <w:rFonts w:ascii="宋体" w:hAnsi="宋体" w:cs="宋体" w:eastAsia="宋体" w:hint="default"/>
                <w:sz w:val="24"/>
                <w:szCs w:val="24"/>
              </w:rPr>
              <w:t>房屋、建筑物及机器设备</w:t>
            </w:r>
          </w:p>
        </w:tc>
        <w:tc>
          <w:tcPr>
            <w:tcW w:w="2436"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41"/>
              <w:jc w:val="right"/>
              <w:rPr>
                <w:rFonts w:ascii="Arial" w:hAnsi="Arial" w:cs="Arial" w:eastAsia="Arial" w:hint="default"/>
                <w:sz w:val="24"/>
                <w:szCs w:val="24"/>
              </w:rPr>
            </w:pPr>
            <w:r>
              <w:rPr>
                <w:rFonts w:ascii="Arial"/>
                <w:spacing w:val="-1"/>
                <w:sz w:val="24"/>
              </w:rPr>
              <w:t>1,271,181</w:t>
            </w:r>
          </w:p>
        </w:tc>
        <w:tc>
          <w:tcPr>
            <w:tcW w:w="270"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24"/>
                <w:szCs w:val="24"/>
              </w:rPr>
            </w:pPr>
            <w:r>
              <w:rPr>
                <w:rFonts w:ascii="Arial"/>
                <w:spacing w:val="-1"/>
                <w:sz w:val="24"/>
              </w:rPr>
              <w:t>596,026</w:t>
            </w:r>
          </w:p>
        </w:tc>
      </w:tr>
      <w:tr>
        <w:trPr>
          <w:trHeight w:val="940" w:hRule="exact"/>
        </w:trPr>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right="34"/>
              <w:jc w:val="center"/>
              <w:rPr>
                <w:rFonts w:ascii="Arial" w:hAnsi="Arial" w:cs="Arial" w:eastAsia="Arial" w:hint="default"/>
                <w:sz w:val="24"/>
                <w:szCs w:val="24"/>
              </w:rPr>
            </w:pPr>
            <w:r>
              <w:rPr>
                <w:rFonts w:ascii="Arial"/>
                <w:sz w:val="24"/>
              </w:rPr>
              <w:t>(2)</w:t>
            </w:r>
          </w:p>
        </w:tc>
        <w:tc>
          <w:tcPr>
            <w:tcW w:w="31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236" w:right="0"/>
              <w:jc w:val="left"/>
              <w:rPr>
                <w:rFonts w:ascii="黑体" w:hAnsi="黑体" w:cs="黑体" w:eastAsia="黑体" w:hint="default"/>
                <w:sz w:val="24"/>
                <w:szCs w:val="24"/>
              </w:rPr>
            </w:pPr>
            <w:r>
              <w:rPr>
                <w:rFonts w:ascii="黑体" w:hAnsi="黑体" w:cs="黑体" w:eastAsia="黑体" w:hint="default"/>
                <w:sz w:val="24"/>
                <w:szCs w:val="24"/>
              </w:rPr>
              <w:t>经营租赁承诺事项</w:t>
            </w:r>
          </w:p>
        </w:tc>
        <w:tc>
          <w:tcPr>
            <w:tcW w:w="2436" w:type="dxa"/>
            <w:tcBorders>
              <w:top w:val="single" w:sz="12" w:space="0" w:color="000000"/>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2442" w:type="dxa"/>
            <w:tcBorders>
              <w:top w:val="single" w:sz="12" w:space="0" w:color="000000"/>
              <w:left w:val="nil" w:sz="6" w:space="0" w:color="auto"/>
              <w:bottom w:val="nil" w:sz="6" w:space="0" w:color="auto"/>
              <w:right w:val="nil" w:sz="6" w:space="0" w:color="auto"/>
            </w:tcBorders>
          </w:tcPr>
          <w:p>
            <w:pPr/>
          </w:p>
        </w:tc>
      </w:tr>
      <w:tr>
        <w:trPr>
          <w:trHeight w:val="1060" w:hRule="exact"/>
        </w:trPr>
        <w:tc>
          <w:tcPr>
            <w:tcW w:w="729" w:type="dxa"/>
            <w:tcBorders>
              <w:top w:val="nil" w:sz="6" w:space="0" w:color="auto"/>
              <w:left w:val="nil" w:sz="6" w:space="0" w:color="auto"/>
              <w:bottom w:val="nil" w:sz="6" w:space="0" w:color="auto"/>
              <w:right w:val="nil" w:sz="6" w:space="0" w:color="auto"/>
            </w:tcBorders>
          </w:tcPr>
          <w:p>
            <w:pPr/>
          </w:p>
        </w:tc>
        <w:tc>
          <w:tcPr>
            <w:tcW w:w="8294"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210"/>
              <w:ind w:left="236" w:right="110"/>
              <w:jc w:val="left"/>
              <w:rPr>
                <w:rFonts w:ascii="宋体" w:hAnsi="宋体" w:cs="宋体" w:eastAsia="宋体" w:hint="default"/>
                <w:sz w:val="24"/>
                <w:szCs w:val="24"/>
              </w:rPr>
            </w:pPr>
            <w:r>
              <w:rPr>
                <w:rFonts w:ascii="宋体" w:hAnsi="宋体" w:cs="宋体" w:eastAsia="宋体" w:hint="default"/>
                <w:sz w:val="24"/>
                <w:szCs w:val="24"/>
              </w:rPr>
              <w:t>根据已签订的不可撤销的经营性租赁合同，本集团未来最低应支付租金汇总</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如下：</w:t>
            </w:r>
          </w:p>
        </w:tc>
      </w:tr>
      <w:tr>
        <w:trPr>
          <w:trHeight w:val="754" w:hRule="exact"/>
        </w:trPr>
        <w:tc>
          <w:tcPr>
            <w:tcW w:w="729" w:type="dxa"/>
            <w:tcBorders>
              <w:top w:val="nil" w:sz="6" w:space="0" w:color="auto"/>
              <w:left w:val="nil" w:sz="6" w:space="0" w:color="auto"/>
              <w:bottom w:val="nil" w:sz="6" w:space="0" w:color="auto"/>
              <w:right w:val="nil" w:sz="6" w:space="0" w:color="auto"/>
            </w:tcBorders>
          </w:tcPr>
          <w:p>
            <w:pPr/>
          </w:p>
        </w:tc>
        <w:tc>
          <w:tcPr>
            <w:tcW w:w="55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0"/>
              <w:ind w:left="3409"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70"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103"/>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77" w:hRule="exact"/>
        </w:trPr>
        <w:tc>
          <w:tcPr>
            <w:tcW w:w="729" w:type="dxa"/>
            <w:tcBorders>
              <w:top w:val="nil" w:sz="6" w:space="0" w:color="auto"/>
              <w:left w:val="nil" w:sz="6" w:space="0" w:color="auto"/>
              <w:bottom w:val="nil" w:sz="6" w:space="0" w:color="auto"/>
              <w:right w:val="nil" w:sz="6" w:space="0" w:color="auto"/>
            </w:tcBorders>
          </w:tcPr>
          <w:p>
            <w:pPr/>
          </w:p>
        </w:tc>
        <w:tc>
          <w:tcPr>
            <w:tcW w:w="3146"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36"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81"/>
              <w:jc w:val="right"/>
              <w:rPr>
                <w:rFonts w:ascii="Arial" w:hAnsi="Arial" w:cs="Arial" w:eastAsia="Arial" w:hint="default"/>
                <w:sz w:val="24"/>
                <w:szCs w:val="24"/>
              </w:rPr>
            </w:pPr>
            <w:r>
              <w:rPr>
                <w:rFonts w:ascii="Arial"/>
                <w:spacing w:val="-1"/>
                <w:sz w:val="24"/>
              </w:rPr>
              <w:t>4,840,546</w:t>
            </w:r>
          </w:p>
        </w:tc>
        <w:tc>
          <w:tcPr>
            <w:tcW w:w="270"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24"/>
                <w:szCs w:val="24"/>
              </w:rPr>
            </w:pPr>
            <w:r>
              <w:rPr>
                <w:rFonts w:ascii="Arial"/>
                <w:spacing w:val="-1"/>
                <w:sz w:val="24"/>
              </w:rPr>
              <w:t>4,052,010</w:t>
            </w:r>
          </w:p>
        </w:tc>
      </w:tr>
      <w:tr>
        <w:trPr>
          <w:trHeight w:val="391" w:hRule="exact"/>
        </w:trPr>
        <w:tc>
          <w:tcPr>
            <w:tcW w:w="729" w:type="dxa"/>
            <w:tcBorders>
              <w:top w:val="nil" w:sz="6" w:space="0" w:color="auto"/>
              <w:left w:val="nil" w:sz="6" w:space="0" w:color="auto"/>
              <w:bottom w:val="nil" w:sz="6" w:space="0" w:color="auto"/>
              <w:right w:val="nil" w:sz="6" w:space="0" w:color="auto"/>
            </w:tcBorders>
          </w:tcPr>
          <w:p>
            <w:pPr/>
          </w:p>
        </w:tc>
        <w:tc>
          <w:tcPr>
            <w:tcW w:w="3146" w:type="dxa"/>
            <w:tcBorders>
              <w:top w:val="nil" w:sz="6" w:space="0" w:color="auto"/>
              <w:left w:val="nil" w:sz="6" w:space="0" w:color="auto"/>
              <w:bottom w:val="nil" w:sz="6" w:space="0" w:color="auto"/>
              <w:right w:val="nil" w:sz="6" w:space="0" w:color="auto"/>
            </w:tcBorders>
          </w:tcPr>
          <w:p>
            <w:pPr>
              <w:pStyle w:val="TableParagraph"/>
              <w:spacing w:line="301" w:lineRule="exact"/>
              <w:ind w:left="236"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3"/>
              <w:jc w:val="right"/>
              <w:rPr>
                <w:rFonts w:ascii="Arial" w:hAnsi="Arial" w:cs="Arial" w:eastAsia="Arial" w:hint="default"/>
                <w:sz w:val="24"/>
                <w:szCs w:val="24"/>
              </w:rPr>
            </w:pPr>
            <w:r>
              <w:rPr>
                <w:rFonts w:ascii="Arial"/>
                <w:spacing w:val="-1"/>
                <w:sz w:val="24"/>
              </w:rPr>
              <w:t>4,664,362</w:t>
            </w:r>
          </w:p>
        </w:tc>
        <w:tc>
          <w:tcPr>
            <w:tcW w:w="270"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4,020,687</w:t>
            </w:r>
          </w:p>
        </w:tc>
      </w:tr>
      <w:tr>
        <w:trPr>
          <w:trHeight w:val="391" w:hRule="exact"/>
        </w:trPr>
        <w:tc>
          <w:tcPr>
            <w:tcW w:w="729" w:type="dxa"/>
            <w:tcBorders>
              <w:top w:val="nil" w:sz="6" w:space="0" w:color="auto"/>
              <w:left w:val="nil" w:sz="6" w:space="0" w:color="auto"/>
              <w:bottom w:val="nil" w:sz="6" w:space="0" w:color="auto"/>
              <w:right w:val="nil" w:sz="6" w:space="0" w:color="auto"/>
            </w:tcBorders>
          </w:tcPr>
          <w:p>
            <w:pPr/>
          </w:p>
        </w:tc>
        <w:tc>
          <w:tcPr>
            <w:tcW w:w="3146" w:type="dxa"/>
            <w:tcBorders>
              <w:top w:val="nil" w:sz="6" w:space="0" w:color="auto"/>
              <w:left w:val="nil" w:sz="6" w:space="0" w:color="auto"/>
              <w:bottom w:val="nil" w:sz="6" w:space="0" w:color="auto"/>
              <w:right w:val="nil" w:sz="6" w:space="0" w:color="auto"/>
            </w:tcBorders>
          </w:tcPr>
          <w:p>
            <w:pPr>
              <w:pStyle w:val="TableParagraph"/>
              <w:spacing w:line="301" w:lineRule="exact"/>
              <w:ind w:left="236"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1"/>
              <w:jc w:val="right"/>
              <w:rPr>
                <w:rFonts w:ascii="Arial" w:hAnsi="Arial" w:cs="Arial" w:eastAsia="Arial" w:hint="default"/>
                <w:sz w:val="24"/>
                <w:szCs w:val="24"/>
              </w:rPr>
            </w:pPr>
            <w:r>
              <w:rPr>
                <w:rFonts w:ascii="Arial"/>
                <w:spacing w:val="-1"/>
                <w:sz w:val="24"/>
              </w:rPr>
              <w:t>4,395,424</w:t>
            </w:r>
          </w:p>
        </w:tc>
        <w:tc>
          <w:tcPr>
            <w:tcW w:w="270"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3,874,883</w:t>
            </w:r>
          </w:p>
        </w:tc>
      </w:tr>
      <w:tr>
        <w:trPr>
          <w:trHeight w:val="383" w:hRule="exact"/>
        </w:trPr>
        <w:tc>
          <w:tcPr>
            <w:tcW w:w="729" w:type="dxa"/>
            <w:tcBorders>
              <w:top w:val="nil" w:sz="6" w:space="0" w:color="auto"/>
              <w:left w:val="nil" w:sz="6" w:space="0" w:color="auto"/>
              <w:bottom w:val="nil" w:sz="6" w:space="0" w:color="auto"/>
              <w:right w:val="nil" w:sz="6" w:space="0" w:color="auto"/>
            </w:tcBorders>
          </w:tcPr>
          <w:p>
            <w:pPr/>
          </w:p>
        </w:tc>
        <w:tc>
          <w:tcPr>
            <w:tcW w:w="3146" w:type="dxa"/>
            <w:tcBorders>
              <w:top w:val="nil" w:sz="6" w:space="0" w:color="auto"/>
              <w:left w:val="nil" w:sz="6" w:space="0" w:color="auto"/>
              <w:bottom w:val="nil" w:sz="6" w:space="0" w:color="auto"/>
              <w:right w:val="nil" w:sz="6" w:space="0" w:color="auto"/>
            </w:tcBorders>
          </w:tcPr>
          <w:p>
            <w:pPr>
              <w:pStyle w:val="TableParagraph"/>
              <w:spacing w:line="301" w:lineRule="exact"/>
              <w:ind w:left="236" w:right="0"/>
              <w:jc w:val="left"/>
              <w:rPr>
                <w:rFonts w:ascii="宋体" w:hAnsi="宋体" w:cs="宋体" w:eastAsia="宋体" w:hint="default"/>
                <w:sz w:val="24"/>
                <w:szCs w:val="24"/>
              </w:rPr>
            </w:pPr>
            <w:r>
              <w:rPr>
                <w:rFonts w:ascii="宋体" w:hAnsi="宋体" w:cs="宋体" w:eastAsia="宋体" w:hint="default"/>
                <w:sz w:val="24"/>
                <w:szCs w:val="24"/>
              </w:rPr>
              <w:t>三年以上</w:t>
            </w:r>
          </w:p>
        </w:tc>
        <w:tc>
          <w:tcPr>
            <w:tcW w:w="243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83"/>
              <w:jc w:val="right"/>
              <w:rPr>
                <w:rFonts w:ascii="Arial" w:hAnsi="Arial" w:cs="Arial" w:eastAsia="Arial" w:hint="default"/>
                <w:sz w:val="24"/>
                <w:szCs w:val="24"/>
              </w:rPr>
            </w:pPr>
            <w:r>
              <w:rPr>
                <w:rFonts w:ascii="Arial"/>
                <w:spacing w:val="-1"/>
                <w:sz w:val="24"/>
              </w:rPr>
              <w:t>24,197,257</w:t>
            </w:r>
          </w:p>
        </w:tc>
        <w:tc>
          <w:tcPr>
            <w:tcW w:w="270"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8"/>
              <w:jc w:val="right"/>
              <w:rPr>
                <w:rFonts w:ascii="Arial" w:hAnsi="Arial" w:cs="Arial" w:eastAsia="Arial" w:hint="default"/>
                <w:sz w:val="24"/>
                <w:szCs w:val="24"/>
              </w:rPr>
            </w:pPr>
            <w:r>
              <w:rPr>
                <w:rFonts w:ascii="Arial"/>
                <w:spacing w:val="-1"/>
                <w:sz w:val="24"/>
              </w:rPr>
              <w:t>20,747,360</w:t>
            </w:r>
          </w:p>
        </w:tc>
      </w:tr>
      <w:tr>
        <w:trPr>
          <w:trHeight w:val="377" w:hRule="exact"/>
        </w:trPr>
        <w:tc>
          <w:tcPr>
            <w:tcW w:w="729" w:type="dxa"/>
            <w:tcBorders>
              <w:top w:val="nil" w:sz="6" w:space="0" w:color="auto"/>
              <w:left w:val="nil" w:sz="6" w:space="0" w:color="auto"/>
              <w:bottom w:val="nil" w:sz="6" w:space="0" w:color="auto"/>
              <w:right w:val="nil" w:sz="6" w:space="0" w:color="auto"/>
            </w:tcBorders>
          </w:tcPr>
          <w:p>
            <w:pPr/>
          </w:p>
        </w:tc>
        <w:tc>
          <w:tcPr>
            <w:tcW w:w="3146" w:type="dxa"/>
            <w:tcBorders>
              <w:top w:val="nil" w:sz="6" w:space="0" w:color="auto"/>
              <w:left w:val="nil" w:sz="6" w:space="0" w:color="auto"/>
              <w:bottom w:val="nil" w:sz="6" w:space="0" w:color="auto"/>
              <w:right w:val="nil" w:sz="6" w:space="0" w:color="auto"/>
            </w:tcBorders>
          </w:tcPr>
          <w:p>
            <w:pPr/>
          </w:p>
        </w:tc>
        <w:tc>
          <w:tcPr>
            <w:tcW w:w="2436"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83"/>
              <w:jc w:val="right"/>
              <w:rPr>
                <w:rFonts w:ascii="Arial" w:hAnsi="Arial" w:cs="Arial" w:eastAsia="Arial" w:hint="default"/>
                <w:sz w:val="24"/>
                <w:szCs w:val="24"/>
              </w:rPr>
            </w:pPr>
            <w:r>
              <w:rPr>
                <w:rFonts w:ascii="Arial"/>
                <w:spacing w:val="-1"/>
                <w:sz w:val="24"/>
              </w:rPr>
              <w:t>38,097,589</w:t>
            </w:r>
          </w:p>
        </w:tc>
        <w:tc>
          <w:tcPr>
            <w:tcW w:w="270" w:type="dxa"/>
            <w:tcBorders>
              <w:top w:val="nil" w:sz="6" w:space="0" w:color="auto"/>
              <w:left w:val="nil" w:sz="6" w:space="0" w:color="auto"/>
              <w:bottom w:val="nil" w:sz="6" w:space="0" w:color="auto"/>
              <w:right w:val="nil" w:sz="6" w:space="0" w:color="auto"/>
            </w:tcBorders>
          </w:tcPr>
          <w:p>
            <w:pPr/>
          </w:p>
        </w:tc>
        <w:tc>
          <w:tcPr>
            <w:tcW w:w="2442"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8"/>
              <w:jc w:val="right"/>
              <w:rPr>
                <w:rFonts w:ascii="Arial" w:hAnsi="Arial" w:cs="Arial" w:eastAsia="Arial" w:hint="default"/>
                <w:sz w:val="24"/>
                <w:szCs w:val="24"/>
              </w:rPr>
            </w:pPr>
            <w:r>
              <w:rPr>
                <w:rFonts w:ascii="Arial"/>
                <w:spacing w:val="-1"/>
                <w:sz w:val="24"/>
              </w:rPr>
              <w:t>32,694,940</w:t>
            </w:r>
          </w:p>
        </w:tc>
      </w:tr>
    </w:tbl>
    <w:p>
      <w:pPr>
        <w:spacing w:after="0" w:line="240" w:lineRule="auto"/>
        <w:jc w:val="right"/>
        <w:rPr>
          <w:rFonts w:ascii="Arial" w:hAnsi="Arial" w:cs="Arial" w:eastAsia="Arial"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717"/>
        <w:gridCol w:w="8403"/>
      </w:tblGrid>
      <w:tr>
        <w:trPr>
          <w:trHeight w:val="497"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0" w:lineRule="exact"/>
              <w:ind w:right="75"/>
              <w:jc w:val="center"/>
              <w:rPr>
                <w:rFonts w:ascii="黑体" w:hAnsi="黑体" w:cs="黑体" w:eastAsia="黑体" w:hint="default"/>
                <w:sz w:val="24"/>
                <w:szCs w:val="24"/>
              </w:rPr>
            </w:pPr>
            <w:r>
              <w:rPr>
                <w:rFonts w:ascii="黑体" w:hAnsi="黑体" w:cs="黑体" w:eastAsia="黑体" w:hint="default"/>
                <w:sz w:val="24"/>
                <w:szCs w:val="24"/>
              </w:rPr>
              <w:t>八</w:t>
            </w:r>
          </w:p>
        </w:tc>
        <w:tc>
          <w:tcPr>
            <w:tcW w:w="8403" w:type="dxa"/>
            <w:tcBorders>
              <w:top w:val="nil" w:sz="6" w:space="0" w:color="auto"/>
              <w:left w:val="nil" w:sz="6" w:space="0" w:color="auto"/>
              <w:bottom w:val="nil" w:sz="6" w:space="0" w:color="auto"/>
              <w:right w:val="nil" w:sz="6" w:space="0" w:color="auto"/>
            </w:tcBorders>
          </w:tcPr>
          <w:p>
            <w:pPr>
              <w:pStyle w:val="TableParagraph"/>
              <w:spacing w:line="257" w:lineRule="exact"/>
              <w:ind w:left="224" w:right="0"/>
              <w:jc w:val="left"/>
              <w:rPr>
                <w:rFonts w:ascii="Arial" w:hAnsi="Arial" w:cs="Arial" w:eastAsia="Arial" w:hint="default"/>
                <w:sz w:val="24"/>
                <w:szCs w:val="24"/>
              </w:rPr>
            </w:pPr>
            <w:r>
              <w:rPr>
                <w:rFonts w:ascii="黑体" w:hAnsi="黑体" w:cs="黑体" w:eastAsia="黑体" w:hint="default"/>
                <w:sz w:val="24"/>
                <w:szCs w:val="24"/>
              </w:rPr>
              <w:t>承诺事项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5"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2"/>
              <w:jc w:val="center"/>
              <w:rPr>
                <w:rFonts w:ascii="Arial" w:hAnsi="Arial" w:cs="Arial" w:eastAsia="Arial" w:hint="default"/>
                <w:sz w:val="24"/>
                <w:szCs w:val="24"/>
              </w:rPr>
            </w:pPr>
            <w:r>
              <w:rPr>
                <w:rFonts w:ascii="Arial"/>
                <w:sz w:val="24"/>
              </w:rPr>
              <w:t>(3)</w:t>
            </w:r>
          </w:p>
        </w:tc>
        <w:tc>
          <w:tcPr>
            <w:tcW w:w="8403"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24" w:right="0"/>
              <w:jc w:val="left"/>
              <w:rPr>
                <w:rFonts w:ascii="黑体" w:hAnsi="黑体" w:cs="黑体" w:eastAsia="黑体" w:hint="default"/>
                <w:sz w:val="24"/>
                <w:szCs w:val="24"/>
              </w:rPr>
            </w:pPr>
            <w:r>
              <w:rPr>
                <w:rFonts w:ascii="黑体" w:hAnsi="黑体" w:cs="黑体" w:eastAsia="黑体" w:hint="default"/>
                <w:sz w:val="24"/>
                <w:szCs w:val="24"/>
              </w:rPr>
              <w:t>对外投资承诺事项</w:t>
            </w:r>
          </w:p>
        </w:tc>
      </w:tr>
      <w:tr>
        <w:trPr>
          <w:trHeight w:val="3239" w:hRule="exact"/>
        </w:trPr>
        <w:tc>
          <w:tcPr>
            <w:tcW w:w="717" w:type="dxa"/>
            <w:tcBorders>
              <w:top w:val="nil" w:sz="6" w:space="0" w:color="auto"/>
              <w:left w:val="nil" w:sz="6" w:space="0" w:color="auto"/>
              <w:bottom w:val="nil" w:sz="6" w:space="0" w:color="auto"/>
              <w:right w:val="nil" w:sz="6" w:space="0" w:color="auto"/>
            </w:tcBorders>
          </w:tcPr>
          <w:p>
            <w:pPr/>
          </w:p>
        </w:tc>
        <w:tc>
          <w:tcPr>
            <w:tcW w:w="8403" w:type="dxa"/>
            <w:tcBorders>
              <w:top w:val="nil" w:sz="6" w:space="0" w:color="auto"/>
              <w:left w:val="nil" w:sz="6" w:space="0" w:color="auto"/>
              <w:bottom w:val="nil" w:sz="6" w:space="0" w:color="auto"/>
              <w:right w:val="nil" w:sz="6" w:space="0" w:color="auto"/>
            </w:tcBorders>
          </w:tcPr>
          <w:p>
            <w:pPr>
              <w:pStyle w:val="TableParagraph"/>
              <w:spacing w:line="232" w:lineRule="auto" w:before="187"/>
              <w:ind w:left="224" w:right="198"/>
              <w:jc w:val="both"/>
              <w:rPr>
                <w:rFonts w:ascii="Arial" w:hAnsi="Arial" w:cs="Arial" w:eastAsia="Arial" w:hint="default"/>
                <w:sz w:val="24"/>
                <w:szCs w:val="24"/>
              </w:rPr>
            </w:pPr>
            <w:r>
              <w:rPr>
                <w:rFonts w:ascii="宋体" w:hAnsi="宋体" w:cs="宋体" w:eastAsia="宋体" w:hint="default"/>
                <w:sz w:val="24"/>
                <w:szCs w:val="24"/>
              </w:rPr>
              <w:t>根据本公司与天津红孩子商贸有限公司、天津宏品物流有限公司、北京红孩</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子互联科技有限公司、北京红孩子视线广告有限公司、北京红孩子信息技术</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pacing w:val="11"/>
                <w:sz w:val="24"/>
                <w:szCs w:val="24"/>
              </w:rPr>
              <w:t>有限公司</w:t>
            </w:r>
            <w:r>
              <w:rPr>
                <w:rFonts w:ascii="Arial" w:hAnsi="Arial" w:cs="Arial" w:eastAsia="Arial" w:hint="default"/>
                <w:spacing w:val="11"/>
                <w:sz w:val="24"/>
                <w:szCs w:val="24"/>
              </w:rPr>
              <w:t>(</w:t>
            </w:r>
            <w:r>
              <w:rPr>
                <w:rFonts w:ascii="宋体" w:hAnsi="宋体" w:cs="宋体" w:eastAsia="宋体" w:hint="default"/>
                <w:spacing w:val="11"/>
                <w:sz w:val="24"/>
                <w:szCs w:val="24"/>
              </w:rPr>
              <w:t>以上合称“红孩子公司”</w:t>
            </w:r>
            <w:r>
              <w:rPr>
                <w:rFonts w:ascii="Arial" w:hAnsi="Arial" w:cs="Arial" w:eastAsia="Arial" w:hint="default"/>
                <w:spacing w:val="11"/>
                <w:sz w:val="24"/>
                <w:szCs w:val="24"/>
              </w:rPr>
              <w:t>)</w:t>
            </w:r>
            <w:r>
              <w:rPr>
                <w:rFonts w:ascii="宋体" w:hAnsi="宋体" w:cs="宋体" w:eastAsia="宋体" w:hint="default"/>
                <w:spacing w:val="11"/>
                <w:sz w:val="24"/>
                <w:szCs w:val="24"/>
              </w:rPr>
              <w:t>及 </w:t>
            </w:r>
            <w:r>
              <w:rPr>
                <w:rFonts w:ascii="Arial" w:hAnsi="Arial" w:cs="Arial" w:eastAsia="Arial" w:hint="default"/>
                <w:sz w:val="24"/>
                <w:szCs w:val="24"/>
              </w:rPr>
              <w:t>CHINA COMMERCE</w:t>
            </w:r>
            <w:r>
              <w:rPr>
                <w:rFonts w:ascii="Arial" w:hAnsi="Arial" w:cs="Arial" w:eastAsia="Arial" w:hint="default"/>
                <w:spacing w:val="46"/>
                <w:sz w:val="24"/>
                <w:szCs w:val="24"/>
              </w:rPr>
              <w:t> </w:t>
            </w:r>
            <w:r>
              <w:rPr>
                <w:rFonts w:ascii="Arial" w:hAnsi="Arial" w:cs="Arial" w:eastAsia="Arial" w:hint="default"/>
                <w:sz w:val="24"/>
                <w:szCs w:val="24"/>
              </w:rPr>
              <w:t>SERVICES</w:t>
            </w:r>
            <w:r>
              <w:rPr>
                <w:rFonts w:ascii="Arial" w:hAnsi="Arial" w:cs="Arial" w:eastAsia="Arial" w:hint="default"/>
                <w:w w:val="100"/>
                <w:sz w:val="24"/>
                <w:szCs w:val="24"/>
              </w:rPr>
              <w:t> </w:t>
            </w:r>
            <w:r>
              <w:rPr>
                <w:rFonts w:ascii="Arial" w:hAnsi="Arial" w:cs="Arial" w:eastAsia="Arial" w:hint="default"/>
                <w:spacing w:val="-1"/>
                <w:sz w:val="24"/>
                <w:szCs w:val="24"/>
              </w:rPr>
              <w:t>LIMITED(</w:t>
            </w:r>
            <w:r>
              <w:rPr>
                <w:rFonts w:ascii="宋体" w:hAnsi="宋体" w:cs="宋体" w:eastAsia="宋体" w:hint="default"/>
                <w:spacing w:val="-1"/>
                <w:sz w:val="24"/>
                <w:szCs w:val="24"/>
              </w:rPr>
              <w:t>一家在英属开曼群岛成立和存续的股份有限公司，以下简称“开曼</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1"/>
                <w:sz w:val="24"/>
                <w:szCs w:val="24"/>
              </w:rPr>
              <w:t>公司”</w:t>
            </w:r>
            <w:r>
              <w:rPr>
                <w:rFonts w:ascii="Arial" w:hAnsi="Arial" w:cs="Arial" w:eastAsia="Arial" w:hint="default"/>
                <w:spacing w:val="-1"/>
                <w:sz w:val="24"/>
                <w:szCs w:val="24"/>
              </w:rPr>
              <w:t>)</w:t>
            </w:r>
            <w:r>
              <w:rPr>
                <w:rFonts w:ascii="宋体" w:hAnsi="宋体" w:cs="宋体" w:eastAsia="宋体" w:hint="default"/>
                <w:spacing w:val="-1"/>
                <w:sz w:val="24"/>
                <w:szCs w:val="24"/>
              </w:rPr>
              <w:t>于</w:t>
            </w:r>
            <w:r>
              <w:rPr>
                <w:rFonts w:ascii="宋体" w:hAnsi="宋体" w:cs="宋体" w:eastAsia="宋体" w:hint="default"/>
                <w:spacing w:val="-58"/>
                <w:sz w:val="24"/>
                <w:szCs w:val="24"/>
              </w:rPr>
              <w:t> </w:t>
            </w:r>
            <w:r>
              <w:rPr>
                <w:rFonts w:ascii="Arial" w:hAnsi="Arial" w:cs="Arial" w:eastAsia="Arial" w:hint="default"/>
                <w:w w:val="99"/>
                <w:sz w:val="24"/>
                <w:szCs w:val="24"/>
              </w:rPr>
              <w:t>2012</w:t>
            </w:r>
            <w:r>
              <w:rPr>
                <w:rFonts w:ascii="Arial" w:hAnsi="Arial" w:cs="Arial" w:eastAsia="Arial" w:hint="default"/>
                <w:spacing w:val="-4"/>
                <w:w w:val="99"/>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w w:val="99"/>
                <w:sz w:val="24"/>
                <w:szCs w:val="24"/>
              </w:rPr>
              <w:t>9</w:t>
            </w:r>
            <w:r>
              <w:rPr>
                <w:rFonts w:ascii="Arial" w:hAnsi="Arial" w:cs="Arial" w:eastAsia="Arial" w:hint="default"/>
                <w:spacing w:val="-7"/>
                <w:w w:val="99"/>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w w:val="99"/>
                <w:sz w:val="24"/>
                <w:szCs w:val="24"/>
              </w:rPr>
              <w:t>24</w:t>
            </w:r>
            <w:r>
              <w:rPr>
                <w:rFonts w:ascii="Arial" w:hAnsi="Arial" w:cs="Arial" w:eastAsia="Arial" w:hint="default"/>
                <w:spacing w:val="-4"/>
                <w:w w:val="99"/>
                <w:sz w:val="24"/>
                <w:szCs w:val="24"/>
              </w:rPr>
              <w:t> </w:t>
            </w:r>
            <w:r>
              <w:rPr>
                <w:rFonts w:ascii="宋体" w:hAnsi="宋体" w:cs="宋体" w:eastAsia="宋体" w:hint="default"/>
                <w:spacing w:val="-8"/>
                <w:sz w:val="24"/>
                <w:szCs w:val="24"/>
              </w:rPr>
              <w:t>日签署的《收购协议》，本公司承诺以</w:t>
            </w:r>
            <w:r>
              <w:rPr>
                <w:rFonts w:ascii="宋体" w:hAnsi="宋体" w:cs="宋体" w:eastAsia="宋体" w:hint="default"/>
                <w:spacing w:val="-57"/>
                <w:sz w:val="24"/>
                <w:szCs w:val="24"/>
              </w:rPr>
              <w:t> </w:t>
            </w:r>
            <w:r>
              <w:rPr>
                <w:rFonts w:ascii="Arial" w:hAnsi="Arial" w:cs="Arial" w:eastAsia="Arial" w:hint="default"/>
                <w:spacing w:val="-1"/>
                <w:w w:val="99"/>
                <w:sz w:val="24"/>
                <w:szCs w:val="24"/>
              </w:rPr>
              <w:t>6,600</w:t>
            </w:r>
            <w:r>
              <w:rPr>
                <w:rFonts w:ascii="Arial" w:hAnsi="Arial" w:cs="Arial" w:eastAsia="Arial" w:hint="default"/>
                <w:spacing w:val="-4"/>
                <w:w w:val="99"/>
                <w:sz w:val="24"/>
                <w:szCs w:val="24"/>
              </w:rPr>
              <w:t> </w:t>
            </w:r>
            <w:r>
              <w:rPr>
                <w:rFonts w:ascii="宋体" w:hAnsi="宋体" w:cs="宋体" w:eastAsia="宋体" w:hint="default"/>
                <w:sz w:val="24"/>
                <w:szCs w:val="24"/>
              </w:rPr>
              <w:t>万美 </w:t>
            </w:r>
            <w:r>
              <w:rPr>
                <w:rFonts w:ascii="宋体" w:hAnsi="宋体" w:cs="宋体" w:eastAsia="宋体" w:hint="default"/>
                <w:spacing w:val="-6"/>
                <w:sz w:val="24"/>
                <w:szCs w:val="24"/>
              </w:rPr>
              <w:t>元的基准对价收购红孩子公司在中国国内以“红孩子”、“缤购”等品牌开展</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5"/>
                <w:sz w:val="24"/>
                <w:szCs w:val="24"/>
              </w:rPr>
              <w:t>的母婴、化妆用品等产品的销售业务、品牌与相关资产。于</w:t>
            </w:r>
            <w:r>
              <w:rPr>
                <w:rFonts w:ascii="宋体" w:hAnsi="宋体" w:cs="宋体" w:eastAsia="宋体" w:hint="default"/>
                <w:spacing w:val="-57"/>
                <w:sz w:val="24"/>
                <w:szCs w:val="24"/>
              </w:rPr>
              <w:t> </w:t>
            </w:r>
            <w:r>
              <w:rPr>
                <w:rFonts w:ascii="Arial" w:hAnsi="Arial" w:cs="Arial" w:eastAsia="Arial" w:hint="default"/>
                <w:sz w:val="24"/>
                <w:szCs w:val="24"/>
              </w:rPr>
              <w:t>2012</w:t>
            </w:r>
            <w:r>
              <w:rPr>
                <w:rFonts w:ascii="Arial" w:hAnsi="Arial" w:cs="Arial" w:eastAsia="Arial"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sz w:val="24"/>
                <w:szCs w:val="24"/>
              </w:rPr>
              <w:t>31</w:t>
            </w:r>
          </w:p>
          <w:p>
            <w:pPr>
              <w:pStyle w:val="TableParagraph"/>
              <w:spacing w:line="302" w:lineRule="exact"/>
              <w:ind w:left="224" w:right="0"/>
              <w:jc w:val="both"/>
              <w:rPr>
                <w:rFonts w:ascii="宋体" w:hAnsi="宋体" w:cs="宋体" w:eastAsia="宋体" w:hint="default"/>
                <w:sz w:val="24"/>
                <w:szCs w:val="24"/>
              </w:rPr>
            </w:pPr>
            <w:r>
              <w:rPr>
                <w:rFonts w:ascii="宋体" w:hAnsi="宋体" w:cs="宋体" w:eastAsia="宋体" w:hint="default"/>
                <w:sz w:val="24"/>
                <w:szCs w:val="24"/>
              </w:rPr>
              <w:t>日，本公司预付部分上述款项</w:t>
            </w:r>
            <w:r>
              <w:rPr>
                <w:rFonts w:ascii="宋体" w:hAnsi="宋体" w:cs="宋体" w:eastAsia="宋体" w:hint="default"/>
                <w:spacing w:val="-39"/>
                <w:sz w:val="24"/>
                <w:szCs w:val="24"/>
              </w:rPr>
              <w:t> </w:t>
            </w:r>
            <w:r>
              <w:rPr>
                <w:rFonts w:ascii="Arial" w:hAnsi="Arial" w:cs="Arial" w:eastAsia="Arial" w:hint="default"/>
                <w:sz w:val="24"/>
                <w:szCs w:val="24"/>
              </w:rPr>
              <w:t>990</w:t>
            </w:r>
            <w:r>
              <w:rPr>
                <w:rFonts w:ascii="Arial" w:hAnsi="Arial" w:cs="Arial" w:eastAsia="Arial" w:hint="default"/>
                <w:spacing w:val="15"/>
                <w:sz w:val="24"/>
                <w:szCs w:val="24"/>
              </w:rPr>
              <w:t> </w:t>
            </w:r>
            <w:r>
              <w:rPr>
                <w:rFonts w:ascii="宋体" w:hAnsi="宋体" w:cs="宋体" w:eastAsia="宋体" w:hint="default"/>
                <w:sz w:val="24"/>
                <w:szCs w:val="24"/>
              </w:rPr>
              <w:t>万美元</w:t>
            </w:r>
            <w:r>
              <w:rPr>
                <w:rFonts w:ascii="Arial" w:hAnsi="Arial" w:cs="Arial" w:eastAsia="Arial" w:hint="default"/>
                <w:sz w:val="24"/>
                <w:szCs w:val="24"/>
              </w:rPr>
              <w:t>(</w:t>
            </w:r>
            <w:r>
              <w:rPr>
                <w:rFonts w:ascii="宋体" w:hAnsi="宋体" w:cs="宋体" w:eastAsia="宋体" w:hint="default"/>
                <w:sz w:val="24"/>
                <w:szCs w:val="24"/>
              </w:rPr>
              <w:t>折合人民币</w:t>
            </w:r>
            <w:r>
              <w:rPr>
                <w:rFonts w:ascii="宋体" w:hAnsi="宋体" w:cs="宋体" w:eastAsia="宋体" w:hint="default"/>
                <w:spacing w:val="-39"/>
                <w:sz w:val="24"/>
                <w:szCs w:val="24"/>
              </w:rPr>
              <w:t> </w:t>
            </w:r>
            <w:r>
              <w:rPr>
                <w:rFonts w:ascii="Arial" w:hAnsi="Arial" w:cs="Arial" w:eastAsia="Arial" w:hint="default"/>
                <w:sz w:val="24"/>
                <w:szCs w:val="24"/>
              </w:rPr>
              <w:t>6,278</w:t>
            </w:r>
            <w:r>
              <w:rPr>
                <w:rFonts w:ascii="Arial" w:hAnsi="Arial" w:cs="Arial" w:eastAsia="Arial" w:hint="default"/>
                <w:spacing w:val="16"/>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，剩余款</w:t>
            </w:r>
          </w:p>
          <w:p>
            <w:pPr>
              <w:pStyle w:val="TableParagraph"/>
              <w:spacing w:line="322" w:lineRule="exact"/>
              <w:ind w:left="224" w:right="0"/>
              <w:jc w:val="both"/>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62"/>
                <w:sz w:val="24"/>
                <w:szCs w:val="24"/>
              </w:rPr>
              <w:t> </w:t>
            </w:r>
            <w:r>
              <w:rPr>
                <w:rFonts w:ascii="Arial" w:hAnsi="Arial" w:cs="Arial" w:eastAsia="Arial" w:hint="default"/>
                <w:sz w:val="24"/>
                <w:szCs w:val="24"/>
              </w:rPr>
              <w:t>5,610</w:t>
            </w:r>
            <w:r>
              <w:rPr>
                <w:rFonts w:ascii="Arial" w:hAnsi="Arial" w:cs="Arial" w:eastAsia="Arial" w:hint="default"/>
                <w:spacing w:val="-8"/>
                <w:sz w:val="24"/>
                <w:szCs w:val="24"/>
              </w:rPr>
              <w:t> </w:t>
            </w:r>
            <w:r>
              <w:rPr>
                <w:rFonts w:ascii="宋体" w:hAnsi="宋体" w:cs="宋体" w:eastAsia="宋体" w:hint="default"/>
                <w:sz w:val="24"/>
                <w:szCs w:val="24"/>
              </w:rPr>
              <w:t>万美元</w:t>
            </w:r>
            <w:r>
              <w:rPr>
                <w:rFonts w:ascii="Arial" w:hAnsi="Arial" w:cs="Arial" w:eastAsia="Arial" w:hint="default"/>
                <w:sz w:val="24"/>
                <w:szCs w:val="24"/>
              </w:rPr>
              <w:t>(</w:t>
            </w:r>
            <w:r>
              <w:rPr>
                <w:rFonts w:ascii="宋体" w:hAnsi="宋体" w:cs="宋体" w:eastAsia="宋体" w:hint="default"/>
                <w:sz w:val="24"/>
                <w:szCs w:val="24"/>
              </w:rPr>
              <w:t>折合人民币</w:t>
            </w:r>
            <w:r>
              <w:rPr>
                <w:rFonts w:ascii="宋体" w:hAnsi="宋体" w:cs="宋体" w:eastAsia="宋体" w:hint="default"/>
                <w:spacing w:val="-62"/>
                <w:sz w:val="24"/>
                <w:szCs w:val="24"/>
              </w:rPr>
              <w:t> </w:t>
            </w:r>
            <w:r>
              <w:rPr>
                <w:rFonts w:ascii="Arial" w:hAnsi="Arial" w:cs="Arial" w:eastAsia="Arial" w:hint="default"/>
                <w:sz w:val="24"/>
                <w:szCs w:val="24"/>
              </w:rPr>
              <w:t>3.53</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尚未支付。</w:t>
            </w:r>
          </w:p>
        </w:tc>
      </w:tr>
      <w:tr>
        <w:trPr>
          <w:trHeight w:val="745"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2"/>
              <w:jc w:val="center"/>
              <w:rPr>
                <w:rFonts w:ascii="Arial" w:hAnsi="Arial" w:cs="Arial" w:eastAsia="Arial" w:hint="default"/>
                <w:sz w:val="24"/>
                <w:szCs w:val="24"/>
              </w:rPr>
            </w:pPr>
            <w:r>
              <w:rPr>
                <w:rFonts w:ascii="Arial"/>
                <w:sz w:val="24"/>
              </w:rPr>
              <w:t>(4)</w:t>
            </w:r>
          </w:p>
        </w:tc>
        <w:tc>
          <w:tcPr>
            <w:tcW w:w="8403"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24" w:right="0"/>
              <w:jc w:val="left"/>
              <w:rPr>
                <w:rFonts w:ascii="黑体" w:hAnsi="黑体" w:cs="黑体" w:eastAsia="黑体" w:hint="default"/>
                <w:sz w:val="24"/>
                <w:szCs w:val="24"/>
              </w:rPr>
            </w:pPr>
            <w:r>
              <w:rPr>
                <w:rFonts w:ascii="黑体" w:hAnsi="黑体" w:cs="黑体" w:eastAsia="黑体" w:hint="default"/>
                <w:sz w:val="24"/>
                <w:szCs w:val="24"/>
              </w:rPr>
              <w:t>前期承诺履行情况</w:t>
            </w:r>
          </w:p>
        </w:tc>
      </w:tr>
      <w:tr>
        <w:trPr>
          <w:trHeight w:val="803" w:hRule="exact"/>
        </w:trPr>
        <w:tc>
          <w:tcPr>
            <w:tcW w:w="717" w:type="dxa"/>
            <w:tcBorders>
              <w:top w:val="nil" w:sz="6" w:space="0" w:color="auto"/>
              <w:left w:val="nil" w:sz="6" w:space="0" w:color="auto"/>
              <w:bottom w:val="nil" w:sz="6" w:space="0" w:color="auto"/>
              <w:right w:val="nil" w:sz="6" w:space="0" w:color="auto"/>
            </w:tcBorders>
          </w:tcPr>
          <w:p>
            <w:pPr/>
          </w:p>
        </w:tc>
        <w:tc>
          <w:tcPr>
            <w:tcW w:w="8403"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224" w:right="200"/>
              <w:jc w:val="left"/>
              <w:rPr>
                <w:rFonts w:ascii="宋体" w:hAnsi="宋体" w:cs="宋体" w:eastAsia="宋体" w:hint="default"/>
                <w:sz w:val="24"/>
                <w:szCs w:val="24"/>
              </w:rPr>
            </w:pPr>
            <w:r>
              <w:rPr>
                <w:rFonts w:ascii="宋体" w:hAnsi="宋体" w:cs="宋体" w:eastAsia="宋体" w:hint="default"/>
                <w:sz w:val="24"/>
                <w:szCs w:val="24"/>
              </w:rPr>
              <w:t>本集团</w:t>
            </w:r>
            <w:r>
              <w:rPr>
                <w:rFonts w:ascii="宋体" w:hAnsi="宋体" w:cs="宋体" w:eastAsia="宋体" w:hint="default"/>
                <w:spacing w:val="-47"/>
                <w:sz w:val="24"/>
                <w:szCs w:val="24"/>
              </w:rPr>
              <w:t> </w:t>
            </w:r>
            <w:r>
              <w:rPr>
                <w:rFonts w:ascii="Arial" w:hAnsi="Arial" w:cs="Arial" w:eastAsia="Arial" w:hint="default"/>
                <w:spacing w:val="-5"/>
                <w:sz w:val="24"/>
                <w:szCs w:val="24"/>
              </w:rPr>
              <w:t>2011</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49"/>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日之资本性支出承诺及经营租赁承诺已按照之前承 诺履行。</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25"/>
        <w:gridCol w:w="1952"/>
        <w:gridCol w:w="2757"/>
        <w:gridCol w:w="1908"/>
        <w:gridCol w:w="1775"/>
      </w:tblGrid>
      <w:tr>
        <w:trPr>
          <w:trHeight w:val="491"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40" w:lineRule="exact"/>
              <w:ind w:right="82"/>
              <w:jc w:val="center"/>
              <w:rPr>
                <w:rFonts w:ascii="黑体" w:hAnsi="黑体" w:cs="黑体" w:eastAsia="黑体" w:hint="default"/>
                <w:sz w:val="24"/>
                <w:szCs w:val="24"/>
              </w:rPr>
            </w:pPr>
            <w:r>
              <w:rPr>
                <w:rFonts w:ascii="黑体" w:hAnsi="黑体" w:cs="黑体" w:eastAsia="黑体" w:hint="default"/>
                <w:sz w:val="24"/>
                <w:szCs w:val="24"/>
              </w:rPr>
              <w:t>九</w:t>
            </w:r>
          </w:p>
        </w:tc>
        <w:tc>
          <w:tcPr>
            <w:tcW w:w="4708"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231" w:right="0"/>
              <w:jc w:val="left"/>
              <w:rPr>
                <w:rFonts w:ascii="黑体" w:hAnsi="黑体" w:cs="黑体" w:eastAsia="黑体" w:hint="default"/>
                <w:sz w:val="24"/>
                <w:szCs w:val="24"/>
              </w:rPr>
            </w:pPr>
            <w:r>
              <w:rPr>
                <w:rFonts w:ascii="黑体" w:hAnsi="黑体" w:cs="黑体" w:eastAsia="黑体" w:hint="default"/>
                <w:sz w:val="24"/>
                <w:szCs w:val="24"/>
              </w:rPr>
              <w:t>资产负债表日后事项</w:t>
            </w:r>
          </w:p>
        </w:tc>
        <w:tc>
          <w:tcPr>
            <w:tcW w:w="1908"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r>
      <w:tr>
        <w:trPr>
          <w:trHeight w:val="751"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9"/>
              <w:jc w:val="center"/>
              <w:rPr>
                <w:rFonts w:ascii="Arial" w:hAnsi="Arial" w:cs="Arial" w:eastAsia="Arial" w:hint="default"/>
                <w:sz w:val="24"/>
                <w:szCs w:val="24"/>
              </w:rPr>
            </w:pPr>
            <w:r>
              <w:rPr>
                <w:rFonts w:ascii="Arial"/>
                <w:sz w:val="24"/>
              </w:rPr>
              <w:t>(1)</w:t>
            </w:r>
          </w:p>
        </w:tc>
        <w:tc>
          <w:tcPr>
            <w:tcW w:w="47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4"/>
              <w:ind w:left="231" w:right="0"/>
              <w:jc w:val="left"/>
              <w:rPr>
                <w:rFonts w:ascii="黑体" w:hAnsi="黑体" w:cs="黑体" w:eastAsia="黑体" w:hint="default"/>
                <w:sz w:val="24"/>
                <w:szCs w:val="24"/>
              </w:rPr>
            </w:pPr>
            <w:r>
              <w:rPr>
                <w:rFonts w:ascii="黑体" w:hAnsi="黑体" w:cs="黑体" w:eastAsia="黑体" w:hint="default"/>
                <w:sz w:val="24"/>
                <w:szCs w:val="24"/>
              </w:rPr>
              <w:t>重要的资产负债表日后事项说明</w:t>
            </w:r>
          </w:p>
        </w:tc>
        <w:tc>
          <w:tcPr>
            <w:tcW w:w="1908"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r>
      <w:tr>
        <w:trPr>
          <w:trHeight w:val="1370" w:hRule="exact"/>
        </w:trPr>
        <w:tc>
          <w:tcPr>
            <w:tcW w:w="725"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31"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2757"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89"/>
              <w:jc w:val="right"/>
              <w:rPr>
                <w:rFonts w:ascii="宋体" w:hAnsi="宋体" w:cs="宋体" w:eastAsia="宋体" w:hint="default"/>
                <w:sz w:val="24"/>
                <w:szCs w:val="24"/>
              </w:rPr>
            </w:pPr>
            <w:r>
              <w:rPr>
                <w:rFonts w:ascii="宋体" w:hAnsi="宋体" w:cs="宋体" w:eastAsia="宋体" w:hint="default"/>
                <w:sz w:val="24"/>
                <w:szCs w:val="24"/>
              </w:rPr>
              <w:t>内容</w:t>
            </w:r>
          </w:p>
        </w:tc>
        <w:tc>
          <w:tcPr>
            <w:tcW w:w="1908"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331" w:right="135"/>
              <w:jc w:val="right"/>
              <w:rPr>
                <w:rFonts w:ascii="宋体" w:hAnsi="宋体" w:cs="宋体" w:eastAsia="宋体" w:hint="default"/>
                <w:sz w:val="24"/>
                <w:szCs w:val="24"/>
              </w:rPr>
            </w:pPr>
            <w:r>
              <w:rPr>
                <w:rFonts w:ascii="宋体" w:hAnsi="宋体" w:cs="宋体" w:eastAsia="宋体" w:hint="default"/>
                <w:sz w:val="24"/>
                <w:szCs w:val="24"/>
              </w:rPr>
              <w:t>对财务状况和 经营成果的影</w:t>
            </w:r>
          </w:p>
          <w:p>
            <w:pPr>
              <w:pStyle w:val="TableParagraph"/>
              <w:spacing w:line="284" w:lineRule="exact"/>
              <w:ind w:right="135"/>
              <w:jc w:val="right"/>
              <w:rPr>
                <w:rFonts w:ascii="宋体" w:hAnsi="宋体" w:cs="宋体" w:eastAsia="宋体" w:hint="default"/>
                <w:sz w:val="24"/>
                <w:szCs w:val="24"/>
              </w:rPr>
            </w:pPr>
            <w:r>
              <w:rPr>
                <w:rFonts w:ascii="宋体" w:hAnsi="宋体" w:cs="宋体" w:eastAsia="宋体" w:hint="default"/>
                <w:sz w:val="24"/>
                <w:szCs w:val="24"/>
              </w:rPr>
              <w:t>响数</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34" w:right="0"/>
              <w:jc w:val="left"/>
              <w:rPr>
                <w:rFonts w:ascii="宋体" w:hAnsi="宋体" w:cs="宋体" w:eastAsia="宋体" w:hint="default"/>
                <w:sz w:val="24"/>
                <w:szCs w:val="24"/>
              </w:rPr>
            </w:pPr>
            <w:r>
              <w:rPr>
                <w:rFonts w:ascii="宋体" w:hAnsi="宋体" w:cs="宋体" w:eastAsia="宋体" w:hint="default"/>
                <w:sz w:val="24"/>
                <w:szCs w:val="24"/>
              </w:rPr>
              <w:t>无法估计影响</w:t>
            </w:r>
          </w:p>
          <w:p>
            <w:pPr>
              <w:pStyle w:val="TableParagraph"/>
              <w:spacing w:line="240" w:lineRule="auto" w:before="36"/>
              <w:ind w:left="614" w:right="0"/>
              <w:jc w:val="left"/>
              <w:rPr>
                <w:rFonts w:ascii="宋体" w:hAnsi="宋体" w:cs="宋体" w:eastAsia="宋体" w:hint="default"/>
                <w:sz w:val="24"/>
                <w:szCs w:val="24"/>
              </w:rPr>
            </w:pPr>
            <w:r>
              <w:rPr>
                <w:rFonts w:ascii="宋体" w:hAnsi="宋体" w:cs="宋体" w:eastAsia="宋体" w:hint="default"/>
                <w:sz w:val="24"/>
                <w:szCs w:val="24"/>
              </w:rPr>
              <w:t>数的原因</w:t>
            </w:r>
          </w:p>
        </w:tc>
      </w:tr>
      <w:tr>
        <w:trPr>
          <w:trHeight w:val="1452" w:hRule="exact"/>
        </w:trPr>
        <w:tc>
          <w:tcPr>
            <w:tcW w:w="725"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231" w:right="0"/>
              <w:jc w:val="left"/>
              <w:rPr>
                <w:rFonts w:ascii="宋体" w:hAnsi="宋体" w:cs="宋体" w:eastAsia="宋体" w:hint="default"/>
                <w:sz w:val="24"/>
                <w:szCs w:val="24"/>
              </w:rPr>
            </w:pPr>
            <w:r>
              <w:rPr>
                <w:rFonts w:ascii="宋体" w:hAnsi="宋体" w:cs="宋体" w:eastAsia="宋体" w:hint="default"/>
                <w:sz w:val="24"/>
                <w:szCs w:val="24"/>
              </w:rPr>
              <w:t>偿还应付款项</w:t>
            </w:r>
          </w:p>
          <w:p>
            <w:pPr>
              <w:pStyle w:val="TableParagraph"/>
              <w:spacing w:line="240" w:lineRule="auto" w:before="36"/>
              <w:ind w:left="231"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(22)(c))</w:t>
            </w:r>
          </w:p>
          <w:p>
            <w:pPr>
              <w:pStyle w:val="TableParagraph"/>
              <w:spacing w:line="240" w:lineRule="auto" w:before="19"/>
              <w:ind w:left="231"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(27)(c))</w:t>
            </w:r>
          </w:p>
        </w:tc>
        <w:tc>
          <w:tcPr>
            <w:tcW w:w="2757" w:type="dxa"/>
            <w:tcBorders>
              <w:top w:val="nil" w:sz="6" w:space="0" w:color="auto"/>
              <w:left w:val="nil" w:sz="6" w:space="0" w:color="auto"/>
              <w:bottom w:val="nil" w:sz="6" w:space="0" w:color="auto"/>
              <w:right w:val="nil" w:sz="6" w:space="0" w:color="auto"/>
            </w:tcBorders>
          </w:tcPr>
          <w:p>
            <w:pPr>
              <w:pStyle w:val="TableParagraph"/>
              <w:spacing w:line="310" w:lineRule="exact" w:before="213"/>
              <w:ind w:left="265" w:right="89" w:hanging="130"/>
              <w:jc w:val="right"/>
              <w:rPr>
                <w:rFonts w:ascii="宋体" w:hAnsi="宋体" w:cs="宋体" w:eastAsia="宋体" w:hint="default"/>
                <w:sz w:val="24"/>
                <w:szCs w:val="24"/>
              </w:rPr>
            </w:pPr>
            <w:r>
              <w:rPr>
                <w:rFonts w:ascii="宋体" w:hAnsi="宋体" w:cs="宋体" w:eastAsia="宋体" w:hint="default"/>
                <w:spacing w:val="-11"/>
                <w:sz w:val="24"/>
                <w:szCs w:val="24"/>
              </w:rPr>
              <w:t>偿还的应付款项中，包含</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账龄超过一年的大额应</w:t>
            </w:r>
          </w:p>
          <w:p>
            <w:pPr>
              <w:pStyle w:val="TableParagraph"/>
              <w:spacing w:line="284" w:lineRule="exact"/>
              <w:ind w:right="89"/>
              <w:jc w:val="right"/>
              <w:rPr>
                <w:rFonts w:ascii="宋体" w:hAnsi="宋体" w:cs="宋体" w:eastAsia="宋体" w:hint="default"/>
                <w:sz w:val="24"/>
                <w:szCs w:val="24"/>
              </w:rPr>
            </w:pPr>
            <w:r>
              <w:rPr>
                <w:rFonts w:ascii="宋体" w:hAnsi="宋体" w:cs="宋体" w:eastAsia="宋体" w:hint="default"/>
                <w:sz w:val="24"/>
                <w:szCs w:val="24"/>
              </w:rPr>
              <w:t>付款项</w:t>
            </w:r>
          </w:p>
        </w:tc>
        <w:tc>
          <w:tcPr>
            <w:tcW w:w="1908" w:type="dxa"/>
            <w:tcBorders>
              <w:top w:val="nil" w:sz="6" w:space="0" w:color="auto"/>
              <w:left w:val="nil" w:sz="6" w:space="0" w:color="auto"/>
              <w:bottom w:val="nil" w:sz="6" w:space="0" w:color="auto"/>
              <w:right w:val="nil" w:sz="6" w:space="0" w:color="auto"/>
            </w:tcBorders>
          </w:tcPr>
          <w:p>
            <w:pPr>
              <w:pStyle w:val="TableParagraph"/>
              <w:spacing w:line="268" w:lineRule="auto" w:before="180"/>
              <w:ind w:left="571" w:right="132" w:hanging="480"/>
              <w:jc w:val="both"/>
              <w:rPr>
                <w:rFonts w:ascii="宋体" w:hAnsi="宋体" w:cs="宋体" w:eastAsia="宋体" w:hint="default"/>
                <w:sz w:val="24"/>
                <w:szCs w:val="24"/>
              </w:rPr>
            </w:pPr>
            <w:r>
              <w:rPr>
                <w:rFonts w:ascii="宋体" w:hAnsi="宋体" w:cs="宋体" w:eastAsia="宋体" w:hint="default"/>
                <w:sz w:val="24"/>
                <w:szCs w:val="24"/>
              </w:rPr>
              <w:t>资产和负债同时 减少人民币 </w:t>
            </w:r>
            <w:r>
              <w:rPr>
                <w:rFonts w:ascii="Arial" w:hAnsi="Arial" w:cs="Arial" w:eastAsia="Arial" w:hint="default"/>
                <w:sz w:val="24"/>
                <w:szCs w:val="24"/>
              </w:rPr>
              <w:t>7,068</w:t>
            </w:r>
            <w:r>
              <w:rPr>
                <w:rFonts w:ascii="Arial" w:hAnsi="Arial" w:cs="Arial" w:eastAsia="Arial" w:hint="default"/>
                <w:spacing w:val="-9"/>
                <w:sz w:val="24"/>
                <w:szCs w:val="24"/>
              </w:rPr>
              <w:t> </w:t>
            </w:r>
            <w:r>
              <w:rPr>
                <w:rFonts w:ascii="宋体" w:hAnsi="宋体" w:cs="宋体" w:eastAsia="宋体" w:hint="default"/>
                <w:sz w:val="24"/>
                <w:szCs w:val="24"/>
              </w:rPr>
              <w:t>万元</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1114" w:hRule="exact"/>
        </w:trPr>
        <w:tc>
          <w:tcPr>
            <w:tcW w:w="725"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31" w:right="0"/>
              <w:jc w:val="left"/>
              <w:rPr>
                <w:rFonts w:ascii="宋体" w:hAnsi="宋体" w:cs="宋体" w:eastAsia="宋体" w:hint="default"/>
                <w:sz w:val="24"/>
                <w:szCs w:val="24"/>
              </w:rPr>
            </w:pPr>
            <w:r>
              <w:rPr>
                <w:rFonts w:ascii="宋体" w:hAnsi="宋体" w:cs="宋体" w:eastAsia="宋体" w:hint="default"/>
                <w:sz w:val="24"/>
                <w:szCs w:val="24"/>
              </w:rPr>
              <w:t>结转预收款项</w:t>
            </w:r>
          </w:p>
          <w:p>
            <w:pPr>
              <w:pStyle w:val="TableParagraph"/>
              <w:spacing w:line="240" w:lineRule="auto" w:before="36"/>
              <w:ind w:left="231"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(23)(c))</w:t>
            </w:r>
          </w:p>
        </w:tc>
        <w:tc>
          <w:tcPr>
            <w:tcW w:w="2757" w:type="dxa"/>
            <w:tcBorders>
              <w:top w:val="nil" w:sz="6" w:space="0" w:color="auto"/>
              <w:left w:val="nil" w:sz="6" w:space="0" w:color="auto"/>
              <w:bottom w:val="nil" w:sz="6" w:space="0" w:color="auto"/>
              <w:right w:val="nil" w:sz="6" w:space="0" w:color="auto"/>
            </w:tcBorders>
          </w:tcPr>
          <w:p>
            <w:pPr>
              <w:pStyle w:val="TableParagraph"/>
              <w:spacing w:line="310" w:lineRule="exact" w:before="210"/>
              <w:ind w:left="265" w:right="89" w:hanging="130"/>
              <w:jc w:val="right"/>
              <w:rPr>
                <w:rFonts w:ascii="宋体" w:hAnsi="宋体" w:cs="宋体" w:eastAsia="宋体" w:hint="default"/>
                <w:sz w:val="24"/>
                <w:szCs w:val="24"/>
              </w:rPr>
            </w:pPr>
            <w:r>
              <w:rPr>
                <w:rFonts w:ascii="宋体" w:hAnsi="宋体" w:cs="宋体" w:eastAsia="宋体" w:hint="default"/>
                <w:spacing w:val="-11"/>
                <w:sz w:val="24"/>
                <w:szCs w:val="24"/>
              </w:rPr>
              <w:t>实现结转的收入中，包含</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超过一年的大额预收款</w:t>
            </w:r>
          </w:p>
          <w:p>
            <w:pPr>
              <w:pStyle w:val="TableParagraph"/>
              <w:spacing w:line="284" w:lineRule="exact"/>
              <w:ind w:right="89"/>
              <w:jc w:val="right"/>
              <w:rPr>
                <w:rFonts w:ascii="宋体" w:hAnsi="宋体" w:cs="宋体" w:eastAsia="宋体" w:hint="default"/>
                <w:sz w:val="24"/>
                <w:szCs w:val="24"/>
              </w:rPr>
            </w:pPr>
            <w:r>
              <w:rPr>
                <w:rFonts w:ascii="宋体" w:hAnsi="宋体" w:cs="宋体" w:eastAsia="宋体" w:hint="default"/>
                <w:sz w:val="24"/>
                <w:szCs w:val="24"/>
              </w:rPr>
              <w:t>项</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91" w:right="0"/>
              <w:jc w:val="left"/>
              <w:rPr>
                <w:rFonts w:ascii="宋体" w:hAnsi="宋体" w:cs="宋体" w:eastAsia="宋体" w:hint="default"/>
                <w:sz w:val="24"/>
                <w:szCs w:val="24"/>
              </w:rPr>
            </w:pPr>
            <w:r>
              <w:rPr>
                <w:rFonts w:ascii="宋体" w:hAnsi="宋体" w:cs="宋体" w:eastAsia="宋体" w:hint="default"/>
                <w:sz w:val="24"/>
                <w:szCs w:val="24"/>
              </w:rPr>
              <w:t>增加收入人民币</w:t>
            </w:r>
          </w:p>
          <w:p>
            <w:pPr>
              <w:pStyle w:val="TableParagraph"/>
              <w:spacing w:line="240" w:lineRule="auto" w:before="36"/>
              <w:ind w:left="631" w:right="0"/>
              <w:jc w:val="left"/>
              <w:rPr>
                <w:rFonts w:ascii="宋体" w:hAnsi="宋体" w:cs="宋体" w:eastAsia="宋体" w:hint="default"/>
                <w:sz w:val="24"/>
                <w:szCs w:val="24"/>
              </w:rPr>
            </w:pPr>
            <w:r>
              <w:rPr>
                <w:rFonts w:ascii="Arial" w:hAnsi="Arial" w:cs="Arial" w:eastAsia="Arial" w:hint="default"/>
                <w:sz w:val="24"/>
                <w:szCs w:val="24"/>
              </w:rPr>
              <w:t>7,765</w:t>
            </w:r>
            <w:r>
              <w:rPr>
                <w:rFonts w:ascii="Arial" w:hAnsi="Arial" w:cs="Arial" w:eastAsia="Arial" w:hint="default"/>
                <w:spacing w:val="-8"/>
                <w:sz w:val="24"/>
                <w:szCs w:val="24"/>
              </w:rPr>
              <w:t> </w:t>
            </w:r>
            <w:r>
              <w:rPr>
                <w:rFonts w:ascii="宋体" w:hAnsi="宋体" w:cs="宋体" w:eastAsia="宋体" w:hint="default"/>
                <w:sz w:val="24"/>
                <w:szCs w:val="24"/>
              </w:rPr>
              <w:t>万元</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Arial" w:hAnsi="Arial" w:cs="Arial" w:eastAsia="Arial" w:hint="default"/>
                <w:sz w:val="24"/>
                <w:szCs w:val="24"/>
              </w:rPr>
            </w:pPr>
            <w:r>
              <w:rPr>
                <w:rFonts w:ascii="Arial"/>
                <w:w w:val="99"/>
                <w:sz w:val="24"/>
              </w:rPr>
              <w:t>-</w:t>
            </w:r>
            <w:r>
              <w:rPr>
                <w:rFonts w:ascii="Arial"/>
                <w:sz w:val="24"/>
              </w:rPr>
            </w:r>
          </w:p>
        </w:tc>
      </w:tr>
    </w:tbl>
    <w:p>
      <w:pPr>
        <w:spacing w:after="0" w:line="240" w:lineRule="auto"/>
        <w:jc w:val="right"/>
        <w:rPr>
          <w:rFonts w:ascii="Arial" w:hAnsi="Arial" w:cs="Arial" w:eastAsia="Arial"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25"/>
        <w:gridCol w:w="1265"/>
        <w:gridCol w:w="3712"/>
        <w:gridCol w:w="1639"/>
        <w:gridCol w:w="1684"/>
      </w:tblGrid>
      <w:tr>
        <w:trPr>
          <w:trHeight w:val="497"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40" w:lineRule="exact"/>
              <w:ind w:right="82"/>
              <w:jc w:val="center"/>
              <w:rPr>
                <w:rFonts w:ascii="黑体" w:hAnsi="黑体" w:cs="黑体" w:eastAsia="黑体" w:hint="default"/>
                <w:sz w:val="24"/>
                <w:szCs w:val="24"/>
              </w:rPr>
            </w:pPr>
            <w:r>
              <w:rPr>
                <w:rFonts w:ascii="黑体" w:hAnsi="黑体" w:cs="黑体" w:eastAsia="黑体" w:hint="default"/>
                <w:sz w:val="24"/>
                <w:szCs w:val="24"/>
              </w:rPr>
              <w:t>九</w:t>
            </w:r>
          </w:p>
        </w:tc>
        <w:tc>
          <w:tcPr>
            <w:tcW w:w="4977"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231" w:right="0"/>
              <w:jc w:val="left"/>
              <w:rPr>
                <w:rFonts w:ascii="Arial" w:hAnsi="Arial" w:cs="Arial" w:eastAsia="Arial" w:hint="default"/>
                <w:sz w:val="24"/>
                <w:szCs w:val="24"/>
              </w:rPr>
            </w:pPr>
            <w:r>
              <w:rPr>
                <w:rFonts w:ascii="黑体" w:hAnsi="黑体" w:cs="黑体" w:eastAsia="黑体" w:hint="default"/>
                <w:sz w:val="24"/>
                <w:szCs w:val="24"/>
              </w:rPr>
              <w:t>资产负债表日后事项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39"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
        </w:tc>
      </w:tr>
      <w:tr>
        <w:trPr>
          <w:trHeight w:val="751"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9"/>
              <w:jc w:val="center"/>
              <w:rPr>
                <w:rFonts w:ascii="Arial" w:hAnsi="Arial" w:cs="Arial" w:eastAsia="Arial" w:hint="default"/>
                <w:sz w:val="24"/>
                <w:szCs w:val="24"/>
              </w:rPr>
            </w:pPr>
            <w:r>
              <w:rPr>
                <w:rFonts w:ascii="Arial"/>
                <w:sz w:val="24"/>
              </w:rPr>
              <w:t>(1)</w:t>
            </w:r>
          </w:p>
        </w:tc>
        <w:tc>
          <w:tcPr>
            <w:tcW w:w="49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8"/>
              <w:ind w:left="231" w:right="0"/>
              <w:jc w:val="left"/>
              <w:rPr>
                <w:rFonts w:ascii="Arial" w:hAnsi="Arial" w:cs="Arial" w:eastAsia="Arial" w:hint="default"/>
                <w:sz w:val="24"/>
                <w:szCs w:val="24"/>
              </w:rPr>
            </w:pPr>
            <w:r>
              <w:rPr>
                <w:rFonts w:ascii="黑体" w:hAnsi="黑体" w:cs="黑体" w:eastAsia="黑体" w:hint="default"/>
                <w:sz w:val="24"/>
                <w:szCs w:val="24"/>
              </w:rPr>
              <w:t>重要的资产负债表日后事项说明</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39"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
        </w:tc>
      </w:tr>
      <w:tr>
        <w:trPr>
          <w:trHeight w:val="1377" w:hRule="exact"/>
        </w:trPr>
        <w:tc>
          <w:tcPr>
            <w:tcW w:w="72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31"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3712"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64" w:right="0"/>
              <w:jc w:val="center"/>
              <w:rPr>
                <w:rFonts w:ascii="宋体" w:hAnsi="宋体" w:cs="宋体" w:eastAsia="宋体" w:hint="default"/>
                <w:sz w:val="24"/>
                <w:szCs w:val="24"/>
              </w:rPr>
            </w:pPr>
            <w:r>
              <w:rPr>
                <w:rFonts w:ascii="宋体" w:hAnsi="宋体" w:cs="宋体" w:eastAsia="宋体" w:hint="default"/>
                <w:sz w:val="24"/>
                <w:szCs w:val="24"/>
              </w:rPr>
              <w:t>内容</w:t>
            </w:r>
          </w:p>
        </w:tc>
        <w:tc>
          <w:tcPr>
            <w:tcW w:w="1639" w:type="dxa"/>
            <w:tcBorders>
              <w:top w:val="nil" w:sz="6" w:space="0" w:color="auto"/>
              <w:left w:val="nil" w:sz="6" w:space="0" w:color="auto"/>
              <w:bottom w:val="nil" w:sz="6" w:space="0" w:color="auto"/>
              <w:right w:val="nil" w:sz="6" w:space="0" w:color="auto"/>
            </w:tcBorders>
          </w:tcPr>
          <w:p>
            <w:pPr>
              <w:pStyle w:val="TableParagraph"/>
              <w:spacing w:line="237" w:lineRule="auto" w:before="176"/>
              <w:ind w:left="302" w:right="133"/>
              <w:jc w:val="right"/>
              <w:rPr>
                <w:rFonts w:ascii="宋体" w:hAnsi="宋体" w:cs="宋体" w:eastAsia="宋体" w:hint="default"/>
                <w:sz w:val="24"/>
                <w:szCs w:val="24"/>
              </w:rPr>
            </w:pPr>
            <w:r>
              <w:rPr>
                <w:rFonts w:ascii="宋体" w:hAnsi="宋体" w:cs="宋体" w:eastAsia="宋体" w:hint="default"/>
                <w:sz w:val="24"/>
                <w:szCs w:val="24"/>
              </w:rPr>
              <w:t>对财务状况 和经营成果 的影响数</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35" w:right="0"/>
              <w:jc w:val="left"/>
              <w:rPr>
                <w:rFonts w:ascii="宋体" w:hAnsi="宋体" w:cs="宋体" w:eastAsia="宋体" w:hint="default"/>
                <w:sz w:val="24"/>
                <w:szCs w:val="24"/>
              </w:rPr>
            </w:pPr>
            <w:r>
              <w:rPr>
                <w:rFonts w:ascii="宋体" w:hAnsi="宋体" w:cs="宋体" w:eastAsia="宋体" w:hint="default"/>
                <w:sz w:val="24"/>
                <w:szCs w:val="24"/>
              </w:rPr>
              <w:t>无法估计影响</w:t>
            </w:r>
          </w:p>
          <w:p>
            <w:pPr>
              <w:pStyle w:val="TableParagraph"/>
              <w:spacing w:line="240" w:lineRule="auto" w:before="36"/>
              <w:ind w:left="615" w:right="0"/>
              <w:jc w:val="left"/>
              <w:rPr>
                <w:rFonts w:ascii="宋体" w:hAnsi="宋体" w:cs="宋体" w:eastAsia="宋体" w:hint="default"/>
                <w:sz w:val="24"/>
                <w:szCs w:val="24"/>
              </w:rPr>
            </w:pPr>
            <w:r>
              <w:rPr>
                <w:rFonts w:ascii="宋体" w:hAnsi="宋体" w:cs="宋体" w:eastAsia="宋体" w:hint="default"/>
                <w:sz w:val="24"/>
                <w:szCs w:val="24"/>
              </w:rPr>
              <w:t>数的原因</w:t>
            </w:r>
          </w:p>
        </w:tc>
      </w:tr>
      <w:tr>
        <w:trPr>
          <w:trHeight w:val="3925" w:hRule="exact"/>
        </w:trPr>
        <w:tc>
          <w:tcPr>
            <w:tcW w:w="72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201"/>
              <w:ind w:left="231" w:right="0"/>
              <w:jc w:val="left"/>
              <w:rPr>
                <w:rFonts w:ascii="宋体" w:hAnsi="宋体" w:cs="宋体" w:eastAsia="宋体" w:hint="default"/>
                <w:sz w:val="24"/>
                <w:szCs w:val="24"/>
              </w:rPr>
            </w:pPr>
            <w:r>
              <w:rPr>
                <w:rFonts w:ascii="宋体" w:hAnsi="宋体" w:cs="宋体" w:eastAsia="宋体" w:hint="default"/>
                <w:sz w:val="24"/>
                <w:szCs w:val="24"/>
              </w:rPr>
              <w:t>收购业务</w:t>
            </w:r>
          </w:p>
        </w:tc>
        <w:tc>
          <w:tcPr>
            <w:tcW w:w="3712" w:type="dxa"/>
            <w:tcBorders>
              <w:top w:val="nil" w:sz="6" w:space="0" w:color="auto"/>
              <w:left w:val="nil" w:sz="6" w:space="0" w:color="auto"/>
              <w:bottom w:val="nil" w:sz="6" w:space="0" w:color="auto"/>
              <w:right w:val="nil" w:sz="6" w:space="0" w:color="auto"/>
            </w:tcBorders>
          </w:tcPr>
          <w:p>
            <w:pPr>
              <w:pStyle w:val="TableParagraph"/>
              <w:spacing w:line="232" w:lineRule="auto" w:before="209"/>
              <w:ind w:left="73" w:right="16"/>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2013</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日，红孩子公 </w:t>
            </w:r>
            <w:r>
              <w:rPr>
                <w:rFonts w:ascii="宋体" w:hAnsi="宋体" w:cs="宋体" w:eastAsia="宋体" w:hint="default"/>
                <w:spacing w:val="-28"/>
                <w:sz w:val="24"/>
                <w:szCs w:val="24"/>
              </w:rPr>
              <w:t>司在中国国内以“红孩子”、“缤购”</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pacing w:val="-5"/>
                <w:sz w:val="24"/>
                <w:szCs w:val="24"/>
              </w:rPr>
              <w:t>等品牌开展的母婴、化妆用品等产</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5"/>
                <w:sz w:val="24"/>
                <w:szCs w:val="24"/>
              </w:rPr>
              <w:t>品的销售业务、品牌与相关资产的</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收购已经通过商务部反垄断局反 垄断审查并于</w:t>
            </w:r>
            <w:r>
              <w:rPr>
                <w:rFonts w:ascii="宋体" w:hAnsi="宋体" w:cs="宋体" w:eastAsia="宋体" w:hint="default"/>
                <w:spacing w:val="-63"/>
                <w:sz w:val="24"/>
                <w:szCs w:val="24"/>
              </w:rPr>
              <w:t> </w:t>
            </w: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Arial" w:hAnsi="Arial" w:cs="Arial" w:eastAsia="Arial" w:hint="default"/>
                <w:sz w:val="24"/>
                <w:szCs w:val="24"/>
              </w:rPr>
              <w:t>2</w:t>
            </w:r>
            <w:r>
              <w:rPr>
                <w:rFonts w:ascii="Arial" w:hAnsi="Arial" w:cs="Arial" w:eastAsia="Arial" w:hint="default"/>
                <w:spacing w:val="-10"/>
                <w:sz w:val="24"/>
                <w:szCs w:val="24"/>
              </w:rPr>
              <w:t> </w:t>
            </w:r>
            <w:r>
              <w:rPr>
                <w:rFonts w:ascii="宋体" w:hAnsi="宋体" w:cs="宋体" w:eastAsia="宋体" w:hint="default"/>
                <w:sz w:val="24"/>
                <w:szCs w:val="24"/>
              </w:rPr>
              <w:t>月支付部 分收购对价。</w:t>
            </w:r>
          </w:p>
        </w:tc>
        <w:tc>
          <w:tcPr>
            <w:tcW w:w="1639" w:type="dxa"/>
            <w:tcBorders>
              <w:top w:val="nil" w:sz="6" w:space="0" w:color="auto"/>
              <w:left w:val="nil" w:sz="6" w:space="0" w:color="auto"/>
              <w:bottom w:val="nil" w:sz="6" w:space="0" w:color="auto"/>
              <w:right w:val="nil" w:sz="6" w:space="0" w:color="auto"/>
            </w:tcBorders>
          </w:tcPr>
          <w:p>
            <w:pPr>
              <w:pStyle w:val="TableParagraph"/>
              <w:spacing w:line="232" w:lineRule="auto" w:before="209"/>
              <w:ind w:left="-19" w:right="200"/>
              <w:jc w:val="left"/>
              <w:rPr>
                <w:rFonts w:ascii="宋体" w:hAnsi="宋体" w:cs="宋体" w:eastAsia="宋体" w:hint="default"/>
                <w:sz w:val="24"/>
                <w:szCs w:val="24"/>
              </w:rPr>
            </w:pPr>
            <w:r>
              <w:rPr>
                <w:rFonts w:ascii="宋体" w:hAnsi="宋体" w:cs="宋体" w:eastAsia="宋体" w:hint="default"/>
                <w:sz w:val="24"/>
                <w:szCs w:val="24"/>
              </w:rPr>
              <w:t>确认其他非流 动资产</w:t>
            </w:r>
            <w:r>
              <w:rPr>
                <w:rFonts w:ascii="Arial" w:hAnsi="Arial" w:cs="Arial" w:eastAsia="Arial" w:hint="default"/>
                <w:sz w:val="24"/>
                <w:szCs w:val="24"/>
              </w:rPr>
              <w:t>2,310</w:t>
            </w:r>
            <w:r>
              <w:rPr>
                <w:rFonts w:ascii="Arial" w:hAnsi="Arial" w:cs="Arial" w:eastAsia="Arial" w:hint="default"/>
                <w:w w:val="99"/>
                <w:sz w:val="24"/>
                <w:szCs w:val="24"/>
              </w:rPr>
              <w:t> </w:t>
            </w:r>
            <w:r>
              <w:rPr>
                <w:rFonts w:ascii="宋体" w:hAnsi="宋体" w:cs="宋体" w:eastAsia="宋体" w:hint="default"/>
                <w:sz w:val="24"/>
                <w:szCs w:val="24"/>
              </w:rPr>
              <w:t>万美元</w:t>
            </w:r>
            <w:r>
              <w:rPr>
                <w:rFonts w:ascii="宋体" w:hAnsi="宋体" w:cs="宋体" w:eastAsia="宋体" w:hint="default"/>
                <w:sz w:val="24"/>
                <w:szCs w:val="24"/>
              </w:rPr>
              <w:t>(</w:t>
            </w:r>
            <w:r>
              <w:rPr>
                <w:rFonts w:ascii="宋体" w:hAnsi="宋体" w:cs="宋体" w:eastAsia="宋体" w:hint="default"/>
                <w:sz w:val="24"/>
                <w:szCs w:val="24"/>
              </w:rPr>
              <w:t>折合 人民币</w:t>
            </w:r>
            <w:r>
              <w:rPr>
                <w:rFonts w:ascii="Arial" w:hAnsi="Arial" w:cs="Arial" w:eastAsia="Arial" w:hint="default"/>
                <w:sz w:val="24"/>
                <w:szCs w:val="24"/>
              </w:rPr>
              <w:t>14,520</w:t>
            </w:r>
            <w:r>
              <w:rPr>
                <w:rFonts w:ascii="Arial" w:hAnsi="Arial" w:cs="Arial" w:eastAsia="Arial" w:hint="default"/>
                <w:w w:val="99"/>
                <w:sz w:val="24"/>
                <w:szCs w:val="24"/>
              </w:rPr>
              <w:t> </w:t>
            </w:r>
            <w:r>
              <w:rPr>
                <w:rFonts w:ascii="宋体" w:hAnsi="宋体" w:cs="宋体" w:eastAsia="宋体" w:hint="default"/>
                <w:sz w:val="24"/>
                <w:szCs w:val="24"/>
              </w:rPr>
              <w:t>万元</w:t>
            </w:r>
            <w:r>
              <w:rPr>
                <w:rFonts w:ascii="宋体" w:hAnsi="宋体" w:cs="宋体" w:eastAsia="宋体" w:hint="default"/>
                <w:sz w:val="24"/>
                <w:szCs w:val="24"/>
              </w:rPr>
              <w:t>)</w:t>
            </w:r>
          </w:p>
          <w:p>
            <w:pPr>
              <w:pStyle w:val="TableParagraph"/>
              <w:spacing w:line="322" w:lineRule="exact" w:before="37"/>
              <w:ind w:left="115"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其中</w:t>
            </w:r>
            <w:r>
              <w:rPr>
                <w:rFonts w:ascii="宋体" w:hAnsi="宋体" w:cs="宋体" w:eastAsia="宋体" w:hint="default"/>
                <w:spacing w:val="-62"/>
                <w:sz w:val="24"/>
                <w:szCs w:val="24"/>
              </w:rPr>
              <w:t> </w:t>
            </w:r>
            <w:r>
              <w:rPr>
                <w:rFonts w:ascii="Arial" w:hAnsi="Arial" w:cs="Arial" w:eastAsia="Arial" w:hint="default"/>
                <w:sz w:val="24"/>
                <w:szCs w:val="24"/>
              </w:rPr>
              <w:t>2012</w:t>
            </w:r>
          </w:p>
          <w:p>
            <w:pPr>
              <w:pStyle w:val="TableParagraph"/>
              <w:spacing w:line="228" w:lineRule="auto" w:before="4"/>
              <w:ind w:left="115" w:right="140"/>
              <w:jc w:val="left"/>
              <w:rPr>
                <w:rFonts w:ascii="宋体" w:hAnsi="宋体" w:cs="宋体" w:eastAsia="宋体" w:hint="default"/>
                <w:sz w:val="24"/>
                <w:szCs w:val="24"/>
              </w:rPr>
            </w:pPr>
            <w:r>
              <w:rPr>
                <w:rFonts w:ascii="宋体" w:hAnsi="宋体" w:cs="宋体" w:eastAsia="宋体" w:hint="default"/>
                <w:sz w:val="24"/>
                <w:szCs w:val="24"/>
              </w:rPr>
              <w:t>年确认非流 动资产</w:t>
            </w:r>
            <w:r>
              <w:rPr>
                <w:rFonts w:ascii="宋体" w:hAnsi="宋体" w:cs="宋体" w:eastAsia="宋体" w:hint="default"/>
                <w:spacing w:val="-61"/>
                <w:sz w:val="24"/>
                <w:szCs w:val="24"/>
              </w:rPr>
              <w:t> </w:t>
            </w:r>
            <w:r>
              <w:rPr>
                <w:rFonts w:ascii="Arial" w:hAnsi="Arial" w:cs="Arial" w:eastAsia="Arial" w:hint="default"/>
                <w:sz w:val="24"/>
                <w:szCs w:val="24"/>
              </w:rPr>
              <w:t>990</w:t>
            </w:r>
            <w:r>
              <w:rPr>
                <w:rFonts w:ascii="Arial" w:hAnsi="Arial" w:cs="Arial" w:eastAsia="Arial" w:hint="default"/>
                <w:w w:val="99"/>
                <w:sz w:val="24"/>
                <w:szCs w:val="24"/>
              </w:rPr>
              <w:t> </w:t>
            </w:r>
            <w:r>
              <w:rPr>
                <w:rFonts w:ascii="宋体" w:hAnsi="宋体" w:cs="宋体" w:eastAsia="宋体" w:hint="default"/>
                <w:sz w:val="24"/>
                <w:szCs w:val="24"/>
              </w:rPr>
              <w:t>万美元</w:t>
            </w:r>
            <w:r>
              <w:rPr>
                <w:rFonts w:ascii="Arial" w:hAnsi="Arial" w:cs="Arial" w:eastAsia="Arial" w:hint="default"/>
                <w:sz w:val="24"/>
                <w:szCs w:val="24"/>
              </w:rPr>
              <w:t>(</w:t>
            </w:r>
            <w:r>
              <w:rPr>
                <w:rFonts w:ascii="宋体" w:hAnsi="宋体" w:cs="宋体" w:eastAsia="宋体" w:hint="default"/>
                <w:sz w:val="24"/>
                <w:szCs w:val="24"/>
              </w:rPr>
              <w:t>折合 人民币</w:t>
            </w:r>
            <w:r>
              <w:rPr>
                <w:rFonts w:ascii="宋体" w:hAnsi="宋体" w:cs="宋体" w:eastAsia="宋体" w:hint="default"/>
                <w:spacing w:val="-62"/>
                <w:sz w:val="24"/>
                <w:szCs w:val="24"/>
              </w:rPr>
              <w:t> </w:t>
            </w:r>
            <w:r>
              <w:rPr>
                <w:rFonts w:ascii="Arial" w:hAnsi="Arial" w:cs="Arial" w:eastAsia="Arial" w:hint="default"/>
                <w:sz w:val="24"/>
                <w:szCs w:val="24"/>
              </w:rPr>
              <w:t>6,278</w:t>
            </w:r>
            <w:r>
              <w:rPr>
                <w:rFonts w:ascii="Arial" w:hAnsi="Arial" w:cs="Arial" w:eastAsia="Arial" w:hint="default"/>
                <w:w w:val="99"/>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567"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29"/>
              <w:jc w:val="center"/>
              <w:rPr>
                <w:rFonts w:ascii="Arial" w:hAnsi="Arial" w:cs="Arial" w:eastAsia="Arial" w:hint="default"/>
                <w:sz w:val="24"/>
                <w:szCs w:val="24"/>
              </w:rPr>
            </w:pPr>
            <w:r>
              <w:rPr>
                <w:rFonts w:ascii="Arial"/>
                <w:sz w:val="24"/>
              </w:rPr>
              <w:t>(2)</w:t>
            </w:r>
          </w:p>
        </w:tc>
        <w:tc>
          <w:tcPr>
            <w:tcW w:w="49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231" w:right="0"/>
              <w:jc w:val="left"/>
              <w:rPr>
                <w:rFonts w:ascii="黑体" w:hAnsi="黑体" w:cs="黑体" w:eastAsia="黑体" w:hint="default"/>
                <w:sz w:val="24"/>
                <w:szCs w:val="24"/>
              </w:rPr>
            </w:pPr>
            <w:r>
              <w:rPr>
                <w:rFonts w:ascii="黑体" w:hAnsi="黑体" w:cs="黑体" w:eastAsia="黑体" w:hint="default"/>
                <w:sz w:val="24"/>
                <w:szCs w:val="24"/>
              </w:rPr>
              <w:t>资产负债表日后利润分配情况说明</w:t>
            </w:r>
          </w:p>
        </w:tc>
        <w:tc>
          <w:tcPr>
            <w:tcW w:w="1639"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
        </w:tc>
      </w:tr>
      <w:tr>
        <w:trPr>
          <w:trHeight w:val="570" w:hRule="exact"/>
        </w:trPr>
        <w:tc>
          <w:tcPr>
            <w:tcW w:w="72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3712"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5"/>
              <w:jc w:val="right"/>
              <w:rPr>
                <w:rFonts w:ascii="宋体" w:hAnsi="宋体" w:cs="宋体" w:eastAsia="宋体" w:hint="default"/>
                <w:sz w:val="24"/>
                <w:szCs w:val="24"/>
              </w:rPr>
            </w:pPr>
            <w:r>
              <w:rPr>
                <w:rFonts w:ascii="宋体" w:hAnsi="宋体" w:cs="宋体" w:eastAsia="宋体" w:hint="default"/>
                <w:sz w:val="24"/>
                <w:szCs w:val="24"/>
              </w:rPr>
              <w:t>金额</w:t>
            </w:r>
          </w:p>
        </w:tc>
      </w:tr>
      <w:tr>
        <w:trPr>
          <w:trHeight w:val="585" w:hRule="exact"/>
        </w:trPr>
        <w:tc>
          <w:tcPr>
            <w:tcW w:w="725" w:type="dxa"/>
            <w:tcBorders>
              <w:top w:val="nil" w:sz="6" w:space="0" w:color="auto"/>
              <w:left w:val="nil" w:sz="6" w:space="0" w:color="auto"/>
              <w:bottom w:val="nil" w:sz="6" w:space="0" w:color="auto"/>
              <w:right w:val="nil" w:sz="6" w:space="0" w:color="auto"/>
            </w:tcBorders>
          </w:tcPr>
          <w:p>
            <w:pPr/>
          </w:p>
        </w:tc>
        <w:tc>
          <w:tcPr>
            <w:tcW w:w="49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0"/>
              <w:ind w:left="231" w:right="0"/>
              <w:jc w:val="left"/>
              <w:rPr>
                <w:rFonts w:ascii="Arial" w:hAnsi="Arial" w:cs="Arial" w:eastAsia="Arial" w:hint="default"/>
                <w:sz w:val="24"/>
                <w:szCs w:val="24"/>
              </w:rPr>
            </w:pPr>
            <w:r>
              <w:rPr>
                <w:rFonts w:ascii="宋体" w:hAnsi="宋体" w:cs="宋体" w:eastAsia="宋体" w:hint="default"/>
                <w:sz w:val="24"/>
                <w:szCs w:val="24"/>
              </w:rPr>
              <w:t>拟分配的股利</w:t>
            </w:r>
            <w:r>
              <w:rPr>
                <w:rFonts w:ascii="Arial" w:hAnsi="Arial" w:cs="Arial" w:eastAsia="Arial" w:hint="default"/>
                <w:sz w:val="24"/>
                <w:szCs w:val="24"/>
              </w:rPr>
              <w:t>(a)</w:t>
            </w:r>
          </w:p>
        </w:tc>
        <w:tc>
          <w:tcPr>
            <w:tcW w:w="1639" w:type="dxa"/>
            <w:tcBorders>
              <w:top w:val="nil" w:sz="6" w:space="0" w:color="auto"/>
              <w:left w:val="nil" w:sz="6" w:space="0" w:color="auto"/>
              <w:bottom w:val="single" w:sz="12" w:space="0" w:color="000000"/>
              <w:right w:val="nil" w:sz="6" w:space="0" w:color="auto"/>
            </w:tcBorders>
          </w:tcPr>
          <w:p>
            <w:pPr/>
          </w:p>
        </w:tc>
        <w:tc>
          <w:tcPr>
            <w:tcW w:w="1684"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Arial" w:hAnsi="Arial" w:cs="Arial" w:eastAsia="Arial" w:hint="default"/>
                <w:sz w:val="24"/>
                <w:szCs w:val="24"/>
              </w:rPr>
            </w:pPr>
            <w:r>
              <w:rPr>
                <w:rFonts w:ascii="Arial"/>
                <w:spacing w:val="-1"/>
                <w:sz w:val="24"/>
              </w:rPr>
              <w:t>369,152</w:t>
            </w:r>
          </w:p>
        </w:tc>
      </w:tr>
      <w:tr>
        <w:trPr>
          <w:trHeight w:val="1630" w:hRule="exact"/>
        </w:trPr>
        <w:tc>
          <w:tcPr>
            <w:tcW w:w="725" w:type="dxa"/>
            <w:tcBorders>
              <w:top w:val="nil" w:sz="6" w:space="0" w:color="auto"/>
              <w:left w:val="nil" w:sz="6" w:space="0" w:color="auto"/>
              <w:bottom w:val="nil" w:sz="6" w:space="0" w:color="auto"/>
              <w:right w:val="nil" w:sz="6" w:space="0" w:color="auto"/>
            </w:tcBorders>
          </w:tcPr>
          <w:p>
            <w:pPr/>
          </w:p>
        </w:tc>
        <w:tc>
          <w:tcPr>
            <w:tcW w:w="829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322" w:lineRule="exact"/>
              <w:ind w:left="231" w:right="0"/>
              <w:jc w:val="left"/>
              <w:rPr>
                <w:rFonts w:ascii="宋体" w:hAnsi="宋体" w:cs="宋体" w:eastAsia="宋体" w:hint="default"/>
                <w:sz w:val="24"/>
                <w:szCs w:val="24"/>
              </w:rPr>
            </w:pPr>
            <w:r>
              <w:rPr>
                <w:rFonts w:ascii="Arial" w:hAnsi="Arial" w:cs="Arial" w:eastAsia="Arial" w:hint="default"/>
                <w:sz w:val="24"/>
                <w:szCs w:val="24"/>
              </w:rPr>
              <w:t>(a)</w:t>
            </w:r>
            <w:r>
              <w:rPr>
                <w:rFonts w:ascii="Arial" w:hAnsi="Arial" w:cs="Arial" w:eastAsia="Arial" w:hint="default"/>
                <w:spacing w:val="51"/>
                <w:sz w:val="24"/>
                <w:szCs w:val="24"/>
              </w:rPr>
              <w:t> </w:t>
            </w:r>
            <w:r>
              <w:rPr>
                <w:rFonts w:ascii="宋体" w:hAnsi="宋体" w:cs="宋体" w:eastAsia="宋体" w:hint="default"/>
                <w:sz w:val="24"/>
                <w:szCs w:val="24"/>
              </w:rPr>
              <w:t>根据</w:t>
            </w:r>
            <w:r>
              <w:rPr>
                <w:rFonts w:ascii="宋体" w:hAnsi="宋体" w:cs="宋体" w:eastAsia="宋体" w:hint="default"/>
                <w:spacing w:val="-59"/>
                <w:sz w:val="24"/>
                <w:szCs w:val="24"/>
              </w:rPr>
              <w:t> </w:t>
            </w:r>
            <w:r>
              <w:rPr>
                <w:rFonts w:ascii="Arial" w:hAnsi="Arial" w:cs="Arial" w:eastAsia="Arial" w:hint="default"/>
                <w:sz w:val="24"/>
                <w:szCs w:val="24"/>
              </w:rPr>
              <w:t>2013</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3</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28</w:t>
            </w:r>
            <w:r>
              <w:rPr>
                <w:rFonts w:ascii="Arial" w:hAnsi="Arial" w:cs="Arial" w:eastAsia="Arial" w:hint="default"/>
                <w:spacing w:val="-5"/>
                <w:sz w:val="24"/>
                <w:szCs w:val="24"/>
              </w:rPr>
              <w:t> </w:t>
            </w:r>
            <w:r>
              <w:rPr>
                <w:rFonts w:ascii="宋体" w:hAnsi="宋体" w:cs="宋体" w:eastAsia="宋体" w:hint="default"/>
                <w:sz w:val="24"/>
                <w:szCs w:val="24"/>
              </w:rPr>
              <w:t>日董事会决议，董事会提议本公司向全体股东派发</w:t>
            </w:r>
          </w:p>
          <w:p>
            <w:pPr>
              <w:pStyle w:val="TableParagraph"/>
              <w:spacing w:line="311" w:lineRule="exact"/>
              <w:ind w:left="231" w:right="0"/>
              <w:jc w:val="left"/>
              <w:rPr>
                <w:rFonts w:ascii="Arial" w:hAnsi="Arial" w:cs="Arial" w:eastAsia="Arial" w:hint="default"/>
                <w:sz w:val="24"/>
                <w:szCs w:val="24"/>
              </w:rPr>
            </w:pPr>
            <w:r>
              <w:rPr>
                <w:rFonts w:ascii="宋体" w:hAnsi="宋体" w:cs="宋体" w:eastAsia="宋体" w:hint="default"/>
                <w:spacing w:val="-14"/>
                <w:sz w:val="24"/>
                <w:szCs w:val="24"/>
              </w:rPr>
              <w:t>现金股利，每</w:t>
            </w:r>
            <w:r>
              <w:rPr>
                <w:rFonts w:ascii="宋体" w:hAnsi="宋体" w:cs="宋体" w:eastAsia="宋体" w:hint="default"/>
                <w:spacing w:val="-58"/>
                <w:sz w:val="24"/>
                <w:szCs w:val="24"/>
              </w:rPr>
              <w:t> </w:t>
            </w:r>
            <w:r>
              <w:rPr>
                <w:rFonts w:ascii="Arial" w:hAnsi="Arial" w:cs="Arial" w:eastAsia="Arial" w:hint="default"/>
                <w:sz w:val="24"/>
                <w:szCs w:val="24"/>
              </w:rPr>
              <w:t>10</w:t>
            </w:r>
            <w:r>
              <w:rPr>
                <w:rFonts w:ascii="Arial" w:hAnsi="Arial" w:cs="Arial" w:eastAsia="Arial" w:hint="default"/>
                <w:spacing w:val="-4"/>
                <w:sz w:val="24"/>
                <w:szCs w:val="24"/>
              </w:rPr>
              <w:t> </w:t>
            </w:r>
            <w:r>
              <w:rPr>
                <w:rFonts w:ascii="宋体" w:hAnsi="宋体" w:cs="宋体" w:eastAsia="宋体" w:hint="default"/>
                <w:sz w:val="24"/>
                <w:szCs w:val="24"/>
              </w:rPr>
              <w:t>股派发现金股利</w:t>
            </w:r>
            <w:r>
              <w:rPr>
                <w:rFonts w:ascii="宋体" w:hAnsi="宋体" w:cs="宋体" w:eastAsia="宋体" w:hint="default"/>
                <w:spacing w:val="-58"/>
                <w:sz w:val="24"/>
                <w:szCs w:val="24"/>
              </w:rPr>
              <w:t> </w:t>
            </w:r>
            <w:r>
              <w:rPr>
                <w:rFonts w:ascii="Arial" w:hAnsi="Arial" w:cs="Arial" w:eastAsia="Arial" w:hint="default"/>
                <w:sz w:val="24"/>
                <w:szCs w:val="24"/>
              </w:rPr>
              <w:t>0.5</w:t>
            </w:r>
            <w:r>
              <w:rPr>
                <w:rFonts w:ascii="Arial" w:hAnsi="Arial" w:cs="Arial" w:eastAsia="Arial" w:hint="default"/>
                <w:spacing w:val="-3"/>
                <w:sz w:val="24"/>
                <w:szCs w:val="24"/>
              </w:rPr>
              <w:t> </w:t>
            </w:r>
            <w:r>
              <w:rPr>
                <w:rFonts w:ascii="宋体" w:hAnsi="宋体" w:cs="宋体" w:eastAsia="宋体" w:hint="default"/>
                <w:spacing w:val="-8"/>
                <w:sz w:val="24"/>
                <w:szCs w:val="24"/>
              </w:rPr>
              <w:t>元</w:t>
            </w:r>
            <w:r>
              <w:rPr>
                <w:rFonts w:ascii="Arial" w:hAnsi="Arial" w:cs="Arial" w:eastAsia="Arial" w:hint="default"/>
                <w:spacing w:val="-8"/>
                <w:sz w:val="24"/>
                <w:szCs w:val="24"/>
              </w:rPr>
              <w:t>(</w:t>
            </w:r>
            <w:r>
              <w:rPr>
                <w:rFonts w:ascii="宋体" w:hAnsi="宋体" w:cs="宋体" w:eastAsia="宋体" w:hint="default"/>
                <w:spacing w:val="-8"/>
                <w:sz w:val="24"/>
                <w:szCs w:val="24"/>
              </w:rPr>
              <w:t>含税</w:t>
            </w:r>
            <w:r>
              <w:rPr>
                <w:rFonts w:ascii="Arial" w:hAnsi="Arial" w:cs="Arial" w:eastAsia="Arial" w:hint="default"/>
                <w:spacing w:val="-8"/>
                <w:sz w:val="24"/>
                <w:szCs w:val="24"/>
              </w:rPr>
              <w:t>)</w:t>
            </w:r>
            <w:r>
              <w:rPr>
                <w:rFonts w:ascii="宋体" w:hAnsi="宋体" w:cs="宋体" w:eastAsia="宋体" w:hint="default"/>
                <w:spacing w:val="-8"/>
                <w:sz w:val="24"/>
                <w:szCs w:val="24"/>
              </w:rPr>
              <w:t>，按已发行股份</w:t>
            </w:r>
            <w:r>
              <w:rPr>
                <w:rFonts w:ascii="宋体" w:hAnsi="宋体" w:cs="宋体" w:eastAsia="宋体" w:hint="default"/>
                <w:spacing w:val="-58"/>
                <w:sz w:val="24"/>
                <w:szCs w:val="24"/>
              </w:rPr>
              <w:t> </w:t>
            </w:r>
            <w:r>
              <w:rPr>
                <w:rFonts w:ascii="Arial" w:hAnsi="Arial" w:cs="Arial" w:eastAsia="Arial" w:hint="default"/>
                <w:sz w:val="24"/>
                <w:szCs w:val="24"/>
              </w:rPr>
              <w:t>7,383,043,150</w:t>
            </w:r>
          </w:p>
          <w:p>
            <w:pPr>
              <w:pStyle w:val="TableParagraph"/>
              <w:spacing w:line="312" w:lineRule="exact" w:before="20"/>
              <w:ind w:left="231" w:right="106"/>
              <w:jc w:val="left"/>
              <w:rPr>
                <w:rFonts w:ascii="宋体" w:hAnsi="宋体" w:cs="宋体" w:eastAsia="宋体" w:hint="default"/>
                <w:sz w:val="24"/>
                <w:szCs w:val="24"/>
              </w:rPr>
            </w:pPr>
            <w:r>
              <w:rPr>
                <w:rFonts w:ascii="宋体" w:hAnsi="宋体" w:cs="宋体" w:eastAsia="宋体" w:hint="default"/>
                <w:sz w:val="24"/>
                <w:szCs w:val="24"/>
              </w:rPr>
              <w:t>股为基数，拟派发现金股利共计约人民币 </w:t>
            </w:r>
            <w:r>
              <w:rPr>
                <w:rFonts w:ascii="Arial" w:hAnsi="Arial" w:cs="Arial" w:eastAsia="Arial" w:hint="default"/>
                <w:sz w:val="24"/>
                <w:szCs w:val="24"/>
              </w:rPr>
              <w:t>3.7</w:t>
            </w:r>
            <w:r>
              <w:rPr>
                <w:rFonts w:ascii="Arial" w:hAnsi="Arial" w:cs="Arial" w:eastAsia="Arial" w:hint="default"/>
                <w:spacing w:val="-2"/>
                <w:sz w:val="24"/>
                <w:szCs w:val="24"/>
              </w:rPr>
              <w:t> </w:t>
            </w:r>
            <w:r>
              <w:rPr>
                <w:rFonts w:ascii="宋体" w:hAnsi="宋体" w:cs="宋体" w:eastAsia="宋体" w:hint="default"/>
                <w:sz w:val="24"/>
                <w:szCs w:val="24"/>
              </w:rPr>
              <w:t>亿元，上述提议尚待股东大会</w:t>
            </w:r>
            <w:r>
              <w:rPr>
                <w:rFonts w:ascii="宋体" w:hAnsi="宋体" w:cs="宋体" w:eastAsia="宋体" w:hint="default"/>
                <w:w w:val="100"/>
                <w:sz w:val="24"/>
                <w:szCs w:val="24"/>
              </w:rPr>
              <w:t> </w:t>
            </w:r>
            <w:r>
              <w:rPr>
                <w:rFonts w:ascii="宋体" w:hAnsi="宋体" w:cs="宋体" w:eastAsia="宋体" w:hint="default"/>
                <w:sz w:val="24"/>
                <w:szCs w:val="24"/>
              </w:rPr>
              <w:t>批准，未在本财务报表中确认为负债</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(36))</w:t>
            </w:r>
            <w:r>
              <w:rPr>
                <w:rFonts w:ascii="宋体" w:hAnsi="宋体" w:cs="宋体" w:eastAsia="宋体" w:hint="default"/>
                <w:sz w:val="24"/>
                <w:szCs w:val="24"/>
              </w:rPr>
              <w:t>。</w:t>
            </w:r>
          </w:p>
        </w:tc>
      </w:tr>
    </w:tbl>
    <w:p>
      <w:pPr>
        <w:spacing w:after="0" w:line="312" w:lineRule="exact"/>
        <w:jc w:val="left"/>
        <w:rPr>
          <w:rFonts w:ascii="宋体" w:hAnsi="宋体" w:cs="宋体" w:eastAsia="宋体"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811"/>
        <w:gridCol w:w="8428"/>
      </w:tblGrid>
      <w:tr>
        <w:trPr>
          <w:trHeight w:val="494"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w:t>
            </w:r>
          </w:p>
        </w:tc>
        <w:tc>
          <w:tcPr>
            <w:tcW w:w="8428" w:type="dxa"/>
            <w:tcBorders>
              <w:top w:val="nil" w:sz="6" w:space="0" w:color="auto"/>
              <w:left w:val="nil" w:sz="6" w:space="0" w:color="auto"/>
              <w:bottom w:val="nil" w:sz="6" w:space="0" w:color="auto"/>
              <w:right w:val="nil" w:sz="6" w:space="0" w:color="auto"/>
            </w:tcBorders>
          </w:tcPr>
          <w:p>
            <w:pPr>
              <w:pStyle w:val="TableParagraph"/>
              <w:spacing w:line="240" w:lineRule="exact"/>
              <w:ind w:left="130" w:right="0"/>
              <w:jc w:val="left"/>
              <w:rPr>
                <w:rFonts w:ascii="黑体" w:hAnsi="黑体" w:cs="黑体" w:eastAsia="黑体" w:hint="default"/>
                <w:sz w:val="24"/>
                <w:szCs w:val="24"/>
              </w:rPr>
            </w:pPr>
            <w:r>
              <w:rPr>
                <w:rFonts w:ascii="黑体" w:hAnsi="黑体" w:cs="黑体" w:eastAsia="黑体" w:hint="default"/>
                <w:sz w:val="24"/>
                <w:szCs w:val="24"/>
              </w:rPr>
              <w:t>企业合并</w:t>
            </w:r>
          </w:p>
        </w:tc>
      </w:tr>
      <w:tr>
        <w:trPr>
          <w:trHeight w:val="753" w:hRule="exact"/>
        </w:trPr>
        <w:tc>
          <w:tcPr>
            <w:tcW w:w="811" w:type="dxa"/>
            <w:tcBorders>
              <w:top w:val="nil" w:sz="6" w:space="0" w:color="auto"/>
              <w:left w:val="nil" w:sz="6" w:space="0" w:color="auto"/>
              <w:bottom w:val="nil" w:sz="6" w:space="0" w:color="auto"/>
              <w:right w:val="nil" w:sz="6" w:space="0" w:color="auto"/>
            </w:tcBorders>
          </w:tcPr>
          <w:p>
            <w:pPr/>
          </w:p>
        </w:tc>
        <w:tc>
          <w:tcPr>
            <w:tcW w:w="8428"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30" w:right="0"/>
              <w:jc w:val="left"/>
              <w:rPr>
                <w:rFonts w:ascii="宋体" w:hAnsi="宋体" w:cs="宋体" w:eastAsia="宋体" w:hint="default"/>
                <w:sz w:val="24"/>
                <w:szCs w:val="24"/>
              </w:rPr>
            </w:pPr>
            <w:r>
              <w:rPr>
                <w:rFonts w:ascii="宋体" w:hAnsi="宋体" w:cs="宋体" w:eastAsia="宋体" w:hint="default"/>
                <w:sz w:val="24"/>
                <w:szCs w:val="24"/>
              </w:rPr>
              <w:t>见附注四</w:t>
            </w:r>
            <w:r>
              <w:rPr>
                <w:rFonts w:ascii="Arial" w:hAnsi="Arial" w:cs="Arial" w:eastAsia="Arial" w:hint="default"/>
                <w:sz w:val="24"/>
                <w:szCs w:val="24"/>
              </w:rPr>
              <w:t>(3)</w:t>
            </w:r>
            <w:r>
              <w:rPr>
                <w:rFonts w:ascii="宋体" w:hAnsi="宋体" w:cs="宋体" w:eastAsia="宋体" w:hint="default"/>
                <w:sz w:val="24"/>
                <w:szCs w:val="24"/>
              </w:rPr>
              <w:t>、</w:t>
            </w:r>
            <w:r>
              <w:rPr>
                <w:rFonts w:ascii="Arial" w:hAnsi="Arial" w:cs="Arial" w:eastAsia="Arial" w:hint="default"/>
                <w:sz w:val="24"/>
                <w:szCs w:val="24"/>
              </w:rPr>
              <w:t>(4)</w:t>
            </w:r>
            <w:r>
              <w:rPr>
                <w:rFonts w:ascii="宋体" w:hAnsi="宋体" w:cs="宋体" w:eastAsia="宋体" w:hint="default"/>
                <w:sz w:val="24"/>
                <w:szCs w:val="24"/>
              </w:rPr>
              <w:t>。</w:t>
            </w:r>
          </w:p>
        </w:tc>
      </w:tr>
      <w:tr>
        <w:trPr>
          <w:trHeight w:val="741"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00" w:right="0"/>
              <w:jc w:val="left"/>
              <w:rPr>
                <w:rFonts w:ascii="黑体" w:hAnsi="黑体" w:cs="黑体" w:eastAsia="黑体" w:hint="default"/>
                <w:sz w:val="24"/>
                <w:szCs w:val="24"/>
              </w:rPr>
            </w:pPr>
            <w:r>
              <w:rPr>
                <w:rFonts w:ascii="黑体" w:hAnsi="黑体" w:cs="黑体" w:eastAsia="黑体" w:hint="default"/>
                <w:sz w:val="24"/>
                <w:szCs w:val="24"/>
              </w:rPr>
              <w:t>十一</w:t>
            </w:r>
          </w:p>
        </w:tc>
        <w:tc>
          <w:tcPr>
            <w:tcW w:w="8428"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30" w:right="0"/>
              <w:jc w:val="left"/>
              <w:rPr>
                <w:rFonts w:ascii="黑体" w:hAnsi="黑体" w:cs="黑体" w:eastAsia="黑体" w:hint="default"/>
                <w:sz w:val="24"/>
                <w:szCs w:val="24"/>
              </w:rPr>
            </w:pPr>
            <w:r>
              <w:rPr>
                <w:rFonts w:ascii="黑体" w:hAnsi="黑体" w:cs="黑体" w:eastAsia="黑体" w:hint="default"/>
                <w:sz w:val="24"/>
                <w:szCs w:val="24"/>
              </w:rPr>
              <w:t>金融工具及其风险</w:t>
            </w:r>
          </w:p>
        </w:tc>
      </w:tr>
      <w:tr>
        <w:trPr>
          <w:trHeight w:val="1366" w:hRule="exact"/>
        </w:trPr>
        <w:tc>
          <w:tcPr>
            <w:tcW w:w="811" w:type="dxa"/>
            <w:tcBorders>
              <w:top w:val="nil" w:sz="6" w:space="0" w:color="auto"/>
              <w:left w:val="nil" w:sz="6" w:space="0" w:color="auto"/>
              <w:bottom w:val="nil" w:sz="6" w:space="0" w:color="auto"/>
              <w:right w:val="nil" w:sz="6" w:space="0" w:color="auto"/>
            </w:tcBorders>
          </w:tcPr>
          <w:p>
            <w:pPr/>
          </w:p>
        </w:tc>
        <w:tc>
          <w:tcPr>
            <w:tcW w:w="8428" w:type="dxa"/>
            <w:tcBorders>
              <w:top w:val="nil" w:sz="6" w:space="0" w:color="auto"/>
              <w:left w:val="nil" w:sz="6" w:space="0" w:color="auto"/>
              <w:bottom w:val="nil" w:sz="6" w:space="0" w:color="auto"/>
              <w:right w:val="nil" w:sz="6" w:space="0" w:color="auto"/>
            </w:tcBorders>
          </w:tcPr>
          <w:p>
            <w:pPr>
              <w:pStyle w:val="TableParagraph"/>
              <w:spacing w:line="225" w:lineRule="auto" w:before="196"/>
              <w:ind w:left="130" w:right="319"/>
              <w:jc w:val="both"/>
              <w:rPr>
                <w:rFonts w:ascii="宋体" w:hAnsi="宋体" w:cs="宋体" w:eastAsia="宋体" w:hint="default"/>
                <w:sz w:val="24"/>
                <w:szCs w:val="24"/>
              </w:rPr>
            </w:pPr>
            <w:r>
              <w:rPr>
                <w:rFonts w:ascii="宋体" w:hAnsi="宋体" w:cs="宋体" w:eastAsia="宋体" w:hint="default"/>
                <w:spacing w:val="-1"/>
                <w:sz w:val="24"/>
                <w:szCs w:val="24"/>
              </w:rPr>
              <w:t>本集团的经营活动会面临各种金融风险：市场风险</w:t>
            </w:r>
            <w:r>
              <w:rPr>
                <w:rFonts w:ascii="Arial" w:hAnsi="Arial" w:cs="Arial" w:eastAsia="Arial" w:hint="default"/>
                <w:spacing w:val="-1"/>
                <w:sz w:val="24"/>
                <w:szCs w:val="24"/>
              </w:rPr>
              <w:t>(</w:t>
            </w:r>
            <w:r>
              <w:rPr>
                <w:rFonts w:ascii="宋体" w:hAnsi="宋体" w:cs="宋体" w:eastAsia="宋体" w:hint="default"/>
                <w:spacing w:val="-1"/>
                <w:sz w:val="24"/>
                <w:szCs w:val="24"/>
              </w:rPr>
              <w:t>主要为外汇风险和利率风</w:t>
            </w:r>
            <w:r>
              <w:rPr>
                <w:rFonts w:ascii="宋体" w:hAnsi="宋体" w:cs="宋体" w:eastAsia="宋体" w:hint="default"/>
                <w:spacing w:val="-111"/>
                <w:sz w:val="24"/>
                <w:szCs w:val="24"/>
              </w:rPr>
              <w:t> </w:t>
            </w:r>
            <w:r>
              <w:rPr>
                <w:rFonts w:ascii="宋体" w:hAnsi="宋体" w:cs="宋体" w:eastAsia="宋体" w:hint="default"/>
                <w:spacing w:val="-1"/>
                <w:sz w:val="24"/>
                <w:szCs w:val="24"/>
              </w:rPr>
              <w:t>险</w:t>
            </w:r>
            <w:r>
              <w:rPr>
                <w:rFonts w:ascii="Arial" w:hAnsi="Arial" w:cs="Arial" w:eastAsia="Arial" w:hint="default"/>
                <w:spacing w:val="-1"/>
                <w:sz w:val="24"/>
                <w:szCs w:val="24"/>
              </w:rPr>
              <w:t>)</w:t>
            </w:r>
            <w:r>
              <w:rPr>
                <w:rFonts w:ascii="宋体" w:hAnsi="宋体" w:cs="宋体" w:eastAsia="宋体" w:hint="default"/>
                <w:spacing w:val="-1"/>
                <w:sz w:val="24"/>
                <w:szCs w:val="24"/>
              </w:rPr>
              <w:t>、信用风险和流动风险。本集团整体的风险管理计划针对金融市场的不可</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预见性，力求减少对本集团财务业绩的潜在不利影响。</w:t>
            </w:r>
          </w:p>
        </w:tc>
      </w:tr>
      <w:tr>
        <w:trPr>
          <w:trHeight w:val="748"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(1)</w:t>
            </w:r>
          </w:p>
        </w:tc>
        <w:tc>
          <w:tcPr>
            <w:tcW w:w="8428"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30" w:right="0"/>
              <w:jc w:val="left"/>
              <w:rPr>
                <w:rFonts w:ascii="宋体" w:hAnsi="宋体" w:cs="宋体" w:eastAsia="宋体" w:hint="default"/>
                <w:sz w:val="24"/>
                <w:szCs w:val="24"/>
              </w:rPr>
            </w:pPr>
            <w:r>
              <w:rPr>
                <w:rFonts w:ascii="宋体" w:hAnsi="宋体" w:cs="宋体" w:eastAsia="宋体" w:hint="default"/>
                <w:sz w:val="24"/>
                <w:szCs w:val="24"/>
              </w:rPr>
              <w:t>市场风险</w:t>
            </w:r>
          </w:p>
        </w:tc>
      </w:tr>
      <w:tr>
        <w:trPr>
          <w:trHeight w:val="751"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428"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30" w:right="0"/>
              <w:jc w:val="left"/>
              <w:rPr>
                <w:rFonts w:ascii="宋体" w:hAnsi="宋体" w:cs="宋体" w:eastAsia="宋体" w:hint="default"/>
                <w:sz w:val="24"/>
                <w:szCs w:val="24"/>
              </w:rPr>
            </w:pPr>
            <w:r>
              <w:rPr>
                <w:rFonts w:ascii="宋体" w:hAnsi="宋体" w:cs="宋体" w:eastAsia="宋体" w:hint="default"/>
                <w:sz w:val="24"/>
                <w:szCs w:val="24"/>
              </w:rPr>
              <w:t>外汇风险</w:t>
            </w:r>
          </w:p>
        </w:tc>
      </w:tr>
      <w:tr>
        <w:trPr>
          <w:trHeight w:val="2050" w:hRule="exact"/>
        </w:trPr>
        <w:tc>
          <w:tcPr>
            <w:tcW w:w="811" w:type="dxa"/>
            <w:tcBorders>
              <w:top w:val="nil" w:sz="6" w:space="0" w:color="auto"/>
              <w:left w:val="nil" w:sz="6" w:space="0" w:color="auto"/>
              <w:bottom w:val="nil" w:sz="6" w:space="0" w:color="auto"/>
              <w:right w:val="nil" w:sz="6" w:space="0" w:color="auto"/>
            </w:tcBorders>
          </w:tcPr>
          <w:p>
            <w:pPr/>
          </w:p>
        </w:tc>
        <w:tc>
          <w:tcPr>
            <w:tcW w:w="8428" w:type="dxa"/>
            <w:tcBorders>
              <w:top w:val="nil" w:sz="6" w:space="0" w:color="auto"/>
              <w:left w:val="nil" w:sz="6" w:space="0" w:color="auto"/>
              <w:bottom w:val="nil" w:sz="6" w:space="0" w:color="auto"/>
              <w:right w:val="nil" w:sz="6" w:space="0" w:color="auto"/>
            </w:tcBorders>
          </w:tcPr>
          <w:p>
            <w:pPr>
              <w:pStyle w:val="TableParagraph"/>
              <w:spacing w:line="230" w:lineRule="auto" w:before="191"/>
              <w:ind w:left="130" w:right="315"/>
              <w:jc w:val="both"/>
              <w:rPr>
                <w:rFonts w:ascii="宋体" w:hAnsi="宋体" w:cs="宋体" w:eastAsia="宋体" w:hint="default"/>
                <w:sz w:val="24"/>
                <w:szCs w:val="24"/>
              </w:rPr>
            </w:pPr>
            <w:r>
              <w:rPr>
                <w:rFonts w:ascii="宋体" w:hAnsi="宋体" w:cs="宋体" w:eastAsia="宋体" w:hint="default"/>
                <w:sz w:val="24"/>
                <w:szCs w:val="24"/>
              </w:rPr>
              <w:t>本集团的主要经营位于中国境内，主要业务以人民币结算。但本集团已确认</w:t>
            </w:r>
            <w:r>
              <w:rPr>
                <w:rFonts w:ascii="宋体" w:hAnsi="宋体" w:cs="宋体" w:eastAsia="宋体" w:hint="default"/>
                <w:spacing w:val="-67"/>
                <w:sz w:val="24"/>
                <w:szCs w:val="24"/>
              </w:rPr>
              <w:t> </w:t>
            </w:r>
            <w:r>
              <w:rPr>
                <w:rFonts w:ascii="宋体" w:hAnsi="宋体" w:cs="宋体" w:eastAsia="宋体" w:hint="default"/>
                <w:spacing w:val="-67"/>
                <w:sz w:val="24"/>
                <w:szCs w:val="24"/>
              </w:rPr>
            </w:r>
            <w:r>
              <w:rPr>
                <w:rFonts w:ascii="宋体" w:hAnsi="宋体" w:cs="宋体" w:eastAsia="宋体" w:hint="default"/>
                <w:spacing w:val="5"/>
                <w:sz w:val="24"/>
                <w:szCs w:val="24"/>
              </w:rPr>
              <w:t>的外币资产和负债及未来的外币交易</w:t>
            </w:r>
            <w:r>
              <w:rPr>
                <w:rFonts w:ascii="Arial" w:hAnsi="Arial" w:cs="Arial" w:eastAsia="Arial" w:hint="default"/>
                <w:spacing w:val="5"/>
                <w:sz w:val="24"/>
                <w:szCs w:val="24"/>
              </w:rPr>
              <w:t>(</w:t>
            </w:r>
            <w:r>
              <w:rPr>
                <w:rFonts w:ascii="宋体" w:hAnsi="宋体" w:cs="宋体" w:eastAsia="宋体" w:hint="default"/>
                <w:spacing w:val="5"/>
                <w:sz w:val="24"/>
                <w:szCs w:val="24"/>
              </w:rPr>
              <w:t>外币资产和负债及外币交易的计价货</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pacing w:val="-1"/>
                <w:sz w:val="24"/>
                <w:szCs w:val="24"/>
              </w:rPr>
              <w:t>币主要为日元，港元和美元</w:t>
            </w:r>
            <w:r>
              <w:rPr>
                <w:rFonts w:ascii="Arial" w:hAnsi="Arial" w:cs="Arial" w:eastAsia="Arial" w:hint="default"/>
                <w:spacing w:val="-1"/>
                <w:sz w:val="24"/>
                <w:szCs w:val="24"/>
              </w:rPr>
              <w:t>)</w:t>
            </w:r>
            <w:r>
              <w:rPr>
                <w:rFonts w:ascii="宋体" w:hAnsi="宋体" w:cs="宋体" w:eastAsia="宋体" w:hint="default"/>
                <w:spacing w:val="-1"/>
                <w:sz w:val="24"/>
                <w:szCs w:val="24"/>
              </w:rPr>
              <w:t>依然存在外汇风险。本集团总部财务部门负责监</w:t>
            </w:r>
          </w:p>
          <w:p>
            <w:pPr>
              <w:pStyle w:val="TableParagraph"/>
              <w:spacing w:line="312" w:lineRule="exact" w:before="11"/>
              <w:ind w:left="130" w:right="198"/>
              <w:jc w:val="left"/>
              <w:rPr>
                <w:rFonts w:ascii="宋体" w:hAnsi="宋体" w:cs="宋体" w:eastAsia="宋体" w:hint="default"/>
                <w:sz w:val="24"/>
                <w:szCs w:val="24"/>
              </w:rPr>
            </w:pPr>
            <w:r>
              <w:rPr>
                <w:rFonts w:ascii="宋体" w:hAnsi="宋体" w:cs="宋体" w:eastAsia="宋体" w:hint="default"/>
                <w:spacing w:val="-2"/>
                <w:sz w:val="24"/>
                <w:szCs w:val="24"/>
              </w:rPr>
              <w:t>控集团外币交易和外币资产及负债的规模，以最大程度降低面临的外汇风险；</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为此，本集团可能会以签署远期外汇合约或货币互换合约的方式来达到规避</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外汇风险的目的。</w:t>
            </w:r>
          </w:p>
        </w:tc>
      </w:tr>
    </w:tbl>
    <w:p>
      <w:pPr>
        <w:spacing w:after="0" w:line="312" w:lineRule="exact"/>
        <w:jc w:val="left"/>
        <w:rPr>
          <w:rFonts w:ascii="宋体" w:hAnsi="宋体" w:cs="宋体" w:eastAsia="宋体"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811"/>
        <w:gridCol w:w="2650"/>
      </w:tblGrid>
      <w:tr>
        <w:trPr>
          <w:trHeight w:val="252"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十一</w:t>
            </w:r>
          </w:p>
        </w:tc>
        <w:tc>
          <w:tcPr>
            <w:tcW w:w="2650" w:type="dxa"/>
            <w:tcBorders>
              <w:top w:val="nil" w:sz="6" w:space="0" w:color="auto"/>
              <w:left w:val="nil" w:sz="6" w:space="0" w:color="auto"/>
              <w:bottom w:val="nil" w:sz="6" w:space="0" w:color="auto"/>
              <w:right w:val="nil" w:sz="6" w:space="0" w:color="auto"/>
            </w:tcBorders>
          </w:tcPr>
          <w:p>
            <w:pPr>
              <w:pStyle w:val="TableParagraph"/>
              <w:spacing w:line="257" w:lineRule="exact"/>
              <w:ind w:left="130" w:right="0"/>
              <w:jc w:val="left"/>
              <w:rPr>
                <w:rFonts w:ascii="Arial" w:hAnsi="Arial" w:cs="Arial" w:eastAsia="Arial" w:hint="default"/>
                <w:sz w:val="24"/>
                <w:szCs w:val="24"/>
              </w:rPr>
            </w:pPr>
            <w:r>
              <w:rPr>
                <w:rFonts w:ascii="黑体" w:hAnsi="黑体" w:cs="黑体" w:eastAsia="黑体" w:hint="default"/>
                <w:sz w:val="24"/>
                <w:szCs w:val="24"/>
              </w:rPr>
              <w:t>金融工具及其风险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717"/>
        <w:gridCol w:w="1783"/>
      </w:tblGrid>
      <w:tr>
        <w:trPr>
          <w:trHeight w:val="503"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5" w:lineRule="exact"/>
              <w:ind w:right="22"/>
              <w:jc w:val="center"/>
              <w:rPr>
                <w:rFonts w:ascii="Arial" w:hAnsi="Arial" w:cs="Arial" w:eastAsia="Arial" w:hint="default"/>
                <w:sz w:val="24"/>
                <w:szCs w:val="24"/>
              </w:rPr>
            </w:pPr>
            <w:r>
              <w:rPr>
                <w:rFonts w:ascii="Arial"/>
                <w:sz w:val="24"/>
              </w:rPr>
              <w:t>(1)</w:t>
            </w:r>
          </w:p>
        </w:tc>
        <w:tc>
          <w:tcPr>
            <w:tcW w:w="1783" w:type="dxa"/>
            <w:tcBorders>
              <w:top w:val="nil" w:sz="6" w:space="0" w:color="auto"/>
              <w:left w:val="nil" w:sz="6" w:space="0" w:color="auto"/>
              <w:bottom w:val="nil" w:sz="6" w:space="0" w:color="auto"/>
              <w:right w:val="nil" w:sz="6" w:space="0" w:color="auto"/>
            </w:tcBorders>
          </w:tcPr>
          <w:p>
            <w:pPr>
              <w:pStyle w:val="TableParagraph"/>
              <w:spacing w:line="265" w:lineRule="exact"/>
              <w:ind w:right="198"/>
              <w:jc w:val="right"/>
              <w:rPr>
                <w:rFonts w:ascii="Arial" w:hAnsi="Arial" w:cs="Arial" w:eastAsia="Arial" w:hint="default"/>
                <w:sz w:val="24"/>
                <w:szCs w:val="24"/>
              </w:rPr>
            </w:pPr>
            <w:r>
              <w:rPr>
                <w:rFonts w:ascii="宋体" w:hAnsi="宋体" w:cs="宋体" w:eastAsia="宋体" w:hint="default"/>
                <w:spacing w:val="-1"/>
                <w:sz w:val="24"/>
                <w:szCs w:val="24"/>
              </w:rPr>
              <w:t>市场风险</w:t>
            </w:r>
            <w:r>
              <w:rPr>
                <w:rFonts w:ascii="Arial" w:hAnsi="Arial" w:cs="Arial" w:eastAsia="Arial" w:hint="default"/>
                <w:spacing w:val="-1"/>
                <w:sz w:val="24"/>
                <w:szCs w:val="24"/>
              </w:rPr>
              <w:t>(</w:t>
            </w:r>
            <w:r>
              <w:rPr>
                <w:rFonts w:ascii="宋体" w:hAnsi="宋体" w:cs="宋体" w:eastAsia="宋体" w:hint="default"/>
                <w:spacing w:val="-1"/>
                <w:sz w:val="24"/>
                <w:szCs w:val="24"/>
              </w:rPr>
              <w:t>续</w:t>
            </w:r>
            <w:r>
              <w:rPr>
                <w:rFonts w:ascii="Arial" w:hAnsi="Arial" w:cs="Arial" w:eastAsia="Arial" w:hint="default"/>
                <w:spacing w:val="-1"/>
                <w:sz w:val="24"/>
                <w:szCs w:val="24"/>
              </w:rPr>
              <w:t>)</w:t>
            </w:r>
          </w:p>
        </w:tc>
      </w:tr>
      <w:tr>
        <w:trPr>
          <w:trHeight w:val="503"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22"/>
              <w:jc w:val="center"/>
              <w:rPr>
                <w:rFonts w:ascii="Arial" w:hAnsi="Arial" w:cs="Arial" w:eastAsia="Arial" w:hint="default"/>
                <w:sz w:val="24"/>
                <w:szCs w:val="24"/>
              </w:rPr>
            </w:pPr>
            <w:r>
              <w:rPr>
                <w:rFonts w:ascii="Arial"/>
                <w:sz w:val="24"/>
              </w:rPr>
              <w:t>(a)</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198"/>
              <w:jc w:val="right"/>
              <w:rPr>
                <w:rFonts w:ascii="Arial" w:hAnsi="Arial" w:cs="Arial" w:eastAsia="Arial" w:hint="default"/>
                <w:sz w:val="24"/>
                <w:szCs w:val="24"/>
              </w:rPr>
            </w:pPr>
            <w:r>
              <w:rPr>
                <w:rFonts w:ascii="宋体" w:hAnsi="宋体" w:cs="宋体" w:eastAsia="宋体" w:hint="default"/>
                <w:spacing w:val="-1"/>
                <w:sz w:val="24"/>
                <w:szCs w:val="24"/>
              </w:rPr>
              <w:t>外汇风险</w:t>
            </w:r>
            <w:r>
              <w:rPr>
                <w:rFonts w:ascii="Arial" w:hAnsi="Arial" w:cs="Arial" w:eastAsia="Arial" w:hint="default"/>
                <w:spacing w:val="-1"/>
                <w:sz w:val="24"/>
                <w:szCs w:val="24"/>
              </w:rPr>
              <w:t>(</w:t>
            </w:r>
            <w:r>
              <w:rPr>
                <w:rFonts w:ascii="宋体" w:hAnsi="宋体" w:cs="宋体" w:eastAsia="宋体" w:hint="default"/>
                <w:spacing w:val="-1"/>
                <w:sz w:val="24"/>
                <w:szCs w:val="24"/>
              </w:rPr>
              <w:t>续</w:t>
            </w:r>
            <w:r>
              <w:rPr>
                <w:rFonts w:ascii="Arial" w:hAnsi="Arial" w:cs="Arial" w:eastAsia="Arial" w:hint="default"/>
                <w:spacing w:val="-1"/>
                <w:sz w:val="24"/>
                <w:szCs w:val="24"/>
              </w:rPr>
              <w:t>)</w:t>
            </w:r>
          </w:p>
        </w:tc>
      </w:tr>
    </w:tbl>
    <w:p>
      <w:pPr>
        <w:spacing w:line="240" w:lineRule="auto" w:before="5"/>
        <w:rPr>
          <w:rFonts w:ascii="Times New Roman" w:hAnsi="Times New Roman" w:cs="Times New Roman" w:eastAsia="Times New Roman" w:hint="default"/>
          <w:sz w:val="28"/>
          <w:szCs w:val="28"/>
        </w:rPr>
      </w:pPr>
    </w:p>
    <w:p>
      <w:pPr>
        <w:pStyle w:val="Heading3"/>
        <w:spacing w:line="310" w:lineRule="exact" w:before="58"/>
        <w:ind w:left="1047" w:right="846"/>
        <w:jc w:val="left"/>
      </w:pPr>
      <w:r>
        <w:rPr/>
        <w:t>于</w:t>
      </w:r>
      <w:r>
        <w:rPr>
          <w:spacing w:val="-62"/>
        </w:rPr>
        <w:t> </w:t>
      </w:r>
      <w:r>
        <w:rPr>
          <w:rFonts w:ascii="Arial" w:hAnsi="Arial" w:cs="Arial" w:eastAsia="Arial" w:hint="default"/>
        </w:rPr>
        <w:t>2012</w:t>
      </w:r>
      <w:r>
        <w:rPr>
          <w:rFonts w:ascii="Arial" w:hAnsi="Arial" w:cs="Arial" w:eastAsia="Arial" w:hint="default"/>
          <w:spacing w:val="-8"/>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5"/>
        </w:rPr>
        <w:t> </w:t>
      </w:r>
      <w:r>
        <w:rPr>
          <w:rFonts w:ascii="Arial" w:hAnsi="Arial" w:cs="Arial" w:eastAsia="Arial" w:hint="default"/>
        </w:rPr>
        <w:t>31</w:t>
      </w:r>
      <w:r>
        <w:rPr>
          <w:rFonts w:ascii="Arial" w:hAnsi="Arial" w:cs="Arial" w:eastAsia="Arial" w:hint="default"/>
          <w:spacing w:val="-8"/>
        </w:rPr>
        <w:t> </w:t>
      </w:r>
      <w:r>
        <w:rPr/>
        <w:t>日及</w:t>
      </w:r>
      <w:r>
        <w:rPr>
          <w:spacing w:val="-62"/>
        </w:rPr>
        <w:t> </w:t>
      </w:r>
      <w:r>
        <w:rPr>
          <w:rFonts w:ascii="Arial" w:hAnsi="Arial" w:cs="Arial" w:eastAsia="Arial" w:hint="default"/>
          <w:spacing w:val="-5"/>
        </w:rPr>
        <w:t>2011</w:t>
      </w:r>
      <w:r>
        <w:rPr>
          <w:rFonts w:ascii="Arial" w:hAnsi="Arial" w:cs="Arial" w:eastAsia="Arial" w:hint="default"/>
          <w:spacing w:val="-8"/>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8"/>
        </w:rPr>
        <w:t> </w:t>
      </w:r>
      <w:r>
        <w:rPr/>
        <w:t>日，本集团持有的外币金融资产和外币 金融负债折算成人民币的金额列示如下：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828" w:type="dxa"/>
        <w:tblLayout w:type="fixed"/>
        <w:tblCellMar>
          <w:top w:w="0" w:type="dxa"/>
          <w:left w:w="0" w:type="dxa"/>
          <w:bottom w:w="0" w:type="dxa"/>
          <w:right w:w="0" w:type="dxa"/>
        </w:tblCellMar>
        <w:tblLook w:val="01E0"/>
      </w:tblPr>
      <w:tblGrid>
        <w:gridCol w:w="2541"/>
        <w:gridCol w:w="1260"/>
        <w:gridCol w:w="235"/>
        <w:gridCol w:w="1265"/>
        <w:gridCol w:w="230"/>
        <w:gridCol w:w="1736"/>
        <w:gridCol w:w="235"/>
        <w:gridCol w:w="1411"/>
      </w:tblGrid>
      <w:tr>
        <w:trPr>
          <w:trHeight w:val="321" w:hRule="exact"/>
        </w:trPr>
        <w:tc>
          <w:tcPr>
            <w:tcW w:w="8914" w:type="dxa"/>
            <w:gridSpan w:val="8"/>
            <w:tcBorders>
              <w:top w:val="nil" w:sz="6" w:space="0" w:color="auto"/>
              <w:left w:val="nil" w:sz="6" w:space="0" w:color="auto"/>
              <w:bottom w:val="nil" w:sz="6" w:space="0" w:color="auto"/>
              <w:right w:val="nil" w:sz="6" w:space="0" w:color="auto"/>
            </w:tcBorders>
          </w:tcPr>
          <w:p>
            <w:pPr>
              <w:pStyle w:val="TableParagraph"/>
              <w:spacing w:line="257" w:lineRule="exact"/>
              <w:ind w:left="4681"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395" w:hRule="exact"/>
        </w:trPr>
        <w:tc>
          <w:tcPr>
            <w:tcW w:w="2541"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ind w:right="149"/>
              <w:jc w:val="right"/>
              <w:rPr>
                <w:rFonts w:ascii="宋体" w:hAnsi="宋体" w:cs="宋体" w:eastAsia="宋体" w:hint="default"/>
                <w:sz w:val="24"/>
                <w:szCs w:val="24"/>
              </w:rPr>
            </w:pPr>
            <w:r>
              <w:rPr>
                <w:rFonts w:ascii="宋体" w:hAnsi="宋体" w:cs="宋体" w:eastAsia="宋体" w:hint="default"/>
                <w:sz w:val="24"/>
                <w:szCs w:val="24"/>
              </w:rPr>
              <w:t>日元项目</w:t>
            </w:r>
          </w:p>
        </w:tc>
        <w:tc>
          <w:tcPr>
            <w:tcW w:w="235" w:type="dxa"/>
            <w:tcBorders>
              <w:top w:val="single" w:sz="4" w:space="0" w:color="000000"/>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4"/>
                <w:szCs w:val="24"/>
              </w:rPr>
            </w:pPr>
            <w:r>
              <w:rPr>
                <w:rFonts w:ascii="宋体" w:hAnsi="宋体" w:cs="宋体" w:eastAsia="宋体" w:hint="default"/>
                <w:sz w:val="24"/>
                <w:szCs w:val="24"/>
              </w:rPr>
              <w:t>港元项目</w:t>
            </w:r>
          </w:p>
        </w:tc>
        <w:tc>
          <w:tcPr>
            <w:tcW w:w="230" w:type="dxa"/>
            <w:tcBorders>
              <w:top w:val="single" w:sz="4" w:space="0" w:color="000000"/>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ind w:right="106"/>
              <w:jc w:val="right"/>
              <w:rPr>
                <w:rFonts w:ascii="宋体" w:hAnsi="宋体" w:cs="宋体" w:eastAsia="宋体" w:hint="default"/>
                <w:sz w:val="24"/>
                <w:szCs w:val="24"/>
              </w:rPr>
            </w:pPr>
            <w:r>
              <w:rPr>
                <w:rFonts w:ascii="宋体" w:hAnsi="宋体" w:cs="宋体" w:eastAsia="宋体" w:hint="default"/>
                <w:sz w:val="24"/>
                <w:szCs w:val="24"/>
              </w:rPr>
              <w:t>美元项目</w:t>
            </w:r>
          </w:p>
        </w:tc>
        <w:tc>
          <w:tcPr>
            <w:tcW w:w="235" w:type="dxa"/>
            <w:tcBorders>
              <w:top w:val="single" w:sz="4" w:space="0" w:color="000000"/>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nil" w:sz="6" w:space="0" w:color="auto"/>
              <w:right w:val="nil" w:sz="6" w:space="0" w:color="auto"/>
            </w:tcBorders>
          </w:tcPr>
          <w:p>
            <w:pPr>
              <w:pStyle w:val="TableParagraph"/>
              <w:spacing w:line="240" w:lineRule="auto"/>
              <w:ind w:right="107"/>
              <w:jc w:val="right"/>
              <w:rPr>
                <w:rFonts w:ascii="宋体" w:hAnsi="宋体" w:cs="宋体" w:eastAsia="宋体" w:hint="default"/>
                <w:sz w:val="24"/>
                <w:szCs w:val="24"/>
              </w:rPr>
            </w:pPr>
            <w:r>
              <w:rPr>
                <w:rFonts w:ascii="宋体" w:hAnsi="宋体" w:cs="宋体" w:eastAsia="宋体" w:hint="default"/>
                <w:sz w:val="24"/>
                <w:szCs w:val="24"/>
              </w:rPr>
              <w:t>合计</w:t>
            </w:r>
          </w:p>
        </w:tc>
      </w:tr>
      <w:tr>
        <w:trPr>
          <w:trHeight w:val="397"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0" w:right="0"/>
              <w:jc w:val="left"/>
              <w:rPr>
                <w:rFonts w:ascii="Arial" w:hAnsi="Arial" w:cs="Arial" w:eastAsia="Arial" w:hint="default"/>
                <w:sz w:val="24"/>
                <w:szCs w:val="24"/>
              </w:rPr>
            </w:pPr>
            <w:r>
              <w:rPr>
                <w:rFonts w:ascii="宋体" w:hAnsi="宋体" w:cs="宋体" w:eastAsia="宋体" w:hint="default"/>
                <w:sz w:val="24"/>
                <w:szCs w:val="24"/>
              </w:rPr>
              <w:t>外币金融资产 </w:t>
            </w:r>
            <w:r>
              <w:rPr>
                <w:rFonts w:ascii="Arial" w:hAnsi="Arial" w:cs="Arial" w:eastAsia="Arial" w:hint="default"/>
                <w:sz w:val="24"/>
                <w:szCs w:val="24"/>
              </w:rPr>
              <w:t>-</w:t>
            </w:r>
          </w:p>
        </w:tc>
        <w:tc>
          <w:tcPr>
            <w:tcW w:w="126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r>
      <w:tr>
        <w:trPr>
          <w:trHeight w:val="400"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310" w:lineRule="exact"/>
              <w:ind w:left="425"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8"/>
              <w:jc w:val="right"/>
              <w:rPr>
                <w:rFonts w:ascii="Arial" w:hAnsi="Arial" w:cs="Arial" w:eastAsia="Arial" w:hint="default"/>
                <w:sz w:val="24"/>
                <w:szCs w:val="24"/>
              </w:rPr>
            </w:pPr>
            <w:r>
              <w:rPr>
                <w:rFonts w:ascii="Arial"/>
                <w:spacing w:val="-1"/>
                <w:sz w:val="24"/>
              </w:rPr>
              <w:t>201,609</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5"/>
              <w:jc w:val="right"/>
              <w:rPr>
                <w:rFonts w:ascii="Arial" w:hAnsi="Arial" w:cs="Arial" w:eastAsia="Arial" w:hint="default"/>
                <w:sz w:val="24"/>
                <w:szCs w:val="24"/>
              </w:rPr>
            </w:pPr>
            <w:r>
              <w:rPr>
                <w:rFonts w:ascii="Arial"/>
                <w:spacing w:val="-1"/>
                <w:sz w:val="24"/>
              </w:rPr>
              <w:t>483,043</w:t>
            </w:r>
          </w:p>
        </w:tc>
        <w:tc>
          <w:tcPr>
            <w:tcW w:w="230"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Arial" w:hAnsi="Arial" w:cs="Arial" w:eastAsia="Arial" w:hint="default"/>
                <w:sz w:val="24"/>
                <w:szCs w:val="24"/>
              </w:rPr>
            </w:pPr>
            <w:r>
              <w:rPr>
                <w:rFonts w:ascii="Arial"/>
                <w:w w:val="95"/>
                <w:sz w:val="24"/>
              </w:rPr>
              <w:t>5,072</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6"/>
              <w:jc w:val="right"/>
              <w:rPr>
                <w:rFonts w:ascii="Arial" w:hAnsi="Arial" w:cs="Arial" w:eastAsia="Arial" w:hint="default"/>
                <w:sz w:val="24"/>
                <w:szCs w:val="24"/>
              </w:rPr>
            </w:pPr>
            <w:r>
              <w:rPr>
                <w:rFonts w:ascii="Arial"/>
                <w:spacing w:val="-1"/>
                <w:sz w:val="24"/>
              </w:rPr>
              <w:t>689,724</w:t>
            </w:r>
          </w:p>
        </w:tc>
      </w:tr>
      <w:tr>
        <w:trPr>
          <w:trHeight w:val="391"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301" w:lineRule="exact"/>
              <w:ind w:left="425"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74,537</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w w:val="95"/>
                <w:sz w:val="24"/>
              </w:rPr>
              <w:t>6,644</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w w:val="99"/>
                <w:sz w:val="24"/>
              </w:rPr>
              <w:t>-</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81,181</w:t>
            </w:r>
          </w:p>
        </w:tc>
      </w:tr>
      <w:tr>
        <w:trPr>
          <w:trHeight w:val="391"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301" w:lineRule="exact"/>
              <w:ind w:left="425"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spacing w:val="-1"/>
                <w:sz w:val="24"/>
              </w:rPr>
              <w:t>41,604</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8,728</w:t>
            </w:r>
          </w:p>
        </w:tc>
        <w:tc>
          <w:tcPr>
            <w:tcW w:w="230"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w w:val="99"/>
                <w:sz w:val="24"/>
              </w:rPr>
              <w:t>-</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5"/>
              <w:jc w:val="right"/>
              <w:rPr>
                <w:rFonts w:ascii="Arial" w:hAnsi="Arial" w:cs="Arial" w:eastAsia="Arial" w:hint="default"/>
                <w:sz w:val="24"/>
                <w:szCs w:val="24"/>
              </w:rPr>
            </w:pPr>
            <w:r>
              <w:rPr>
                <w:rFonts w:ascii="Arial"/>
                <w:spacing w:val="-1"/>
                <w:sz w:val="24"/>
              </w:rPr>
              <w:t>50,332</w:t>
            </w:r>
          </w:p>
        </w:tc>
      </w:tr>
      <w:tr>
        <w:trPr>
          <w:trHeight w:val="383"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301" w:lineRule="exact"/>
              <w:ind w:left="425"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spacing w:val="-1"/>
                <w:sz w:val="24"/>
              </w:rPr>
              <w:t>256,267</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w w:val="95"/>
                <w:sz w:val="24"/>
              </w:rPr>
              <w:t>19,874</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w w:val="99"/>
                <w:sz w:val="24"/>
              </w:rPr>
              <w:t>-</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4"/>
              <w:jc w:val="right"/>
              <w:rPr>
                <w:rFonts w:ascii="Arial" w:hAnsi="Arial" w:cs="Arial" w:eastAsia="Arial" w:hint="default"/>
                <w:sz w:val="24"/>
                <w:szCs w:val="24"/>
              </w:rPr>
            </w:pPr>
            <w:r>
              <w:rPr>
                <w:rFonts w:ascii="Arial"/>
                <w:spacing w:val="-1"/>
                <w:sz w:val="24"/>
              </w:rPr>
              <w:t>276,141</w:t>
            </w:r>
          </w:p>
        </w:tc>
      </w:tr>
      <w:tr>
        <w:trPr>
          <w:trHeight w:val="377" w:hRule="exact"/>
        </w:trPr>
        <w:tc>
          <w:tcPr>
            <w:tcW w:w="2541"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5"/>
              <w:jc w:val="right"/>
              <w:rPr>
                <w:rFonts w:ascii="Arial" w:hAnsi="Arial" w:cs="Arial" w:eastAsia="Arial" w:hint="default"/>
                <w:sz w:val="24"/>
                <w:szCs w:val="24"/>
              </w:rPr>
            </w:pPr>
            <w:r>
              <w:rPr>
                <w:rFonts w:ascii="Arial"/>
                <w:spacing w:val="-1"/>
                <w:sz w:val="24"/>
              </w:rPr>
              <w:t>574,017</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2"/>
              <w:jc w:val="right"/>
              <w:rPr>
                <w:rFonts w:ascii="Arial" w:hAnsi="Arial" w:cs="Arial" w:eastAsia="Arial" w:hint="default"/>
                <w:sz w:val="24"/>
                <w:szCs w:val="24"/>
              </w:rPr>
            </w:pPr>
            <w:r>
              <w:rPr>
                <w:rFonts w:ascii="Arial"/>
                <w:spacing w:val="-1"/>
                <w:sz w:val="24"/>
              </w:rPr>
              <w:t>518,289</w:t>
            </w:r>
          </w:p>
        </w:tc>
        <w:tc>
          <w:tcPr>
            <w:tcW w:w="230"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4"/>
              <w:jc w:val="right"/>
              <w:rPr>
                <w:rFonts w:ascii="Arial" w:hAnsi="Arial" w:cs="Arial" w:eastAsia="Arial" w:hint="default"/>
                <w:sz w:val="24"/>
                <w:szCs w:val="24"/>
              </w:rPr>
            </w:pPr>
            <w:r>
              <w:rPr>
                <w:rFonts w:ascii="Arial"/>
                <w:w w:val="95"/>
                <w:sz w:val="24"/>
              </w:rPr>
              <w:t>5,072</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5"/>
              <w:jc w:val="right"/>
              <w:rPr>
                <w:rFonts w:ascii="Arial" w:hAnsi="Arial" w:cs="Arial" w:eastAsia="Arial" w:hint="default"/>
                <w:sz w:val="24"/>
                <w:szCs w:val="24"/>
              </w:rPr>
            </w:pPr>
            <w:r>
              <w:rPr>
                <w:rFonts w:ascii="Arial"/>
                <w:spacing w:val="-1"/>
                <w:sz w:val="24"/>
              </w:rPr>
              <w:t>1,097,378</w:t>
            </w:r>
          </w:p>
        </w:tc>
      </w:tr>
      <w:tr>
        <w:trPr>
          <w:trHeight w:val="410"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0" w:right="0"/>
              <w:jc w:val="left"/>
              <w:rPr>
                <w:rFonts w:ascii="Arial" w:hAnsi="Arial" w:cs="Arial" w:eastAsia="Arial" w:hint="default"/>
                <w:sz w:val="24"/>
                <w:szCs w:val="24"/>
              </w:rPr>
            </w:pPr>
            <w:r>
              <w:rPr>
                <w:rFonts w:ascii="宋体" w:hAnsi="宋体" w:cs="宋体" w:eastAsia="宋体" w:hint="default"/>
                <w:sz w:val="24"/>
                <w:szCs w:val="24"/>
              </w:rPr>
              <w:t>外币金融负债 </w:t>
            </w:r>
            <w:r>
              <w:rPr>
                <w:rFonts w:ascii="Arial" w:hAnsi="Arial" w:cs="Arial" w:eastAsia="Arial" w:hint="default"/>
                <w:sz w:val="24"/>
                <w:szCs w:val="24"/>
              </w:rPr>
              <w:t>-</w:t>
            </w:r>
          </w:p>
        </w:tc>
        <w:tc>
          <w:tcPr>
            <w:tcW w:w="1260" w:type="dxa"/>
            <w:tcBorders>
              <w:top w:val="single" w:sz="12"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single" w:sz="12"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36" w:type="dxa"/>
            <w:tcBorders>
              <w:top w:val="single" w:sz="12"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11" w:type="dxa"/>
            <w:tcBorders>
              <w:top w:val="single" w:sz="12" w:space="0" w:color="000000"/>
              <w:left w:val="nil" w:sz="6" w:space="0" w:color="auto"/>
              <w:bottom w:val="nil" w:sz="6" w:space="0" w:color="auto"/>
              <w:right w:val="nil" w:sz="6" w:space="0" w:color="auto"/>
            </w:tcBorders>
          </w:tcPr>
          <w:p>
            <w:pPr/>
          </w:p>
        </w:tc>
      </w:tr>
      <w:tr>
        <w:trPr>
          <w:trHeight w:val="400"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310" w:lineRule="exact"/>
              <w:ind w:left="425"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5"/>
              <w:jc w:val="right"/>
              <w:rPr>
                <w:rFonts w:ascii="Arial" w:hAnsi="Arial" w:cs="Arial" w:eastAsia="Arial" w:hint="default"/>
                <w:sz w:val="24"/>
                <w:szCs w:val="24"/>
              </w:rPr>
            </w:pPr>
            <w:r>
              <w:rPr>
                <w:rFonts w:ascii="Arial"/>
                <w:spacing w:val="-1"/>
                <w:sz w:val="24"/>
              </w:rPr>
              <w:t>7,305</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3"/>
              <w:jc w:val="right"/>
              <w:rPr>
                <w:rFonts w:ascii="Arial" w:hAnsi="Arial" w:cs="Arial" w:eastAsia="Arial" w:hint="default"/>
                <w:sz w:val="24"/>
                <w:szCs w:val="24"/>
              </w:rPr>
            </w:pPr>
            <w:r>
              <w:rPr>
                <w:rFonts w:ascii="Arial"/>
                <w:spacing w:val="-1"/>
                <w:sz w:val="24"/>
              </w:rPr>
              <w:t>1,073,816</w:t>
            </w:r>
          </w:p>
        </w:tc>
        <w:tc>
          <w:tcPr>
            <w:tcW w:w="230"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5"/>
              <w:jc w:val="right"/>
              <w:rPr>
                <w:rFonts w:ascii="Arial" w:hAnsi="Arial" w:cs="Arial" w:eastAsia="Arial" w:hint="default"/>
                <w:sz w:val="24"/>
                <w:szCs w:val="24"/>
              </w:rPr>
            </w:pPr>
            <w:r>
              <w:rPr>
                <w:rFonts w:ascii="Arial"/>
                <w:spacing w:val="-1"/>
                <w:sz w:val="24"/>
              </w:rPr>
              <w:t>46,371</w:t>
            </w:r>
          </w:p>
        </w:tc>
        <w:tc>
          <w:tcPr>
            <w:tcW w:w="235"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5"/>
              <w:jc w:val="right"/>
              <w:rPr>
                <w:rFonts w:ascii="Arial" w:hAnsi="Arial" w:cs="Arial" w:eastAsia="Arial" w:hint="default"/>
                <w:sz w:val="24"/>
                <w:szCs w:val="24"/>
              </w:rPr>
            </w:pPr>
            <w:r>
              <w:rPr>
                <w:rFonts w:ascii="Arial"/>
                <w:spacing w:val="-1"/>
                <w:sz w:val="24"/>
              </w:rPr>
              <w:t>1,127,492</w:t>
            </w:r>
          </w:p>
        </w:tc>
      </w:tr>
      <w:tr>
        <w:trPr>
          <w:trHeight w:val="391"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301" w:lineRule="exact"/>
              <w:ind w:left="425"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spacing w:val="-1"/>
                <w:sz w:val="24"/>
              </w:rPr>
              <w:t>45,921</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76,896</w:t>
            </w:r>
          </w:p>
        </w:tc>
        <w:tc>
          <w:tcPr>
            <w:tcW w:w="230"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Arial" w:hAnsi="Arial" w:cs="Arial" w:eastAsia="Arial" w:hint="default"/>
                <w:sz w:val="24"/>
                <w:szCs w:val="24"/>
              </w:rPr>
            </w:pPr>
            <w:r>
              <w:rPr>
                <w:rFonts w:ascii="Arial"/>
                <w:w w:val="95"/>
                <w:sz w:val="24"/>
              </w:rPr>
              <w:t>44</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spacing w:val="-1"/>
                <w:sz w:val="24"/>
              </w:rPr>
              <w:t>122,861</w:t>
            </w:r>
          </w:p>
        </w:tc>
      </w:tr>
      <w:tr>
        <w:trPr>
          <w:trHeight w:val="391"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301" w:lineRule="exact"/>
              <w:ind w:left="425"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spacing w:val="-1"/>
                <w:sz w:val="24"/>
              </w:rPr>
              <w:t>59,323</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19,827</w:t>
            </w:r>
          </w:p>
        </w:tc>
        <w:tc>
          <w:tcPr>
            <w:tcW w:w="230"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w w:val="99"/>
                <w:sz w:val="24"/>
              </w:rPr>
              <w:t>-</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spacing w:val="-1"/>
                <w:sz w:val="24"/>
              </w:rPr>
              <w:t>79,150</w:t>
            </w:r>
          </w:p>
        </w:tc>
      </w:tr>
      <w:tr>
        <w:trPr>
          <w:trHeight w:val="383"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301" w:lineRule="exact"/>
              <w:ind w:left="425"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w w:val="99"/>
                <w:sz w:val="24"/>
              </w:rPr>
              <w:t>-</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2,650</w:t>
            </w:r>
          </w:p>
        </w:tc>
        <w:tc>
          <w:tcPr>
            <w:tcW w:w="230"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w w:val="99"/>
                <w:sz w:val="24"/>
              </w:rPr>
              <w:t>-</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spacing w:val="-1"/>
                <w:sz w:val="24"/>
              </w:rPr>
              <w:t>2,650</w:t>
            </w:r>
          </w:p>
        </w:tc>
      </w:tr>
      <w:tr>
        <w:trPr>
          <w:trHeight w:val="377" w:hRule="exact"/>
        </w:trPr>
        <w:tc>
          <w:tcPr>
            <w:tcW w:w="2541"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5"/>
              <w:jc w:val="right"/>
              <w:rPr>
                <w:rFonts w:ascii="Arial" w:hAnsi="Arial" w:cs="Arial" w:eastAsia="Arial" w:hint="default"/>
                <w:sz w:val="24"/>
                <w:szCs w:val="24"/>
              </w:rPr>
            </w:pPr>
            <w:r>
              <w:rPr>
                <w:rFonts w:ascii="Arial"/>
                <w:spacing w:val="-3"/>
                <w:sz w:val="24"/>
              </w:rPr>
              <w:t>112,549</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3"/>
              <w:jc w:val="right"/>
              <w:rPr>
                <w:rFonts w:ascii="Arial" w:hAnsi="Arial" w:cs="Arial" w:eastAsia="Arial" w:hint="default"/>
                <w:sz w:val="24"/>
                <w:szCs w:val="24"/>
              </w:rPr>
            </w:pPr>
            <w:r>
              <w:rPr>
                <w:rFonts w:ascii="Arial"/>
                <w:spacing w:val="-1"/>
                <w:sz w:val="24"/>
              </w:rPr>
              <w:t>1,173,189</w:t>
            </w:r>
          </w:p>
        </w:tc>
        <w:tc>
          <w:tcPr>
            <w:tcW w:w="230"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5"/>
              <w:jc w:val="right"/>
              <w:rPr>
                <w:rFonts w:ascii="Arial" w:hAnsi="Arial" w:cs="Arial" w:eastAsia="Arial" w:hint="default"/>
                <w:sz w:val="24"/>
                <w:szCs w:val="24"/>
              </w:rPr>
            </w:pPr>
            <w:r>
              <w:rPr>
                <w:rFonts w:ascii="Arial"/>
                <w:spacing w:val="-1"/>
                <w:sz w:val="24"/>
              </w:rPr>
              <w:t>46,415</w:t>
            </w:r>
          </w:p>
        </w:tc>
        <w:tc>
          <w:tcPr>
            <w:tcW w:w="235"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5"/>
              <w:jc w:val="right"/>
              <w:rPr>
                <w:rFonts w:ascii="Arial" w:hAnsi="Arial" w:cs="Arial" w:eastAsia="Arial" w:hint="default"/>
                <w:sz w:val="24"/>
                <w:szCs w:val="24"/>
              </w:rPr>
            </w:pPr>
            <w:r>
              <w:rPr>
                <w:rFonts w:ascii="Arial"/>
                <w:spacing w:val="-1"/>
                <w:sz w:val="24"/>
              </w:rPr>
              <w:t>1,332,153</w:t>
            </w:r>
          </w:p>
        </w:tc>
      </w:tr>
    </w:tbl>
    <w:p>
      <w:pPr>
        <w:spacing w:after="0" w:line="240" w:lineRule="auto"/>
        <w:jc w:val="right"/>
        <w:rPr>
          <w:rFonts w:ascii="Arial" w:hAnsi="Arial" w:cs="Arial" w:eastAsia="Arial" w:hint="default"/>
          <w:sz w:val="24"/>
          <w:szCs w:val="24"/>
        </w:rPr>
        <w:sectPr>
          <w:pgSz w:w="11910" w:h="16850"/>
          <w:pgMar w:header="795" w:footer="1340" w:top="2020" w:bottom="1540" w:left="1420" w:right="0"/>
        </w:sectPr>
      </w:pPr>
    </w:p>
    <w:p>
      <w:pPr>
        <w:spacing w:line="240" w:lineRule="auto" w:before="9"/>
        <w:rPr>
          <w:rFonts w:ascii="Times New Roman" w:hAnsi="Times New Roman" w:cs="Times New Roman" w:eastAsia="Times New Roman" w:hint="default"/>
          <w:sz w:val="29"/>
          <w:szCs w:val="29"/>
        </w:rPr>
      </w:pPr>
      <w:r>
        <w:rPr/>
        <w:pict>
          <v:shape style="position:absolute;margin-left:460.320007pt;margin-top:765.039978pt;width:135.0pt;height:77pt;mso-position-horizontal-relative:page;mso-position-vertical-relative:page;z-index:-1595080" type="#_x0000_t75" stroked="false">
            <v:imagedata r:id="rId10" o:title=""/>
          </v:shape>
        </w:pict>
      </w:r>
    </w:p>
    <w:tbl>
      <w:tblPr>
        <w:tblW w:w="0" w:type="auto"/>
        <w:jc w:val="left"/>
        <w:tblInd w:w="108" w:type="dxa"/>
        <w:tblLayout w:type="fixed"/>
        <w:tblCellMar>
          <w:top w:w="0" w:type="dxa"/>
          <w:left w:w="0" w:type="dxa"/>
          <w:bottom w:w="0" w:type="dxa"/>
          <w:right w:w="0" w:type="dxa"/>
        </w:tblCellMar>
        <w:tblLook w:val="01E0"/>
      </w:tblPr>
      <w:tblGrid>
        <w:gridCol w:w="798"/>
        <w:gridCol w:w="2637"/>
      </w:tblGrid>
      <w:tr>
        <w:trPr>
          <w:trHeight w:val="415"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十一</w:t>
            </w:r>
          </w:p>
        </w:tc>
        <w:tc>
          <w:tcPr>
            <w:tcW w:w="2637" w:type="dxa"/>
            <w:tcBorders>
              <w:top w:val="nil" w:sz="6" w:space="0" w:color="auto"/>
              <w:left w:val="nil" w:sz="6" w:space="0" w:color="auto"/>
              <w:bottom w:val="nil" w:sz="6" w:space="0" w:color="auto"/>
              <w:right w:val="nil" w:sz="6" w:space="0" w:color="auto"/>
            </w:tcBorders>
          </w:tcPr>
          <w:p>
            <w:pPr>
              <w:pStyle w:val="TableParagraph"/>
              <w:spacing w:line="257" w:lineRule="exact"/>
              <w:ind w:left="117" w:right="0"/>
              <w:jc w:val="left"/>
              <w:rPr>
                <w:rFonts w:ascii="Arial" w:hAnsi="Arial" w:cs="Arial" w:eastAsia="Arial" w:hint="default"/>
                <w:sz w:val="24"/>
                <w:szCs w:val="24"/>
              </w:rPr>
            </w:pPr>
            <w:r>
              <w:rPr>
                <w:rFonts w:ascii="黑体" w:hAnsi="黑体" w:cs="黑体" w:eastAsia="黑体" w:hint="default"/>
                <w:sz w:val="24"/>
                <w:szCs w:val="24"/>
              </w:rPr>
              <w:t>金融工具及其风险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7"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00" w:right="0"/>
              <w:jc w:val="left"/>
              <w:rPr>
                <w:rFonts w:ascii="Arial" w:hAnsi="Arial" w:cs="Arial" w:eastAsia="Arial" w:hint="default"/>
                <w:sz w:val="24"/>
                <w:szCs w:val="24"/>
              </w:rPr>
            </w:pPr>
            <w:r>
              <w:rPr>
                <w:rFonts w:ascii="Arial"/>
                <w:sz w:val="24"/>
              </w:rPr>
              <w:t>(1)</w:t>
            </w:r>
          </w:p>
        </w:tc>
        <w:tc>
          <w:tcPr>
            <w:tcW w:w="263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17" w:right="0"/>
              <w:jc w:val="left"/>
              <w:rPr>
                <w:rFonts w:ascii="Arial" w:hAnsi="Arial" w:cs="Arial" w:eastAsia="Arial" w:hint="default"/>
                <w:sz w:val="24"/>
                <w:szCs w:val="24"/>
              </w:rPr>
            </w:pPr>
            <w:r>
              <w:rPr>
                <w:rFonts w:ascii="黑体" w:hAnsi="黑体" w:cs="黑体" w:eastAsia="黑体" w:hint="default"/>
                <w:sz w:val="24"/>
                <w:szCs w:val="24"/>
              </w:rPr>
              <w:t>市场风险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24"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263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7" w:right="0"/>
              <w:jc w:val="left"/>
              <w:rPr>
                <w:rFonts w:ascii="Arial" w:hAnsi="Arial" w:cs="Arial" w:eastAsia="Arial" w:hint="default"/>
                <w:sz w:val="24"/>
                <w:szCs w:val="24"/>
              </w:rPr>
            </w:pPr>
            <w:r>
              <w:rPr>
                <w:rFonts w:ascii="宋体" w:hAnsi="宋体" w:cs="宋体" w:eastAsia="宋体" w:hint="default"/>
                <w:sz w:val="24"/>
                <w:szCs w:val="24"/>
              </w:rPr>
              <w:t>外汇风险</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828" w:type="dxa"/>
        <w:tblLayout w:type="fixed"/>
        <w:tblCellMar>
          <w:top w:w="0" w:type="dxa"/>
          <w:left w:w="0" w:type="dxa"/>
          <w:bottom w:w="0" w:type="dxa"/>
          <w:right w:w="0" w:type="dxa"/>
        </w:tblCellMar>
        <w:tblLook w:val="01E0"/>
      </w:tblPr>
      <w:tblGrid>
        <w:gridCol w:w="2541"/>
        <w:gridCol w:w="1440"/>
        <w:gridCol w:w="264"/>
        <w:gridCol w:w="1267"/>
        <w:gridCol w:w="235"/>
        <w:gridCol w:w="1654"/>
        <w:gridCol w:w="264"/>
        <w:gridCol w:w="1313"/>
      </w:tblGrid>
      <w:tr>
        <w:trPr>
          <w:trHeight w:val="283" w:hRule="exact"/>
        </w:trPr>
        <w:tc>
          <w:tcPr>
            <w:tcW w:w="8978" w:type="dxa"/>
            <w:gridSpan w:val="8"/>
            <w:tcBorders>
              <w:top w:val="nil" w:sz="6" w:space="0" w:color="auto"/>
              <w:left w:val="nil" w:sz="6" w:space="0" w:color="auto"/>
              <w:bottom w:val="nil" w:sz="6" w:space="0" w:color="auto"/>
              <w:right w:val="nil" w:sz="6" w:space="0" w:color="auto"/>
            </w:tcBorders>
          </w:tcPr>
          <w:p>
            <w:pPr>
              <w:pStyle w:val="TableParagraph"/>
              <w:spacing w:line="257" w:lineRule="exact"/>
              <w:ind w:left="4722"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315" w:hRule="exact"/>
        </w:trPr>
        <w:tc>
          <w:tcPr>
            <w:tcW w:w="2541"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nil" w:sz="6" w:space="0" w:color="auto"/>
              <w:right w:val="nil" w:sz="6" w:space="0" w:color="auto"/>
            </w:tcBorders>
          </w:tcPr>
          <w:p>
            <w:pPr>
              <w:pStyle w:val="TableParagraph"/>
              <w:spacing w:line="274" w:lineRule="exact"/>
              <w:ind w:left="240" w:right="0"/>
              <w:jc w:val="left"/>
              <w:rPr>
                <w:rFonts w:ascii="宋体" w:hAnsi="宋体" w:cs="宋体" w:eastAsia="宋体" w:hint="default"/>
                <w:sz w:val="24"/>
                <w:szCs w:val="24"/>
              </w:rPr>
            </w:pPr>
            <w:r>
              <w:rPr>
                <w:rFonts w:ascii="宋体" w:hAnsi="宋体" w:cs="宋体" w:eastAsia="宋体" w:hint="default"/>
                <w:sz w:val="24"/>
                <w:szCs w:val="24"/>
              </w:rPr>
              <w:t>日元项目</w:t>
            </w:r>
          </w:p>
        </w:tc>
        <w:tc>
          <w:tcPr>
            <w:tcW w:w="264" w:type="dxa"/>
            <w:tcBorders>
              <w:top w:val="single" w:sz="4" w:space="0" w:color="000000"/>
              <w:left w:val="nil" w:sz="6" w:space="0" w:color="auto"/>
              <w:bottom w:val="nil" w:sz="6" w:space="0" w:color="auto"/>
              <w:right w:val="nil" w:sz="6" w:space="0" w:color="auto"/>
            </w:tcBorders>
          </w:tcPr>
          <w:p>
            <w:pPr/>
          </w:p>
        </w:tc>
        <w:tc>
          <w:tcPr>
            <w:tcW w:w="1267" w:type="dxa"/>
            <w:tcBorders>
              <w:top w:val="single" w:sz="4" w:space="0" w:color="000000"/>
              <w:left w:val="nil" w:sz="6" w:space="0" w:color="auto"/>
              <w:bottom w:val="nil" w:sz="6" w:space="0" w:color="auto"/>
              <w:right w:val="nil" w:sz="6" w:space="0" w:color="auto"/>
            </w:tcBorders>
          </w:tcPr>
          <w:p>
            <w:pPr>
              <w:pStyle w:val="TableParagraph"/>
              <w:spacing w:line="274" w:lineRule="exact"/>
              <w:ind w:right="107"/>
              <w:jc w:val="right"/>
              <w:rPr>
                <w:rFonts w:ascii="宋体" w:hAnsi="宋体" w:cs="宋体" w:eastAsia="宋体" w:hint="default"/>
                <w:sz w:val="24"/>
                <w:szCs w:val="24"/>
              </w:rPr>
            </w:pPr>
            <w:r>
              <w:rPr>
                <w:rFonts w:ascii="宋体" w:hAnsi="宋体" w:cs="宋体" w:eastAsia="宋体" w:hint="default"/>
                <w:sz w:val="24"/>
                <w:szCs w:val="24"/>
              </w:rPr>
              <w:t>港元项目</w:t>
            </w:r>
          </w:p>
        </w:tc>
        <w:tc>
          <w:tcPr>
            <w:tcW w:w="235" w:type="dxa"/>
            <w:tcBorders>
              <w:top w:val="single" w:sz="4" w:space="0" w:color="000000"/>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nil" w:sz="6" w:space="0" w:color="auto"/>
              <w:right w:val="nil" w:sz="6" w:space="0" w:color="auto"/>
            </w:tcBorders>
          </w:tcPr>
          <w:p>
            <w:pPr>
              <w:pStyle w:val="TableParagraph"/>
              <w:spacing w:line="274" w:lineRule="exact"/>
              <w:ind w:right="106"/>
              <w:jc w:val="right"/>
              <w:rPr>
                <w:rFonts w:ascii="宋体" w:hAnsi="宋体" w:cs="宋体" w:eastAsia="宋体" w:hint="default"/>
                <w:sz w:val="24"/>
                <w:szCs w:val="24"/>
              </w:rPr>
            </w:pPr>
            <w:r>
              <w:rPr>
                <w:rFonts w:ascii="宋体" w:hAnsi="宋体" w:cs="宋体" w:eastAsia="宋体" w:hint="default"/>
                <w:sz w:val="24"/>
                <w:szCs w:val="24"/>
              </w:rPr>
              <w:t>美元项目</w:t>
            </w:r>
          </w:p>
        </w:tc>
        <w:tc>
          <w:tcPr>
            <w:tcW w:w="264" w:type="dxa"/>
            <w:tcBorders>
              <w:top w:val="single" w:sz="4" w:space="0" w:color="000000"/>
              <w:left w:val="nil" w:sz="6" w:space="0" w:color="auto"/>
              <w:bottom w:val="nil" w:sz="6" w:space="0" w:color="auto"/>
              <w:right w:val="nil" w:sz="6" w:space="0" w:color="auto"/>
            </w:tcBorders>
          </w:tcPr>
          <w:p>
            <w:pPr/>
          </w:p>
        </w:tc>
        <w:tc>
          <w:tcPr>
            <w:tcW w:w="1313" w:type="dxa"/>
            <w:tcBorders>
              <w:top w:val="single" w:sz="4" w:space="0" w:color="000000"/>
              <w:left w:val="nil" w:sz="6" w:space="0" w:color="auto"/>
              <w:bottom w:val="nil" w:sz="6" w:space="0" w:color="auto"/>
              <w:right w:val="nil" w:sz="6" w:space="0" w:color="auto"/>
            </w:tcBorders>
          </w:tcPr>
          <w:p>
            <w:pPr>
              <w:pStyle w:val="TableParagraph"/>
              <w:spacing w:line="274" w:lineRule="exact"/>
              <w:ind w:right="103"/>
              <w:jc w:val="right"/>
              <w:rPr>
                <w:rFonts w:ascii="宋体" w:hAnsi="宋体" w:cs="宋体" w:eastAsia="宋体" w:hint="default"/>
                <w:sz w:val="24"/>
                <w:szCs w:val="24"/>
              </w:rPr>
            </w:pPr>
            <w:r>
              <w:rPr>
                <w:rFonts w:ascii="宋体" w:hAnsi="宋体" w:cs="宋体" w:eastAsia="宋体" w:hint="default"/>
                <w:sz w:val="24"/>
                <w:szCs w:val="24"/>
              </w:rPr>
              <w:t>合计</w:t>
            </w:r>
          </w:p>
        </w:tc>
      </w:tr>
      <w:tr>
        <w:trPr>
          <w:trHeight w:val="317"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293" w:lineRule="exact"/>
              <w:ind w:left="200" w:right="0"/>
              <w:jc w:val="left"/>
              <w:rPr>
                <w:rFonts w:ascii="Arial" w:hAnsi="Arial" w:cs="Arial" w:eastAsia="Arial" w:hint="default"/>
                <w:sz w:val="24"/>
                <w:szCs w:val="24"/>
              </w:rPr>
            </w:pPr>
            <w:r>
              <w:rPr>
                <w:rFonts w:ascii="宋体" w:hAnsi="宋体" w:cs="宋体" w:eastAsia="宋体" w:hint="default"/>
                <w:sz w:val="24"/>
                <w:szCs w:val="24"/>
              </w:rPr>
              <w:t>外币金融资产 </w:t>
            </w:r>
            <w:r>
              <w:rPr>
                <w:rFonts w:ascii="Arial" w:hAnsi="Arial" w:cs="Arial" w:eastAsia="Arial" w:hint="default"/>
                <w:sz w:val="24"/>
                <w:szCs w:val="24"/>
              </w:rPr>
              <w:t>-</w:t>
            </w:r>
          </w:p>
        </w:tc>
        <w:tc>
          <w:tcPr>
            <w:tcW w:w="1440"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r>
      <w:tr>
        <w:trPr>
          <w:trHeight w:val="311"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269" w:lineRule="exact"/>
              <w:ind w:left="425"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Arial" w:hAnsi="Arial" w:cs="Arial" w:eastAsia="Arial" w:hint="default"/>
                <w:sz w:val="24"/>
                <w:szCs w:val="24"/>
              </w:rPr>
            </w:pPr>
            <w:r>
              <w:rPr>
                <w:rFonts w:ascii="Arial"/>
                <w:spacing w:val="-1"/>
                <w:sz w:val="24"/>
              </w:rPr>
              <w:t>634,674</w:t>
            </w:r>
          </w:p>
        </w:tc>
        <w:tc>
          <w:tcPr>
            <w:tcW w:w="264"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Arial" w:hAnsi="Arial" w:cs="Arial" w:eastAsia="Arial" w:hint="default"/>
                <w:sz w:val="24"/>
                <w:szCs w:val="24"/>
              </w:rPr>
            </w:pPr>
            <w:r>
              <w:rPr>
                <w:rFonts w:ascii="Arial"/>
                <w:w w:val="95"/>
                <w:sz w:val="24"/>
              </w:rPr>
              <w:t>83,538</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Arial" w:hAnsi="Arial" w:cs="Arial" w:eastAsia="Arial" w:hint="default"/>
                <w:sz w:val="24"/>
                <w:szCs w:val="24"/>
              </w:rPr>
            </w:pPr>
            <w:r>
              <w:rPr>
                <w:rFonts w:ascii="Arial"/>
                <w:sz w:val="24"/>
              </w:rPr>
              <w:t>16,149</w:t>
            </w:r>
          </w:p>
        </w:tc>
        <w:tc>
          <w:tcPr>
            <w:tcW w:w="264"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Arial" w:hAnsi="Arial" w:cs="Arial" w:eastAsia="Arial" w:hint="default"/>
                <w:sz w:val="24"/>
                <w:szCs w:val="24"/>
              </w:rPr>
            </w:pPr>
            <w:r>
              <w:rPr>
                <w:rFonts w:ascii="Arial"/>
                <w:spacing w:val="-1"/>
                <w:sz w:val="24"/>
              </w:rPr>
              <w:t>734,361</w:t>
            </w:r>
          </w:p>
        </w:tc>
      </w:tr>
      <w:tr>
        <w:trPr>
          <w:trHeight w:val="311"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270" w:lineRule="exact"/>
              <w:ind w:left="425"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5"/>
              <w:jc w:val="right"/>
              <w:rPr>
                <w:rFonts w:ascii="Arial" w:hAnsi="Arial" w:cs="Arial" w:eastAsia="Arial" w:hint="default"/>
                <w:sz w:val="24"/>
                <w:szCs w:val="24"/>
              </w:rPr>
            </w:pPr>
            <w:r>
              <w:rPr>
                <w:rFonts w:ascii="Arial"/>
                <w:spacing w:val="-1"/>
                <w:sz w:val="24"/>
              </w:rPr>
              <w:t>38,051</w:t>
            </w:r>
          </w:p>
        </w:tc>
        <w:tc>
          <w:tcPr>
            <w:tcW w:w="264"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5"/>
              <w:jc w:val="right"/>
              <w:rPr>
                <w:rFonts w:ascii="Arial" w:hAnsi="Arial" w:cs="Arial" w:eastAsia="Arial" w:hint="default"/>
                <w:sz w:val="24"/>
                <w:szCs w:val="24"/>
              </w:rPr>
            </w:pPr>
            <w:r>
              <w:rPr>
                <w:rFonts w:ascii="Arial"/>
                <w:spacing w:val="-1"/>
                <w:sz w:val="24"/>
              </w:rPr>
              <w:t>2,545</w:t>
            </w:r>
          </w:p>
        </w:tc>
        <w:tc>
          <w:tcPr>
            <w:tcW w:w="235"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5"/>
              <w:jc w:val="right"/>
              <w:rPr>
                <w:rFonts w:ascii="Arial" w:hAnsi="Arial" w:cs="Arial" w:eastAsia="Arial" w:hint="default"/>
                <w:sz w:val="24"/>
                <w:szCs w:val="24"/>
              </w:rPr>
            </w:pPr>
            <w:r>
              <w:rPr>
                <w:rFonts w:ascii="Arial"/>
                <w:w w:val="99"/>
                <w:sz w:val="24"/>
              </w:rPr>
              <w:t>-</w:t>
            </w:r>
            <w:r>
              <w:rPr>
                <w:rFonts w:ascii="Arial"/>
                <w:sz w:val="24"/>
              </w:rPr>
            </w:r>
          </w:p>
        </w:tc>
        <w:tc>
          <w:tcPr>
            <w:tcW w:w="264"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2"/>
              <w:jc w:val="right"/>
              <w:rPr>
                <w:rFonts w:ascii="Arial" w:hAnsi="Arial" w:cs="Arial" w:eastAsia="Arial" w:hint="default"/>
                <w:sz w:val="24"/>
                <w:szCs w:val="24"/>
              </w:rPr>
            </w:pPr>
            <w:r>
              <w:rPr>
                <w:rFonts w:ascii="Arial"/>
                <w:spacing w:val="-1"/>
                <w:sz w:val="24"/>
              </w:rPr>
              <w:t>40,596</w:t>
            </w:r>
          </w:p>
        </w:tc>
      </w:tr>
      <w:tr>
        <w:trPr>
          <w:trHeight w:val="311"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271" w:lineRule="exact"/>
              <w:ind w:left="425"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Arial" w:hAnsi="Arial" w:cs="Arial" w:eastAsia="Arial" w:hint="default"/>
                <w:sz w:val="24"/>
                <w:szCs w:val="24"/>
              </w:rPr>
            </w:pPr>
            <w:r>
              <w:rPr>
                <w:rFonts w:ascii="Arial"/>
                <w:spacing w:val="-1"/>
                <w:sz w:val="24"/>
              </w:rPr>
              <w:t>8,480</w:t>
            </w:r>
          </w:p>
        </w:tc>
        <w:tc>
          <w:tcPr>
            <w:tcW w:w="264"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Arial" w:hAnsi="Arial" w:cs="Arial" w:eastAsia="Arial" w:hint="default"/>
                <w:sz w:val="24"/>
                <w:szCs w:val="24"/>
              </w:rPr>
            </w:pPr>
            <w:r>
              <w:rPr>
                <w:rFonts w:ascii="Arial"/>
                <w:spacing w:val="-4"/>
                <w:sz w:val="24"/>
              </w:rPr>
              <w:t>52,211</w:t>
            </w:r>
          </w:p>
        </w:tc>
        <w:tc>
          <w:tcPr>
            <w:tcW w:w="235"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Arial" w:hAnsi="Arial" w:cs="Arial" w:eastAsia="Arial" w:hint="default"/>
                <w:sz w:val="24"/>
                <w:szCs w:val="24"/>
              </w:rPr>
            </w:pPr>
            <w:r>
              <w:rPr>
                <w:rFonts w:ascii="Arial"/>
                <w:w w:val="99"/>
                <w:sz w:val="24"/>
              </w:rPr>
              <w:t>-</w:t>
            </w:r>
            <w:r>
              <w:rPr>
                <w:rFonts w:ascii="Arial"/>
                <w:sz w:val="24"/>
              </w:rPr>
            </w:r>
          </w:p>
        </w:tc>
        <w:tc>
          <w:tcPr>
            <w:tcW w:w="264"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Arial" w:hAnsi="Arial" w:cs="Arial" w:eastAsia="Arial" w:hint="default"/>
                <w:sz w:val="24"/>
                <w:szCs w:val="24"/>
              </w:rPr>
            </w:pPr>
            <w:r>
              <w:rPr>
                <w:rFonts w:ascii="Arial"/>
                <w:w w:val="95"/>
                <w:sz w:val="24"/>
              </w:rPr>
              <w:t>60,691</w:t>
            </w:r>
            <w:r>
              <w:rPr>
                <w:rFonts w:ascii="Arial"/>
                <w:sz w:val="24"/>
              </w:rPr>
            </w:r>
          </w:p>
        </w:tc>
      </w:tr>
      <w:tr>
        <w:trPr>
          <w:trHeight w:val="313"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270" w:lineRule="exact"/>
              <w:ind w:left="425"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5"/>
              <w:jc w:val="right"/>
              <w:rPr>
                <w:rFonts w:ascii="Arial" w:hAnsi="Arial" w:cs="Arial" w:eastAsia="Arial" w:hint="default"/>
                <w:sz w:val="24"/>
                <w:szCs w:val="24"/>
              </w:rPr>
            </w:pPr>
            <w:r>
              <w:rPr>
                <w:rFonts w:ascii="Arial"/>
                <w:spacing w:val="-1"/>
                <w:sz w:val="24"/>
              </w:rPr>
              <w:t>293,362</w:t>
            </w:r>
          </w:p>
        </w:tc>
        <w:tc>
          <w:tcPr>
            <w:tcW w:w="264"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5"/>
              <w:jc w:val="right"/>
              <w:rPr>
                <w:rFonts w:ascii="Arial" w:hAnsi="Arial" w:cs="Arial" w:eastAsia="Arial" w:hint="default"/>
                <w:sz w:val="24"/>
                <w:szCs w:val="24"/>
              </w:rPr>
            </w:pPr>
            <w:r>
              <w:rPr>
                <w:rFonts w:ascii="Arial"/>
                <w:w w:val="99"/>
                <w:sz w:val="24"/>
              </w:rPr>
              <w:t>-</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5"/>
              <w:jc w:val="right"/>
              <w:rPr>
                <w:rFonts w:ascii="Arial" w:hAnsi="Arial" w:cs="Arial" w:eastAsia="Arial" w:hint="default"/>
                <w:sz w:val="24"/>
                <w:szCs w:val="24"/>
              </w:rPr>
            </w:pPr>
            <w:r>
              <w:rPr>
                <w:rFonts w:ascii="Arial"/>
                <w:w w:val="99"/>
                <w:sz w:val="24"/>
              </w:rPr>
              <w:t>-</w:t>
            </w:r>
            <w:r>
              <w:rPr>
                <w:rFonts w:ascii="Arial"/>
                <w:sz w:val="24"/>
              </w:rPr>
            </w:r>
          </w:p>
        </w:tc>
        <w:tc>
          <w:tcPr>
            <w:tcW w:w="264"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3"/>
              <w:jc w:val="right"/>
              <w:rPr>
                <w:rFonts w:ascii="Arial" w:hAnsi="Arial" w:cs="Arial" w:eastAsia="Arial" w:hint="default"/>
                <w:sz w:val="24"/>
                <w:szCs w:val="24"/>
              </w:rPr>
            </w:pPr>
            <w:r>
              <w:rPr>
                <w:rFonts w:ascii="Arial"/>
                <w:spacing w:val="-1"/>
                <w:sz w:val="24"/>
              </w:rPr>
              <w:t>293,362</w:t>
            </w:r>
          </w:p>
        </w:tc>
      </w:tr>
      <w:tr>
        <w:trPr>
          <w:trHeight w:val="295" w:hRule="exact"/>
        </w:trPr>
        <w:tc>
          <w:tcPr>
            <w:tcW w:w="2541"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single" w:sz="12" w:space="0" w:color="000000"/>
              <w:right w:val="nil" w:sz="6" w:space="0" w:color="auto"/>
            </w:tcBorders>
          </w:tcPr>
          <w:p>
            <w:pPr>
              <w:pStyle w:val="TableParagraph"/>
              <w:spacing w:line="272" w:lineRule="exact"/>
              <w:ind w:right="105"/>
              <w:jc w:val="right"/>
              <w:rPr>
                <w:rFonts w:ascii="Arial" w:hAnsi="Arial" w:cs="Arial" w:eastAsia="Arial" w:hint="default"/>
                <w:sz w:val="24"/>
                <w:szCs w:val="24"/>
              </w:rPr>
            </w:pPr>
            <w:r>
              <w:rPr>
                <w:rFonts w:ascii="Arial"/>
                <w:spacing w:val="-1"/>
                <w:sz w:val="24"/>
              </w:rPr>
              <w:t>974,567</w:t>
            </w:r>
          </w:p>
        </w:tc>
        <w:tc>
          <w:tcPr>
            <w:tcW w:w="264" w:type="dxa"/>
            <w:tcBorders>
              <w:top w:val="nil" w:sz="6" w:space="0" w:color="auto"/>
              <w:left w:val="nil" w:sz="6" w:space="0" w:color="auto"/>
              <w:bottom w:val="nil" w:sz="6" w:space="0" w:color="auto"/>
              <w:right w:val="nil" w:sz="6" w:space="0" w:color="auto"/>
            </w:tcBorders>
          </w:tcPr>
          <w:p>
            <w:pPr/>
          </w:p>
        </w:tc>
        <w:tc>
          <w:tcPr>
            <w:tcW w:w="1267" w:type="dxa"/>
            <w:tcBorders>
              <w:top w:val="single" w:sz="4" w:space="0" w:color="000000"/>
              <w:left w:val="nil" w:sz="6" w:space="0" w:color="auto"/>
              <w:bottom w:val="single" w:sz="12" w:space="0" w:color="000000"/>
              <w:right w:val="nil" w:sz="6" w:space="0" w:color="auto"/>
            </w:tcBorders>
          </w:tcPr>
          <w:p>
            <w:pPr>
              <w:pStyle w:val="TableParagraph"/>
              <w:spacing w:line="272" w:lineRule="exact"/>
              <w:ind w:right="108"/>
              <w:jc w:val="right"/>
              <w:rPr>
                <w:rFonts w:ascii="Arial" w:hAnsi="Arial" w:cs="Arial" w:eastAsia="Arial" w:hint="default"/>
                <w:sz w:val="24"/>
                <w:szCs w:val="24"/>
              </w:rPr>
            </w:pPr>
            <w:r>
              <w:rPr>
                <w:rFonts w:ascii="Arial"/>
                <w:spacing w:val="-1"/>
                <w:sz w:val="24"/>
              </w:rPr>
              <w:t>138,294</w:t>
            </w:r>
          </w:p>
        </w:tc>
        <w:tc>
          <w:tcPr>
            <w:tcW w:w="235"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single" w:sz="12" w:space="0" w:color="000000"/>
              <w:right w:val="nil" w:sz="6" w:space="0" w:color="auto"/>
            </w:tcBorders>
          </w:tcPr>
          <w:p>
            <w:pPr>
              <w:pStyle w:val="TableParagraph"/>
              <w:spacing w:line="272" w:lineRule="exact"/>
              <w:ind w:right="106"/>
              <w:jc w:val="right"/>
              <w:rPr>
                <w:rFonts w:ascii="Arial" w:hAnsi="Arial" w:cs="Arial" w:eastAsia="Arial" w:hint="default"/>
                <w:sz w:val="24"/>
                <w:szCs w:val="24"/>
              </w:rPr>
            </w:pPr>
            <w:r>
              <w:rPr>
                <w:rFonts w:ascii="Arial"/>
                <w:sz w:val="24"/>
              </w:rPr>
              <w:t>16,149</w:t>
            </w:r>
          </w:p>
        </w:tc>
        <w:tc>
          <w:tcPr>
            <w:tcW w:w="264" w:type="dxa"/>
            <w:tcBorders>
              <w:top w:val="nil" w:sz="6" w:space="0" w:color="auto"/>
              <w:left w:val="nil" w:sz="6" w:space="0" w:color="auto"/>
              <w:bottom w:val="nil" w:sz="6" w:space="0" w:color="auto"/>
              <w:right w:val="nil" w:sz="6" w:space="0" w:color="auto"/>
            </w:tcBorders>
          </w:tcPr>
          <w:p>
            <w:pPr/>
          </w:p>
        </w:tc>
        <w:tc>
          <w:tcPr>
            <w:tcW w:w="1313" w:type="dxa"/>
            <w:tcBorders>
              <w:top w:val="single" w:sz="4" w:space="0" w:color="000000"/>
              <w:left w:val="nil" w:sz="6" w:space="0" w:color="auto"/>
              <w:bottom w:val="single" w:sz="12" w:space="0" w:color="000000"/>
              <w:right w:val="nil" w:sz="6" w:space="0" w:color="auto"/>
            </w:tcBorders>
          </w:tcPr>
          <w:p>
            <w:pPr>
              <w:pStyle w:val="TableParagraph"/>
              <w:spacing w:line="272" w:lineRule="exact"/>
              <w:ind w:right="103"/>
              <w:jc w:val="right"/>
              <w:rPr>
                <w:rFonts w:ascii="Arial" w:hAnsi="Arial" w:cs="Arial" w:eastAsia="Arial" w:hint="default"/>
                <w:sz w:val="24"/>
                <w:szCs w:val="24"/>
              </w:rPr>
            </w:pPr>
            <w:r>
              <w:rPr>
                <w:rFonts w:ascii="Arial"/>
                <w:spacing w:val="-1"/>
                <w:sz w:val="24"/>
              </w:rPr>
              <w:t>1,129,010</w:t>
            </w:r>
          </w:p>
        </w:tc>
      </w:tr>
      <w:tr>
        <w:trPr>
          <w:trHeight w:val="332"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308" w:lineRule="exact"/>
              <w:ind w:left="200" w:right="0"/>
              <w:jc w:val="left"/>
              <w:rPr>
                <w:rFonts w:ascii="Arial" w:hAnsi="Arial" w:cs="Arial" w:eastAsia="Arial" w:hint="default"/>
                <w:sz w:val="24"/>
                <w:szCs w:val="24"/>
              </w:rPr>
            </w:pPr>
            <w:r>
              <w:rPr>
                <w:rFonts w:ascii="宋体" w:hAnsi="宋体" w:cs="宋体" w:eastAsia="宋体" w:hint="default"/>
                <w:sz w:val="24"/>
                <w:szCs w:val="24"/>
              </w:rPr>
              <w:t>外币金融负债 </w:t>
            </w:r>
            <w:r>
              <w:rPr>
                <w:rFonts w:ascii="Arial" w:hAnsi="Arial" w:cs="Arial" w:eastAsia="Arial" w:hint="default"/>
                <w:sz w:val="24"/>
                <w:szCs w:val="24"/>
              </w:rPr>
              <w:t>-</w:t>
            </w:r>
          </w:p>
        </w:tc>
        <w:tc>
          <w:tcPr>
            <w:tcW w:w="1440" w:type="dxa"/>
            <w:tcBorders>
              <w:top w:val="single" w:sz="12" w:space="0" w:color="000000"/>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267" w:type="dxa"/>
            <w:tcBorders>
              <w:top w:val="single" w:sz="12"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54" w:type="dxa"/>
            <w:tcBorders>
              <w:top w:val="single" w:sz="12" w:space="0" w:color="000000"/>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313" w:type="dxa"/>
            <w:tcBorders>
              <w:top w:val="single" w:sz="12" w:space="0" w:color="000000"/>
              <w:left w:val="nil" w:sz="6" w:space="0" w:color="auto"/>
              <w:bottom w:val="nil" w:sz="6" w:space="0" w:color="auto"/>
              <w:right w:val="nil" w:sz="6" w:space="0" w:color="auto"/>
            </w:tcBorders>
          </w:tcPr>
          <w:p>
            <w:pPr/>
          </w:p>
        </w:tc>
      </w:tr>
      <w:tr>
        <w:trPr>
          <w:trHeight w:val="310"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270" w:lineRule="exact"/>
              <w:ind w:left="425"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5"/>
              <w:jc w:val="right"/>
              <w:rPr>
                <w:rFonts w:ascii="Arial" w:hAnsi="Arial" w:cs="Arial" w:eastAsia="Arial" w:hint="default"/>
                <w:sz w:val="24"/>
                <w:szCs w:val="24"/>
              </w:rPr>
            </w:pPr>
            <w:r>
              <w:rPr>
                <w:rFonts w:ascii="Arial"/>
                <w:w w:val="99"/>
                <w:sz w:val="24"/>
              </w:rPr>
              <w:t>-</w:t>
            </w:r>
            <w:r>
              <w:rPr>
                <w:rFonts w:ascii="Arial"/>
                <w:sz w:val="24"/>
              </w:rPr>
            </w:r>
          </w:p>
        </w:tc>
        <w:tc>
          <w:tcPr>
            <w:tcW w:w="264"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Arial" w:hAnsi="Arial" w:cs="Arial" w:eastAsia="Arial" w:hint="default"/>
                <w:sz w:val="24"/>
                <w:szCs w:val="24"/>
              </w:rPr>
            </w:pPr>
            <w:r>
              <w:rPr>
                <w:rFonts w:ascii="Arial"/>
                <w:spacing w:val="-1"/>
                <w:sz w:val="24"/>
              </w:rPr>
              <w:t>893,001</w:t>
            </w:r>
          </w:p>
        </w:tc>
        <w:tc>
          <w:tcPr>
            <w:tcW w:w="235"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5"/>
              <w:jc w:val="right"/>
              <w:rPr>
                <w:rFonts w:ascii="Arial" w:hAnsi="Arial" w:cs="Arial" w:eastAsia="Arial" w:hint="default"/>
                <w:sz w:val="24"/>
                <w:szCs w:val="24"/>
              </w:rPr>
            </w:pPr>
            <w:r>
              <w:rPr>
                <w:rFonts w:ascii="Arial"/>
                <w:w w:val="99"/>
                <w:sz w:val="24"/>
              </w:rPr>
              <w:t>-</w:t>
            </w:r>
            <w:r>
              <w:rPr>
                <w:rFonts w:ascii="Arial"/>
                <w:sz w:val="24"/>
              </w:rPr>
            </w:r>
          </w:p>
        </w:tc>
        <w:tc>
          <w:tcPr>
            <w:tcW w:w="264"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5"/>
              <w:jc w:val="right"/>
              <w:rPr>
                <w:rFonts w:ascii="Arial" w:hAnsi="Arial" w:cs="Arial" w:eastAsia="Arial" w:hint="default"/>
                <w:sz w:val="24"/>
                <w:szCs w:val="24"/>
              </w:rPr>
            </w:pPr>
            <w:r>
              <w:rPr>
                <w:rFonts w:ascii="Arial"/>
                <w:spacing w:val="-1"/>
                <w:sz w:val="24"/>
              </w:rPr>
              <w:t>893,001</w:t>
            </w:r>
          </w:p>
        </w:tc>
      </w:tr>
      <w:tr>
        <w:trPr>
          <w:trHeight w:val="312"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270" w:lineRule="exact"/>
              <w:ind w:left="425"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Arial" w:hAnsi="Arial" w:cs="Arial" w:eastAsia="Arial" w:hint="default"/>
                <w:sz w:val="24"/>
                <w:szCs w:val="24"/>
              </w:rPr>
            </w:pPr>
            <w:r>
              <w:rPr>
                <w:rFonts w:ascii="Arial"/>
                <w:spacing w:val="-1"/>
                <w:sz w:val="24"/>
              </w:rPr>
              <w:t>24,378</w:t>
            </w:r>
          </w:p>
        </w:tc>
        <w:tc>
          <w:tcPr>
            <w:tcW w:w="264"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Arial" w:hAnsi="Arial" w:cs="Arial" w:eastAsia="Arial" w:hint="default"/>
                <w:sz w:val="24"/>
                <w:szCs w:val="24"/>
              </w:rPr>
            </w:pPr>
            <w:r>
              <w:rPr>
                <w:rFonts w:ascii="Arial"/>
                <w:spacing w:val="-1"/>
                <w:sz w:val="24"/>
              </w:rPr>
              <w:t>98,082</w:t>
            </w:r>
          </w:p>
        </w:tc>
        <w:tc>
          <w:tcPr>
            <w:tcW w:w="235"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Arial" w:hAnsi="Arial" w:cs="Arial" w:eastAsia="Arial" w:hint="default"/>
                <w:sz w:val="24"/>
                <w:szCs w:val="24"/>
              </w:rPr>
            </w:pPr>
            <w:r>
              <w:rPr>
                <w:rFonts w:ascii="Arial"/>
                <w:w w:val="95"/>
                <w:sz w:val="24"/>
              </w:rPr>
              <w:t>32</w:t>
            </w:r>
            <w:r>
              <w:rPr>
                <w:rFonts w:ascii="Arial"/>
                <w:sz w:val="24"/>
              </w:rPr>
            </w:r>
          </w:p>
        </w:tc>
        <w:tc>
          <w:tcPr>
            <w:tcW w:w="264"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4"/>
                <w:szCs w:val="24"/>
              </w:rPr>
            </w:pPr>
            <w:r>
              <w:rPr>
                <w:rFonts w:ascii="Arial"/>
                <w:spacing w:val="-1"/>
                <w:sz w:val="24"/>
              </w:rPr>
              <w:t>122,492</w:t>
            </w:r>
          </w:p>
        </w:tc>
      </w:tr>
      <w:tr>
        <w:trPr>
          <w:trHeight w:val="311"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270" w:lineRule="exact"/>
              <w:ind w:left="425"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5"/>
              <w:jc w:val="right"/>
              <w:rPr>
                <w:rFonts w:ascii="Arial" w:hAnsi="Arial" w:cs="Arial" w:eastAsia="Arial" w:hint="default"/>
                <w:sz w:val="24"/>
                <w:szCs w:val="24"/>
              </w:rPr>
            </w:pPr>
            <w:r>
              <w:rPr>
                <w:rFonts w:ascii="Arial"/>
                <w:spacing w:val="-1"/>
                <w:sz w:val="24"/>
              </w:rPr>
              <w:t>64,391</w:t>
            </w:r>
          </w:p>
        </w:tc>
        <w:tc>
          <w:tcPr>
            <w:tcW w:w="264"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5"/>
              <w:jc w:val="right"/>
              <w:rPr>
                <w:rFonts w:ascii="Arial" w:hAnsi="Arial" w:cs="Arial" w:eastAsia="Arial" w:hint="default"/>
                <w:sz w:val="24"/>
                <w:szCs w:val="24"/>
              </w:rPr>
            </w:pPr>
            <w:r>
              <w:rPr>
                <w:rFonts w:ascii="Arial"/>
                <w:spacing w:val="-1"/>
                <w:sz w:val="24"/>
              </w:rPr>
              <w:t>2,786</w:t>
            </w:r>
          </w:p>
        </w:tc>
        <w:tc>
          <w:tcPr>
            <w:tcW w:w="235"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5"/>
              <w:jc w:val="right"/>
              <w:rPr>
                <w:rFonts w:ascii="Arial" w:hAnsi="Arial" w:cs="Arial" w:eastAsia="Arial" w:hint="default"/>
                <w:sz w:val="24"/>
                <w:szCs w:val="24"/>
              </w:rPr>
            </w:pPr>
            <w:r>
              <w:rPr>
                <w:rFonts w:ascii="Arial"/>
                <w:w w:val="99"/>
                <w:sz w:val="24"/>
              </w:rPr>
              <w:t>-</w:t>
            </w:r>
            <w:r>
              <w:rPr>
                <w:rFonts w:ascii="Arial"/>
                <w:sz w:val="24"/>
              </w:rPr>
            </w:r>
          </w:p>
        </w:tc>
        <w:tc>
          <w:tcPr>
            <w:tcW w:w="264"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2"/>
              <w:jc w:val="right"/>
              <w:rPr>
                <w:rFonts w:ascii="Arial" w:hAnsi="Arial" w:cs="Arial" w:eastAsia="Arial" w:hint="default"/>
                <w:sz w:val="24"/>
                <w:szCs w:val="24"/>
              </w:rPr>
            </w:pPr>
            <w:r>
              <w:rPr>
                <w:rFonts w:ascii="Arial"/>
                <w:spacing w:val="-1"/>
                <w:sz w:val="24"/>
              </w:rPr>
              <w:t>67,177</w:t>
            </w:r>
          </w:p>
        </w:tc>
      </w:tr>
      <w:tr>
        <w:trPr>
          <w:trHeight w:val="312"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271" w:lineRule="exact"/>
              <w:ind w:left="425"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5"/>
              <w:jc w:val="right"/>
              <w:rPr>
                <w:rFonts w:ascii="Arial" w:hAnsi="Arial" w:cs="Arial" w:eastAsia="Arial" w:hint="default"/>
                <w:sz w:val="24"/>
                <w:szCs w:val="24"/>
              </w:rPr>
            </w:pPr>
            <w:r>
              <w:rPr>
                <w:rFonts w:ascii="Arial"/>
                <w:w w:val="99"/>
                <w:sz w:val="24"/>
              </w:rPr>
              <w:t>-</w:t>
            </w:r>
            <w:r>
              <w:rPr>
                <w:rFonts w:ascii="Arial"/>
                <w:sz w:val="24"/>
              </w:rPr>
            </w:r>
          </w:p>
        </w:tc>
        <w:tc>
          <w:tcPr>
            <w:tcW w:w="264"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5"/>
              <w:jc w:val="right"/>
              <w:rPr>
                <w:rFonts w:ascii="Arial" w:hAnsi="Arial" w:cs="Arial" w:eastAsia="Arial" w:hint="default"/>
                <w:sz w:val="24"/>
                <w:szCs w:val="24"/>
              </w:rPr>
            </w:pPr>
            <w:r>
              <w:rPr>
                <w:rFonts w:ascii="Arial"/>
                <w:spacing w:val="-1"/>
                <w:sz w:val="24"/>
              </w:rPr>
              <w:t>2,194</w:t>
            </w:r>
          </w:p>
        </w:tc>
        <w:tc>
          <w:tcPr>
            <w:tcW w:w="235"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5"/>
              <w:jc w:val="right"/>
              <w:rPr>
                <w:rFonts w:ascii="Arial" w:hAnsi="Arial" w:cs="Arial" w:eastAsia="Arial" w:hint="default"/>
                <w:sz w:val="24"/>
                <w:szCs w:val="24"/>
              </w:rPr>
            </w:pPr>
            <w:r>
              <w:rPr>
                <w:rFonts w:ascii="Arial"/>
                <w:w w:val="99"/>
                <w:sz w:val="24"/>
              </w:rPr>
              <w:t>-</w:t>
            </w:r>
            <w:r>
              <w:rPr>
                <w:rFonts w:ascii="Arial"/>
                <w:sz w:val="24"/>
              </w:rPr>
            </w:r>
          </w:p>
        </w:tc>
        <w:tc>
          <w:tcPr>
            <w:tcW w:w="264"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2"/>
              <w:jc w:val="right"/>
              <w:rPr>
                <w:rFonts w:ascii="Arial" w:hAnsi="Arial" w:cs="Arial" w:eastAsia="Arial" w:hint="default"/>
                <w:sz w:val="24"/>
                <w:szCs w:val="24"/>
              </w:rPr>
            </w:pPr>
            <w:r>
              <w:rPr>
                <w:rFonts w:ascii="Arial"/>
                <w:spacing w:val="-1"/>
                <w:sz w:val="24"/>
              </w:rPr>
              <w:t>2,194</w:t>
            </w:r>
          </w:p>
        </w:tc>
      </w:tr>
      <w:tr>
        <w:trPr>
          <w:trHeight w:val="298" w:hRule="exact"/>
        </w:trPr>
        <w:tc>
          <w:tcPr>
            <w:tcW w:w="2541"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single" w:sz="12" w:space="0" w:color="000000"/>
              <w:right w:val="nil" w:sz="6" w:space="0" w:color="auto"/>
            </w:tcBorders>
          </w:tcPr>
          <w:p>
            <w:pPr>
              <w:pStyle w:val="TableParagraph"/>
              <w:spacing w:line="272" w:lineRule="exact"/>
              <w:ind w:right="107"/>
              <w:jc w:val="right"/>
              <w:rPr>
                <w:rFonts w:ascii="Arial" w:hAnsi="Arial" w:cs="Arial" w:eastAsia="Arial" w:hint="default"/>
                <w:sz w:val="24"/>
                <w:szCs w:val="24"/>
              </w:rPr>
            </w:pPr>
            <w:r>
              <w:rPr>
                <w:rFonts w:ascii="Arial"/>
                <w:spacing w:val="-1"/>
                <w:sz w:val="24"/>
              </w:rPr>
              <w:t>88,769</w:t>
            </w:r>
          </w:p>
        </w:tc>
        <w:tc>
          <w:tcPr>
            <w:tcW w:w="264" w:type="dxa"/>
            <w:tcBorders>
              <w:top w:val="nil" w:sz="6" w:space="0" w:color="auto"/>
              <w:left w:val="nil" w:sz="6" w:space="0" w:color="auto"/>
              <w:bottom w:val="nil" w:sz="6" w:space="0" w:color="auto"/>
              <w:right w:val="nil" w:sz="6" w:space="0" w:color="auto"/>
            </w:tcBorders>
          </w:tcPr>
          <w:p>
            <w:pPr/>
          </w:p>
        </w:tc>
        <w:tc>
          <w:tcPr>
            <w:tcW w:w="1267" w:type="dxa"/>
            <w:tcBorders>
              <w:top w:val="single" w:sz="4" w:space="0" w:color="000000"/>
              <w:left w:val="nil" w:sz="6" w:space="0" w:color="auto"/>
              <w:bottom w:val="single" w:sz="12" w:space="0" w:color="000000"/>
              <w:right w:val="nil" w:sz="6" w:space="0" w:color="auto"/>
            </w:tcBorders>
          </w:tcPr>
          <w:p>
            <w:pPr>
              <w:pStyle w:val="TableParagraph"/>
              <w:spacing w:line="272" w:lineRule="exact"/>
              <w:ind w:right="105"/>
              <w:jc w:val="right"/>
              <w:rPr>
                <w:rFonts w:ascii="Arial" w:hAnsi="Arial" w:cs="Arial" w:eastAsia="Arial" w:hint="default"/>
                <w:sz w:val="24"/>
                <w:szCs w:val="24"/>
              </w:rPr>
            </w:pPr>
            <w:r>
              <w:rPr>
                <w:rFonts w:ascii="Arial"/>
                <w:spacing w:val="-1"/>
                <w:sz w:val="24"/>
              </w:rPr>
              <w:t>996,063</w:t>
            </w:r>
          </w:p>
        </w:tc>
        <w:tc>
          <w:tcPr>
            <w:tcW w:w="235"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single" w:sz="12" w:space="0" w:color="000000"/>
              <w:right w:val="nil" w:sz="6" w:space="0" w:color="auto"/>
            </w:tcBorders>
          </w:tcPr>
          <w:p>
            <w:pPr>
              <w:pStyle w:val="TableParagraph"/>
              <w:spacing w:line="272" w:lineRule="exact"/>
              <w:ind w:right="104"/>
              <w:jc w:val="right"/>
              <w:rPr>
                <w:rFonts w:ascii="Arial" w:hAnsi="Arial" w:cs="Arial" w:eastAsia="Arial" w:hint="default"/>
                <w:sz w:val="24"/>
                <w:szCs w:val="24"/>
              </w:rPr>
            </w:pPr>
            <w:r>
              <w:rPr>
                <w:rFonts w:ascii="Arial"/>
                <w:w w:val="95"/>
                <w:sz w:val="24"/>
              </w:rPr>
              <w:t>32</w:t>
            </w:r>
            <w:r>
              <w:rPr>
                <w:rFonts w:ascii="Arial"/>
                <w:sz w:val="24"/>
              </w:rPr>
            </w:r>
          </w:p>
        </w:tc>
        <w:tc>
          <w:tcPr>
            <w:tcW w:w="264" w:type="dxa"/>
            <w:tcBorders>
              <w:top w:val="nil" w:sz="6" w:space="0" w:color="auto"/>
              <w:left w:val="nil" w:sz="6" w:space="0" w:color="auto"/>
              <w:bottom w:val="nil" w:sz="6" w:space="0" w:color="auto"/>
              <w:right w:val="nil" w:sz="6" w:space="0" w:color="auto"/>
            </w:tcBorders>
          </w:tcPr>
          <w:p>
            <w:pPr/>
          </w:p>
        </w:tc>
        <w:tc>
          <w:tcPr>
            <w:tcW w:w="1313" w:type="dxa"/>
            <w:tcBorders>
              <w:top w:val="single" w:sz="4" w:space="0" w:color="000000"/>
              <w:left w:val="nil" w:sz="6" w:space="0" w:color="auto"/>
              <w:bottom w:val="single" w:sz="12" w:space="0" w:color="000000"/>
              <w:right w:val="nil" w:sz="6" w:space="0" w:color="auto"/>
            </w:tcBorders>
          </w:tcPr>
          <w:p>
            <w:pPr>
              <w:pStyle w:val="TableParagraph"/>
              <w:spacing w:line="272" w:lineRule="exact"/>
              <w:ind w:right="105"/>
              <w:jc w:val="right"/>
              <w:rPr>
                <w:rFonts w:ascii="Arial" w:hAnsi="Arial" w:cs="Arial" w:eastAsia="Arial" w:hint="default"/>
                <w:sz w:val="24"/>
                <w:szCs w:val="24"/>
              </w:rPr>
            </w:pPr>
            <w:r>
              <w:rPr>
                <w:rFonts w:ascii="Arial"/>
                <w:spacing w:val="-1"/>
                <w:sz w:val="24"/>
              </w:rPr>
              <w:t>1,084,864</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823" w:type="dxa"/>
        <w:tblLayout w:type="fixed"/>
        <w:tblCellMar>
          <w:top w:w="0" w:type="dxa"/>
          <w:left w:w="0" w:type="dxa"/>
          <w:bottom w:w="0" w:type="dxa"/>
          <w:right w:w="0" w:type="dxa"/>
        </w:tblCellMar>
        <w:tblLook w:val="01E0"/>
      </w:tblPr>
      <w:tblGrid>
        <w:gridCol w:w="9056"/>
      </w:tblGrid>
      <w:tr>
        <w:trPr>
          <w:trHeight w:val="1044" w:hRule="exact"/>
        </w:trPr>
        <w:tc>
          <w:tcPr>
            <w:tcW w:w="9056"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8"/>
                <w:sz w:val="24"/>
                <w:szCs w:val="24"/>
              </w:rPr>
              <w:t> </w:t>
            </w:r>
            <w:r>
              <w:rPr>
                <w:rFonts w:ascii="Arial" w:hAnsi="Arial" w:cs="Arial" w:eastAsia="Arial" w:hint="default"/>
                <w:sz w:val="24"/>
                <w:szCs w:val="24"/>
              </w:rPr>
              <w:t>2012</w:t>
            </w:r>
            <w:r>
              <w:rPr>
                <w:rFonts w:ascii="Arial" w:hAnsi="Arial" w:cs="Arial" w:eastAsia="Arial"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12</w:t>
            </w:r>
            <w:r>
              <w:rPr>
                <w:rFonts w:ascii="Arial" w:hAnsi="Arial" w:cs="Arial" w:eastAsia="Arial"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3"/>
                <w:sz w:val="24"/>
                <w:szCs w:val="24"/>
              </w:rPr>
              <w:t> </w:t>
            </w:r>
            <w:r>
              <w:rPr>
                <w:rFonts w:ascii="宋体" w:hAnsi="宋体" w:cs="宋体" w:eastAsia="宋体" w:hint="default"/>
                <w:sz w:val="24"/>
                <w:szCs w:val="24"/>
              </w:rPr>
              <w:t>日，对于本集团日元金融资产和金融负债，如果人民币对外币</w:t>
            </w:r>
          </w:p>
          <w:p>
            <w:pPr>
              <w:pStyle w:val="TableParagraph"/>
              <w:spacing w:line="312" w:lineRule="exact" w:before="21"/>
              <w:ind w:left="200" w:right="198"/>
              <w:jc w:val="left"/>
              <w:rPr>
                <w:rFonts w:ascii="宋体" w:hAnsi="宋体" w:cs="宋体" w:eastAsia="宋体" w:hint="default"/>
                <w:sz w:val="24"/>
                <w:szCs w:val="24"/>
              </w:rPr>
            </w:pPr>
            <w:r>
              <w:rPr>
                <w:rFonts w:ascii="宋体" w:hAnsi="宋体" w:cs="宋体" w:eastAsia="宋体" w:hint="default"/>
                <w:sz w:val="24"/>
                <w:szCs w:val="24"/>
              </w:rPr>
              <w:t>升值或贬值</w:t>
            </w:r>
            <w:r>
              <w:rPr>
                <w:rFonts w:ascii="宋体" w:hAnsi="宋体" w:cs="宋体" w:eastAsia="宋体" w:hint="default"/>
                <w:spacing w:val="-46"/>
                <w:sz w:val="24"/>
                <w:szCs w:val="24"/>
              </w:rPr>
              <w:t> </w:t>
            </w:r>
            <w:r>
              <w:rPr>
                <w:rFonts w:ascii="Arial" w:hAnsi="Arial" w:cs="Arial" w:eastAsia="Arial" w:hint="default"/>
                <w:spacing w:val="-2"/>
                <w:sz w:val="24"/>
                <w:szCs w:val="24"/>
              </w:rPr>
              <w:t>10%</w:t>
            </w:r>
            <w:r>
              <w:rPr>
                <w:rFonts w:ascii="宋体" w:hAnsi="宋体" w:cs="宋体" w:eastAsia="宋体" w:hint="default"/>
                <w:spacing w:val="-2"/>
                <w:sz w:val="24"/>
                <w:szCs w:val="24"/>
              </w:rPr>
              <w:t>，其他因素保持不变，则本集团将减少或增加其他综合收益约人民</w:t>
            </w:r>
            <w:r>
              <w:rPr>
                <w:rFonts w:ascii="宋体" w:hAnsi="宋体" w:cs="宋体" w:eastAsia="宋体" w:hint="default"/>
                <w:sz w:val="24"/>
                <w:szCs w:val="24"/>
              </w:rPr>
              <w:t> 币</w:t>
            </w:r>
            <w:r>
              <w:rPr>
                <w:rFonts w:ascii="宋体" w:hAnsi="宋体" w:cs="宋体" w:eastAsia="宋体" w:hint="default"/>
                <w:spacing w:val="-61"/>
                <w:sz w:val="24"/>
                <w:szCs w:val="24"/>
              </w:rPr>
              <w:t> </w:t>
            </w:r>
            <w:r>
              <w:rPr>
                <w:rFonts w:ascii="Arial" w:hAnsi="Arial" w:cs="Arial" w:eastAsia="Arial" w:hint="default"/>
                <w:sz w:val="24"/>
                <w:szCs w:val="24"/>
              </w:rPr>
              <w:t>4,615</w:t>
            </w:r>
            <w:r>
              <w:rPr>
                <w:rFonts w:ascii="Arial" w:hAnsi="Arial" w:cs="Arial" w:eastAsia="Arial" w:hint="default"/>
                <w:spacing w:val="-7"/>
                <w:sz w:val="24"/>
                <w:szCs w:val="24"/>
              </w:rPr>
              <w:t> </w:t>
            </w:r>
            <w:r>
              <w:rPr>
                <w:rFonts w:ascii="宋体" w:hAnsi="宋体" w:cs="宋体" w:eastAsia="宋体" w:hint="default"/>
                <w:sz w:val="24"/>
                <w:szCs w:val="24"/>
              </w:rPr>
              <w:t>万元</w:t>
            </w:r>
            <w:r>
              <w:rPr>
                <w:rFonts w:ascii="宋体" w:hAnsi="宋体" w:cs="宋体" w:eastAsia="宋体" w:hint="default"/>
                <w:spacing w:val="-2"/>
                <w:sz w:val="24"/>
                <w:szCs w:val="24"/>
              </w:rPr>
              <w:t> </w:t>
            </w:r>
            <w:r>
              <w:rPr>
                <w:rFonts w:ascii="Arial" w:hAnsi="Arial" w:cs="Arial" w:eastAsia="Arial" w:hint="default"/>
                <w:spacing w:val="-4"/>
                <w:sz w:val="24"/>
                <w:szCs w:val="24"/>
              </w:rPr>
              <w:t>(2011</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日：减少或增加约人民币</w:t>
            </w:r>
            <w:r>
              <w:rPr>
                <w:rFonts w:ascii="宋体" w:hAnsi="宋体" w:cs="宋体" w:eastAsia="宋体" w:hint="default"/>
                <w:spacing w:val="-61"/>
                <w:sz w:val="24"/>
                <w:szCs w:val="24"/>
              </w:rPr>
              <w:t> </w:t>
            </w:r>
            <w:r>
              <w:rPr>
                <w:rFonts w:ascii="Arial" w:hAnsi="Arial" w:cs="Arial" w:eastAsia="Arial" w:hint="default"/>
                <w:sz w:val="24"/>
                <w:szCs w:val="24"/>
              </w:rPr>
              <w:t>8,858</w:t>
            </w:r>
            <w:r>
              <w:rPr>
                <w:rFonts w:ascii="Arial" w:hAnsi="Arial" w:cs="Arial" w:eastAsia="Arial" w:hint="default"/>
                <w:spacing w:val="-6"/>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r>
        <w:trPr>
          <w:trHeight w:val="1041" w:hRule="exact"/>
        </w:trPr>
        <w:tc>
          <w:tcPr>
            <w:tcW w:w="9056" w:type="dxa"/>
            <w:tcBorders>
              <w:top w:val="nil" w:sz="6" w:space="0" w:color="auto"/>
              <w:left w:val="nil" w:sz="6" w:space="0" w:color="auto"/>
              <w:bottom w:val="nil" w:sz="6" w:space="0" w:color="auto"/>
              <w:right w:val="nil" w:sz="6" w:space="0" w:color="auto"/>
            </w:tcBorders>
          </w:tcPr>
          <w:p>
            <w:pPr>
              <w:pStyle w:val="TableParagraph"/>
              <w:spacing w:line="225" w:lineRule="auto" w:before="111"/>
              <w:ind w:left="200" w:right="198"/>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8"/>
                <w:sz w:val="24"/>
                <w:szCs w:val="24"/>
              </w:rPr>
              <w:t> </w:t>
            </w:r>
            <w:r>
              <w:rPr>
                <w:rFonts w:ascii="Arial" w:hAnsi="Arial" w:cs="Arial" w:eastAsia="Arial" w:hint="default"/>
                <w:sz w:val="24"/>
                <w:szCs w:val="24"/>
              </w:rPr>
              <w:t>2012</w:t>
            </w:r>
            <w:r>
              <w:rPr>
                <w:rFonts w:ascii="Arial" w:hAnsi="Arial" w:cs="Arial" w:eastAsia="Arial"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12</w:t>
            </w:r>
            <w:r>
              <w:rPr>
                <w:rFonts w:ascii="Arial" w:hAnsi="Arial" w:cs="Arial" w:eastAsia="Arial"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3"/>
                <w:sz w:val="24"/>
                <w:szCs w:val="24"/>
              </w:rPr>
              <w:t> </w:t>
            </w:r>
            <w:r>
              <w:rPr>
                <w:rFonts w:ascii="宋体" w:hAnsi="宋体" w:cs="宋体" w:eastAsia="宋体" w:hint="default"/>
                <w:sz w:val="24"/>
                <w:szCs w:val="24"/>
              </w:rPr>
              <w:t>日，对于本集团港元金融资产和金融负债，如果人民币对外币 升值或贬值</w:t>
            </w:r>
            <w:r>
              <w:rPr>
                <w:rFonts w:ascii="宋体" w:hAnsi="宋体" w:cs="宋体" w:eastAsia="宋体" w:hint="default"/>
                <w:spacing w:val="-46"/>
                <w:sz w:val="24"/>
                <w:szCs w:val="24"/>
              </w:rPr>
              <w:t> </w:t>
            </w:r>
            <w:r>
              <w:rPr>
                <w:rFonts w:ascii="Arial" w:hAnsi="Arial" w:cs="Arial" w:eastAsia="Arial" w:hint="default"/>
                <w:spacing w:val="-2"/>
                <w:sz w:val="24"/>
                <w:szCs w:val="24"/>
              </w:rPr>
              <w:t>10%</w:t>
            </w:r>
            <w:r>
              <w:rPr>
                <w:rFonts w:ascii="宋体" w:hAnsi="宋体" w:cs="宋体" w:eastAsia="宋体" w:hint="default"/>
                <w:spacing w:val="-2"/>
                <w:sz w:val="24"/>
                <w:szCs w:val="24"/>
              </w:rPr>
              <w:t>，其他因素保持不变，则本集团将增加或减少其他综合收益约人民</w:t>
            </w:r>
            <w:r>
              <w:rPr>
                <w:rFonts w:ascii="宋体" w:hAnsi="宋体" w:cs="宋体" w:eastAsia="宋体" w:hint="default"/>
                <w:sz w:val="24"/>
                <w:szCs w:val="24"/>
              </w:rPr>
              <w:t> 币</w:t>
            </w:r>
            <w:r>
              <w:rPr>
                <w:rFonts w:ascii="宋体" w:hAnsi="宋体" w:cs="宋体" w:eastAsia="宋体" w:hint="default"/>
                <w:spacing w:val="-61"/>
                <w:sz w:val="24"/>
                <w:szCs w:val="24"/>
              </w:rPr>
              <w:t> </w:t>
            </w:r>
            <w:r>
              <w:rPr>
                <w:rFonts w:ascii="Arial" w:hAnsi="Arial" w:cs="Arial" w:eastAsia="Arial" w:hint="default"/>
                <w:sz w:val="24"/>
                <w:szCs w:val="24"/>
              </w:rPr>
              <w:t>6,549</w:t>
            </w:r>
            <w:r>
              <w:rPr>
                <w:rFonts w:ascii="Arial" w:hAnsi="Arial" w:cs="Arial" w:eastAsia="Arial" w:hint="default"/>
                <w:spacing w:val="-7"/>
                <w:sz w:val="24"/>
                <w:szCs w:val="24"/>
              </w:rPr>
              <w:t> </w:t>
            </w:r>
            <w:r>
              <w:rPr>
                <w:rFonts w:ascii="宋体" w:hAnsi="宋体" w:cs="宋体" w:eastAsia="宋体" w:hint="default"/>
                <w:spacing w:val="-3"/>
                <w:sz w:val="24"/>
                <w:szCs w:val="24"/>
              </w:rPr>
              <w:t>万元</w:t>
            </w:r>
            <w:r>
              <w:rPr>
                <w:rFonts w:ascii="Arial" w:hAnsi="Arial" w:cs="Arial" w:eastAsia="Arial" w:hint="default"/>
                <w:spacing w:val="-3"/>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日：增加或减少约人民币</w:t>
            </w:r>
            <w:r>
              <w:rPr>
                <w:rFonts w:ascii="宋体" w:hAnsi="宋体" w:cs="宋体" w:eastAsia="宋体" w:hint="default"/>
                <w:spacing w:val="-61"/>
                <w:sz w:val="24"/>
                <w:szCs w:val="24"/>
              </w:rPr>
              <w:t> </w:t>
            </w:r>
            <w:r>
              <w:rPr>
                <w:rFonts w:ascii="Arial" w:hAnsi="Arial" w:cs="Arial" w:eastAsia="Arial" w:hint="default"/>
                <w:sz w:val="24"/>
                <w:szCs w:val="24"/>
              </w:rPr>
              <w:t>8,578</w:t>
            </w:r>
            <w:r>
              <w:rPr>
                <w:rFonts w:ascii="Arial" w:hAnsi="Arial" w:cs="Arial" w:eastAsia="Arial" w:hint="default"/>
                <w:spacing w:val="-6"/>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bl>
    <w:p>
      <w:pPr>
        <w:spacing w:line="240" w:lineRule="auto" w:before="5"/>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07"/>
        <w:gridCol w:w="9187"/>
      </w:tblGrid>
      <w:tr>
        <w:trPr>
          <w:trHeight w:val="422"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9187" w:type="dxa"/>
            <w:tcBorders>
              <w:top w:val="nil" w:sz="6" w:space="0" w:color="auto"/>
              <w:left w:val="nil" w:sz="6" w:space="0" w:color="auto"/>
              <w:bottom w:val="nil" w:sz="6" w:space="0" w:color="auto"/>
              <w:right w:val="nil" w:sz="6" w:space="0" w:color="auto"/>
            </w:tcBorders>
          </w:tcPr>
          <w:p>
            <w:pPr>
              <w:pStyle w:val="TableParagraph"/>
              <w:spacing w:line="247" w:lineRule="exact"/>
              <w:ind w:left="213" w:right="0"/>
              <w:jc w:val="left"/>
              <w:rPr>
                <w:rFonts w:ascii="宋体" w:hAnsi="宋体" w:cs="宋体" w:eastAsia="宋体" w:hint="default"/>
                <w:sz w:val="24"/>
                <w:szCs w:val="24"/>
              </w:rPr>
            </w:pPr>
            <w:r>
              <w:rPr>
                <w:rFonts w:ascii="宋体" w:hAnsi="宋体" w:cs="宋体" w:eastAsia="宋体" w:hint="default"/>
                <w:sz w:val="24"/>
                <w:szCs w:val="24"/>
              </w:rPr>
              <w:t>利率风险</w:t>
            </w:r>
          </w:p>
        </w:tc>
      </w:tr>
      <w:tr>
        <w:trPr>
          <w:trHeight w:val="1839" w:hRule="exact"/>
        </w:trPr>
        <w:tc>
          <w:tcPr>
            <w:tcW w:w="707" w:type="dxa"/>
            <w:tcBorders>
              <w:top w:val="nil" w:sz="6" w:space="0" w:color="auto"/>
              <w:left w:val="nil" w:sz="6" w:space="0" w:color="auto"/>
              <w:bottom w:val="nil" w:sz="6" w:space="0" w:color="auto"/>
              <w:right w:val="nil" w:sz="6" w:space="0" w:color="auto"/>
            </w:tcBorders>
          </w:tcPr>
          <w:p>
            <w:pPr/>
          </w:p>
        </w:tc>
        <w:tc>
          <w:tcPr>
            <w:tcW w:w="9187" w:type="dxa"/>
            <w:tcBorders>
              <w:top w:val="nil" w:sz="6" w:space="0" w:color="auto"/>
              <w:left w:val="nil" w:sz="6" w:space="0" w:color="auto"/>
              <w:bottom w:val="nil" w:sz="6" w:space="0" w:color="auto"/>
              <w:right w:val="nil" w:sz="6" w:space="0" w:color="auto"/>
            </w:tcBorders>
          </w:tcPr>
          <w:p>
            <w:pPr>
              <w:pStyle w:val="TableParagraph"/>
              <w:spacing w:line="235" w:lineRule="auto" w:before="106"/>
              <w:ind w:left="213" w:right="198"/>
              <w:jc w:val="left"/>
              <w:rPr>
                <w:rFonts w:ascii="宋体" w:hAnsi="宋体" w:cs="宋体" w:eastAsia="宋体" w:hint="default"/>
                <w:sz w:val="24"/>
                <w:szCs w:val="24"/>
              </w:rPr>
            </w:pPr>
            <w:r>
              <w:rPr>
                <w:rFonts w:ascii="宋体" w:hAnsi="宋体" w:cs="宋体" w:eastAsia="宋体" w:hint="default"/>
                <w:sz w:val="24"/>
                <w:szCs w:val="24"/>
              </w:rPr>
              <w:t>本集团的利率风险主要产生于应付债券。浮动利率的金融负债使本集团面临现金流</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量利率风险，固定利率的金融负债使本集团面临公允价值利率风险。本集团根据当</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4"/>
                <w:sz w:val="24"/>
                <w:szCs w:val="24"/>
              </w:rPr>
              <w:t>时的市场环境来决定固定利率及浮动利率合同的相对比例。于</w:t>
            </w:r>
            <w:r>
              <w:rPr>
                <w:rFonts w:ascii="宋体" w:hAnsi="宋体" w:cs="宋体" w:eastAsia="宋体" w:hint="default"/>
                <w:spacing w:val="-59"/>
                <w:sz w:val="24"/>
                <w:szCs w:val="24"/>
              </w:rPr>
              <w:t> </w:t>
            </w:r>
            <w:r>
              <w:rPr>
                <w:rFonts w:ascii="Arial" w:hAnsi="Arial" w:cs="Arial" w:eastAsia="Arial" w:hint="default"/>
                <w:spacing w:val="-1"/>
                <w:w w:val="99"/>
                <w:sz w:val="24"/>
                <w:szCs w:val="24"/>
              </w:rPr>
              <w:t>2012</w:t>
            </w:r>
            <w:r>
              <w:rPr>
                <w:rFonts w:ascii="Arial" w:hAnsi="Arial" w:cs="Arial" w:eastAsia="Arial" w:hint="default"/>
                <w:spacing w:val="-7"/>
                <w:w w:val="9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w w:val="99"/>
                <w:sz w:val="24"/>
                <w:szCs w:val="24"/>
              </w:rPr>
              <w:t>12</w:t>
            </w:r>
            <w:r>
              <w:rPr>
                <w:rFonts w:ascii="Arial" w:hAnsi="Arial" w:cs="Arial" w:eastAsia="Arial" w:hint="default"/>
                <w:spacing w:val="-5"/>
                <w:w w:val="9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w w:val="99"/>
                <w:sz w:val="24"/>
                <w:szCs w:val="24"/>
              </w:rPr>
              <w:t>31</w:t>
            </w:r>
            <w:r>
              <w:rPr>
                <w:rFonts w:ascii="Arial" w:hAnsi="Arial" w:cs="Arial" w:eastAsia="Arial" w:hint="default"/>
                <w:spacing w:val="-5"/>
                <w:w w:val="99"/>
                <w:sz w:val="24"/>
                <w:szCs w:val="24"/>
              </w:rPr>
              <w:t> </w:t>
            </w:r>
            <w:r>
              <w:rPr>
                <w:rFonts w:ascii="宋体" w:hAnsi="宋体" w:cs="宋体" w:eastAsia="宋体" w:hint="default"/>
                <w:sz w:val="24"/>
                <w:szCs w:val="24"/>
              </w:rPr>
              <w:t>日， </w:t>
            </w:r>
            <w:r>
              <w:rPr>
                <w:rFonts w:ascii="宋体" w:hAnsi="宋体" w:cs="宋体" w:eastAsia="宋体" w:hint="default"/>
                <w:spacing w:val="6"/>
                <w:sz w:val="24"/>
                <w:szCs w:val="24"/>
              </w:rPr>
              <w:t>本集团长期带息债务主要为人民币计价的固定利率的应付债券，金额约为人民币</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Arial" w:hAnsi="Arial" w:cs="Arial" w:eastAsia="Arial" w:hint="default"/>
                <w:sz w:val="24"/>
                <w:szCs w:val="24"/>
              </w:rPr>
              <w:t>44.65</w:t>
            </w:r>
            <w:r>
              <w:rPr>
                <w:rFonts w:ascii="Arial" w:hAnsi="Arial" w:cs="Arial" w:eastAsia="Arial" w:hint="default"/>
                <w:spacing w:val="-7"/>
                <w:sz w:val="24"/>
                <w:szCs w:val="24"/>
              </w:rPr>
              <w:t> </w:t>
            </w:r>
            <w:r>
              <w:rPr>
                <w:rFonts w:ascii="宋体" w:hAnsi="宋体" w:cs="宋体" w:eastAsia="宋体" w:hint="default"/>
                <w:spacing w:val="-3"/>
                <w:sz w:val="24"/>
                <w:szCs w:val="24"/>
              </w:rPr>
              <w:t>亿元</w:t>
            </w:r>
            <w:r>
              <w:rPr>
                <w:rFonts w:ascii="Arial" w:hAnsi="Arial" w:cs="Arial" w:eastAsia="Arial" w:hint="default"/>
                <w:spacing w:val="-3"/>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12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(30))</w:t>
            </w:r>
            <w:r>
              <w:rPr>
                <w:rFonts w:ascii="宋体" w:hAnsi="宋体" w:cs="宋体" w:eastAsia="宋体" w:hint="default"/>
                <w:sz w:val="24"/>
                <w:szCs w:val="24"/>
              </w:rPr>
              <w:t>。</w:t>
            </w:r>
          </w:p>
        </w:tc>
      </w:tr>
      <w:tr>
        <w:trPr>
          <w:trHeight w:val="1653" w:hRule="exact"/>
        </w:trPr>
        <w:tc>
          <w:tcPr>
            <w:tcW w:w="707" w:type="dxa"/>
            <w:tcBorders>
              <w:top w:val="nil" w:sz="6" w:space="0" w:color="auto"/>
              <w:left w:val="nil" w:sz="6" w:space="0" w:color="auto"/>
              <w:bottom w:val="nil" w:sz="6" w:space="0" w:color="auto"/>
              <w:right w:val="nil" w:sz="6" w:space="0" w:color="auto"/>
            </w:tcBorders>
          </w:tcPr>
          <w:p>
            <w:pPr/>
          </w:p>
        </w:tc>
        <w:tc>
          <w:tcPr>
            <w:tcW w:w="9187" w:type="dxa"/>
            <w:tcBorders>
              <w:top w:val="nil" w:sz="6" w:space="0" w:color="auto"/>
              <w:left w:val="nil" w:sz="6" w:space="0" w:color="auto"/>
              <w:bottom w:val="nil" w:sz="6" w:space="0" w:color="auto"/>
              <w:right w:val="nil" w:sz="6" w:space="0" w:color="auto"/>
            </w:tcBorders>
          </w:tcPr>
          <w:p>
            <w:pPr>
              <w:pStyle w:val="TableParagraph"/>
              <w:spacing w:line="235" w:lineRule="auto" w:before="98"/>
              <w:ind w:left="213" w:right="320"/>
              <w:jc w:val="both"/>
              <w:rPr>
                <w:rFonts w:ascii="宋体" w:hAnsi="宋体" w:cs="宋体" w:eastAsia="宋体" w:hint="default"/>
                <w:sz w:val="24"/>
                <w:szCs w:val="24"/>
              </w:rPr>
            </w:pPr>
            <w:r>
              <w:rPr>
                <w:rFonts w:ascii="宋体" w:hAnsi="宋体" w:cs="宋体" w:eastAsia="宋体" w:hint="default"/>
                <w:sz w:val="24"/>
                <w:szCs w:val="24"/>
              </w:rPr>
              <w:t>本集团总部财务部门持续监控集团利率水平。利率上升会增加新增带息债务的成本</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以及本集团尚未付清的以浮动利率计息的带息债务的利息支出，并对本集团的财务</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业绩产生重大的不利影响，管理层会依据最新的市场状况及时做出调整，这些调整</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4"/>
                <w:sz w:val="24"/>
                <w:szCs w:val="24"/>
              </w:rPr>
              <w:t>可能是进行利率互换的安排来降低利率风险。于</w:t>
            </w:r>
            <w:r>
              <w:rPr>
                <w:rFonts w:ascii="宋体" w:hAnsi="宋体" w:cs="宋体" w:eastAsia="宋体" w:hint="default"/>
                <w:spacing w:val="-60"/>
                <w:sz w:val="24"/>
                <w:szCs w:val="24"/>
              </w:rPr>
              <w:t> </w:t>
            </w: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年度及</w:t>
            </w:r>
            <w:r>
              <w:rPr>
                <w:rFonts w:ascii="宋体" w:hAnsi="宋体" w:cs="宋体" w:eastAsia="宋体" w:hint="default"/>
                <w:spacing w:val="-60"/>
                <w:sz w:val="24"/>
                <w:szCs w:val="24"/>
              </w:rPr>
              <w:t> </w:t>
            </w:r>
            <w:r>
              <w:rPr>
                <w:rFonts w:ascii="Arial" w:hAnsi="Arial" w:cs="Arial" w:eastAsia="Arial" w:hint="default"/>
                <w:spacing w:val="-5"/>
                <w:sz w:val="24"/>
                <w:szCs w:val="24"/>
              </w:rPr>
              <w:t>2011</w:t>
            </w:r>
            <w:r>
              <w:rPr>
                <w:rFonts w:ascii="Arial" w:hAnsi="Arial" w:cs="Arial" w:eastAsia="Arial" w:hint="default"/>
                <w:spacing w:val="-8"/>
                <w:sz w:val="24"/>
                <w:szCs w:val="24"/>
              </w:rPr>
              <w:t> </w:t>
            </w:r>
            <w:r>
              <w:rPr>
                <w:rFonts w:ascii="宋体" w:hAnsi="宋体" w:cs="宋体" w:eastAsia="宋体" w:hint="default"/>
                <w:sz w:val="24"/>
                <w:szCs w:val="24"/>
              </w:rPr>
              <w:t>年度本集团并无 利率互换安排。</w:t>
            </w:r>
          </w:p>
        </w:tc>
      </w:tr>
    </w:tbl>
    <w:p>
      <w:pPr>
        <w:spacing w:after="0" w:line="235" w:lineRule="auto"/>
        <w:jc w:val="both"/>
        <w:rPr>
          <w:rFonts w:ascii="宋体" w:hAnsi="宋体" w:cs="宋体" w:eastAsia="宋体" w:hint="default"/>
          <w:sz w:val="24"/>
          <w:szCs w:val="24"/>
        </w:rPr>
        <w:sectPr>
          <w:footerReference w:type="default" r:id="rId104"/>
          <w:pgSz w:w="11910" w:h="16850"/>
          <w:pgMar w:footer="708" w:header="795" w:top="2020" w:bottom="900" w:left="1420" w:right="0"/>
          <w:pgNumType w:start="213"/>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4120" type="#_x0000_t75" stroked="false">
            <v:imagedata r:id="rId10" o:title=""/>
          </v:shape>
        </w:pict>
      </w: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800"/>
        <w:gridCol w:w="9091"/>
      </w:tblGrid>
      <w:tr>
        <w:trPr>
          <w:trHeight w:val="497"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十一</w:t>
            </w:r>
          </w:p>
        </w:tc>
        <w:tc>
          <w:tcPr>
            <w:tcW w:w="9091" w:type="dxa"/>
            <w:tcBorders>
              <w:top w:val="nil" w:sz="6" w:space="0" w:color="auto"/>
              <w:left w:val="nil" w:sz="6" w:space="0" w:color="auto"/>
              <w:bottom w:val="nil" w:sz="6" w:space="0" w:color="auto"/>
              <w:right w:val="nil" w:sz="6" w:space="0" w:color="auto"/>
            </w:tcBorders>
          </w:tcPr>
          <w:p>
            <w:pPr>
              <w:pStyle w:val="TableParagraph"/>
              <w:spacing w:line="257" w:lineRule="exact"/>
              <w:ind w:left="119" w:right="0"/>
              <w:jc w:val="left"/>
              <w:rPr>
                <w:rFonts w:ascii="Arial" w:hAnsi="Arial" w:cs="Arial" w:eastAsia="Arial" w:hint="default"/>
                <w:sz w:val="24"/>
                <w:szCs w:val="24"/>
              </w:rPr>
            </w:pPr>
            <w:r>
              <w:rPr>
                <w:rFonts w:ascii="黑体" w:hAnsi="黑体" w:cs="黑体" w:eastAsia="黑体" w:hint="default"/>
                <w:sz w:val="24"/>
                <w:szCs w:val="24"/>
              </w:rPr>
              <w:t>金融工具及其风险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5"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(2)</w:t>
            </w:r>
          </w:p>
        </w:tc>
        <w:tc>
          <w:tcPr>
            <w:tcW w:w="9091"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19" w:right="0"/>
              <w:jc w:val="left"/>
              <w:rPr>
                <w:rFonts w:ascii="黑体" w:hAnsi="黑体" w:cs="黑体" w:eastAsia="黑体" w:hint="default"/>
                <w:sz w:val="24"/>
                <w:szCs w:val="24"/>
              </w:rPr>
            </w:pPr>
            <w:r>
              <w:rPr>
                <w:rFonts w:ascii="黑体" w:hAnsi="黑体" w:cs="黑体" w:eastAsia="黑体" w:hint="default"/>
                <w:sz w:val="24"/>
                <w:szCs w:val="24"/>
              </w:rPr>
              <w:t>信用风险</w:t>
            </w:r>
          </w:p>
        </w:tc>
      </w:tr>
      <w:tr>
        <w:trPr>
          <w:trHeight w:val="1058" w:hRule="exact"/>
        </w:trPr>
        <w:tc>
          <w:tcPr>
            <w:tcW w:w="800" w:type="dxa"/>
            <w:tcBorders>
              <w:top w:val="nil" w:sz="6" w:space="0" w:color="auto"/>
              <w:left w:val="nil" w:sz="6" w:space="0" w:color="auto"/>
              <w:bottom w:val="nil" w:sz="6" w:space="0" w:color="auto"/>
              <w:right w:val="nil" w:sz="6" w:space="0" w:color="auto"/>
            </w:tcBorders>
          </w:tcPr>
          <w:p>
            <w:pPr/>
          </w:p>
        </w:tc>
        <w:tc>
          <w:tcPr>
            <w:tcW w:w="9091"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119" w:right="198"/>
              <w:jc w:val="left"/>
              <w:rPr>
                <w:rFonts w:ascii="宋体" w:hAnsi="宋体" w:cs="宋体" w:eastAsia="宋体" w:hint="default"/>
                <w:sz w:val="24"/>
                <w:szCs w:val="24"/>
              </w:rPr>
            </w:pPr>
            <w:r>
              <w:rPr>
                <w:rFonts w:ascii="宋体" w:hAnsi="宋体" w:cs="宋体" w:eastAsia="宋体" w:hint="default"/>
                <w:spacing w:val="-3"/>
                <w:sz w:val="24"/>
                <w:szCs w:val="24"/>
              </w:rPr>
              <w:t>本集团对信用风险按组合分类进行管理。信用风险主要产生于银行存款、应收账款、</w:t>
            </w:r>
            <w:r>
              <w:rPr>
                <w:rFonts w:ascii="宋体" w:hAnsi="宋体" w:cs="宋体" w:eastAsia="宋体" w:hint="default"/>
                <w:sz w:val="24"/>
                <w:szCs w:val="24"/>
              </w:rPr>
              <w:t> 应收利息、其他应收款和应收票据等。</w:t>
            </w:r>
          </w:p>
        </w:tc>
      </w:tr>
      <w:tr>
        <w:trPr>
          <w:trHeight w:val="1371" w:hRule="exact"/>
        </w:trPr>
        <w:tc>
          <w:tcPr>
            <w:tcW w:w="800" w:type="dxa"/>
            <w:tcBorders>
              <w:top w:val="nil" w:sz="6" w:space="0" w:color="auto"/>
              <w:left w:val="nil" w:sz="6" w:space="0" w:color="auto"/>
              <w:bottom w:val="nil" w:sz="6" w:space="0" w:color="auto"/>
              <w:right w:val="nil" w:sz="6" w:space="0" w:color="auto"/>
            </w:tcBorders>
          </w:tcPr>
          <w:p>
            <w:pPr/>
          </w:p>
        </w:tc>
        <w:tc>
          <w:tcPr>
            <w:tcW w:w="9091" w:type="dxa"/>
            <w:tcBorders>
              <w:top w:val="nil" w:sz="6" w:space="0" w:color="auto"/>
              <w:left w:val="nil" w:sz="6" w:space="0" w:color="auto"/>
              <w:bottom w:val="nil" w:sz="6" w:space="0" w:color="auto"/>
              <w:right w:val="nil" w:sz="6" w:space="0" w:color="auto"/>
            </w:tcBorders>
          </w:tcPr>
          <w:p>
            <w:pPr>
              <w:pStyle w:val="TableParagraph"/>
              <w:spacing w:line="237" w:lineRule="auto" w:before="183"/>
              <w:ind w:left="119" w:right="319"/>
              <w:jc w:val="both"/>
              <w:rPr>
                <w:rFonts w:ascii="宋体" w:hAnsi="宋体" w:cs="宋体" w:eastAsia="宋体" w:hint="default"/>
                <w:sz w:val="24"/>
                <w:szCs w:val="24"/>
              </w:rPr>
            </w:pPr>
            <w:r>
              <w:rPr>
                <w:rFonts w:ascii="宋体" w:hAnsi="宋体" w:cs="宋体" w:eastAsia="宋体" w:hint="default"/>
                <w:sz w:val="24"/>
                <w:szCs w:val="24"/>
              </w:rPr>
              <w:t>本集团银行存款主要存放于国有银行和其它大中型上市银行，应收利息都是银行承</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兑汇票保证金及定期存款产生的利息，本集团认为其不存在重大的信用风险，不会</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产生因对方单位违约而导致的任何重大损失。</w:t>
            </w:r>
          </w:p>
        </w:tc>
      </w:tr>
      <w:tr>
        <w:trPr>
          <w:trHeight w:val="1738" w:hRule="exact"/>
        </w:trPr>
        <w:tc>
          <w:tcPr>
            <w:tcW w:w="800" w:type="dxa"/>
            <w:tcBorders>
              <w:top w:val="nil" w:sz="6" w:space="0" w:color="auto"/>
              <w:left w:val="nil" w:sz="6" w:space="0" w:color="auto"/>
              <w:bottom w:val="nil" w:sz="6" w:space="0" w:color="auto"/>
              <w:right w:val="nil" w:sz="6" w:space="0" w:color="auto"/>
            </w:tcBorders>
          </w:tcPr>
          <w:p>
            <w:pPr/>
          </w:p>
        </w:tc>
        <w:tc>
          <w:tcPr>
            <w:tcW w:w="9091" w:type="dxa"/>
            <w:tcBorders>
              <w:top w:val="nil" w:sz="6" w:space="0" w:color="auto"/>
              <w:left w:val="nil" w:sz="6" w:space="0" w:color="auto"/>
              <w:bottom w:val="nil" w:sz="6" w:space="0" w:color="auto"/>
              <w:right w:val="nil" w:sz="6" w:space="0" w:color="auto"/>
            </w:tcBorders>
          </w:tcPr>
          <w:p>
            <w:pPr>
              <w:pStyle w:val="TableParagraph"/>
              <w:spacing w:line="237" w:lineRule="auto" w:before="183"/>
              <w:ind w:left="119" w:right="319"/>
              <w:jc w:val="both"/>
              <w:rPr>
                <w:rFonts w:ascii="宋体" w:hAnsi="宋体" w:cs="宋体" w:eastAsia="宋体" w:hint="default"/>
                <w:sz w:val="24"/>
                <w:szCs w:val="24"/>
              </w:rPr>
            </w:pPr>
            <w:r>
              <w:rPr>
                <w:rFonts w:ascii="宋体" w:hAnsi="宋体" w:cs="宋体" w:eastAsia="宋体" w:hint="default"/>
                <w:sz w:val="24"/>
                <w:szCs w:val="24"/>
              </w:rPr>
              <w:t>此外，对于应收账款、其他应收款和应收票据，本集团设定相关政策以控制信用风</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险敞口。本集团基于对客户的财务状况、从第三方获取担保的可能性、信用记录及</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其它因素诸如目前市场状况等评估客户的信用资质并设置相应信用期。本集团会定</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期对客户信用记录进行监控，对于信用记录不良的客户，本集团会采用书面催款、</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缩短信用期或取消信用期等方式，以确保本集团的整体信用风险在可控的范围内。</w:t>
            </w:r>
          </w:p>
        </w:tc>
      </w:tr>
    </w:tbl>
    <w:p>
      <w:pPr>
        <w:spacing w:after="0" w:line="237" w:lineRule="auto"/>
        <w:jc w:val="both"/>
        <w:rPr>
          <w:rFonts w:ascii="宋体" w:hAnsi="宋体" w:cs="宋体" w:eastAsia="宋体"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98"/>
        <w:gridCol w:w="2245"/>
        <w:gridCol w:w="1128"/>
        <w:gridCol w:w="142"/>
        <w:gridCol w:w="1095"/>
        <w:gridCol w:w="134"/>
        <w:gridCol w:w="1039"/>
        <w:gridCol w:w="182"/>
        <w:gridCol w:w="1018"/>
        <w:gridCol w:w="135"/>
        <w:gridCol w:w="1159"/>
      </w:tblGrid>
      <w:tr>
        <w:trPr>
          <w:trHeight w:val="497"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十一</w:t>
            </w:r>
          </w:p>
        </w:tc>
        <w:tc>
          <w:tcPr>
            <w:tcW w:w="3373"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17" w:right="0"/>
              <w:jc w:val="left"/>
              <w:rPr>
                <w:rFonts w:ascii="Arial" w:hAnsi="Arial" w:cs="Arial" w:eastAsia="Arial" w:hint="default"/>
                <w:sz w:val="24"/>
                <w:szCs w:val="24"/>
              </w:rPr>
            </w:pPr>
            <w:r>
              <w:rPr>
                <w:rFonts w:ascii="黑体" w:hAnsi="黑体" w:cs="黑体" w:eastAsia="黑体" w:hint="default"/>
                <w:sz w:val="24"/>
                <w:szCs w:val="24"/>
              </w:rPr>
              <w:t>金融工具及其风险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2"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r>
      <w:tr>
        <w:trPr>
          <w:trHeight w:val="745"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(3)</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17" w:right="0"/>
              <w:jc w:val="left"/>
              <w:rPr>
                <w:rFonts w:ascii="黑体" w:hAnsi="黑体" w:cs="黑体" w:eastAsia="黑体" w:hint="default"/>
                <w:sz w:val="24"/>
                <w:szCs w:val="24"/>
              </w:rPr>
            </w:pPr>
            <w:r>
              <w:rPr>
                <w:rFonts w:ascii="黑体" w:hAnsi="黑体" w:cs="黑体" w:eastAsia="黑体" w:hint="default"/>
                <w:sz w:val="24"/>
                <w:szCs w:val="24"/>
              </w:rPr>
              <w:t>流动风险</w:t>
            </w:r>
          </w:p>
        </w:tc>
        <w:tc>
          <w:tcPr>
            <w:tcW w:w="112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r>
      <w:tr>
        <w:trPr>
          <w:trHeight w:val="1991" w:hRule="exact"/>
        </w:trPr>
        <w:tc>
          <w:tcPr>
            <w:tcW w:w="798" w:type="dxa"/>
            <w:tcBorders>
              <w:top w:val="nil" w:sz="6" w:space="0" w:color="auto"/>
              <w:left w:val="nil" w:sz="6" w:space="0" w:color="auto"/>
              <w:bottom w:val="nil" w:sz="6" w:space="0" w:color="auto"/>
              <w:right w:val="nil" w:sz="6" w:space="0" w:color="auto"/>
            </w:tcBorders>
          </w:tcPr>
          <w:p>
            <w:pPr/>
          </w:p>
        </w:tc>
        <w:tc>
          <w:tcPr>
            <w:tcW w:w="8277" w:type="dxa"/>
            <w:gridSpan w:val="10"/>
            <w:tcBorders>
              <w:top w:val="nil" w:sz="6" w:space="0" w:color="auto"/>
              <w:left w:val="nil" w:sz="6" w:space="0" w:color="auto"/>
              <w:bottom w:val="nil" w:sz="6" w:space="0" w:color="auto"/>
              <w:right w:val="nil" w:sz="6" w:space="0" w:color="auto"/>
            </w:tcBorders>
          </w:tcPr>
          <w:p>
            <w:pPr>
              <w:pStyle w:val="TableParagraph"/>
              <w:spacing w:line="237" w:lineRule="auto" w:before="182"/>
              <w:ind w:left="117" w:right="53"/>
              <w:jc w:val="both"/>
              <w:rPr>
                <w:rFonts w:ascii="宋体" w:hAnsi="宋体" w:cs="宋体" w:eastAsia="宋体" w:hint="default"/>
                <w:sz w:val="24"/>
                <w:szCs w:val="24"/>
              </w:rPr>
            </w:pPr>
            <w:r>
              <w:rPr>
                <w:rFonts w:ascii="宋体" w:hAnsi="宋体" w:cs="宋体" w:eastAsia="宋体" w:hint="default"/>
                <w:spacing w:val="-2"/>
                <w:sz w:val="24"/>
                <w:szCs w:val="24"/>
              </w:rPr>
              <w:t>本集团内各子公司负责其自身的现金流量预测。总部财务部门在汇总各子公司</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2"/>
                <w:sz w:val="24"/>
                <w:szCs w:val="24"/>
              </w:rPr>
              <w:t>现金流量预测的基础上，在集团层面持续监控短期和长期的资金需求，以确保</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2"/>
                <w:sz w:val="24"/>
                <w:szCs w:val="24"/>
              </w:rPr>
              <w:t>维持充裕的现金储备和可供随时变现的有价证券；同时持续监控是否符合借款</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2"/>
                <w:sz w:val="24"/>
                <w:szCs w:val="24"/>
              </w:rPr>
              <w:t>协议的规定，从主要金融机构获得提供足够备用资金的承诺，以满足短期和长</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期的资金需求。</w:t>
            </w:r>
          </w:p>
        </w:tc>
      </w:tr>
      <w:tr>
        <w:trPr>
          <w:trHeight w:val="1056" w:hRule="exact"/>
        </w:trPr>
        <w:tc>
          <w:tcPr>
            <w:tcW w:w="798" w:type="dxa"/>
            <w:tcBorders>
              <w:top w:val="nil" w:sz="6" w:space="0" w:color="auto"/>
              <w:left w:val="nil" w:sz="6" w:space="0" w:color="auto"/>
              <w:bottom w:val="nil" w:sz="6" w:space="0" w:color="auto"/>
              <w:right w:val="nil" w:sz="6" w:space="0" w:color="auto"/>
            </w:tcBorders>
          </w:tcPr>
          <w:p>
            <w:pPr/>
          </w:p>
        </w:tc>
        <w:tc>
          <w:tcPr>
            <w:tcW w:w="8277" w:type="dxa"/>
            <w:gridSpan w:val="10"/>
            <w:tcBorders>
              <w:top w:val="nil" w:sz="6" w:space="0" w:color="auto"/>
              <w:left w:val="nil" w:sz="6" w:space="0" w:color="auto"/>
              <w:bottom w:val="nil" w:sz="6" w:space="0" w:color="auto"/>
              <w:right w:val="nil" w:sz="6" w:space="0" w:color="auto"/>
            </w:tcBorders>
          </w:tcPr>
          <w:p>
            <w:pPr>
              <w:pStyle w:val="TableParagraph"/>
              <w:spacing w:line="310" w:lineRule="exact" w:before="212"/>
              <w:ind w:left="117" w:right="54"/>
              <w:jc w:val="left"/>
              <w:rPr>
                <w:rFonts w:ascii="宋体" w:hAnsi="宋体" w:cs="宋体" w:eastAsia="宋体" w:hint="default"/>
                <w:sz w:val="24"/>
                <w:szCs w:val="24"/>
              </w:rPr>
            </w:pPr>
            <w:r>
              <w:rPr>
                <w:rFonts w:ascii="宋体" w:hAnsi="宋体" w:cs="宋体" w:eastAsia="宋体" w:hint="default"/>
                <w:spacing w:val="-2"/>
                <w:sz w:val="24"/>
                <w:szCs w:val="24"/>
              </w:rPr>
              <w:t>于资产负债表日，本集团各项金融资产及金融负债以未折现的合同现金流量按</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到期日列示如下：</w:t>
            </w:r>
          </w:p>
        </w:tc>
      </w:tr>
      <w:tr>
        <w:trPr>
          <w:trHeight w:val="552" w:hRule="exact"/>
        </w:trPr>
        <w:tc>
          <w:tcPr>
            <w:tcW w:w="798"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4" w:space="0" w:color="000000"/>
              <w:right w:val="nil" w:sz="6" w:space="0" w:color="auto"/>
            </w:tcBorders>
          </w:tcPr>
          <w:p>
            <w:pPr/>
          </w:p>
        </w:tc>
        <w:tc>
          <w:tcPr>
            <w:tcW w:w="3610" w:type="dxa"/>
            <w:gridSpan w:val="6"/>
            <w:tcBorders>
              <w:top w:val="nil" w:sz="6" w:space="0" w:color="auto"/>
              <w:left w:val="nil" w:sz="6" w:space="0" w:color="auto"/>
              <w:bottom w:val="single" w:sz="4" w:space="0" w:color="000000"/>
              <w:right w:val="nil" w:sz="6" w:space="0" w:color="auto"/>
            </w:tcBorders>
          </w:tcPr>
          <w:p>
            <w:pPr>
              <w:pStyle w:val="TableParagraph"/>
              <w:spacing w:line="240" w:lineRule="auto" w:before="184"/>
              <w:ind w:left="931"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35" w:type="dxa"/>
            <w:tcBorders>
              <w:top w:val="nil" w:sz="6" w:space="0" w:color="auto"/>
              <w:left w:val="nil" w:sz="6" w:space="0" w:color="auto"/>
              <w:bottom w:val="single" w:sz="4" w:space="0" w:color="000000"/>
              <w:right w:val="nil" w:sz="6" w:space="0" w:color="auto"/>
            </w:tcBorders>
          </w:tcPr>
          <w:p>
            <w:pPr/>
          </w:p>
        </w:tc>
        <w:tc>
          <w:tcPr>
            <w:tcW w:w="1159" w:type="dxa"/>
            <w:tcBorders>
              <w:top w:val="nil" w:sz="6" w:space="0" w:color="auto"/>
              <w:left w:val="nil" w:sz="6" w:space="0" w:color="auto"/>
              <w:bottom w:val="single" w:sz="4" w:space="0" w:color="000000"/>
              <w:right w:val="nil" w:sz="6" w:space="0" w:color="auto"/>
            </w:tcBorders>
          </w:tcPr>
          <w:p>
            <w:pPr/>
          </w:p>
        </w:tc>
      </w:tr>
      <w:tr>
        <w:trPr>
          <w:trHeight w:val="534" w:hRule="exact"/>
        </w:trPr>
        <w:tc>
          <w:tcPr>
            <w:tcW w:w="798"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53"/>
              <w:jc w:val="right"/>
              <w:rPr>
                <w:rFonts w:ascii="宋体" w:hAnsi="宋体" w:cs="宋体" w:eastAsia="宋体" w:hint="default"/>
                <w:sz w:val="22"/>
                <w:szCs w:val="22"/>
              </w:rPr>
            </w:pPr>
            <w:r>
              <w:rPr>
                <w:rFonts w:ascii="宋体" w:hAnsi="宋体" w:cs="宋体" w:eastAsia="宋体" w:hint="default"/>
                <w:sz w:val="22"/>
                <w:szCs w:val="22"/>
              </w:rPr>
              <w:t>一年以内</w:t>
            </w:r>
          </w:p>
        </w:tc>
        <w:tc>
          <w:tcPr>
            <w:tcW w:w="142" w:type="dxa"/>
            <w:tcBorders>
              <w:top w:val="single" w:sz="4" w:space="0" w:color="000000"/>
              <w:left w:val="nil" w:sz="6" w:space="0" w:color="auto"/>
              <w:bottom w:val="nil" w:sz="6" w:space="0" w:color="auto"/>
              <w:right w:val="nil" w:sz="6" w:space="0" w:color="auto"/>
            </w:tcBorders>
          </w:tcPr>
          <w:p>
            <w:pPr/>
          </w:p>
        </w:tc>
        <w:tc>
          <w:tcPr>
            <w:tcW w:w="109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50"/>
              <w:jc w:val="right"/>
              <w:rPr>
                <w:rFonts w:ascii="宋体" w:hAnsi="宋体" w:cs="宋体" w:eastAsia="宋体" w:hint="default"/>
                <w:sz w:val="22"/>
                <w:szCs w:val="22"/>
              </w:rPr>
            </w:pPr>
            <w:r>
              <w:rPr>
                <w:rFonts w:ascii="宋体" w:hAnsi="宋体" w:cs="宋体" w:eastAsia="宋体" w:hint="default"/>
                <w:sz w:val="22"/>
                <w:szCs w:val="22"/>
              </w:rPr>
              <w:t>一到二年</w:t>
            </w:r>
          </w:p>
        </w:tc>
        <w:tc>
          <w:tcPr>
            <w:tcW w:w="134" w:type="dxa"/>
            <w:tcBorders>
              <w:top w:val="single" w:sz="4" w:space="0" w:color="000000"/>
              <w:left w:val="nil" w:sz="6" w:space="0" w:color="auto"/>
              <w:bottom w:val="nil" w:sz="6" w:space="0" w:color="auto"/>
              <w:right w:val="nil" w:sz="6" w:space="0" w:color="auto"/>
            </w:tcBorders>
          </w:tcPr>
          <w:p>
            <w:pPr/>
          </w:p>
        </w:tc>
        <w:tc>
          <w:tcPr>
            <w:tcW w:w="103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53"/>
              <w:jc w:val="right"/>
              <w:rPr>
                <w:rFonts w:ascii="宋体" w:hAnsi="宋体" w:cs="宋体" w:eastAsia="宋体" w:hint="default"/>
                <w:sz w:val="22"/>
                <w:szCs w:val="22"/>
              </w:rPr>
            </w:pPr>
            <w:r>
              <w:rPr>
                <w:rFonts w:ascii="宋体" w:hAnsi="宋体" w:cs="宋体" w:eastAsia="宋体" w:hint="default"/>
                <w:sz w:val="22"/>
                <w:szCs w:val="22"/>
              </w:rPr>
              <w:t>二到五年</w:t>
            </w:r>
          </w:p>
        </w:tc>
        <w:tc>
          <w:tcPr>
            <w:tcW w:w="182" w:type="dxa"/>
            <w:tcBorders>
              <w:top w:val="single" w:sz="4" w:space="0" w:color="000000"/>
              <w:left w:val="nil" w:sz="6" w:space="0" w:color="auto"/>
              <w:bottom w:val="nil" w:sz="6" w:space="0" w:color="auto"/>
              <w:right w:val="nil" w:sz="6" w:space="0" w:color="auto"/>
            </w:tcBorders>
          </w:tcPr>
          <w:p>
            <w:pPr/>
          </w:p>
        </w:tc>
        <w:tc>
          <w:tcPr>
            <w:tcW w:w="101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53"/>
              <w:jc w:val="right"/>
              <w:rPr>
                <w:rFonts w:ascii="宋体" w:hAnsi="宋体" w:cs="宋体" w:eastAsia="宋体" w:hint="default"/>
                <w:sz w:val="22"/>
                <w:szCs w:val="22"/>
              </w:rPr>
            </w:pPr>
            <w:r>
              <w:rPr>
                <w:rFonts w:ascii="宋体" w:hAnsi="宋体" w:cs="宋体" w:eastAsia="宋体" w:hint="default"/>
                <w:sz w:val="22"/>
                <w:szCs w:val="22"/>
              </w:rPr>
              <w:t>五年以上</w:t>
            </w:r>
          </w:p>
        </w:tc>
        <w:tc>
          <w:tcPr>
            <w:tcW w:w="135" w:type="dxa"/>
            <w:tcBorders>
              <w:top w:val="single" w:sz="4" w:space="0" w:color="000000"/>
              <w:left w:val="nil" w:sz="6" w:space="0" w:color="auto"/>
              <w:bottom w:val="nil" w:sz="6" w:space="0" w:color="auto"/>
              <w:right w:val="nil" w:sz="6" w:space="0" w:color="auto"/>
            </w:tcBorders>
          </w:tcPr>
          <w:p>
            <w:pPr/>
          </w:p>
        </w:tc>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50"/>
              <w:jc w:val="right"/>
              <w:rPr>
                <w:rFonts w:ascii="宋体" w:hAnsi="宋体" w:cs="宋体" w:eastAsia="宋体" w:hint="default"/>
                <w:sz w:val="22"/>
                <w:szCs w:val="22"/>
              </w:rPr>
            </w:pPr>
            <w:r>
              <w:rPr>
                <w:rFonts w:ascii="宋体" w:hAnsi="宋体" w:cs="宋体" w:eastAsia="宋体" w:hint="default"/>
                <w:sz w:val="22"/>
                <w:szCs w:val="22"/>
              </w:rPr>
              <w:t>合计</w:t>
            </w:r>
          </w:p>
        </w:tc>
      </w:tr>
      <w:tr>
        <w:trPr>
          <w:trHeight w:val="546" w:hRule="exact"/>
        </w:trPr>
        <w:tc>
          <w:tcPr>
            <w:tcW w:w="798"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71"/>
              <w:ind w:left="117" w:right="0"/>
              <w:jc w:val="left"/>
              <w:rPr>
                <w:rFonts w:ascii="Arial" w:hAnsi="Arial" w:cs="Arial" w:eastAsia="Arial" w:hint="default"/>
                <w:sz w:val="22"/>
                <w:szCs w:val="22"/>
              </w:rPr>
            </w:pPr>
            <w:r>
              <w:rPr>
                <w:rFonts w:ascii="宋体" w:hAnsi="宋体" w:cs="宋体" w:eastAsia="宋体" w:hint="default"/>
                <w:sz w:val="22"/>
                <w:szCs w:val="22"/>
              </w:rPr>
              <w:t>金融资产</w:t>
            </w:r>
            <w:r>
              <w:rPr>
                <w:rFonts w:ascii="宋体" w:hAnsi="宋体" w:cs="宋体" w:eastAsia="宋体" w:hint="default"/>
                <w:spacing w:val="1"/>
                <w:sz w:val="22"/>
                <w:szCs w:val="22"/>
              </w:rPr>
              <w:t> </w:t>
            </w:r>
            <w:r>
              <w:rPr>
                <w:rFonts w:ascii="Arial" w:hAnsi="Arial" w:cs="Arial" w:eastAsia="Arial" w:hint="default"/>
                <w:sz w:val="22"/>
                <w:szCs w:val="22"/>
              </w:rPr>
              <w:t>-</w:t>
            </w:r>
          </w:p>
        </w:tc>
        <w:tc>
          <w:tcPr>
            <w:tcW w:w="112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r>
      <w:tr>
        <w:trPr>
          <w:trHeight w:val="389" w:hRule="exact"/>
        </w:trPr>
        <w:tc>
          <w:tcPr>
            <w:tcW w:w="798"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8"/>
              <w:ind w:left="117"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8"/>
              <w:jc w:val="right"/>
              <w:rPr>
                <w:rFonts w:ascii="Arial" w:hAnsi="Arial" w:cs="Arial" w:eastAsia="Arial" w:hint="default"/>
                <w:sz w:val="20"/>
                <w:szCs w:val="20"/>
              </w:rPr>
            </w:pPr>
            <w:r>
              <w:rPr>
                <w:rFonts w:ascii="Arial"/>
                <w:w w:val="95"/>
                <w:sz w:val="20"/>
              </w:rPr>
              <w:t>30,067,365</w:t>
            </w:r>
            <w:r>
              <w:rPr>
                <w:rFonts w:ascii="Arial"/>
                <w:sz w:val="20"/>
              </w:rPr>
            </w:r>
          </w:p>
        </w:tc>
        <w:tc>
          <w:tcPr>
            <w:tcW w:w="142"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
              <w:jc w:val="right"/>
              <w:rPr>
                <w:rFonts w:ascii="Arial" w:hAnsi="Arial" w:cs="Arial" w:eastAsia="Arial" w:hint="default"/>
                <w:sz w:val="20"/>
                <w:szCs w:val="20"/>
              </w:rPr>
            </w:pPr>
            <w:r>
              <w:rPr>
                <w:rFonts w:ascii="Arial"/>
                <w:w w:val="99"/>
                <w:sz w:val="20"/>
              </w:rPr>
              <w:t>-</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6"/>
              <w:jc w:val="right"/>
              <w:rPr>
                <w:rFonts w:ascii="Arial" w:hAnsi="Arial" w:cs="Arial" w:eastAsia="Arial" w:hint="default"/>
                <w:sz w:val="20"/>
                <w:szCs w:val="20"/>
              </w:rPr>
            </w:pPr>
            <w:r>
              <w:rPr>
                <w:rFonts w:ascii="Arial"/>
                <w:w w:val="99"/>
                <w:sz w:val="20"/>
              </w:rPr>
              <w:t>-</w:t>
            </w:r>
            <w:r>
              <w:rPr>
                <w:rFonts w:ascii="Arial"/>
                <w:sz w:val="20"/>
              </w:rPr>
            </w:r>
          </w:p>
        </w:tc>
        <w:tc>
          <w:tcPr>
            <w:tcW w:w="18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6"/>
              <w:jc w:val="right"/>
              <w:rPr>
                <w:rFonts w:ascii="Arial" w:hAnsi="Arial" w:cs="Arial" w:eastAsia="Arial" w:hint="default"/>
                <w:sz w:val="20"/>
                <w:szCs w:val="20"/>
              </w:rPr>
            </w:pPr>
            <w:r>
              <w:rPr>
                <w:rFonts w:ascii="Arial"/>
                <w:w w:val="99"/>
                <w:sz w:val="20"/>
              </w:rPr>
              <w:t>-</w:t>
            </w:r>
            <w:r>
              <w:rPr>
                <w:rFonts w:ascii="Arial"/>
                <w:sz w:val="20"/>
              </w:rPr>
            </w:r>
          </w:p>
        </w:tc>
        <w:tc>
          <w:tcPr>
            <w:tcW w:w="135"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5"/>
              <w:jc w:val="right"/>
              <w:rPr>
                <w:rFonts w:ascii="Arial" w:hAnsi="Arial" w:cs="Arial" w:eastAsia="Arial" w:hint="default"/>
                <w:sz w:val="20"/>
                <w:szCs w:val="20"/>
              </w:rPr>
            </w:pPr>
            <w:r>
              <w:rPr>
                <w:rFonts w:ascii="Arial"/>
                <w:w w:val="95"/>
                <w:sz w:val="20"/>
              </w:rPr>
              <w:t>30,067,365</w:t>
            </w:r>
            <w:r>
              <w:rPr>
                <w:rFonts w:ascii="Arial"/>
                <w:sz w:val="20"/>
              </w:rPr>
            </w:r>
          </w:p>
        </w:tc>
      </w:tr>
      <w:tr>
        <w:trPr>
          <w:trHeight w:val="379" w:hRule="exact"/>
        </w:trPr>
        <w:tc>
          <w:tcPr>
            <w:tcW w:w="798"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Style w:val="TableParagraph"/>
              <w:spacing w:line="286" w:lineRule="exact"/>
              <w:ind w:left="117"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7"/>
              <w:jc w:val="right"/>
              <w:rPr>
                <w:rFonts w:ascii="Arial" w:hAnsi="Arial" w:cs="Arial" w:eastAsia="Arial" w:hint="default"/>
                <w:sz w:val="20"/>
                <w:szCs w:val="20"/>
              </w:rPr>
            </w:pPr>
            <w:r>
              <w:rPr>
                <w:rFonts w:ascii="Arial"/>
                <w:w w:val="95"/>
                <w:sz w:val="20"/>
              </w:rPr>
              <w:t>1,270,502</w:t>
            </w:r>
            <w:r>
              <w:rPr>
                <w:rFonts w:ascii="Arial"/>
                <w:sz w:val="20"/>
              </w:rPr>
            </w:r>
          </w:p>
        </w:tc>
        <w:tc>
          <w:tcPr>
            <w:tcW w:w="142"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4"/>
              <w:jc w:val="right"/>
              <w:rPr>
                <w:rFonts w:ascii="Arial" w:hAnsi="Arial" w:cs="Arial" w:eastAsia="Arial" w:hint="default"/>
                <w:sz w:val="20"/>
                <w:szCs w:val="20"/>
              </w:rPr>
            </w:pPr>
            <w:r>
              <w:rPr>
                <w:rFonts w:ascii="Arial"/>
                <w:w w:val="99"/>
                <w:sz w:val="20"/>
              </w:rPr>
              <w:t>-</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
              <w:jc w:val="right"/>
              <w:rPr>
                <w:rFonts w:ascii="Arial" w:hAnsi="Arial" w:cs="Arial" w:eastAsia="Arial" w:hint="default"/>
                <w:sz w:val="20"/>
                <w:szCs w:val="20"/>
              </w:rPr>
            </w:pPr>
            <w:r>
              <w:rPr>
                <w:rFonts w:ascii="Arial"/>
                <w:w w:val="99"/>
                <w:sz w:val="20"/>
              </w:rPr>
              <w:t>-</w:t>
            </w:r>
            <w:r>
              <w:rPr>
                <w:rFonts w:ascii="Arial"/>
                <w:sz w:val="20"/>
              </w:rPr>
            </w:r>
          </w:p>
        </w:tc>
        <w:tc>
          <w:tcPr>
            <w:tcW w:w="18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
              <w:jc w:val="right"/>
              <w:rPr>
                <w:rFonts w:ascii="Arial" w:hAnsi="Arial" w:cs="Arial" w:eastAsia="Arial" w:hint="default"/>
                <w:sz w:val="20"/>
                <w:szCs w:val="20"/>
              </w:rPr>
            </w:pPr>
            <w:r>
              <w:rPr>
                <w:rFonts w:ascii="Arial"/>
                <w:w w:val="99"/>
                <w:sz w:val="20"/>
              </w:rPr>
              <w:t>-</w:t>
            </w:r>
            <w:r>
              <w:rPr>
                <w:rFonts w:ascii="Arial"/>
                <w:sz w:val="20"/>
              </w:rPr>
            </w:r>
          </w:p>
        </w:tc>
        <w:tc>
          <w:tcPr>
            <w:tcW w:w="135"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5"/>
              <w:jc w:val="right"/>
              <w:rPr>
                <w:rFonts w:ascii="Arial" w:hAnsi="Arial" w:cs="Arial" w:eastAsia="Arial" w:hint="default"/>
                <w:sz w:val="20"/>
                <w:szCs w:val="20"/>
              </w:rPr>
            </w:pPr>
            <w:r>
              <w:rPr>
                <w:rFonts w:ascii="Arial"/>
                <w:w w:val="95"/>
                <w:sz w:val="20"/>
              </w:rPr>
              <w:t>1,270,502</w:t>
            </w:r>
            <w:r>
              <w:rPr>
                <w:rFonts w:ascii="Arial"/>
                <w:sz w:val="20"/>
              </w:rPr>
            </w:r>
          </w:p>
        </w:tc>
      </w:tr>
      <w:tr>
        <w:trPr>
          <w:trHeight w:val="380" w:hRule="exact"/>
        </w:trPr>
        <w:tc>
          <w:tcPr>
            <w:tcW w:w="798"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Style w:val="TableParagraph"/>
              <w:spacing w:line="286" w:lineRule="exact"/>
              <w:ind w:left="117"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8"/>
              <w:jc w:val="right"/>
              <w:rPr>
                <w:rFonts w:ascii="Arial" w:hAnsi="Arial" w:cs="Arial" w:eastAsia="Arial" w:hint="default"/>
                <w:sz w:val="20"/>
                <w:szCs w:val="20"/>
              </w:rPr>
            </w:pPr>
            <w:r>
              <w:rPr>
                <w:rFonts w:ascii="Arial"/>
                <w:spacing w:val="-1"/>
                <w:sz w:val="20"/>
              </w:rPr>
              <w:t>425,728</w:t>
            </w:r>
          </w:p>
        </w:tc>
        <w:tc>
          <w:tcPr>
            <w:tcW w:w="142"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4"/>
              <w:jc w:val="right"/>
              <w:rPr>
                <w:rFonts w:ascii="Arial" w:hAnsi="Arial" w:cs="Arial" w:eastAsia="Arial" w:hint="default"/>
                <w:sz w:val="20"/>
                <w:szCs w:val="20"/>
              </w:rPr>
            </w:pPr>
            <w:r>
              <w:rPr>
                <w:rFonts w:ascii="Arial"/>
                <w:w w:val="99"/>
                <w:sz w:val="20"/>
              </w:rPr>
              <w:t>-</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
              <w:jc w:val="right"/>
              <w:rPr>
                <w:rFonts w:ascii="Arial" w:hAnsi="Arial" w:cs="Arial" w:eastAsia="Arial" w:hint="default"/>
                <w:sz w:val="20"/>
                <w:szCs w:val="20"/>
              </w:rPr>
            </w:pPr>
            <w:r>
              <w:rPr>
                <w:rFonts w:ascii="Arial"/>
                <w:w w:val="99"/>
                <w:sz w:val="20"/>
              </w:rPr>
              <w:t>-</w:t>
            </w:r>
            <w:r>
              <w:rPr>
                <w:rFonts w:ascii="Arial"/>
                <w:sz w:val="20"/>
              </w:rPr>
            </w:r>
          </w:p>
        </w:tc>
        <w:tc>
          <w:tcPr>
            <w:tcW w:w="18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
              <w:jc w:val="right"/>
              <w:rPr>
                <w:rFonts w:ascii="Arial" w:hAnsi="Arial" w:cs="Arial" w:eastAsia="Arial" w:hint="default"/>
                <w:sz w:val="20"/>
                <w:szCs w:val="20"/>
              </w:rPr>
            </w:pPr>
            <w:r>
              <w:rPr>
                <w:rFonts w:ascii="Arial"/>
                <w:w w:val="99"/>
                <w:sz w:val="20"/>
              </w:rPr>
              <w:t>-</w:t>
            </w:r>
            <w:r>
              <w:rPr>
                <w:rFonts w:ascii="Arial"/>
                <w:sz w:val="20"/>
              </w:rPr>
            </w:r>
          </w:p>
        </w:tc>
        <w:tc>
          <w:tcPr>
            <w:tcW w:w="135"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5"/>
              <w:jc w:val="right"/>
              <w:rPr>
                <w:rFonts w:ascii="Arial" w:hAnsi="Arial" w:cs="Arial" w:eastAsia="Arial" w:hint="default"/>
                <w:sz w:val="20"/>
                <w:szCs w:val="20"/>
              </w:rPr>
            </w:pPr>
            <w:r>
              <w:rPr>
                <w:rFonts w:ascii="Arial"/>
                <w:spacing w:val="-1"/>
                <w:sz w:val="20"/>
              </w:rPr>
              <w:t>425,728</w:t>
            </w:r>
          </w:p>
        </w:tc>
      </w:tr>
      <w:tr>
        <w:trPr>
          <w:trHeight w:val="380" w:hRule="exact"/>
        </w:trPr>
        <w:tc>
          <w:tcPr>
            <w:tcW w:w="798"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Style w:val="TableParagraph"/>
              <w:spacing w:line="287" w:lineRule="exact"/>
              <w:ind w:left="117"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7"/>
              <w:jc w:val="right"/>
              <w:rPr>
                <w:rFonts w:ascii="Arial" w:hAnsi="Arial" w:cs="Arial" w:eastAsia="Arial" w:hint="default"/>
                <w:sz w:val="20"/>
                <w:szCs w:val="20"/>
              </w:rPr>
            </w:pPr>
            <w:r>
              <w:rPr>
                <w:rFonts w:ascii="Arial"/>
                <w:w w:val="95"/>
                <w:sz w:val="20"/>
              </w:rPr>
              <w:t>2,987</w:t>
            </w:r>
            <w:r>
              <w:rPr>
                <w:rFonts w:ascii="Arial"/>
                <w:sz w:val="20"/>
              </w:rPr>
            </w:r>
          </w:p>
        </w:tc>
        <w:tc>
          <w:tcPr>
            <w:tcW w:w="142"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4"/>
              <w:jc w:val="right"/>
              <w:rPr>
                <w:rFonts w:ascii="Arial" w:hAnsi="Arial" w:cs="Arial" w:eastAsia="Arial" w:hint="default"/>
                <w:sz w:val="20"/>
                <w:szCs w:val="20"/>
              </w:rPr>
            </w:pPr>
            <w:r>
              <w:rPr>
                <w:rFonts w:ascii="Arial"/>
                <w:w w:val="99"/>
                <w:sz w:val="20"/>
              </w:rPr>
              <w:t>-</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6"/>
              <w:jc w:val="right"/>
              <w:rPr>
                <w:rFonts w:ascii="Arial" w:hAnsi="Arial" w:cs="Arial" w:eastAsia="Arial" w:hint="default"/>
                <w:sz w:val="20"/>
                <w:szCs w:val="20"/>
              </w:rPr>
            </w:pPr>
            <w:r>
              <w:rPr>
                <w:rFonts w:ascii="Arial"/>
                <w:w w:val="99"/>
                <w:sz w:val="20"/>
              </w:rPr>
              <w:t>-</w:t>
            </w:r>
            <w:r>
              <w:rPr>
                <w:rFonts w:ascii="Arial"/>
                <w:sz w:val="20"/>
              </w:rPr>
            </w:r>
          </w:p>
        </w:tc>
        <w:tc>
          <w:tcPr>
            <w:tcW w:w="18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6"/>
              <w:jc w:val="right"/>
              <w:rPr>
                <w:rFonts w:ascii="Arial" w:hAnsi="Arial" w:cs="Arial" w:eastAsia="Arial" w:hint="default"/>
                <w:sz w:val="20"/>
                <w:szCs w:val="20"/>
              </w:rPr>
            </w:pPr>
            <w:r>
              <w:rPr>
                <w:rFonts w:ascii="Arial"/>
                <w:w w:val="99"/>
                <w:sz w:val="20"/>
              </w:rPr>
              <w:t>-</w:t>
            </w:r>
            <w:r>
              <w:rPr>
                <w:rFonts w:ascii="Arial"/>
                <w:sz w:val="20"/>
              </w:rPr>
            </w:r>
          </w:p>
        </w:tc>
        <w:tc>
          <w:tcPr>
            <w:tcW w:w="135"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5"/>
              <w:jc w:val="right"/>
              <w:rPr>
                <w:rFonts w:ascii="Arial" w:hAnsi="Arial" w:cs="Arial" w:eastAsia="Arial" w:hint="default"/>
                <w:sz w:val="20"/>
                <w:szCs w:val="20"/>
              </w:rPr>
            </w:pPr>
            <w:r>
              <w:rPr>
                <w:rFonts w:ascii="Arial"/>
                <w:w w:val="95"/>
                <w:sz w:val="20"/>
              </w:rPr>
              <w:t>2,987</w:t>
            </w:r>
            <w:r>
              <w:rPr>
                <w:rFonts w:ascii="Arial"/>
                <w:sz w:val="20"/>
              </w:rPr>
            </w:r>
          </w:p>
        </w:tc>
      </w:tr>
      <w:tr>
        <w:trPr>
          <w:trHeight w:val="379" w:hRule="exact"/>
        </w:trPr>
        <w:tc>
          <w:tcPr>
            <w:tcW w:w="798"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Style w:val="TableParagraph"/>
              <w:spacing w:line="286" w:lineRule="exact"/>
              <w:ind w:left="117"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7"/>
              <w:jc w:val="right"/>
              <w:rPr>
                <w:rFonts w:ascii="Arial" w:hAnsi="Arial" w:cs="Arial" w:eastAsia="Arial" w:hint="default"/>
                <w:sz w:val="20"/>
                <w:szCs w:val="20"/>
              </w:rPr>
            </w:pPr>
            <w:r>
              <w:rPr>
                <w:rFonts w:ascii="Arial"/>
                <w:w w:val="95"/>
                <w:sz w:val="20"/>
              </w:rPr>
              <w:t>87,729</w:t>
            </w:r>
            <w:r>
              <w:rPr>
                <w:rFonts w:ascii="Arial"/>
                <w:sz w:val="20"/>
              </w:rPr>
            </w:r>
          </w:p>
        </w:tc>
        <w:tc>
          <w:tcPr>
            <w:tcW w:w="142"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4"/>
              <w:jc w:val="right"/>
              <w:rPr>
                <w:rFonts w:ascii="Arial" w:hAnsi="Arial" w:cs="Arial" w:eastAsia="Arial" w:hint="default"/>
                <w:sz w:val="20"/>
                <w:szCs w:val="20"/>
              </w:rPr>
            </w:pPr>
            <w:r>
              <w:rPr>
                <w:rFonts w:ascii="Arial"/>
                <w:w w:val="99"/>
                <w:sz w:val="20"/>
              </w:rPr>
              <w:t>-</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
              <w:jc w:val="right"/>
              <w:rPr>
                <w:rFonts w:ascii="Arial" w:hAnsi="Arial" w:cs="Arial" w:eastAsia="Arial" w:hint="default"/>
                <w:sz w:val="20"/>
                <w:szCs w:val="20"/>
              </w:rPr>
            </w:pPr>
            <w:r>
              <w:rPr>
                <w:rFonts w:ascii="Arial"/>
                <w:w w:val="99"/>
                <w:sz w:val="20"/>
              </w:rPr>
              <w:t>-</w:t>
            </w:r>
            <w:r>
              <w:rPr>
                <w:rFonts w:ascii="Arial"/>
                <w:sz w:val="20"/>
              </w:rPr>
            </w:r>
          </w:p>
        </w:tc>
        <w:tc>
          <w:tcPr>
            <w:tcW w:w="18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
              <w:jc w:val="right"/>
              <w:rPr>
                <w:rFonts w:ascii="Arial" w:hAnsi="Arial" w:cs="Arial" w:eastAsia="Arial" w:hint="default"/>
                <w:sz w:val="20"/>
                <w:szCs w:val="20"/>
              </w:rPr>
            </w:pPr>
            <w:r>
              <w:rPr>
                <w:rFonts w:ascii="Arial"/>
                <w:w w:val="99"/>
                <w:sz w:val="20"/>
              </w:rPr>
              <w:t>-</w:t>
            </w:r>
            <w:r>
              <w:rPr>
                <w:rFonts w:ascii="Arial"/>
                <w:sz w:val="20"/>
              </w:rPr>
            </w:r>
          </w:p>
        </w:tc>
        <w:tc>
          <w:tcPr>
            <w:tcW w:w="135"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5"/>
              <w:jc w:val="right"/>
              <w:rPr>
                <w:rFonts w:ascii="Arial" w:hAnsi="Arial" w:cs="Arial" w:eastAsia="Arial" w:hint="default"/>
                <w:sz w:val="20"/>
                <w:szCs w:val="20"/>
              </w:rPr>
            </w:pPr>
            <w:r>
              <w:rPr>
                <w:rFonts w:ascii="Arial"/>
                <w:w w:val="95"/>
                <w:sz w:val="20"/>
              </w:rPr>
              <w:t>87,729</w:t>
            </w:r>
            <w:r>
              <w:rPr>
                <w:rFonts w:ascii="Arial"/>
                <w:sz w:val="20"/>
              </w:rPr>
            </w:r>
          </w:p>
        </w:tc>
      </w:tr>
      <w:tr>
        <w:trPr>
          <w:trHeight w:val="368" w:hRule="exact"/>
        </w:trPr>
        <w:tc>
          <w:tcPr>
            <w:tcW w:w="798"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Style w:val="TableParagraph"/>
              <w:spacing w:line="286" w:lineRule="exact"/>
              <w:ind w:left="117" w:right="0"/>
              <w:jc w:val="left"/>
              <w:rPr>
                <w:rFonts w:ascii="宋体" w:hAnsi="宋体" w:cs="宋体" w:eastAsia="宋体" w:hint="default"/>
                <w:sz w:val="22"/>
                <w:szCs w:val="22"/>
              </w:rPr>
            </w:pPr>
            <w:r>
              <w:rPr>
                <w:rFonts w:ascii="宋体" w:hAnsi="宋体" w:cs="宋体" w:eastAsia="宋体" w:hint="default"/>
                <w:sz w:val="22"/>
                <w:szCs w:val="22"/>
              </w:rPr>
              <w:t>长期应收款</w:t>
            </w:r>
          </w:p>
        </w:tc>
        <w:tc>
          <w:tcPr>
            <w:tcW w:w="1128"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56"/>
              <w:jc w:val="right"/>
              <w:rPr>
                <w:rFonts w:ascii="Arial" w:hAnsi="Arial" w:cs="Arial" w:eastAsia="Arial" w:hint="default"/>
                <w:sz w:val="20"/>
                <w:szCs w:val="20"/>
              </w:rPr>
            </w:pPr>
            <w:r>
              <w:rPr>
                <w:rFonts w:ascii="Arial"/>
                <w:w w:val="99"/>
                <w:sz w:val="20"/>
              </w:rPr>
              <w:t>-</w:t>
            </w:r>
            <w:r>
              <w:rPr>
                <w:rFonts w:ascii="Arial"/>
                <w:sz w:val="20"/>
              </w:rPr>
            </w:r>
          </w:p>
        </w:tc>
        <w:tc>
          <w:tcPr>
            <w:tcW w:w="142"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55"/>
              <w:jc w:val="right"/>
              <w:rPr>
                <w:rFonts w:ascii="Arial" w:hAnsi="Arial" w:cs="Arial" w:eastAsia="Arial" w:hint="default"/>
                <w:sz w:val="20"/>
                <w:szCs w:val="20"/>
              </w:rPr>
            </w:pPr>
            <w:r>
              <w:rPr>
                <w:rFonts w:ascii="Arial"/>
                <w:w w:val="95"/>
                <w:sz w:val="20"/>
              </w:rPr>
              <w:t>45,491</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58"/>
              <w:jc w:val="right"/>
              <w:rPr>
                <w:rFonts w:ascii="Arial" w:hAnsi="Arial" w:cs="Arial" w:eastAsia="Arial" w:hint="default"/>
                <w:sz w:val="20"/>
                <w:szCs w:val="20"/>
              </w:rPr>
            </w:pPr>
            <w:r>
              <w:rPr>
                <w:rFonts w:ascii="Arial"/>
                <w:spacing w:val="-1"/>
                <w:sz w:val="20"/>
              </w:rPr>
              <w:t>158,841</w:t>
            </w:r>
          </w:p>
        </w:tc>
        <w:tc>
          <w:tcPr>
            <w:tcW w:w="18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58"/>
              <w:jc w:val="right"/>
              <w:rPr>
                <w:rFonts w:ascii="Arial" w:hAnsi="Arial" w:cs="Arial" w:eastAsia="Arial" w:hint="default"/>
                <w:sz w:val="20"/>
                <w:szCs w:val="20"/>
              </w:rPr>
            </w:pPr>
            <w:r>
              <w:rPr>
                <w:rFonts w:ascii="Arial"/>
                <w:spacing w:val="-1"/>
                <w:sz w:val="20"/>
              </w:rPr>
              <w:t>295,343</w:t>
            </w:r>
          </w:p>
        </w:tc>
        <w:tc>
          <w:tcPr>
            <w:tcW w:w="135"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55"/>
              <w:jc w:val="right"/>
              <w:rPr>
                <w:rFonts w:ascii="Arial" w:hAnsi="Arial" w:cs="Arial" w:eastAsia="Arial" w:hint="default"/>
                <w:sz w:val="20"/>
                <w:szCs w:val="20"/>
              </w:rPr>
            </w:pPr>
            <w:r>
              <w:rPr>
                <w:rFonts w:ascii="Arial"/>
                <w:spacing w:val="-1"/>
                <w:sz w:val="20"/>
              </w:rPr>
              <w:t>499,675</w:t>
            </w:r>
          </w:p>
        </w:tc>
      </w:tr>
      <w:tr>
        <w:trPr>
          <w:trHeight w:val="398" w:hRule="exact"/>
        </w:trPr>
        <w:tc>
          <w:tcPr>
            <w:tcW w:w="798"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58"/>
              <w:jc w:val="right"/>
              <w:rPr>
                <w:rFonts w:ascii="Arial" w:hAnsi="Arial" w:cs="Arial" w:eastAsia="Arial" w:hint="default"/>
                <w:sz w:val="20"/>
                <w:szCs w:val="20"/>
              </w:rPr>
            </w:pPr>
            <w:r>
              <w:rPr>
                <w:rFonts w:ascii="Arial"/>
                <w:spacing w:val="-2"/>
                <w:sz w:val="20"/>
              </w:rPr>
              <w:t>31,854,311</w:t>
            </w:r>
          </w:p>
        </w:tc>
        <w:tc>
          <w:tcPr>
            <w:tcW w:w="142" w:type="dxa"/>
            <w:tcBorders>
              <w:top w:val="nil" w:sz="6" w:space="0" w:color="auto"/>
              <w:left w:val="nil" w:sz="6" w:space="0" w:color="auto"/>
              <w:bottom w:val="nil" w:sz="6" w:space="0" w:color="auto"/>
              <w:right w:val="nil" w:sz="6" w:space="0" w:color="auto"/>
            </w:tcBorders>
          </w:tcPr>
          <w:p>
            <w:pPr/>
          </w:p>
        </w:tc>
        <w:tc>
          <w:tcPr>
            <w:tcW w:w="109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55"/>
              <w:jc w:val="right"/>
              <w:rPr>
                <w:rFonts w:ascii="Arial" w:hAnsi="Arial" w:cs="Arial" w:eastAsia="Arial" w:hint="default"/>
                <w:sz w:val="20"/>
                <w:szCs w:val="20"/>
              </w:rPr>
            </w:pPr>
            <w:r>
              <w:rPr>
                <w:rFonts w:ascii="Arial"/>
                <w:w w:val="95"/>
                <w:sz w:val="20"/>
              </w:rPr>
              <w:t>45,491</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03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58"/>
              <w:jc w:val="right"/>
              <w:rPr>
                <w:rFonts w:ascii="Arial" w:hAnsi="Arial" w:cs="Arial" w:eastAsia="Arial" w:hint="default"/>
                <w:sz w:val="20"/>
                <w:szCs w:val="20"/>
              </w:rPr>
            </w:pPr>
            <w:r>
              <w:rPr>
                <w:rFonts w:ascii="Arial"/>
                <w:spacing w:val="-1"/>
                <w:sz w:val="20"/>
              </w:rPr>
              <w:t>158,841</w:t>
            </w:r>
          </w:p>
        </w:tc>
        <w:tc>
          <w:tcPr>
            <w:tcW w:w="182" w:type="dxa"/>
            <w:tcBorders>
              <w:top w:val="nil" w:sz="6" w:space="0" w:color="auto"/>
              <w:left w:val="nil" w:sz="6" w:space="0" w:color="auto"/>
              <w:bottom w:val="nil" w:sz="6" w:space="0" w:color="auto"/>
              <w:right w:val="nil" w:sz="6" w:space="0" w:color="auto"/>
            </w:tcBorders>
          </w:tcPr>
          <w:p>
            <w:pPr/>
          </w:p>
        </w:tc>
        <w:tc>
          <w:tcPr>
            <w:tcW w:w="101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58"/>
              <w:jc w:val="right"/>
              <w:rPr>
                <w:rFonts w:ascii="Arial" w:hAnsi="Arial" w:cs="Arial" w:eastAsia="Arial" w:hint="default"/>
                <w:sz w:val="20"/>
                <w:szCs w:val="20"/>
              </w:rPr>
            </w:pPr>
            <w:r>
              <w:rPr>
                <w:rFonts w:ascii="Arial"/>
                <w:spacing w:val="-1"/>
                <w:sz w:val="20"/>
              </w:rPr>
              <w:t>295,343</w:t>
            </w:r>
          </w:p>
        </w:tc>
        <w:tc>
          <w:tcPr>
            <w:tcW w:w="135" w:type="dxa"/>
            <w:tcBorders>
              <w:top w:val="nil" w:sz="6" w:space="0" w:color="auto"/>
              <w:left w:val="nil" w:sz="6" w:space="0" w:color="auto"/>
              <w:bottom w:val="nil" w:sz="6" w:space="0" w:color="auto"/>
              <w:right w:val="nil" w:sz="6" w:space="0" w:color="auto"/>
            </w:tcBorders>
          </w:tcPr>
          <w:p>
            <w:pPr/>
          </w:p>
        </w:tc>
        <w:tc>
          <w:tcPr>
            <w:tcW w:w="115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55"/>
              <w:jc w:val="right"/>
              <w:rPr>
                <w:rFonts w:ascii="Arial" w:hAnsi="Arial" w:cs="Arial" w:eastAsia="Arial" w:hint="default"/>
                <w:sz w:val="20"/>
                <w:szCs w:val="20"/>
              </w:rPr>
            </w:pPr>
            <w:r>
              <w:rPr>
                <w:rFonts w:ascii="Arial"/>
                <w:w w:val="95"/>
                <w:sz w:val="20"/>
              </w:rPr>
              <w:t>32,353,986</w:t>
            </w:r>
            <w:r>
              <w:rPr>
                <w:rFonts w:ascii="Arial"/>
                <w:sz w:val="20"/>
              </w:rPr>
            </w:r>
          </w:p>
        </w:tc>
      </w:tr>
      <w:tr>
        <w:trPr>
          <w:trHeight w:val="384" w:hRule="exact"/>
        </w:trPr>
        <w:tc>
          <w:tcPr>
            <w:tcW w:w="798"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7" w:right="0"/>
              <w:jc w:val="left"/>
              <w:rPr>
                <w:rFonts w:ascii="Arial" w:hAnsi="Arial" w:cs="Arial" w:eastAsia="Arial" w:hint="default"/>
                <w:sz w:val="22"/>
                <w:szCs w:val="22"/>
              </w:rPr>
            </w:pPr>
            <w:r>
              <w:rPr>
                <w:rFonts w:ascii="宋体" w:hAnsi="宋体" w:cs="宋体" w:eastAsia="宋体" w:hint="default"/>
                <w:sz w:val="22"/>
                <w:szCs w:val="22"/>
              </w:rPr>
              <w:t>金融负债</w:t>
            </w:r>
            <w:r>
              <w:rPr>
                <w:rFonts w:ascii="宋体" w:hAnsi="宋体" w:cs="宋体" w:eastAsia="宋体" w:hint="default"/>
                <w:spacing w:val="1"/>
                <w:sz w:val="22"/>
                <w:szCs w:val="22"/>
              </w:rPr>
              <w:t> </w:t>
            </w:r>
            <w:r>
              <w:rPr>
                <w:rFonts w:ascii="Arial" w:hAnsi="Arial" w:cs="Arial" w:eastAsia="Arial" w:hint="default"/>
                <w:sz w:val="22"/>
                <w:szCs w:val="22"/>
              </w:rPr>
              <w:t>-</w:t>
            </w:r>
          </w:p>
        </w:tc>
        <w:tc>
          <w:tcPr>
            <w:tcW w:w="1128"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95" w:type="dxa"/>
            <w:tcBorders>
              <w:top w:val="single" w:sz="12"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39" w:type="dxa"/>
            <w:tcBorders>
              <w:top w:val="single" w:sz="12" w:space="0" w:color="000000"/>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018" w:type="dxa"/>
            <w:tcBorders>
              <w:top w:val="single" w:sz="12" w:space="0" w:color="000000"/>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159" w:type="dxa"/>
            <w:tcBorders>
              <w:top w:val="single" w:sz="12" w:space="0" w:color="000000"/>
              <w:left w:val="nil" w:sz="6" w:space="0" w:color="auto"/>
              <w:bottom w:val="nil" w:sz="6" w:space="0" w:color="auto"/>
              <w:right w:val="nil" w:sz="6" w:space="0" w:color="auto"/>
            </w:tcBorders>
          </w:tcPr>
          <w:p>
            <w:pPr/>
          </w:p>
        </w:tc>
      </w:tr>
      <w:tr>
        <w:trPr>
          <w:trHeight w:val="395" w:hRule="exact"/>
        </w:trPr>
        <w:tc>
          <w:tcPr>
            <w:tcW w:w="798"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Style w:val="TableParagraph"/>
              <w:spacing w:line="287" w:lineRule="exact"/>
              <w:ind w:left="117"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7"/>
              <w:jc w:val="right"/>
              <w:rPr>
                <w:rFonts w:ascii="Arial" w:hAnsi="Arial" w:cs="Arial" w:eastAsia="Arial" w:hint="default"/>
                <w:sz w:val="20"/>
                <w:szCs w:val="20"/>
              </w:rPr>
            </w:pPr>
            <w:r>
              <w:rPr>
                <w:rFonts w:ascii="Arial"/>
                <w:w w:val="95"/>
                <w:sz w:val="20"/>
              </w:rPr>
              <w:t>1,768,170</w:t>
            </w:r>
            <w:r>
              <w:rPr>
                <w:rFonts w:ascii="Arial"/>
                <w:sz w:val="20"/>
              </w:rPr>
            </w:r>
          </w:p>
        </w:tc>
        <w:tc>
          <w:tcPr>
            <w:tcW w:w="142"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4"/>
              <w:jc w:val="right"/>
              <w:rPr>
                <w:rFonts w:ascii="Arial" w:hAnsi="Arial" w:cs="Arial" w:eastAsia="Arial" w:hint="default"/>
                <w:sz w:val="20"/>
                <w:szCs w:val="20"/>
              </w:rPr>
            </w:pPr>
            <w:r>
              <w:rPr>
                <w:rFonts w:ascii="Arial"/>
                <w:w w:val="99"/>
                <w:sz w:val="20"/>
              </w:rPr>
              <w:t>-</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6"/>
              <w:jc w:val="right"/>
              <w:rPr>
                <w:rFonts w:ascii="Arial" w:hAnsi="Arial" w:cs="Arial" w:eastAsia="Arial" w:hint="default"/>
                <w:sz w:val="20"/>
                <w:szCs w:val="20"/>
              </w:rPr>
            </w:pPr>
            <w:r>
              <w:rPr>
                <w:rFonts w:ascii="Arial"/>
                <w:w w:val="99"/>
                <w:sz w:val="20"/>
              </w:rPr>
              <w:t>-</w:t>
            </w:r>
            <w:r>
              <w:rPr>
                <w:rFonts w:ascii="Arial"/>
                <w:sz w:val="20"/>
              </w:rPr>
            </w:r>
          </w:p>
        </w:tc>
        <w:tc>
          <w:tcPr>
            <w:tcW w:w="18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6"/>
              <w:jc w:val="right"/>
              <w:rPr>
                <w:rFonts w:ascii="Arial" w:hAnsi="Arial" w:cs="Arial" w:eastAsia="Arial" w:hint="default"/>
                <w:sz w:val="20"/>
                <w:szCs w:val="20"/>
              </w:rPr>
            </w:pPr>
            <w:r>
              <w:rPr>
                <w:rFonts w:ascii="Arial"/>
                <w:w w:val="99"/>
                <w:sz w:val="20"/>
              </w:rPr>
              <w:t>-</w:t>
            </w:r>
            <w:r>
              <w:rPr>
                <w:rFonts w:ascii="Arial"/>
                <w:sz w:val="20"/>
              </w:rPr>
            </w:r>
          </w:p>
        </w:tc>
        <w:tc>
          <w:tcPr>
            <w:tcW w:w="135"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5"/>
              <w:jc w:val="right"/>
              <w:rPr>
                <w:rFonts w:ascii="Arial" w:hAnsi="Arial" w:cs="Arial" w:eastAsia="Arial" w:hint="default"/>
                <w:sz w:val="20"/>
                <w:szCs w:val="20"/>
              </w:rPr>
            </w:pPr>
            <w:r>
              <w:rPr>
                <w:rFonts w:ascii="Arial"/>
                <w:w w:val="95"/>
                <w:sz w:val="20"/>
              </w:rPr>
              <w:t>1,768,170</w:t>
            </w:r>
            <w:r>
              <w:rPr>
                <w:rFonts w:ascii="Arial"/>
                <w:sz w:val="20"/>
              </w:rPr>
            </w:r>
          </w:p>
        </w:tc>
      </w:tr>
      <w:tr>
        <w:trPr>
          <w:trHeight w:val="381" w:hRule="exact"/>
        </w:trPr>
        <w:tc>
          <w:tcPr>
            <w:tcW w:w="798"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Style w:val="TableParagraph"/>
              <w:spacing w:line="286" w:lineRule="exact"/>
              <w:ind w:left="117"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8"/>
              <w:jc w:val="right"/>
              <w:rPr>
                <w:rFonts w:ascii="Arial" w:hAnsi="Arial" w:cs="Arial" w:eastAsia="Arial" w:hint="default"/>
                <w:sz w:val="20"/>
                <w:szCs w:val="20"/>
              </w:rPr>
            </w:pPr>
            <w:r>
              <w:rPr>
                <w:rFonts w:ascii="Arial"/>
                <w:w w:val="95"/>
                <w:sz w:val="20"/>
              </w:rPr>
              <w:t>24,229,852</w:t>
            </w:r>
            <w:r>
              <w:rPr>
                <w:rFonts w:ascii="Arial"/>
                <w:sz w:val="20"/>
              </w:rPr>
            </w:r>
          </w:p>
        </w:tc>
        <w:tc>
          <w:tcPr>
            <w:tcW w:w="142"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4"/>
              <w:jc w:val="right"/>
              <w:rPr>
                <w:rFonts w:ascii="Arial" w:hAnsi="Arial" w:cs="Arial" w:eastAsia="Arial" w:hint="default"/>
                <w:sz w:val="20"/>
                <w:szCs w:val="20"/>
              </w:rPr>
            </w:pPr>
            <w:r>
              <w:rPr>
                <w:rFonts w:ascii="Arial"/>
                <w:w w:val="99"/>
                <w:sz w:val="20"/>
              </w:rPr>
              <w:t>-</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6"/>
              <w:jc w:val="right"/>
              <w:rPr>
                <w:rFonts w:ascii="Arial" w:hAnsi="Arial" w:cs="Arial" w:eastAsia="Arial" w:hint="default"/>
                <w:sz w:val="20"/>
                <w:szCs w:val="20"/>
              </w:rPr>
            </w:pPr>
            <w:r>
              <w:rPr>
                <w:rFonts w:ascii="Arial"/>
                <w:w w:val="99"/>
                <w:sz w:val="20"/>
              </w:rPr>
              <w:t>-</w:t>
            </w:r>
            <w:r>
              <w:rPr>
                <w:rFonts w:ascii="Arial"/>
                <w:sz w:val="20"/>
              </w:rPr>
            </w:r>
          </w:p>
        </w:tc>
        <w:tc>
          <w:tcPr>
            <w:tcW w:w="18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6"/>
              <w:jc w:val="right"/>
              <w:rPr>
                <w:rFonts w:ascii="Arial" w:hAnsi="Arial" w:cs="Arial" w:eastAsia="Arial" w:hint="default"/>
                <w:sz w:val="20"/>
                <w:szCs w:val="20"/>
              </w:rPr>
            </w:pPr>
            <w:r>
              <w:rPr>
                <w:rFonts w:ascii="Arial"/>
                <w:w w:val="99"/>
                <w:sz w:val="20"/>
              </w:rPr>
              <w:t>-</w:t>
            </w:r>
            <w:r>
              <w:rPr>
                <w:rFonts w:ascii="Arial"/>
                <w:sz w:val="20"/>
              </w:rPr>
            </w:r>
          </w:p>
        </w:tc>
        <w:tc>
          <w:tcPr>
            <w:tcW w:w="135"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5"/>
              <w:jc w:val="right"/>
              <w:rPr>
                <w:rFonts w:ascii="Arial" w:hAnsi="Arial" w:cs="Arial" w:eastAsia="Arial" w:hint="default"/>
                <w:sz w:val="20"/>
                <w:szCs w:val="20"/>
              </w:rPr>
            </w:pPr>
            <w:r>
              <w:rPr>
                <w:rFonts w:ascii="Arial"/>
                <w:w w:val="95"/>
                <w:sz w:val="20"/>
              </w:rPr>
              <w:t>24,229,852</w:t>
            </w:r>
            <w:r>
              <w:rPr>
                <w:rFonts w:ascii="Arial"/>
                <w:sz w:val="20"/>
              </w:rPr>
            </w:r>
          </w:p>
        </w:tc>
      </w:tr>
      <w:tr>
        <w:trPr>
          <w:trHeight w:val="380" w:hRule="exact"/>
        </w:trPr>
        <w:tc>
          <w:tcPr>
            <w:tcW w:w="798"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Style w:val="TableParagraph"/>
              <w:spacing w:line="287" w:lineRule="exact"/>
              <w:ind w:left="117"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5"/>
              <w:jc w:val="right"/>
              <w:rPr>
                <w:rFonts w:ascii="Arial" w:hAnsi="Arial" w:cs="Arial" w:eastAsia="Arial" w:hint="default"/>
                <w:sz w:val="20"/>
                <w:szCs w:val="20"/>
              </w:rPr>
            </w:pPr>
            <w:r>
              <w:rPr>
                <w:rFonts w:ascii="Arial"/>
                <w:w w:val="95"/>
                <w:sz w:val="20"/>
              </w:rPr>
              <w:t>10,457,733</w:t>
            </w:r>
            <w:r>
              <w:rPr>
                <w:rFonts w:ascii="Arial"/>
                <w:sz w:val="20"/>
              </w:rPr>
            </w:r>
          </w:p>
        </w:tc>
        <w:tc>
          <w:tcPr>
            <w:tcW w:w="142"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4"/>
              <w:jc w:val="right"/>
              <w:rPr>
                <w:rFonts w:ascii="Arial" w:hAnsi="Arial" w:cs="Arial" w:eastAsia="Arial" w:hint="default"/>
                <w:sz w:val="20"/>
                <w:szCs w:val="20"/>
              </w:rPr>
            </w:pPr>
            <w:r>
              <w:rPr>
                <w:rFonts w:ascii="Arial"/>
                <w:w w:val="99"/>
                <w:sz w:val="20"/>
              </w:rPr>
              <w:t>-</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6"/>
              <w:jc w:val="right"/>
              <w:rPr>
                <w:rFonts w:ascii="Arial" w:hAnsi="Arial" w:cs="Arial" w:eastAsia="Arial" w:hint="default"/>
                <w:sz w:val="20"/>
                <w:szCs w:val="20"/>
              </w:rPr>
            </w:pPr>
            <w:r>
              <w:rPr>
                <w:rFonts w:ascii="Arial"/>
                <w:w w:val="99"/>
                <w:sz w:val="20"/>
              </w:rPr>
              <w:t>-</w:t>
            </w:r>
            <w:r>
              <w:rPr>
                <w:rFonts w:ascii="Arial"/>
                <w:sz w:val="20"/>
              </w:rPr>
            </w:r>
          </w:p>
        </w:tc>
        <w:tc>
          <w:tcPr>
            <w:tcW w:w="18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6"/>
              <w:jc w:val="right"/>
              <w:rPr>
                <w:rFonts w:ascii="Arial" w:hAnsi="Arial" w:cs="Arial" w:eastAsia="Arial" w:hint="default"/>
                <w:sz w:val="20"/>
                <w:szCs w:val="20"/>
              </w:rPr>
            </w:pPr>
            <w:r>
              <w:rPr>
                <w:rFonts w:ascii="Arial"/>
                <w:w w:val="99"/>
                <w:sz w:val="20"/>
              </w:rPr>
              <w:t>-</w:t>
            </w:r>
            <w:r>
              <w:rPr>
                <w:rFonts w:ascii="Arial"/>
                <w:sz w:val="20"/>
              </w:rPr>
            </w:r>
          </w:p>
        </w:tc>
        <w:tc>
          <w:tcPr>
            <w:tcW w:w="135"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5"/>
              <w:jc w:val="right"/>
              <w:rPr>
                <w:rFonts w:ascii="Arial" w:hAnsi="Arial" w:cs="Arial" w:eastAsia="Arial" w:hint="default"/>
                <w:sz w:val="20"/>
                <w:szCs w:val="20"/>
              </w:rPr>
            </w:pPr>
            <w:r>
              <w:rPr>
                <w:rFonts w:ascii="Arial"/>
                <w:w w:val="95"/>
                <w:sz w:val="20"/>
              </w:rPr>
              <w:t>10,457,733</w:t>
            </w:r>
            <w:r>
              <w:rPr>
                <w:rFonts w:ascii="Arial"/>
                <w:sz w:val="20"/>
              </w:rPr>
            </w:r>
          </w:p>
        </w:tc>
      </w:tr>
      <w:tr>
        <w:trPr>
          <w:trHeight w:val="379" w:hRule="exact"/>
        </w:trPr>
        <w:tc>
          <w:tcPr>
            <w:tcW w:w="798"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Style w:val="TableParagraph"/>
              <w:spacing w:line="286" w:lineRule="exact"/>
              <w:ind w:left="117"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7"/>
              <w:jc w:val="right"/>
              <w:rPr>
                <w:rFonts w:ascii="Arial" w:hAnsi="Arial" w:cs="Arial" w:eastAsia="Arial" w:hint="default"/>
                <w:sz w:val="20"/>
                <w:szCs w:val="20"/>
              </w:rPr>
            </w:pPr>
            <w:r>
              <w:rPr>
                <w:rFonts w:ascii="Arial"/>
                <w:w w:val="95"/>
                <w:sz w:val="20"/>
              </w:rPr>
              <w:t>3,346,992</w:t>
            </w:r>
            <w:r>
              <w:rPr>
                <w:rFonts w:ascii="Arial"/>
                <w:sz w:val="20"/>
              </w:rPr>
            </w:r>
          </w:p>
        </w:tc>
        <w:tc>
          <w:tcPr>
            <w:tcW w:w="142"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4"/>
              <w:jc w:val="right"/>
              <w:rPr>
                <w:rFonts w:ascii="Arial" w:hAnsi="Arial" w:cs="Arial" w:eastAsia="Arial" w:hint="default"/>
                <w:sz w:val="20"/>
                <w:szCs w:val="20"/>
              </w:rPr>
            </w:pPr>
            <w:r>
              <w:rPr>
                <w:rFonts w:ascii="Arial"/>
                <w:w w:val="99"/>
                <w:sz w:val="20"/>
              </w:rPr>
              <w:t>-</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
              <w:jc w:val="right"/>
              <w:rPr>
                <w:rFonts w:ascii="Arial" w:hAnsi="Arial" w:cs="Arial" w:eastAsia="Arial" w:hint="default"/>
                <w:sz w:val="20"/>
                <w:szCs w:val="20"/>
              </w:rPr>
            </w:pPr>
            <w:r>
              <w:rPr>
                <w:rFonts w:ascii="Arial"/>
                <w:w w:val="99"/>
                <w:sz w:val="20"/>
              </w:rPr>
              <w:t>-</w:t>
            </w:r>
            <w:r>
              <w:rPr>
                <w:rFonts w:ascii="Arial"/>
                <w:sz w:val="20"/>
              </w:rPr>
            </w:r>
          </w:p>
        </w:tc>
        <w:tc>
          <w:tcPr>
            <w:tcW w:w="18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
              <w:jc w:val="right"/>
              <w:rPr>
                <w:rFonts w:ascii="Arial" w:hAnsi="Arial" w:cs="Arial" w:eastAsia="Arial" w:hint="default"/>
                <w:sz w:val="20"/>
                <w:szCs w:val="20"/>
              </w:rPr>
            </w:pPr>
            <w:r>
              <w:rPr>
                <w:rFonts w:ascii="Arial"/>
                <w:w w:val="99"/>
                <w:sz w:val="20"/>
              </w:rPr>
              <w:t>-</w:t>
            </w:r>
            <w:r>
              <w:rPr>
                <w:rFonts w:ascii="Arial"/>
                <w:sz w:val="20"/>
              </w:rPr>
            </w:r>
          </w:p>
        </w:tc>
        <w:tc>
          <w:tcPr>
            <w:tcW w:w="135"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8"/>
              <w:jc w:val="right"/>
              <w:rPr>
                <w:rFonts w:ascii="Arial" w:hAnsi="Arial" w:cs="Arial" w:eastAsia="Arial" w:hint="default"/>
                <w:sz w:val="20"/>
                <w:szCs w:val="20"/>
              </w:rPr>
            </w:pPr>
            <w:r>
              <w:rPr>
                <w:rFonts w:ascii="Arial"/>
                <w:w w:val="95"/>
                <w:sz w:val="20"/>
              </w:rPr>
              <w:t>3,346,992</w:t>
            </w:r>
            <w:r>
              <w:rPr>
                <w:rFonts w:ascii="Arial"/>
                <w:sz w:val="20"/>
              </w:rPr>
            </w:r>
          </w:p>
        </w:tc>
      </w:tr>
      <w:tr>
        <w:trPr>
          <w:trHeight w:val="380" w:hRule="exact"/>
        </w:trPr>
        <w:tc>
          <w:tcPr>
            <w:tcW w:w="798"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Style w:val="TableParagraph"/>
              <w:spacing w:line="286" w:lineRule="exact"/>
              <w:ind w:left="117" w:right="0"/>
              <w:jc w:val="left"/>
              <w:rPr>
                <w:rFonts w:ascii="宋体" w:hAnsi="宋体" w:cs="宋体" w:eastAsia="宋体" w:hint="default"/>
                <w:sz w:val="22"/>
                <w:szCs w:val="22"/>
              </w:rPr>
            </w:pPr>
            <w:r>
              <w:rPr>
                <w:rFonts w:ascii="宋体" w:hAnsi="宋体" w:cs="宋体" w:eastAsia="宋体" w:hint="default"/>
                <w:sz w:val="22"/>
                <w:szCs w:val="22"/>
              </w:rPr>
              <w:t>应付债券及利息</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8"/>
              <w:jc w:val="right"/>
              <w:rPr>
                <w:rFonts w:ascii="Arial" w:hAnsi="Arial" w:cs="Arial" w:eastAsia="Arial" w:hint="default"/>
                <w:sz w:val="20"/>
                <w:szCs w:val="20"/>
              </w:rPr>
            </w:pPr>
            <w:r>
              <w:rPr>
                <w:rFonts w:ascii="Arial"/>
                <w:spacing w:val="-1"/>
                <w:sz w:val="20"/>
              </w:rPr>
              <w:t>234,000</w:t>
            </w:r>
          </w:p>
        </w:tc>
        <w:tc>
          <w:tcPr>
            <w:tcW w:w="142"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
              <w:jc w:val="right"/>
              <w:rPr>
                <w:rFonts w:ascii="Arial" w:hAnsi="Arial" w:cs="Arial" w:eastAsia="Arial" w:hint="default"/>
                <w:sz w:val="20"/>
                <w:szCs w:val="20"/>
              </w:rPr>
            </w:pPr>
            <w:r>
              <w:rPr>
                <w:rFonts w:ascii="Arial"/>
                <w:spacing w:val="-1"/>
                <w:sz w:val="20"/>
              </w:rPr>
              <w:t>234,000</w:t>
            </w:r>
          </w:p>
        </w:tc>
        <w:tc>
          <w:tcPr>
            <w:tcW w:w="134"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7"/>
              <w:jc w:val="right"/>
              <w:rPr>
                <w:rFonts w:ascii="Arial" w:hAnsi="Arial" w:cs="Arial" w:eastAsia="Arial" w:hint="default"/>
                <w:sz w:val="20"/>
                <w:szCs w:val="20"/>
              </w:rPr>
            </w:pPr>
            <w:r>
              <w:rPr>
                <w:rFonts w:ascii="Arial"/>
                <w:w w:val="95"/>
                <w:sz w:val="20"/>
              </w:rPr>
              <w:t>5,202,000</w:t>
            </w:r>
            <w:r>
              <w:rPr>
                <w:rFonts w:ascii="Arial"/>
                <w:sz w:val="20"/>
              </w:rPr>
            </w:r>
          </w:p>
        </w:tc>
        <w:tc>
          <w:tcPr>
            <w:tcW w:w="18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
              <w:jc w:val="right"/>
              <w:rPr>
                <w:rFonts w:ascii="Arial" w:hAnsi="Arial" w:cs="Arial" w:eastAsia="Arial" w:hint="default"/>
                <w:sz w:val="20"/>
                <w:szCs w:val="20"/>
              </w:rPr>
            </w:pPr>
            <w:r>
              <w:rPr>
                <w:rFonts w:ascii="Arial"/>
                <w:w w:val="99"/>
                <w:sz w:val="20"/>
              </w:rPr>
              <w:t>-</w:t>
            </w:r>
            <w:r>
              <w:rPr>
                <w:rFonts w:ascii="Arial"/>
                <w:sz w:val="20"/>
              </w:rPr>
            </w:r>
          </w:p>
        </w:tc>
        <w:tc>
          <w:tcPr>
            <w:tcW w:w="135"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5"/>
              <w:jc w:val="right"/>
              <w:rPr>
                <w:rFonts w:ascii="Arial" w:hAnsi="Arial" w:cs="Arial" w:eastAsia="Arial" w:hint="default"/>
                <w:sz w:val="20"/>
                <w:szCs w:val="20"/>
              </w:rPr>
            </w:pPr>
            <w:r>
              <w:rPr>
                <w:rFonts w:ascii="Arial"/>
                <w:w w:val="95"/>
                <w:sz w:val="20"/>
              </w:rPr>
              <w:t>5,670,000</w:t>
            </w:r>
            <w:r>
              <w:rPr>
                <w:rFonts w:ascii="Arial"/>
                <w:sz w:val="20"/>
              </w:rPr>
            </w:r>
          </w:p>
        </w:tc>
      </w:tr>
      <w:tr>
        <w:trPr>
          <w:trHeight w:val="366" w:hRule="exact"/>
        </w:trPr>
        <w:tc>
          <w:tcPr>
            <w:tcW w:w="798"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Style w:val="TableParagraph"/>
              <w:spacing w:line="287" w:lineRule="exact"/>
              <w:ind w:left="117" w:right="0"/>
              <w:jc w:val="left"/>
              <w:rPr>
                <w:rFonts w:ascii="宋体" w:hAnsi="宋体" w:cs="宋体" w:eastAsia="宋体" w:hint="default"/>
                <w:sz w:val="22"/>
                <w:szCs w:val="22"/>
              </w:rPr>
            </w:pPr>
            <w:r>
              <w:rPr>
                <w:rFonts w:ascii="宋体" w:hAnsi="宋体" w:cs="宋体" w:eastAsia="宋体" w:hint="default"/>
                <w:sz w:val="22"/>
                <w:szCs w:val="22"/>
              </w:rPr>
              <w:t>其他非流动负债</w:t>
            </w:r>
          </w:p>
        </w:tc>
        <w:tc>
          <w:tcPr>
            <w:tcW w:w="1128"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56"/>
              <w:jc w:val="right"/>
              <w:rPr>
                <w:rFonts w:ascii="Arial" w:hAnsi="Arial" w:cs="Arial" w:eastAsia="Arial" w:hint="default"/>
                <w:sz w:val="20"/>
                <w:szCs w:val="20"/>
              </w:rPr>
            </w:pPr>
            <w:r>
              <w:rPr>
                <w:rFonts w:ascii="Arial"/>
                <w:w w:val="99"/>
                <w:sz w:val="20"/>
              </w:rPr>
              <w:t>-</w:t>
            </w:r>
            <w:r>
              <w:rPr>
                <w:rFonts w:ascii="Arial"/>
                <w:sz w:val="20"/>
              </w:rPr>
            </w:r>
          </w:p>
        </w:tc>
        <w:tc>
          <w:tcPr>
            <w:tcW w:w="142"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55"/>
              <w:jc w:val="right"/>
              <w:rPr>
                <w:rFonts w:ascii="Arial" w:hAnsi="Arial" w:cs="Arial" w:eastAsia="Arial" w:hint="default"/>
                <w:sz w:val="20"/>
                <w:szCs w:val="20"/>
              </w:rPr>
            </w:pPr>
            <w:r>
              <w:rPr>
                <w:rFonts w:ascii="Arial"/>
                <w:w w:val="95"/>
                <w:sz w:val="20"/>
              </w:rPr>
              <w:t>3,826</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56"/>
              <w:jc w:val="right"/>
              <w:rPr>
                <w:rFonts w:ascii="Arial" w:hAnsi="Arial" w:cs="Arial" w:eastAsia="Arial" w:hint="default"/>
                <w:sz w:val="20"/>
                <w:szCs w:val="20"/>
              </w:rPr>
            </w:pPr>
            <w:r>
              <w:rPr>
                <w:rFonts w:ascii="Arial"/>
                <w:w w:val="99"/>
                <w:sz w:val="20"/>
              </w:rPr>
              <w:t>-</w:t>
            </w:r>
            <w:r>
              <w:rPr>
                <w:rFonts w:ascii="Arial"/>
                <w:sz w:val="20"/>
              </w:rPr>
            </w:r>
          </w:p>
        </w:tc>
        <w:tc>
          <w:tcPr>
            <w:tcW w:w="18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56"/>
              <w:jc w:val="right"/>
              <w:rPr>
                <w:rFonts w:ascii="Arial" w:hAnsi="Arial" w:cs="Arial" w:eastAsia="Arial" w:hint="default"/>
                <w:sz w:val="20"/>
                <w:szCs w:val="20"/>
              </w:rPr>
            </w:pPr>
            <w:r>
              <w:rPr>
                <w:rFonts w:ascii="Arial"/>
                <w:w w:val="99"/>
                <w:sz w:val="20"/>
              </w:rPr>
              <w:t>-</w:t>
            </w:r>
            <w:r>
              <w:rPr>
                <w:rFonts w:ascii="Arial"/>
                <w:sz w:val="20"/>
              </w:rPr>
            </w:r>
          </w:p>
        </w:tc>
        <w:tc>
          <w:tcPr>
            <w:tcW w:w="135"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55"/>
              <w:jc w:val="right"/>
              <w:rPr>
                <w:rFonts w:ascii="Arial" w:hAnsi="Arial" w:cs="Arial" w:eastAsia="Arial" w:hint="default"/>
                <w:sz w:val="20"/>
                <w:szCs w:val="20"/>
              </w:rPr>
            </w:pPr>
            <w:r>
              <w:rPr>
                <w:rFonts w:ascii="Arial"/>
                <w:w w:val="95"/>
                <w:sz w:val="20"/>
              </w:rPr>
              <w:t>3,826</w:t>
            </w:r>
            <w:r>
              <w:rPr>
                <w:rFonts w:ascii="Arial"/>
                <w:sz w:val="20"/>
              </w:rPr>
            </w:r>
          </w:p>
        </w:tc>
      </w:tr>
      <w:tr>
        <w:trPr>
          <w:trHeight w:val="398" w:hRule="exact"/>
        </w:trPr>
        <w:tc>
          <w:tcPr>
            <w:tcW w:w="798"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58"/>
              <w:jc w:val="right"/>
              <w:rPr>
                <w:rFonts w:ascii="Arial" w:hAnsi="Arial" w:cs="Arial" w:eastAsia="Arial" w:hint="default"/>
                <w:sz w:val="20"/>
                <w:szCs w:val="20"/>
              </w:rPr>
            </w:pPr>
            <w:r>
              <w:rPr>
                <w:rFonts w:ascii="Arial"/>
                <w:w w:val="95"/>
                <w:sz w:val="20"/>
              </w:rPr>
              <w:t>40,036,747</w:t>
            </w:r>
            <w:r>
              <w:rPr>
                <w:rFonts w:ascii="Arial"/>
                <w:sz w:val="20"/>
              </w:rPr>
            </w:r>
          </w:p>
        </w:tc>
        <w:tc>
          <w:tcPr>
            <w:tcW w:w="142" w:type="dxa"/>
            <w:tcBorders>
              <w:top w:val="nil" w:sz="6" w:space="0" w:color="auto"/>
              <w:left w:val="nil" w:sz="6" w:space="0" w:color="auto"/>
              <w:bottom w:val="nil" w:sz="6" w:space="0" w:color="auto"/>
              <w:right w:val="nil" w:sz="6" w:space="0" w:color="auto"/>
            </w:tcBorders>
          </w:tcPr>
          <w:p>
            <w:pPr/>
          </w:p>
        </w:tc>
        <w:tc>
          <w:tcPr>
            <w:tcW w:w="109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56"/>
              <w:jc w:val="right"/>
              <w:rPr>
                <w:rFonts w:ascii="Arial" w:hAnsi="Arial" w:cs="Arial" w:eastAsia="Arial" w:hint="default"/>
                <w:sz w:val="20"/>
                <w:szCs w:val="20"/>
              </w:rPr>
            </w:pPr>
            <w:r>
              <w:rPr>
                <w:rFonts w:ascii="Arial"/>
                <w:spacing w:val="-1"/>
                <w:sz w:val="20"/>
              </w:rPr>
              <w:t>237,826</w:t>
            </w:r>
          </w:p>
        </w:tc>
        <w:tc>
          <w:tcPr>
            <w:tcW w:w="134" w:type="dxa"/>
            <w:tcBorders>
              <w:top w:val="nil" w:sz="6" w:space="0" w:color="auto"/>
              <w:left w:val="nil" w:sz="6" w:space="0" w:color="auto"/>
              <w:bottom w:val="nil" w:sz="6" w:space="0" w:color="auto"/>
              <w:right w:val="nil" w:sz="6" w:space="0" w:color="auto"/>
            </w:tcBorders>
          </w:tcPr>
          <w:p>
            <w:pPr/>
          </w:p>
        </w:tc>
        <w:tc>
          <w:tcPr>
            <w:tcW w:w="103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57"/>
              <w:jc w:val="right"/>
              <w:rPr>
                <w:rFonts w:ascii="Arial" w:hAnsi="Arial" w:cs="Arial" w:eastAsia="Arial" w:hint="default"/>
                <w:sz w:val="20"/>
                <w:szCs w:val="20"/>
              </w:rPr>
            </w:pPr>
            <w:r>
              <w:rPr>
                <w:rFonts w:ascii="Arial"/>
                <w:w w:val="95"/>
                <w:sz w:val="20"/>
              </w:rPr>
              <w:t>5,202,000</w:t>
            </w:r>
            <w:r>
              <w:rPr>
                <w:rFonts w:ascii="Arial"/>
                <w:sz w:val="20"/>
              </w:rPr>
            </w:r>
          </w:p>
        </w:tc>
        <w:tc>
          <w:tcPr>
            <w:tcW w:w="182" w:type="dxa"/>
            <w:tcBorders>
              <w:top w:val="nil" w:sz="6" w:space="0" w:color="auto"/>
              <w:left w:val="nil" w:sz="6" w:space="0" w:color="auto"/>
              <w:bottom w:val="nil" w:sz="6" w:space="0" w:color="auto"/>
              <w:right w:val="nil" w:sz="6" w:space="0" w:color="auto"/>
            </w:tcBorders>
          </w:tcPr>
          <w:p>
            <w:pPr/>
          </w:p>
        </w:tc>
        <w:tc>
          <w:tcPr>
            <w:tcW w:w="101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56"/>
              <w:jc w:val="right"/>
              <w:rPr>
                <w:rFonts w:ascii="Arial" w:hAnsi="Arial" w:cs="Arial" w:eastAsia="Arial" w:hint="default"/>
                <w:sz w:val="20"/>
                <w:szCs w:val="20"/>
              </w:rPr>
            </w:pPr>
            <w:r>
              <w:rPr>
                <w:rFonts w:ascii="Arial"/>
                <w:w w:val="99"/>
                <w:sz w:val="20"/>
              </w:rPr>
              <w:t>-</w:t>
            </w:r>
            <w:r>
              <w:rPr>
                <w:rFonts w:ascii="Arial"/>
                <w:sz w:val="20"/>
              </w:rPr>
            </w:r>
          </w:p>
        </w:tc>
        <w:tc>
          <w:tcPr>
            <w:tcW w:w="135" w:type="dxa"/>
            <w:tcBorders>
              <w:top w:val="nil" w:sz="6" w:space="0" w:color="auto"/>
              <w:left w:val="nil" w:sz="6" w:space="0" w:color="auto"/>
              <w:bottom w:val="nil" w:sz="6" w:space="0" w:color="auto"/>
              <w:right w:val="nil" w:sz="6" w:space="0" w:color="auto"/>
            </w:tcBorders>
          </w:tcPr>
          <w:p>
            <w:pPr/>
          </w:p>
        </w:tc>
        <w:tc>
          <w:tcPr>
            <w:tcW w:w="115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55"/>
              <w:jc w:val="right"/>
              <w:rPr>
                <w:rFonts w:ascii="Arial" w:hAnsi="Arial" w:cs="Arial" w:eastAsia="Arial" w:hint="default"/>
                <w:sz w:val="20"/>
                <w:szCs w:val="20"/>
              </w:rPr>
            </w:pPr>
            <w:r>
              <w:rPr>
                <w:rFonts w:ascii="Arial"/>
                <w:w w:val="95"/>
                <w:sz w:val="20"/>
              </w:rPr>
              <w:t>45,476,573</w:t>
            </w:r>
            <w:r>
              <w:rPr>
                <w:rFonts w:ascii="Arial"/>
                <w:sz w:val="20"/>
              </w:rPr>
            </w:r>
          </w:p>
        </w:tc>
      </w:tr>
    </w:tbl>
    <w:p>
      <w:pPr>
        <w:spacing w:after="0" w:line="240" w:lineRule="auto"/>
        <w:jc w:val="right"/>
        <w:rPr>
          <w:rFonts w:ascii="Arial" w:hAnsi="Arial" w:cs="Arial" w:eastAsia="Arial" w:hint="default"/>
          <w:sz w:val="20"/>
          <w:szCs w:val="20"/>
        </w:rPr>
        <w:sectPr>
          <w:footerReference w:type="default" r:id="rId105"/>
          <w:pgSz w:w="11910" w:h="16850"/>
          <w:pgMar w:footer="1340" w:header="795" w:top="2020" w:bottom="1540" w:left="1420" w:right="0"/>
          <w:pgNumType w:start="215"/>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98"/>
        <w:gridCol w:w="2031"/>
        <w:gridCol w:w="1265"/>
        <w:gridCol w:w="134"/>
        <w:gridCol w:w="1011"/>
        <w:gridCol w:w="137"/>
        <w:gridCol w:w="1140"/>
        <w:gridCol w:w="139"/>
        <w:gridCol w:w="1080"/>
        <w:gridCol w:w="135"/>
        <w:gridCol w:w="1286"/>
      </w:tblGrid>
      <w:tr>
        <w:trPr>
          <w:trHeight w:val="497"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十一</w:t>
            </w:r>
          </w:p>
        </w:tc>
        <w:tc>
          <w:tcPr>
            <w:tcW w:w="3296"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17" w:right="0"/>
              <w:jc w:val="left"/>
              <w:rPr>
                <w:rFonts w:ascii="Arial" w:hAnsi="Arial" w:cs="Arial" w:eastAsia="Arial" w:hint="default"/>
                <w:sz w:val="24"/>
                <w:szCs w:val="24"/>
              </w:rPr>
            </w:pPr>
            <w:r>
              <w:rPr>
                <w:rFonts w:ascii="黑体" w:hAnsi="黑体" w:cs="黑体" w:eastAsia="黑体" w:hint="default"/>
                <w:sz w:val="24"/>
                <w:szCs w:val="24"/>
              </w:rPr>
              <w:t>金融工具及其风险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4"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r>
      <w:tr>
        <w:trPr>
          <w:trHeight w:val="749"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(3)</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17" w:right="0"/>
              <w:jc w:val="left"/>
              <w:rPr>
                <w:rFonts w:ascii="Arial" w:hAnsi="Arial" w:cs="Arial" w:eastAsia="Arial" w:hint="default"/>
                <w:sz w:val="24"/>
                <w:szCs w:val="24"/>
              </w:rPr>
            </w:pPr>
            <w:r>
              <w:rPr>
                <w:rFonts w:ascii="黑体" w:hAnsi="黑体" w:cs="黑体" w:eastAsia="黑体" w:hint="default"/>
                <w:sz w:val="24"/>
                <w:szCs w:val="24"/>
              </w:rPr>
              <w:t>流动风险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65"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r>
      <w:tr>
        <w:trPr>
          <w:trHeight w:val="545" w:hRule="exact"/>
        </w:trPr>
        <w:tc>
          <w:tcPr>
            <w:tcW w:w="798"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
        </w:tc>
        <w:tc>
          <w:tcPr>
            <w:tcW w:w="3642" w:type="dxa"/>
            <w:gridSpan w:val="6"/>
            <w:tcBorders>
              <w:top w:val="nil" w:sz="6" w:space="0" w:color="auto"/>
              <w:left w:val="nil" w:sz="6" w:space="0" w:color="auto"/>
              <w:bottom w:val="single" w:sz="4" w:space="0" w:color="000000"/>
              <w:right w:val="nil" w:sz="6" w:space="0" w:color="auto"/>
            </w:tcBorders>
          </w:tcPr>
          <w:p>
            <w:pPr>
              <w:pStyle w:val="TableParagraph"/>
              <w:spacing w:line="240" w:lineRule="auto" w:before="177"/>
              <w:ind w:left="950" w:right="0"/>
              <w:jc w:val="left"/>
              <w:rPr>
                <w:rFonts w:ascii="宋体" w:hAnsi="宋体" w:cs="宋体" w:eastAsia="宋体" w:hint="default"/>
                <w:sz w:val="22"/>
                <w:szCs w:val="22"/>
              </w:rPr>
            </w:pPr>
            <w:r>
              <w:rPr>
                <w:rFonts w:ascii="Arial" w:hAnsi="Arial" w:cs="Arial" w:eastAsia="Arial" w:hint="default"/>
                <w:spacing w:val="-5"/>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35" w:type="dxa"/>
            <w:tcBorders>
              <w:top w:val="nil" w:sz="6" w:space="0" w:color="auto"/>
              <w:left w:val="nil" w:sz="6" w:space="0" w:color="auto"/>
              <w:bottom w:val="single" w:sz="4" w:space="0" w:color="000000"/>
              <w:right w:val="nil" w:sz="6" w:space="0" w:color="auto"/>
            </w:tcBorders>
          </w:tcPr>
          <w:p>
            <w:pPr/>
          </w:p>
        </w:tc>
        <w:tc>
          <w:tcPr>
            <w:tcW w:w="1286" w:type="dxa"/>
            <w:tcBorders>
              <w:top w:val="nil" w:sz="6" w:space="0" w:color="auto"/>
              <w:left w:val="nil" w:sz="6" w:space="0" w:color="auto"/>
              <w:bottom w:val="single" w:sz="4" w:space="0" w:color="000000"/>
              <w:right w:val="nil" w:sz="6" w:space="0" w:color="auto"/>
            </w:tcBorders>
          </w:tcPr>
          <w:p>
            <w:pPr/>
          </w:p>
        </w:tc>
      </w:tr>
      <w:tr>
        <w:trPr>
          <w:trHeight w:val="368" w:hRule="exact"/>
        </w:trPr>
        <w:tc>
          <w:tcPr>
            <w:tcW w:w="798"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50"/>
              <w:jc w:val="right"/>
              <w:rPr>
                <w:rFonts w:ascii="宋体" w:hAnsi="宋体" w:cs="宋体" w:eastAsia="宋体" w:hint="default"/>
                <w:sz w:val="22"/>
                <w:szCs w:val="22"/>
              </w:rPr>
            </w:pPr>
            <w:r>
              <w:rPr>
                <w:rFonts w:ascii="宋体" w:hAnsi="宋体" w:cs="宋体" w:eastAsia="宋体" w:hint="default"/>
                <w:sz w:val="22"/>
                <w:szCs w:val="22"/>
              </w:rPr>
              <w:t>一年以内</w:t>
            </w:r>
          </w:p>
        </w:tc>
        <w:tc>
          <w:tcPr>
            <w:tcW w:w="134" w:type="dxa"/>
            <w:tcBorders>
              <w:top w:val="single" w:sz="4" w:space="0" w:color="000000"/>
              <w:left w:val="nil" w:sz="6" w:space="0" w:color="auto"/>
              <w:bottom w:val="nil" w:sz="6" w:space="0" w:color="auto"/>
              <w:right w:val="nil" w:sz="6" w:space="0" w:color="auto"/>
            </w:tcBorders>
          </w:tcPr>
          <w:p>
            <w:pPr/>
          </w:p>
        </w:tc>
        <w:tc>
          <w:tcPr>
            <w:tcW w:w="1011"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50"/>
              <w:jc w:val="right"/>
              <w:rPr>
                <w:rFonts w:ascii="宋体" w:hAnsi="宋体" w:cs="宋体" w:eastAsia="宋体" w:hint="default"/>
                <w:sz w:val="22"/>
                <w:szCs w:val="22"/>
              </w:rPr>
            </w:pPr>
            <w:r>
              <w:rPr>
                <w:rFonts w:ascii="宋体" w:hAnsi="宋体" w:cs="宋体" w:eastAsia="宋体" w:hint="default"/>
                <w:sz w:val="22"/>
                <w:szCs w:val="22"/>
              </w:rPr>
              <w:t>一到二年</w:t>
            </w:r>
          </w:p>
        </w:tc>
        <w:tc>
          <w:tcPr>
            <w:tcW w:w="137" w:type="dxa"/>
            <w:tcBorders>
              <w:top w:val="single" w:sz="4" w:space="0" w:color="000000"/>
              <w:left w:val="nil" w:sz="6" w:space="0" w:color="auto"/>
              <w:bottom w:val="nil" w:sz="6" w:space="0" w:color="auto"/>
              <w:right w:val="nil" w:sz="6" w:space="0" w:color="auto"/>
            </w:tcBorders>
          </w:tcPr>
          <w:p>
            <w:pPr/>
          </w:p>
        </w:tc>
        <w:tc>
          <w:tcPr>
            <w:tcW w:w="114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50"/>
              <w:jc w:val="right"/>
              <w:rPr>
                <w:rFonts w:ascii="宋体" w:hAnsi="宋体" w:cs="宋体" w:eastAsia="宋体" w:hint="default"/>
                <w:sz w:val="22"/>
                <w:szCs w:val="22"/>
              </w:rPr>
            </w:pPr>
            <w:r>
              <w:rPr>
                <w:rFonts w:ascii="宋体" w:hAnsi="宋体" w:cs="宋体" w:eastAsia="宋体" w:hint="default"/>
                <w:sz w:val="22"/>
                <w:szCs w:val="22"/>
              </w:rPr>
              <w:t>二到五年</w:t>
            </w:r>
          </w:p>
        </w:tc>
        <w:tc>
          <w:tcPr>
            <w:tcW w:w="139" w:type="dxa"/>
            <w:tcBorders>
              <w:top w:val="single" w:sz="4" w:space="0" w:color="000000"/>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51"/>
              <w:jc w:val="right"/>
              <w:rPr>
                <w:rFonts w:ascii="宋体" w:hAnsi="宋体" w:cs="宋体" w:eastAsia="宋体" w:hint="default"/>
                <w:sz w:val="22"/>
                <w:szCs w:val="22"/>
              </w:rPr>
            </w:pPr>
            <w:r>
              <w:rPr>
                <w:rFonts w:ascii="宋体" w:hAnsi="宋体" w:cs="宋体" w:eastAsia="宋体" w:hint="default"/>
                <w:sz w:val="22"/>
                <w:szCs w:val="22"/>
              </w:rPr>
              <w:t>五年以上</w:t>
            </w:r>
          </w:p>
        </w:tc>
        <w:tc>
          <w:tcPr>
            <w:tcW w:w="135" w:type="dxa"/>
            <w:tcBorders>
              <w:top w:val="single" w:sz="4" w:space="0" w:color="000000"/>
              <w:left w:val="nil" w:sz="6" w:space="0" w:color="auto"/>
              <w:bottom w:val="nil" w:sz="6" w:space="0" w:color="auto"/>
              <w:right w:val="nil" w:sz="6" w:space="0" w:color="auto"/>
            </w:tcBorders>
          </w:tcPr>
          <w:p>
            <w:pPr/>
          </w:p>
        </w:tc>
        <w:tc>
          <w:tcPr>
            <w:tcW w:w="128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50"/>
              <w:jc w:val="right"/>
              <w:rPr>
                <w:rFonts w:ascii="宋体" w:hAnsi="宋体" w:cs="宋体" w:eastAsia="宋体" w:hint="default"/>
                <w:sz w:val="22"/>
                <w:szCs w:val="22"/>
              </w:rPr>
            </w:pPr>
            <w:r>
              <w:rPr>
                <w:rFonts w:ascii="宋体" w:hAnsi="宋体" w:cs="宋体" w:eastAsia="宋体" w:hint="default"/>
                <w:sz w:val="22"/>
                <w:szCs w:val="22"/>
              </w:rPr>
              <w:t>合计</w:t>
            </w:r>
          </w:p>
        </w:tc>
      </w:tr>
      <w:tr>
        <w:trPr>
          <w:trHeight w:val="372" w:hRule="exact"/>
        </w:trPr>
        <w:tc>
          <w:tcPr>
            <w:tcW w:w="798"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6"/>
              <w:ind w:left="117" w:right="0"/>
              <w:jc w:val="left"/>
              <w:rPr>
                <w:rFonts w:ascii="Arial" w:hAnsi="Arial" w:cs="Arial" w:eastAsia="Arial" w:hint="default"/>
                <w:sz w:val="22"/>
                <w:szCs w:val="22"/>
              </w:rPr>
            </w:pPr>
            <w:r>
              <w:rPr>
                <w:rFonts w:ascii="宋体" w:hAnsi="宋体" w:cs="宋体" w:eastAsia="宋体" w:hint="default"/>
                <w:sz w:val="22"/>
                <w:szCs w:val="22"/>
              </w:rPr>
              <w:t>金融资产</w:t>
            </w:r>
            <w:r>
              <w:rPr>
                <w:rFonts w:ascii="宋体" w:hAnsi="宋体" w:cs="宋体" w:eastAsia="宋体" w:hint="default"/>
                <w:spacing w:val="1"/>
                <w:sz w:val="22"/>
                <w:szCs w:val="22"/>
              </w:rPr>
              <w:t> </w:t>
            </w:r>
            <w:r>
              <w:rPr>
                <w:rFonts w:ascii="Arial" w:hAnsi="Arial" w:cs="Arial" w:eastAsia="Arial" w:hint="default"/>
                <w:sz w:val="22"/>
                <w:szCs w:val="22"/>
              </w:rPr>
              <w:t>-</w:t>
            </w:r>
          </w:p>
        </w:tc>
        <w:tc>
          <w:tcPr>
            <w:tcW w:w="1265"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r>
      <w:tr>
        <w:trPr>
          <w:trHeight w:val="372" w:hRule="exact"/>
        </w:trPr>
        <w:tc>
          <w:tcPr>
            <w:tcW w:w="798"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88" w:lineRule="exact"/>
              <w:ind w:left="117"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0"/>
              <w:jc w:val="right"/>
              <w:rPr>
                <w:rFonts w:ascii="Arial" w:hAnsi="Arial" w:cs="Arial" w:eastAsia="Arial" w:hint="default"/>
                <w:sz w:val="22"/>
                <w:szCs w:val="22"/>
              </w:rPr>
            </w:pPr>
            <w:r>
              <w:rPr>
                <w:rFonts w:ascii="Arial"/>
                <w:spacing w:val="-1"/>
                <w:sz w:val="22"/>
              </w:rPr>
              <w:t>22,740,084</w:t>
            </w:r>
          </w:p>
        </w:tc>
        <w:tc>
          <w:tcPr>
            <w:tcW w:w="134"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4"/>
              <w:jc w:val="right"/>
              <w:rPr>
                <w:rFonts w:ascii="Arial" w:hAnsi="Arial" w:cs="Arial" w:eastAsia="Arial" w:hint="default"/>
                <w:sz w:val="22"/>
                <w:szCs w:val="22"/>
              </w:rPr>
            </w:pPr>
            <w:r>
              <w:rPr>
                <w:rFonts w:ascii="Arial"/>
                <w:w w:val="100"/>
                <w:sz w:val="22"/>
              </w:rPr>
              <w:t>-</w:t>
            </w:r>
          </w:p>
        </w:tc>
        <w:tc>
          <w:tcPr>
            <w:tcW w:w="137"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4"/>
              <w:jc w:val="right"/>
              <w:rPr>
                <w:rFonts w:ascii="Arial" w:hAnsi="Arial" w:cs="Arial" w:eastAsia="Arial" w:hint="default"/>
                <w:sz w:val="22"/>
                <w:szCs w:val="22"/>
              </w:rPr>
            </w:pPr>
            <w:r>
              <w:rPr>
                <w:rFonts w:ascii="Arial"/>
                <w:w w:val="100"/>
                <w:sz w:val="22"/>
              </w:rPr>
              <w:t>-</w:t>
            </w:r>
          </w:p>
        </w:tc>
        <w:tc>
          <w:tcPr>
            <w:tcW w:w="13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3"/>
              <w:jc w:val="right"/>
              <w:rPr>
                <w:rFonts w:ascii="Arial" w:hAnsi="Arial" w:cs="Arial" w:eastAsia="Arial" w:hint="default"/>
                <w:sz w:val="22"/>
                <w:szCs w:val="22"/>
              </w:rPr>
            </w:pPr>
            <w:r>
              <w:rPr>
                <w:rFonts w:ascii="Arial"/>
                <w:w w:val="100"/>
                <w:sz w:val="22"/>
              </w:rPr>
              <w:t>-</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0"/>
              <w:jc w:val="right"/>
              <w:rPr>
                <w:rFonts w:ascii="Arial" w:hAnsi="Arial" w:cs="Arial" w:eastAsia="Arial" w:hint="default"/>
                <w:sz w:val="22"/>
                <w:szCs w:val="22"/>
              </w:rPr>
            </w:pPr>
            <w:r>
              <w:rPr>
                <w:rFonts w:ascii="Arial"/>
                <w:spacing w:val="-1"/>
                <w:sz w:val="22"/>
              </w:rPr>
              <w:t>22,740,084</w:t>
            </w:r>
          </w:p>
        </w:tc>
      </w:tr>
      <w:tr>
        <w:trPr>
          <w:trHeight w:val="365" w:hRule="exact"/>
        </w:trPr>
        <w:tc>
          <w:tcPr>
            <w:tcW w:w="798"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80" w:lineRule="exact"/>
              <w:ind w:left="117"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2"/>
              <w:jc w:val="right"/>
              <w:rPr>
                <w:rFonts w:ascii="Arial" w:hAnsi="Arial" w:cs="Arial" w:eastAsia="Arial" w:hint="default"/>
                <w:sz w:val="22"/>
                <w:szCs w:val="22"/>
              </w:rPr>
            </w:pPr>
            <w:r>
              <w:rPr>
                <w:rFonts w:ascii="Arial"/>
                <w:sz w:val="22"/>
              </w:rPr>
              <w:t>1,873,334</w:t>
            </w:r>
          </w:p>
        </w:tc>
        <w:tc>
          <w:tcPr>
            <w:tcW w:w="134"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Arial" w:hAnsi="Arial" w:cs="Arial" w:eastAsia="Arial" w:hint="default"/>
                <w:sz w:val="22"/>
                <w:szCs w:val="22"/>
              </w:rPr>
            </w:pPr>
            <w:r>
              <w:rPr>
                <w:rFonts w:ascii="Arial"/>
                <w:w w:val="100"/>
                <w:sz w:val="22"/>
              </w:rPr>
              <w:t>-</w:t>
            </w:r>
          </w:p>
        </w:tc>
        <w:tc>
          <w:tcPr>
            <w:tcW w:w="137"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Arial" w:hAnsi="Arial" w:cs="Arial" w:eastAsia="Arial" w:hint="default"/>
                <w:sz w:val="22"/>
                <w:szCs w:val="22"/>
              </w:rPr>
            </w:pPr>
            <w:r>
              <w:rPr>
                <w:rFonts w:ascii="Arial"/>
                <w:w w:val="100"/>
                <w:sz w:val="22"/>
              </w:rPr>
              <w:t>-</w:t>
            </w:r>
          </w:p>
        </w:tc>
        <w:tc>
          <w:tcPr>
            <w:tcW w:w="13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3"/>
              <w:jc w:val="right"/>
              <w:rPr>
                <w:rFonts w:ascii="Arial" w:hAnsi="Arial" w:cs="Arial" w:eastAsia="Arial" w:hint="default"/>
                <w:sz w:val="22"/>
                <w:szCs w:val="22"/>
              </w:rPr>
            </w:pPr>
            <w:r>
              <w:rPr>
                <w:rFonts w:ascii="Arial"/>
                <w:w w:val="100"/>
                <w:sz w:val="22"/>
              </w:rPr>
              <w:t>-</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2"/>
              <w:jc w:val="right"/>
              <w:rPr>
                <w:rFonts w:ascii="Arial" w:hAnsi="Arial" w:cs="Arial" w:eastAsia="Arial" w:hint="default"/>
                <w:sz w:val="22"/>
                <w:szCs w:val="22"/>
              </w:rPr>
            </w:pPr>
            <w:r>
              <w:rPr>
                <w:rFonts w:ascii="Arial"/>
                <w:sz w:val="22"/>
              </w:rPr>
              <w:t>1,873,334</w:t>
            </w:r>
          </w:p>
        </w:tc>
      </w:tr>
      <w:tr>
        <w:trPr>
          <w:trHeight w:val="366" w:hRule="exact"/>
        </w:trPr>
        <w:tc>
          <w:tcPr>
            <w:tcW w:w="798"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80" w:lineRule="exact"/>
              <w:ind w:left="117"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0"/>
              <w:jc w:val="right"/>
              <w:rPr>
                <w:rFonts w:ascii="Arial" w:hAnsi="Arial" w:cs="Arial" w:eastAsia="Arial" w:hint="default"/>
                <w:sz w:val="22"/>
                <w:szCs w:val="22"/>
              </w:rPr>
            </w:pPr>
            <w:r>
              <w:rPr>
                <w:rFonts w:ascii="Arial"/>
                <w:spacing w:val="-1"/>
                <w:sz w:val="22"/>
              </w:rPr>
              <w:t>416,415</w:t>
            </w:r>
          </w:p>
        </w:tc>
        <w:tc>
          <w:tcPr>
            <w:tcW w:w="134"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4"/>
              <w:jc w:val="right"/>
              <w:rPr>
                <w:rFonts w:ascii="Arial" w:hAnsi="Arial" w:cs="Arial" w:eastAsia="Arial" w:hint="default"/>
                <w:sz w:val="22"/>
                <w:szCs w:val="22"/>
              </w:rPr>
            </w:pPr>
            <w:r>
              <w:rPr>
                <w:rFonts w:ascii="Arial"/>
                <w:w w:val="100"/>
                <w:sz w:val="22"/>
              </w:rPr>
              <w:t>-</w:t>
            </w:r>
          </w:p>
        </w:tc>
        <w:tc>
          <w:tcPr>
            <w:tcW w:w="137"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4"/>
              <w:jc w:val="right"/>
              <w:rPr>
                <w:rFonts w:ascii="Arial" w:hAnsi="Arial" w:cs="Arial" w:eastAsia="Arial" w:hint="default"/>
                <w:sz w:val="22"/>
                <w:szCs w:val="22"/>
              </w:rPr>
            </w:pPr>
            <w:r>
              <w:rPr>
                <w:rFonts w:ascii="Arial"/>
                <w:w w:val="100"/>
                <w:sz w:val="22"/>
              </w:rPr>
              <w:t>-</w:t>
            </w:r>
          </w:p>
        </w:tc>
        <w:tc>
          <w:tcPr>
            <w:tcW w:w="13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3"/>
              <w:jc w:val="right"/>
              <w:rPr>
                <w:rFonts w:ascii="Arial" w:hAnsi="Arial" w:cs="Arial" w:eastAsia="Arial" w:hint="default"/>
                <w:sz w:val="22"/>
                <w:szCs w:val="22"/>
              </w:rPr>
            </w:pPr>
            <w:r>
              <w:rPr>
                <w:rFonts w:ascii="Arial"/>
                <w:w w:val="100"/>
                <w:sz w:val="22"/>
              </w:rPr>
              <w:t>-</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0"/>
              <w:jc w:val="right"/>
              <w:rPr>
                <w:rFonts w:ascii="Arial" w:hAnsi="Arial" w:cs="Arial" w:eastAsia="Arial" w:hint="default"/>
                <w:sz w:val="22"/>
                <w:szCs w:val="22"/>
              </w:rPr>
            </w:pPr>
            <w:r>
              <w:rPr>
                <w:rFonts w:ascii="Arial"/>
                <w:spacing w:val="-1"/>
                <w:sz w:val="22"/>
              </w:rPr>
              <w:t>416,415</w:t>
            </w:r>
          </w:p>
        </w:tc>
      </w:tr>
      <w:tr>
        <w:trPr>
          <w:trHeight w:val="366" w:hRule="exact"/>
        </w:trPr>
        <w:tc>
          <w:tcPr>
            <w:tcW w:w="798"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79" w:lineRule="exact"/>
              <w:ind w:left="117"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0"/>
              <w:jc w:val="right"/>
              <w:rPr>
                <w:rFonts w:ascii="Arial" w:hAnsi="Arial" w:cs="Arial" w:eastAsia="Arial" w:hint="default"/>
                <w:sz w:val="22"/>
                <w:szCs w:val="22"/>
              </w:rPr>
            </w:pPr>
            <w:r>
              <w:rPr>
                <w:rFonts w:ascii="Arial"/>
                <w:sz w:val="22"/>
              </w:rPr>
              <w:t>7,265</w:t>
            </w:r>
          </w:p>
        </w:tc>
        <w:tc>
          <w:tcPr>
            <w:tcW w:w="134"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4"/>
              <w:jc w:val="right"/>
              <w:rPr>
                <w:rFonts w:ascii="Arial" w:hAnsi="Arial" w:cs="Arial" w:eastAsia="Arial" w:hint="default"/>
                <w:sz w:val="22"/>
                <w:szCs w:val="22"/>
              </w:rPr>
            </w:pPr>
            <w:r>
              <w:rPr>
                <w:rFonts w:ascii="Arial"/>
                <w:w w:val="100"/>
                <w:sz w:val="22"/>
              </w:rPr>
              <w:t>-</w:t>
            </w:r>
          </w:p>
        </w:tc>
        <w:tc>
          <w:tcPr>
            <w:tcW w:w="137"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4"/>
              <w:jc w:val="right"/>
              <w:rPr>
                <w:rFonts w:ascii="Arial" w:hAnsi="Arial" w:cs="Arial" w:eastAsia="Arial" w:hint="default"/>
                <w:sz w:val="22"/>
                <w:szCs w:val="22"/>
              </w:rPr>
            </w:pPr>
            <w:r>
              <w:rPr>
                <w:rFonts w:ascii="Arial"/>
                <w:w w:val="100"/>
                <w:sz w:val="22"/>
              </w:rPr>
              <w:t>-</w:t>
            </w:r>
          </w:p>
        </w:tc>
        <w:tc>
          <w:tcPr>
            <w:tcW w:w="13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3"/>
              <w:jc w:val="right"/>
              <w:rPr>
                <w:rFonts w:ascii="Arial" w:hAnsi="Arial" w:cs="Arial" w:eastAsia="Arial" w:hint="default"/>
                <w:sz w:val="22"/>
                <w:szCs w:val="22"/>
              </w:rPr>
            </w:pPr>
            <w:r>
              <w:rPr>
                <w:rFonts w:ascii="Arial"/>
                <w:w w:val="100"/>
                <w:sz w:val="22"/>
              </w:rPr>
              <w:t>-</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0"/>
              <w:jc w:val="right"/>
              <w:rPr>
                <w:rFonts w:ascii="Arial" w:hAnsi="Arial" w:cs="Arial" w:eastAsia="Arial" w:hint="default"/>
                <w:sz w:val="22"/>
                <w:szCs w:val="22"/>
              </w:rPr>
            </w:pPr>
            <w:r>
              <w:rPr>
                <w:rFonts w:ascii="Arial"/>
                <w:sz w:val="22"/>
              </w:rPr>
              <w:t>7,265</w:t>
            </w:r>
          </w:p>
        </w:tc>
      </w:tr>
      <w:tr>
        <w:trPr>
          <w:trHeight w:val="365" w:hRule="exact"/>
        </w:trPr>
        <w:tc>
          <w:tcPr>
            <w:tcW w:w="798"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80" w:lineRule="exact"/>
              <w:ind w:left="117"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
              <w:jc w:val="right"/>
              <w:rPr>
                <w:rFonts w:ascii="Arial" w:hAnsi="Arial" w:cs="Arial" w:eastAsia="Arial" w:hint="default"/>
                <w:sz w:val="22"/>
                <w:szCs w:val="22"/>
              </w:rPr>
            </w:pPr>
            <w:r>
              <w:rPr>
                <w:rFonts w:ascii="Arial"/>
                <w:spacing w:val="-1"/>
                <w:sz w:val="22"/>
              </w:rPr>
              <w:t>74,821</w:t>
            </w:r>
          </w:p>
        </w:tc>
        <w:tc>
          <w:tcPr>
            <w:tcW w:w="134"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Arial" w:hAnsi="Arial" w:cs="Arial" w:eastAsia="Arial" w:hint="default"/>
                <w:sz w:val="22"/>
                <w:szCs w:val="22"/>
              </w:rPr>
            </w:pPr>
            <w:r>
              <w:rPr>
                <w:rFonts w:ascii="Arial"/>
                <w:w w:val="100"/>
                <w:sz w:val="22"/>
              </w:rPr>
              <w:t>-</w:t>
            </w:r>
          </w:p>
        </w:tc>
        <w:tc>
          <w:tcPr>
            <w:tcW w:w="137"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Arial" w:hAnsi="Arial" w:cs="Arial" w:eastAsia="Arial" w:hint="default"/>
                <w:sz w:val="22"/>
                <w:szCs w:val="22"/>
              </w:rPr>
            </w:pPr>
            <w:r>
              <w:rPr>
                <w:rFonts w:ascii="Arial"/>
                <w:w w:val="100"/>
                <w:sz w:val="22"/>
              </w:rPr>
              <w:t>-</w:t>
            </w:r>
          </w:p>
        </w:tc>
        <w:tc>
          <w:tcPr>
            <w:tcW w:w="13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3"/>
              <w:jc w:val="right"/>
              <w:rPr>
                <w:rFonts w:ascii="Arial" w:hAnsi="Arial" w:cs="Arial" w:eastAsia="Arial" w:hint="default"/>
                <w:sz w:val="22"/>
                <w:szCs w:val="22"/>
              </w:rPr>
            </w:pPr>
            <w:r>
              <w:rPr>
                <w:rFonts w:ascii="Arial"/>
                <w:w w:val="100"/>
                <w:sz w:val="22"/>
              </w:rPr>
              <w:t>-</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
              <w:jc w:val="right"/>
              <w:rPr>
                <w:rFonts w:ascii="Arial" w:hAnsi="Arial" w:cs="Arial" w:eastAsia="Arial" w:hint="default"/>
                <w:sz w:val="22"/>
                <w:szCs w:val="22"/>
              </w:rPr>
            </w:pPr>
            <w:r>
              <w:rPr>
                <w:rFonts w:ascii="Arial"/>
                <w:spacing w:val="-1"/>
                <w:sz w:val="22"/>
              </w:rPr>
              <w:t>74,821</w:t>
            </w:r>
          </w:p>
        </w:tc>
      </w:tr>
      <w:tr>
        <w:trPr>
          <w:trHeight w:val="360" w:hRule="exact"/>
        </w:trPr>
        <w:tc>
          <w:tcPr>
            <w:tcW w:w="798"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80" w:lineRule="exact"/>
              <w:ind w:left="117" w:right="0"/>
              <w:jc w:val="left"/>
              <w:rPr>
                <w:rFonts w:ascii="宋体" w:hAnsi="宋体" w:cs="宋体" w:eastAsia="宋体" w:hint="default"/>
                <w:sz w:val="22"/>
                <w:szCs w:val="22"/>
              </w:rPr>
            </w:pPr>
            <w:r>
              <w:rPr>
                <w:rFonts w:ascii="宋体" w:hAnsi="宋体" w:cs="宋体" w:eastAsia="宋体" w:hint="default"/>
                <w:sz w:val="22"/>
                <w:szCs w:val="22"/>
              </w:rPr>
              <w:t>长期应收款</w:t>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54"/>
              <w:jc w:val="right"/>
              <w:rPr>
                <w:rFonts w:ascii="Arial" w:hAnsi="Arial" w:cs="Arial" w:eastAsia="Arial" w:hint="default"/>
                <w:sz w:val="22"/>
                <w:szCs w:val="22"/>
              </w:rPr>
            </w:pPr>
            <w:r>
              <w:rPr>
                <w:rFonts w:ascii="Arial"/>
                <w:w w:val="100"/>
                <w:sz w:val="22"/>
              </w:rPr>
              <w:t>-</w:t>
            </w:r>
          </w:p>
        </w:tc>
        <w:tc>
          <w:tcPr>
            <w:tcW w:w="134"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53"/>
              <w:jc w:val="right"/>
              <w:rPr>
                <w:rFonts w:ascii="Arial" w:hAnsi="Arial" w:cs="Arial" w:eastAsia="Arial" w:hint="default"/>
                <w:sz w:val="22"/>
                <w:szCs w:val="22"/>
              </w:rPr>
            </w:pPr>
            <w:r>
              <w:rPr>
                <w:rFonts w:ascii="Arial"/>
                <w:sz w:val="22"/>
              </w:rPr>
              <w:t>5,383</w:t>
            </w:r>
          </w:p>
        </w:tc>
        <w:tc>
          <w:tcPr>
            <w:tcW w:w="137"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52"/>
              <w:jc w:val="right"/>
              <w:rPr>
                <w:rFonts w:ascii="Arial" w:hAnsi="Arial" w:cs="Arial" w:eastAsia="Arial" w:hint="default"/>
                <w:sz w:val="22"/>
                <w:szCs w:val="22"/>
              </w:rPr>
            </w:pPr>
            <w:r>
              <w:rPr>
                <w:rFonts w:ascii="Arial"/>
                <w:spacing w:val="-3"/>
                <w:sz w:val="22"/>
              </w:rPr>
              <w:t>119,363</w:t>
            </w:r>
          </w:p>
        </w:tc>
        <w:tc>
          <w:tcPr>
            <w:tcW w:w="13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50"/>
              <w:jc w:val="right"/>
              <w:rPr>
                <w:rFonts w:ascii="Arial" w:hAnsi="Arial" w:cs="Arial" w:eastAsia="Arial" w:hint="default"/>
                <w:sz w:val="22"/>
                <w:szCs w:val="22"/>
              </w:rPr>
            </w:pPr>
            <w:r>
              <w:rPr>
                <w:rFonts w:ascii="Arial"/>
                <w:spacing w:val="-1"/>
                <w:sz w:val="22"/>
              </w:rPr>
              <w:t>351,818</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50"/>
              <w:jc w:val="right"/>
              <w:rPr>
                <w:rFonts w:ascii="Arial" w:hAnsi="Arial" w:cs="Arial" w:eastAsia="Arial" w:hint="default"/>
                <w:sz w:val="22"/>
                <w:szCs w:val="22"/>
              </w:rPr>
            </w:pPr>
            <w:r>
              <w:rPr>
                <w:rFonts w:ascii="Arial"/>
                <w:spacing w:val="-1"/>
                <w:sz w:val="22"/>
              </w:rPr>
              <w:t>476,564</w:t>
            </w:r>
          </w:p>
        </w:tc>
      </w:tr>
      <w:tr>
        <w:trPr>
          <w:trHeight w:val="353" w:hRule="exact"/>
        </w:trPr>
        <w:tc>
          <w:tcPr>
            <w:tcW w:w="798"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52"/>
              <w:jc w:val="right"/>
              <w:rPr>
                <w:rFonts w:ascii="Arial" w:hAnsi="Arial" w:cs="Arial" w:eastAsia="Arial" w:hint="default"/>
                <w:sz w:val="22"/>
                <w:szCs w:val="22"/>
              </w:rPr>
            </w:pPr>
            <w:r>
              <w:rPr>
                <w:rFonts w:ascii="Arial"/>
                <w:spacing w:val="-4"/>
                <w:sz w:val="22"/>
              </w:rPr>
              <w:t>25,111,919</w:t>
            </w:r>
          </w:p>
        </w:tc>
        <w:tc>
          <w:tcPr>
            <w:tcW w:w="134" w:type="dxa"/>
            <w:tcBorders>
              <w:top w:val="nil" w:sz="6" w:space="0" w:color="auto"/>
              <w:left w:val="nil" w:sz="6" w:space="0" w:color="auto"/>
              <w:bottom w:val="nil" w:sz="6" w:space="0" w:color="auto"/>
              <w:right w:val="nil" w:sz="6" w:space="0" w:color="auto"/>
            </w:tcBorders>
          </w:tcPr>
          <w:p>
            <w:pPr/>
          </w:p>
        </w:tc>
        <w:tc>
          <w:tcPr>
            <w:tcW w:w="1011"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53"/>
              <w:jc w:val="right"/>
              <w:rPr>
                <w:rFonts w:ascii="Arial" w:hAnsi="Arial" w:cs="Arial" w:eastAsia="Arial" w:hint="default"/>
                <w:sz w:val="22"/>
                <w:szCs w:val="22"/>
              </w:rPr>
            </w:pPr>
            <w:r>
              <w:rPr>
                <w:rFonts w:ascii="Arial"/>
                <w:sz w:val="22"/>
              </w:rPr>
              <w:t>5,383</w:t>
            </w:r>
          </w:p>
        </w:tc>
        <w:tc>
          <w:tcPr>
            <w:tcW w:w="137" w:type="dxa"/>
            <w:tcBorders>
              <w:top w:val="nil" w:sz="6" w:space="0" w:color="auto"/>
              <w:left w:val="nil" w:sz="6" w:space="0" w:color="auto"/>
              <w:bottom w:val="nil" w:sz="6" w:space="0" w:color="auto"/>
              <w:right w:val="nil" w:sz="6" w:space="0" w:color="auto"/>
            </w:tcBorders>
          </w:tcPr>
          <w:p>
            <w:pPr/>
          </w:p>
        </w:tc>
        <w:tc>
          <w:tcPr>
            <w:tcW w:w="1140"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52"/>
              <w:jc w:val="right"/>
              <w:rPr>
                <w:rFonts w:ascii="Arial" w:hAnsi="Arial" w:cs="Arial" w:eastAsia="Arial" w:hint="default"/>
                <w:sz w:val="22"/>
                <w:szCs w:val="22"/>
              </w:rPr>
            </w:pPr>
            <w:r>
              <w:rPr>
                <w:rFonts w:ascii="Arial"/>
                <w:spacing w:val="-3"/>
                <w:sz w:val="22"/>
              </w:rPr>
              <w:t>119,363</w:t>
            </w:r>
          </w:p>
        </w:tc>
        <w:tc>
          <w:tcPr>
            <w:tcW w:w="139"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53"/>
              <w:jc w:val="right"/>
              <w:rPr>
                <w:rFonts w:ascii="Arial" w:hAnsi="Arial" w:cs="Arial" w:eastAsia="Arial" w:hint="default"/>
                <w:sz w:val="22"/>
                <w:szCs w:val="22"/>
              </w:rPr>
            </w:pPr>
            <w:r>
              <w:rPr>
                <w:rFonts w:ascii="Arial"/>
                <w:spacing w:val="-1"/>
                <w:sz w:val="22"/>
              </w:rPr>
              <w:t>351,818</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52"/>
              <w:jc w:val="right"/>
              <w:rPr>
                <w:rFonts w:ascii="Arial" w:hAnsi="Arial" w:cs="Arial" w:eastAsia="Arial" w:hint="default"/>
                <w:sz w:val="22"/>
                <w:szCs w:val="22"/>
              </w:rPr>
            </w:pPr>
            <w:r>
              <w:rPr>
                <w:rFonts w:ascii="Arial"/>
                <w:spacing w:val="-1"/>
                <w:sz w:val="22"/>
              </w:rPr>
              <w:t>25,588,483</w:t>
            </w:r>
          </w:p>
        </w:tc>
      </w:tr>
      <w:tr>
        <w:trPr>
          <w:trHeight w:val="383" w:hRule="exact"/>
        </w:trPr>
        <w:tc>
          <w:tcPr>
            <w:tcW w:w="798"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7" w:right="0"/>
              <w:jc w:val="left"/>
              <w:rPr>
                <w:rFonts w:ascii="Arial" w:hAnsi="Arial" w:cs="Arial" w:eastAsia="Arial" w:hint="default"/>
                <w:sz w:val="22"/>
                <w:szCs w:val="22"/>
              </w:rPr>
            </w:pPr>
            <w:r>
              <w:rPr>
                <w:rFonts w:ascii="宋体" w:hAnsi="宋体" w:cs="宋体" w:eastAsia="宋体" w:hint="default"/>
                <w:sz w:val="22"/>
                <w:szCs w:val="22"/>
              </w:rPr>
              <w:t>金融负债</w:t>
            </w:r>
            <w:r>
              <w:rPr>
                <w:rFonts w:ascii="宋体" w:hAnsi="宋体" w:cs="宋体" w:eastAsia="宋体" w:hint="default"/>
                <w:spacing w:val="1"/>
                <w:sz w:val="22"/>
                <w:szCs w:val="22"/>
              </w:rPr>
              <w:t> </w:t>
            </w:r>
            <w:r>
              <w:rPr>
                <w:rFonts w:ascii="Arial" w:hAnsi="Arial" w:cs="Arial" w:eastAsia="Arial" w:hint="default"/>
                <w:sz w:val="22"/>
                <w:szCs w:val="22"/>
              </w:rPr>
              <w:t>-</w:t>
            </w:r>
          </w:p>
        </w:tc>
        <w:tc>
          <w:tcPr>
            <w:tcW w:w="1265" w:type="dxa"/>
            <w:tcBorders>
              <w:top w:val="single" w:sz="12"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11" w:type="dxa"/>
            <w:tcBorders>
              <w:top w:val="single" w:sz="12" w:space="0" w:color="000000"/>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40" w:type="dxa"/>
            <w:tcBorders>
              <w:top w:val="single" w:sz="12" w:space="0" w:color="000000"/>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080" w:type="dxa"/>
            <w:tcBorders>
              <w:top w:val="single" w:sz="12" w:space="0" w:color="000000"/>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single" w:sz="12" w:space="0" w:color="000000"/>
              <w:left w:val="nil" w:sz="6" w:space="0" w:color="auto"/>
              <w:bottom w:val="nil" w:sz="6" w:space="0" w:color="auto"/>
              <w:right w:val="nil" w:sz="6" w:space="0" w:color="auto"/>
            </w:tcBorders>
          </w:tcPr>
          <w:p>
            <w:pPr/>
          </w:p>
        </w:tc>
      </w:tr>
      <w:tr>
        <w:trPr>
          <w:trHeight w:val="373" w:hRule="exact"/>
        </w:trPr>
        <w:tc>
          <w:tcPr>
            <w:tcW w:w="798"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ind w:left="117"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0"/>
              <w:jc w:val="right"/>
              <w:rPr>
                <w:rFonts w:ascii="Arial" w:hAnsi="Arial" w:cs="Arial" w:eastAsia="Arial" w:hint="default"/>
                <w:sz w:val="22"/>
                <w:szCs w:val="22"/>
              </w:rPr>
            </w:pPr>
            <w:r>
              <w:rPr>
                <w:rFonts w:ascii="Arial"/>
                <w:sz w:val="22"/>
              </w:rPr>
              <w:t>1,687,285</w:t>
            </w:r>
          </w:p>
        </w:tc>
        <w:tc>
          <w:tcPr>
            <w:tcW w:w="134"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4"/>
              <w:jc w:val="right"/>
              <w:rPr>
                <w:rFonts w:ascii="Arial" w:hAnsi="Arial" w:cs="Arial" w:eastAsia="Arial" w:hint="default"/>
                <w:sz w:val="22"/>
                <w:szCs w:val="22"/>
              </w:rPr>
            </w:pPr>
            <w:r>
              <w:rPr>
                <w:rFonts w:ascii="Arial"/>
                <w:w w:val="100"/>
                <w:sz w:val="22"/>
              </w:rPr>
              <w:t>-</w:t>
            </w:r>
          </w:p>
        </w:tc>
        <w:tc>
          <w:tcPr>
            <w:tcW w:w="137"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4"/>
              <w:jc w:val="right"/>
              <w:rPr>
                <w:rFonts w:ascii="Arial" w:hAnsi="Arial" w:cs="Arial" w:eastAsia="Arial" w:hint="default"/>
                <w:sz w:val="22"/>
                <w:szCs w:val="22"/>
              </w:rPr>
            </w:pPr>
            <w:r>
              <w:rPr>
                <w:rFonts w:ascii="Arial"/>
                <w:w w:val="100"/>
                <w:sz w:val="22"/>
              </w:rPr>
              <w:t>-</w:t>
            </w:r>
          </w:p>
        </w:tc>
        <w:tc>
          <w:tcPr>
            <w:tcW w:w="13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3"/>
              <w:jc w:val="right"/>
              <w:rPr>
                <w:rFonts w:ascii="Arial" w:hAnsi="Arial" w:cs="Arial" w:eastAsia="Arial" w:hint="default"/>
                <w:sz w:val="22"/>
                <w:szCs w:val="22"/>
              </w:rPr>
            </w:pPr>
            <w:r>
              <w:rPr>
                <w:rFonts w:ascii="Arial"/>
                <w:w w:val="100"/>
                <w:sz w:val="22"/>
              </w:rPr>
              <w:t>-</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0"/>
              <w:jc w:val="right"/>
              <w:rPr>
                <w:rFonts w:ascii="Arial" w:hAnsi="Arial" w:cs="Arial" w:eastAsia="Arial" w:hint="default"/>
                <w:sz w:val="22"/>
                <w:szCs w:val="22"/>
              </w:rPr>
            </w:pPr>
            <w:r>
              <w:rPr>
                <w:rFonts w:ascii="Arial"/>
                <w:sz w:val="22"/>
              </w:rPr>
              <w:t>1,687,285</w:t>
            </w:r>
          </w:p>
        </w:tc>
      </w:tr>
      <w:tr>
        <w:trPr>
          <w:trHeight w:val="365" w:hRule="exact"/>
        </w:trPr>
        <w:tc>
          <w:tcPr>
            <w:tcW w:w="798"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80" w:lineRule="exact"/>
              <w:ind w:left="117"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
              <w:jc w:val="right"/>
              <w:rPr>
                <w:rFonts w:ascii="Arial" w:hAnsi="Arial" w:cs="Arial" w:eastAsia="Arial" w:hint="default"/>
                <w:sz w:val="22"/>
                <w:szCs w:val="22"/>
              </w:rPr>
            </w:pPr>
            <w:r>
              <w:rPr>
                <w:rFonts w:ascii="Arial"/>
                <w:spacing w:val="-1"/>
                <w:sz w:val="22"/>
              </w:rPr>
              <w:t>20,617,593</w:t>
            </w:r>
          </w:p>
        </w:tc>
        <w:tc>
          <w:tcPr>
            <w:tcW w:w="134"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Arial" w:hAnsi="Arial" w:cs="Arial" w:eastAsia="Arial" w:hint="default"/>
                <w:sz w:val="22"/>
                <w:szCs w:val="22"/>
              </w:rPr>
            </w:pPr>
            <w:r>
              <w:rPr>
                <w:rFonts w:ascii="Arial"/>
                <w:w w:val="100"/>
                <w:sz w:val="22"/>
              </w:rPr>
              <w:t>-</w:t>
            </w:r>
          </w:p>
        </w:tc>
        <w:tc>
          <w:tcPr>
            <w:tcW w:w="137"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Arial" w:hAnsi="Arial" w:cs="Arial" w:eastAsia="Arial" w:hint="default"/>
                <w:sz w:val="22"/>
                <w:szCs w:val="22"/>
              </w:rPr>
            </w:pPr>
            <w:r>
              <w:rPr>
                <w:rFonts w:ascii="Arial"/>
                <w:w w:val="100"/>
                <w:sz w:val="22"/>
              </w:rPr>
              <w:t>-</w:t>
            </w:r>
          </w:p>
        </w:tc>
        <w:tc>
          <w:tcPr>
            <w:tcW w:w="13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3"/>
              <w:jc w:val="right"/>
              <w:rPr>
                <w:rFonts w:ascii="Arial" w:hAnsi="Arial" w:cs="Arial" w:eastAsia="Arial" w:hint="default"/>
                <w:sz w:val="22"/>
                <w:szCs w:val="22"/>
              </w:rPr>
            </w:pPr>
            <w:r>
              <w:rPr>
                <w:rFonts w:ascii="Arial"/>
                <w:w w:val="100"/>
                <w:sz w:val="22"/>
              </w:rPr>
              <w:t>-</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0"/>
              <w:jc w:val="right"/>
              <w:rPr>
                <w:rFonts w:ascii="Arial" w:hAnsi="Arial" w:cs="Arial" w:eastAsia="Arial" w:hint="default"/>
                <w:sz w:val="22"/>
                <w:szCs w:val="22"/>
              </w:rPr>
            </w:pPr>
            <w:r>
              <w:rPr>
                <w:rFonts w:ascii="Arial"/>
                <w:spacing w:val="-1"/>
                <w:sz w:val="22"/>
              </w:rPr>
              <w:t>20,617,593</w:t>
            </w:r>
          </w:p>
        </w:tc>
      </w:tr>
      <w:tr>
        <w:trPr>
          <w:trHeight w:val="366" w:hRule="exact"/>
        </w:trPr>
        <w:tc>
          <w:tcPr>
            <w:tcW w:w="798"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80" w:lineRule="exact"/>
              <w:ind w:left="117"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2"/>
              <w:jc w:val="right"/>
              <w:rPr>
                <w:rFonts w:ascii="Arial" w:hAnsi="Arial" w:cs="Arial" w:eastAsia="Arial" w:hint="default"/>
                <w:sz w:val="22"/>
                <w:szCs w:val="22"/>
              </w:rPr>
            </w:pPr>
            <w:r>
              <w:rPr>
                <w:rFonts w:ascii="Arial"/>
                <w:sz w:val="22"/>
              </w:rPr>
              <w:t>8,525,857</w:t>
            </w:r>
          </w:p>
        </w:tc>
        <w:tc>
          <w:tcPr>
            <w:tcW w:w="134"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4"/>
              <w:jc w:val="right"/>
              <w:rPr>
                <w:rFonts w:ascii="Arial" w:hAnsi="Arial" w:cs="Arial" w:eastAsia="Arial" w:hint="default"/>
                <w:sz w:val="22"/>
                <w:szCs w:val="22"/>
              </w:rPr>
            </w:pPr>
            <w:r>
              <w:rPr>
                <w:rFonts w:ascii="Arial"/>
                <w:w w:val="100"/>
                <w:sz w:val="22"/>
              </w:rPr>
              <w:t>-</w:t>
            </w:r>
          </w:p>
        </w:tc>
        <w:tc>
          <w:tcPr>
            <w:tcW w:w="137"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4"/>
              <w:jc w:val="right"/>
              <w:rPr>
                <w:rFonts w:ascii="Arial" w:hAnsi="Arial" w:cs="Arial" w:eastAsia="Arial" w:hint="default"/>
                <w:sz w:val="22"/>
                <w:szCs w:val="22"/>
              </w:rPr>
            </w:pPr>
            <w:r>
              <w:rPr>
                <w:rFonts w:ascii="Arial"/>
                <w:w w:val="100"/>
                <w:sz w:val="22"/>
              </w:rPr>
              <w:t>-</w:t>
            </w:r>
          </w:p>
        </w:tc>
        <w:tc>
          <w:tcPr>
            <w:tcW w:w="13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3"/>
              <w:jc w:val="right"/>
              <w:rPr>
                <w:rFonts w:ascii="Arial" w:hAnsi="Arial" w:cs="Arial" w:eastAsia="Arial" w:hint="default"/>
                <w:sz w:val="22"/>
                <w:szCs w:val="22"/>
              </w:rPr>
            </w:pPr>
            <w:r>
              <w:rPr>
                <w:rFonts w:ascii="Arial"/>
                <w:w w:val="100"/>
                <w:sz w:val="22"/>
              </w:rPr>
              <w:t>-</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2"/>
              <w:jc w:val="right"/>
              <w:rPr>
                <w:rFonts w:ascii="Arial" w:hAnsi="Arial" w:cs="Arial" w:eastAsia="Arial" w:hint="default"/>
                <w:sz w:val="22"/>
                <w:szCs w:val="22"/>
              </w:rPr>
            </w:pPr>
            <w:r>
              <w:rPr>
                <w:rFonts w:ascii="Arial"/>
                <w:sz w:val="22"/>
              </w:rPr>
              <w:t>8,525,857</w:t>
            </w:r>
          </w:p>
        </w:tc>
      </w:tr>
      <w:tr>
        <w:trPr>
          <w:trHeight w:val="358" w:hRule="exact"/>
        </w:trPr>
        <w:tc>
          <w:tcPr>
            <w:tcW w:w="798"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79" w:lineRule="exact"/>
              <w:ind w:left="117"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50"/>
              <w:jc w:val="right"/>
              <w:rPr>
                <w:rFonts w:ascii="Arial" w:hAnsi="Arial" w:cs="Arial" w:eastAsia="Arial" w:hint="default"/>
                <w:sz w:val="22"/>
                <w:szCs w:val="22"/>
              </w:rPr>
            </w:pPr>
            <w:r>
              <w:rPr>
                <w:rFonts w:ascii="Arial"/>
                <w:sz w:val="22"/>
              </w:rPr>
              <w:t>2,743,925</w:t>
            </w:r>
          </w:p>
        </w:tc>
        <w:tc>
          <w:tcPr>
            <w:tcW w:w="134"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54"/>
              <w:jc w:val="right"/>
              <w:rPr>
                <w:rFonts w:ascii="Arial" w:hAnsi="Arial" w:cs="Arial" w:eastAsia="Arial" w:hint="default"/>
                <w:sz w:val="22"/>
                <w:szCs w:val="22"/>
              </w:rPr>
            </w:pPr>
            <w:r>
              <w:rPr>
                <w:rFonts w:ascii="Arial"/>
                <w:w w:val="100"/>
                <w:sz w:val="22"/>
              </w:rPr>
              <w:t>-</w:t>
            </w:r>
          </w:p>
        </w:tc>
        <w:tc>
          <w:tcPr>
            <w:tcW w:w="137"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54"/>
              <w:jc w:val="right"/>
              <w:rPr>
                <w:rFonts w:ascii="Arial" w:hAnsi="Arial" w:cs="Arial" w:eastAsia="Arial" w:hint="default"/>
                <w:sz w:val="22"/>
                <w:szCs w:val="22"/>
              </w:rPr>
            </w:pPr>
            <w:r>
              <w:rPr>
                <w:rFonts w:ascii="Arial"/>
                <w:w w:val="100"/>
                <w:sz w:val="22"/>
              </w:rPr>
              <w:t>-</w:t>
            </w:r>
          </w:p>
        </w:tc>
        <w:tc>
          <w:tcPr>
            <w:tcW w:w="13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53"/>
              <w:jc w:val="right"/>
              <w:rPr>
                <w:rFonts w:ascii="Arial" w:hAnsi="Arial" w:cs="Arial" w:eastAsia="Arial" w:hint="default"/>
                <w:sz w:val="22"/>
                <w:szCs w:val="22"/>
              </w:rPr>
            </w:pPr>
            <w:r>
              <w:rPr>
                <w:rFonts w:ascii="Arial"/>
                <w:w w:val="100"/>
                <w:sz w:val="22"/>
              </w:rPr>
              <w:t>-</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50"/>
              <w:jc w:val="right"/>
              <w:rPr>
                <w:rFonts w:ascii="Arial" w:hAnsi="Arial" w:cs="Arial" w:eastAsia="Arial" w:hint="default"/>
                <w:sz w:val="22"/>
                <w:szCs w:val="22"/>
              </w:rPr>
            </w:pPr>
            <w:r>
              <w:rPr>
                <w:rFonts w:ascii="Arial"/>
                <w:sz w:val="22"/>
              </w:rPr>
              <w:t>2,743,925</w:t>
            </w:r>
          </w:p>
        </w:tc>
      </w:tr>
      <w:tr>
        <w:trPr>
          <w:trHeight w:val="353" w:hRule="exact"/>
        </w:trPr>
        <w:tc>
          <w:tcPr>
            <w:tcW w:w="798"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0"/>
              <w:jc w:val="right"/>
              <w:rPr>
                <w:rFonts w:ascii="Arial" w:hAnsi="Arial" w:cs="Arial" w:eastAsia="Arial" w:hint="default"/>
                <w:sz w:val="22"/>
                <w:szCs w:val="22"/>
              </w:rPr>
            </w:pPr>
            <w:r>
              <w:rPr>
                <w:rFonts w:ascii="Arial"/>
                <w:spacing w:val="-1"/>
                <w:sz w:val="22"/>
              </w:rPr>
              <w:t>33,574,660</w:t>
            </w:r>
          </w:p>
        </w:tc>
        <w:tc>
          <w:tcPr>
            <w:tcW w:w="134" w:type="dxa"/>
            <w:tcBorders>
              <w:top w:val="nil" w:sz="6" w:space="0" w:color="auto"/>
              <w:left w:val="nil" w:sz="6" w:space="0" w:color="auto"/>
              <w:bottom w:val="nil" w:sz="6" w:space="0" w:color="auto"/>
              <w:right w:val="nil" w:sz="6" w:space="0" w:color="auto"/>
            </w:tcBorders>
          </w:tcPr>
          <w:p>
            <w:pPr/>
          </w:p>
        </w:tc>
        <w:tc>
          <w:tcPr>
            <w:tcW w:w="101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4"/>
              <w:jc w:val="right"/>
              <w:rPr>
                <w:rFonts w:ascii="Arial" w:hAnsi="Arial" w:cs="Arial" w:eastAsia="Arial" w:hint="default"/>
                <w:sz w:val="22"/>
                <w:szCs w:val="22"/>
              </w:rPr>
            </w:pPr>
            <w:r>
              <w:rPr>
                <w:rFonts w:ascii="Arial"/>
                <w:w w:val="100"/>
                <w:sz w:val="22"/>
              </w:rPr>
              <w:t>-</w:t>
            </w:r>
          </w:p>
        </w:tc>
        <w:tc>
          <w:tcPr>
            <w:tcW w:w="137" w:type="dxa"/>
            <w:tcBorders>
              <w:top w:val="nil" w:sz="6" w:space="0" w:color="auto"/>
              <w:left w:val="nil" w:sz="6" w:space="0" w:color="auto"/>
              <w:bottom w:val="nil" w:sz="6" w:space="0" w:color="auto"/>
              <w:right w:val="nil" w:sz="6" w:space="0" w:color="auto"/>
            </w:tcBorders>
          </w:tcPr>
          <w:p>
            <w:pPr/>
          </w:p>
        </w:tc>
        <w:tc>
          <w:tcPr>
            <w:tcW w:w="114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4"/>
              <w:jc w:val="right"/>
              <w:rPr>
                <w:rFonts w:ascii="Arial" w:hAnsi="Arial" w:cs="Arial" w:eastAsia="Arial" w:hint="default"/>
                <w:sz w:val="22"/>
                <w:szCs w:val="22"/>
              </w:rPr>
            </w:pPr>
            <w:r>
              <w:rPr>
                <w:rFonts w:ascii="Arial"/>
                <w:w w:val="100"/>
                <w:sz w:val="22"/>
              </w:rPr>
              <w:t>-</w:t>
            </w:r>
          </w:p>
        </w:tc>
        <w:tc>
          <w:tcPr>
            <w:tcW w:w="139"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3"/>
              <w:jc w:val="right"/>
              <w:rPr>
                <w:rFonts w:ascii="Arial" w:hAnsi="Arial" w:cs="Arial" w:eastAsia="Arial" w:hint="default"/>
                <w:sz w:val="22"/>
                <w:szCs w:val="22"/>
              </w:rPr>
            </w:pPr>
            <w:r>
              <w:rPr>
                <w:rFonts w:ascii="Arial"/>
                <w:w w:val="100"/>
                <w:sz w:val="22"/>
              </w:rPr>
              <w:t>-</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2"/>
              <w:jc w:val="right"/>
              <w:rPr>
                <w:rFonts w:ascii="Arial" w:hAnsi="Arial" w:cs="Arial" w:eastAsia="Arial" w:hint="default"/>
                <w:sz w:val="22"/>
                <w:szCs w:val="22"/>
              </w:rPr>
            </w:pPr>
            <w:r>
              <w:rPr>
                <w:rFonts w:ascii="Arial"/>
                <w:spacing w:val="-1"/>
                <w:sz w:val="22"/>
              </w:rPr>
              <w:t>33,574,660</w:t>
            </w:r>
          </w:p>
        </w:tc>
      </w:tr>
    </w:tbl>
    <w:p>
      <w:pPr>
        <w:spacing w:after="0" w:line="240" w:lineRule="auto"/>
        <w:jc w:val="right"/>
        <w:rPr>
          <w:rFonts w:ascii="Arial" w:hAnsi="Arial" w:cs="Arial" w:eastAsia="Arial" w:hint="default"/>
          <w:sz w:val="22"/>
          <w:szCs w:val="22"/>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1595032" type="#_x0000_t75" stroked="false">
            <v:imagedata r:id="rId10" o:title=""/>
          </v:shape>
        </w:pict>
      </w: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98"/>
        <w:gridCol w:w="8438"/>
      </w:tblGrid>
      <w:tr>
        <w:trPr>
          <w:trHeight w:val="416"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十一</w:t>
            </w:r>
          </w:p>
        </w:tc>
        <w:tc>
          <w:tcPr>
            <w:tcW w:w="8438" w:type="dxa"/>
            <w:tcBorders>
              <w:top w:val="nil" w:sz="6" w:space="0" w:color="auto"/>
              <w:left w:val="nil" w:sz="6" w:space="0" w:color="auto"/>
              <w:bottom w:val="nil" w:sz="6" w:space="0" w:color="auto"/>
              <w:right w:val="nil" w:sz="6" w:space="0" w:color="auto"/>
            </w:tcBorders>
          </w:tcPr>
          <w:p>
            <w:pPr>
              <w:pStyle w:val="TableParagraph"/>
              <w:spacing w:line="257" w:lineRule="exact"/>
              <w:ind w:left="117" w:right="0"/>
              <w:jc w:val="left"/>
              <w:rPr>
                <w:rFonts w:ascii="Arial" w:hAnsi="Arial" w:cs="Arial" w:eastAsia="Arial" w:hint="default"/>
                <w:sz w:val="24"/>
                <w:szCs w:val="24"/>
              </w:rPr>
            </w:pPr>
            <w:r>
              <w:rPr>
                <w:rFonts w:ascii="黑体" w:hAnsi="黑体" w:cs="黑体" w:eastAsia="黑体" w:hint="default"/>
                <w:sz w:val="24"/>
                <w:szCs w:val="24"/>
              </w:rPr>
              <w:t>金融工具及其风险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2"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(4)</w:t>
            </w:r>
          </w:p>
        </w:tc>
        <w:tc>
          <w:tcPr>
            <w:tcW w:w="843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7" w:right="0"/>
              <w:jc w:val="left"/>
              <w:rPr>
                <w:rFonts w:ascii="黑体" w:hAnsi="黑体" w:cs="黑体" w:eastAsia="黑体" w:hint="default"/>
                <w:sz w:val="24"/>
                <w:szCs w:val="24"/>
              </w:rPr>
            </w:pPr>
            <w:r>
              <w:rPr>
                <w:rFonts w:ascii="黑体" w:hAnsi="黑体" w:cs="黑体" w:eastAsia="黑体" w:hint="default"/>
                <w:sz w:val="24"/>
                <w:szCs w:val="24"/>
              </w:rPr>
              <w:t>公允价值</w:t>
            </w:r>
          </w:p>
        </w:tc>
      </w:tr>
      <w:tr>
        <w:trPr>
          <w:trHeight w:val="591"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843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7" w:right="0"/>
              <w:jc w:val="left"/>
              <w:rPr>
                <w:rFonts w:ascii="宋体" w:hAnsi="宋体" w:cs="宋体" w:eastAsia="宋体" w:hint="default"/>
                <w:sz w:val="24"/>
                <w:szCs w:val="24"/>
              </w:rPr>
            </w:pPr>
            <w:r>
              <w:rPr>
                <w:rFonts w:ascii="宋体" w:hAnsi="宋体" w:cs="宋体" w:eastAsia="宋体" w:hint="default"/>
                <w:sz w:val="24"/>
                <w:szCs w:val="24"/>
              </w:rPr>
              <w:t>不以公允价值作为后续计量的金融工具</w:t>
            </w:r>
          </w:p>
        </w:tc>
      </w:tr>
      <w:tr>
        <w:trPr>
          <w:trHeight w:val="1210" w:hRule="exact"/>
        </w:trPr>
        <w:tc>
          <w:tcPr>
            <w:tcW w:w="798" w:type="dxa"/>
            <w:tcBorders>
              <w:top w:val="nil" w:sz="6" w:space="0" w:color="auto"/>
              <w:left w:val="nil" w:sz="6" w:space="0" w:color="auto"/>
              <w:bottom w:val="nil" w:sz="6" w:space="0" w:color="auto"/>
              <w:right w:val="nil" w:sz="6" w:space="0" w:color="auto"/>
            </w:tcBorders>
          </w:tcPr>
          <w:p>
            <w:pPr/>
          </w:p>
        </w:tc>
        <w:tc>
          <w:tcPr>
            <w:tcW w:w="8438" w:type="dxa"/>
            <w:tcBorders>
              <w:top w:val="nil" w:sz="6" w:space="0" w:color="auto"/>
              <w:left w:val="nil" w:sz="6" w:space="0" w:color="auto"/>
              <w:bottom w:val="nil" w:sz="6" w:space="0" w:color="auto"/>
              <w:right w:val="nil" w:sz="6" w:space="0" w:color="auto"/>
            </w:tcBorders>
          </w:tcPr>
          <w:p>
            <w:pPr>
              <w:pStyle w:val="TableParagraph"/>
              <w:spacing w:line="312" w:lineRule="exact" w:before="129"/>
              <w:ind w:left="117" w:right="198"/>
              <w:jc w:val="left"/>
              <w:rPr>
                <w:rFonts w:ascii="宋体" w:hAnsi="宋体" w:cs="宋体" w:eastAsia="宋体" w:hint="default"/>
                <w:sz w:val="24"/>
                <w:szCs w:val="24"/>
              </w:rPr>
            </w:pPr>
            <w:r>
              <w:rPr>
                <w:rFonts w:ascii="宋体" w:hAnsi="宋体" w:cs="宋体" w:eastAsia="宋体" w:hint="default"/>
                <w:spacing w:val="2"/>
                <w:sz w:val="24"/>
                <w:szCs w:val="24"/>
              </w:rPr>
              <w:t>不以公允价值作为后续计量的金融资产和负债主要包括：应收账款、其他应 </w:t>
            </w:r>
            <w:r>
              <w:rPr>
                <w:rFonts w:ascii="宋体" w:hAnsi="宋体" w:cs="宋体" w:eastAsia="宋体" w:hint="default"/>
                <w:spacing w:val="-2"/>
                <w:sz w:val="24"/>
                <w:szCs w:val="24"/>
              </w:rPr>
              <w:t>收款、应收票据、应收利息、长期应收款、应付票据、短期借款、应付账款、</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其他应付款、应付利息和应付债券。</w:t>
            </w:r>
          </w:p>
        </w:tc>
      </w:tr>
      <w:tr>
        <w:trPr>
          <w:trHeight w:val="895" w:hRule="exact"/>
        </w:trPr>
        <w:tc>
          <w:tcPr>
            <w:tcW w:w="798" w:type="dxa"/>
            <w:tcBorders>
              <w:top w:val="nil" w:sz="6" w:space="0" w:color="auto"/>
              <w:left w:val="nil" w:sz="6" w:space="0" w:color="auto"/>
              <w:bottom w:val="nil" w:sz="6" w:space="0" w:color="auto"/>
              <w:right w:val="nil" w:sz="6" w:space="0" w:color="auto"/>
            </w:tcBorders>
          </w:tcPr>
          <w:p>
            <w:pPr/>
          </w:p>
        </w:tc>
        <w:tc>
          <w:tcPr>
            <w:tcW w:w="8438" w:type="dxa"/>
            <w:tcBorders>
              <w:top w:val="nil" w:sz="6" w:space="0" w:color="auto"/>
              <w:left w:val="nil" w:sz="6" w:space="0" w:color="auto"/>
              <w:bottom w:val="nil" w:sz="6" w:space="0" w:color="auto"/>
              <w:right w:val="nil" w:sz="6" w:space="0" w:color="auto"/>
            </w:tcBorders>
          </w:tcPr>
          <w:p>
            <w:pPr>
              <w:pStyle w:val="TableParagraph"/>
              <w:spacing w:line="312" w:lineRule="exact" w:before="129"/>
              <w:ind w:left="117" w:right="319"/>
              <w:jc w:val="left"/>
              <w:rPr>
                <w:rFonts w:ascii="宋体" w:hAnsi="宋体" w:cs="宋体" w:eastAsia="宋体" w:hint="default"/>
                <w:sz w:val="24"/>
                <w:szCs w:val="24"/>
              </w:rPr>
            </w:pPr>
            <w:r>
              <w:rPr>
                <w:rFonts w:ascii="宋体" w:hAnsi="宋体" w:cs="宋体" w:eastAsia="宋体" w:hint="default"/>
                <w:spacing w:val="2"/>
                <w:sz w:val="24"/>
                <w:szCs w:val="24"/>
              </w:rPr>
              <w:t>本集团不以公允价值作为后续计量的金融资产和负债的账面价值与公允价值 </w:t>
            </w:r>
            <w:r>
              <w:rPr>
                <w:rFonts w:ascii="宋体" w:hAnsi="宋体" w:cs="宋体" w:eastAsia="宋体" w:hint="default"/>
                <w:sz w:val="24"/>
                <w:szCs w:val="24"/>
              </w:rPr>
              <w:t>差异不重大。</w:t>
            </w:r>
          </w:p>
        </w:tc>
      </w:tr>
      <w:tr>
        <w:trPr>
          <w:trHeight w:val="591"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(b)</w:t>
            </w:r>
          </w:p>
        </w:tc>
        <w:tc>
          <w:tcPr>
            <w:tcW w:w="843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7" w:right="0"/>
              <w:jc w:val="left"/>
              <w:rPr>
                <w:rFonts w:ascii="宋体" w:hAnsi="宋体" w:cs="宋体" w:eastAsia="宋体" w:hint="default"/>
                <w:sz w:val="24"/>
                <w:szCs w:val="24"/>
              </w:rPr>
            </w:pPr>
            <w:r>
              <w:rPr>
                <w:rFonts w:ascii="宋体" w:hAnsi="宋体" w:cs="宋体" w:eastAsia="宋体" w:hint="default"/>
                <w:sz w:val="24"/>
                <w:szCs w:val="24"/>
              </w:rPr>
              <w:t>以公允价值作为后续计量的金融工具</w:t>
            </w:r>
          </w:p>
        </w:tc>
      </w:tr>
      <w:tr>
        <w:trPr>
          <w:trHeight w:val="899" w:hRule="exact"/>
        </w:trPr>
        <w:tc>
          <w:tcPr>
            <w:tcW w:w="798" w:type="dxa"/>
            <w:tcBorders>
              <w:top w:val="nil" w:sz="6" w:space="0" w:color="auto"/>
              <w:left w:val="nil" w:sz="6" w:space="0" w:color="auto"/>
              <w:bottom w:val="nil" w:sz="6" w:space="0" w:color="auto"/>
              <w:right w:val="nil" w:sz="6" w:space="0" w:color="auto"/>
            </w:tcBorders>
          </w:tcPr>
          <w:p>
            <w:pPr/>
          </w:p>
        </w:tc>
        <w:tc>
          <w:tcPr>
            <w:tcW w:w="8438" w:type="dxa"/>
            <w:tcBorders>
              <w:top w:val="nil" w:sz="6" w:space="0" w:color="auto"/>
              <w:left w:val="nil" w:sz="6" w:space="0" w:color="auto"/>
              <w:bottom w:val="nil" w:sz="6" w:space="0" w:color="auto"/>
              <w:right w:val="nil" w:sz="6" w:space="0" w:color="auto"/>
            </w:tcBorders>
          </w:tcPr>
          <w:p>
            <w:pPr>
              <w:pStyle w:val="TableParagraph"/>
              <w:spacing w:line="312" w:lineRule="exact" w:before="129"/>
              <w:ind w:left="117" w:right="319"/>
              <w:jc w:val="left"/>
              <w:rPr>
                <w:rFonts w:ascii="宋体" w:hAnsi="宋体" w:cs="宋体" w:eastAsia="宋体" w:hint="default"/>
                <w:sz w:val="24"/>
                <w:szCs w:val="24"/>
              </w:rPr>
            </w:pPr>
            <w:r>
              <w:rPr>
                <w:rFonts w:ascii="宋体" w:hAnsi="宋体" w:cs="宋体" w:eastAsia="宋体" w:hint="default"/>
                <w:sz w:val="24"/>
                <w:szCs w:val="24"/>
              </w:rPr>
              <w:t>根据在公允价值计量中对计量整体具有重大意义的最低层级的输入值，公允</w:t>
            </w:r>
            <w:r>
              <w:rPr>
                <w:rFonts w:ascii="宋体" w:hAnsi="宋体" w:cs="宋体" w:eastAsia="宋体" w:hint="default"/>
                <w:spacing w:val="-55"/>
                <w:sz w:val="24"/>
                <w:szCs w:val="24"/>
              </w:rPr>
              <w:t> </w:t>
            </w:r>
            <w:r>
              <w:rPr>
                <w:rFonts w:ascii="宋体" w:hAnsi="宋体" w:cs="宋体" w:eastAsia="宋体" w:hint="default"/>
                <w:sz w:val="24"/>
                <w:szCs w:val="24"/>
              </w:rPr>
              <w:t>价值层级可分为：</w:t>
            </w:r>
          </w:p>
        </w:tc>
      </w:tr>
      <w:tr>
        <w:trPr>
          <w:trHeight w:val="593" w:hRule="exact"/>
        </w:trPr>
        <w:tc>
          <w:tcPr>
            <w:tcW w:w="798" w:type="dxa"/>
            <w:tcBorders>
              <w:top w:val="nil" w:sz="6" w:space="0" w:color="auto"/>
              <w:left w:val="nil" w:sz="6" w:space="0" w:color="auto"/>
              <w:bottom w:val="nil" w:sz="6" w:space="0" w:color="auto"/>
              <w:right w:val="nil" w:sz="6" w:space="0" w:color="auto"/>
            </w:tcBorders>
          </w:tcPr>
          <w:p>
            <w:pPr/>
          </w:p>
        </w:tc>
        <w:tc>
          <w:tcPr>
            <w:tcW w:w="843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17" w:right="0"/>
              <w:jc w:val="left"/>
              <w:rPr>
                <w:rFonts w:ascii="宋体" w:hAnsi="宋体" w:cs="宋体" w:eastAsia="宋体" w:hint="default"/>
                <w:sz w:val="24"/>
                <w:szCs w:val="24"/>
              </w:rPr>
            </w:pPr>
            <w:r>
              <w:rPr>
                <w:rFonts w:ascii="宋体" w:hAnsi="宋体" w:cs="宋体" w:eastAsia="宋体" w:hint="default"/>
                <w:sz w:val="24"/>
                <w:szCs w:val="24"/>
              </w:rPr>
              <w:t>第一层级：相同资产或负债在活跃市场上</w:t>
            </w:r>
            <w:r>
              <w:rPr>
                <w:rFonts w:ascii="Arial" w:hAnsi="Arial" w:cs="Arial" w:eastAsia="Arial" w:hint="default"/>
                <w:sz w:val="24"/>
                <w:szCs w:val="24"/>
              </w:rPr>
              <w:t>(</w:t>
            </w:r>
            <w:r>
              <w:rPr>
                <w:rFonts w:ascii="宋体" w:hAnsi="宋体" w:cs="宋体" w:eastAsia="宋体" w:hint="default"/>
                <w:sz w:val="24"/>
                <w:szCs w:val="24"/>
              </w:rPr>
              <w:t>未经调整</w:t>
            </w:r>
            <w:r>
              <w:rPr>
                <w:rFonts w:ascii="Arial" w:hAnsi="Arial" w:cs="Arial" w:eastAsia="Arial" w:hint="default"/>
                <w:sz w:val="24"/>
                <w:szCs w:val="24"/>
              </w:rPr>
              <w:t>)</w:t>
            </w:r>
            <w:r>
              <w:rPr>
                <w:rFonts w:ascii="宋体" w:hAnsi="宋体" w:cs="宋体" w:eastAsia="宋体" w:hint="default"/>
                <w:sz w:val="24"/>
                <w:szCs w:val="24"/>
              </w:rPr>
              <w:t>的报价。</w:t>
            </w:r>
          </w:p>
        </w:tc>
      </w:tr>
      <w:tr>
        <w:trPr>
          <w:trHeight w:val="893" w:hRule="exact"/>
        </w:trPr>
        <w:tc>
          <w:tcPr>
            <w:tcW w:w="798" w:type="dxa"/>
            <w:tcBorders>
              <w:top w:val="nil" w:sz="6" w:space="0" w:color="auto"/>
              <w:left w:val="nil" w:sz="6" w:space="0" w:color="auto"/>
              <w:bottom w:val="nil" w:sz="6" w:space="0" w:color="auto"/>
              <w:right w:val="nil" w:sz="6" w:space="0" w:color="auto"/>
            </w:tcBorders>
          </w:tcPr>
          <w:p>
            <w:pPr/>
          </w:p>
        </w:tc>
        <w:tc>
          <w:tcPr>
            <w:tcW w:w="8438" w:type="dxa"/>
            <w:tcBorders>
              <w:top w:val="nil" w:sz="6" w:space="0" w:color="auto"/>
              <w:left w:val="nil" w:sz="6" w:space="0" w:color="auto"/>
              <w:bottom w:val="nil" w:sz="6" w:space="0" w:color="auto"/>
              <w:right w:val="nil" w:sz="6" w:space="0" w:color="auto"/>
            </w:tcBorders>
          </w:tcPr>
          <w:p>
            <w:pPr>
              <w:pStyle w:val="TableParagraph"/>
              <w:spacing w:line="312" w:lineRule="exact" w:before="123"/>
              <w:ind w:left="117" w:right="318"/>
              <w:jc w:val="left"/>
              <w:rPr>
                <w:rFonts w:ascii="宋体" w:hAnsi="宋体" w:cs="宋体" w:eastAsia="宋体" w:hint="default"/>
                <w:sz w:val="24"/>
                <w:szCs w:val="24"/>
              </w:rPr>
            </w:pPr>
            <w:r>
              <w:rPr>
                <w:rFonts w:ascii="宋体" w:hAnsi="宋体" w:cs="宋体" w:eastAsia="宋体" w:hint="default"/>
                <w:sz w:val="24"/>
                <w:szCs w:val="24"/>
              </w:rPr>
              <w:t>第二层级：直接</w:t>
            </w:r>
            <w:r>
              <w:rPr>
                <w:rFonts w:ascii="Arial" w:hAnsi="Arial" w:cs="Arial" w:eastAsia="Arial" w:hint="default"/>
                <w:sz w:val="24"/>
                <w:szCs w:val="24"/>
              </w:rPr>
              <w:t>(</w:t>
            </w:r>
            <w:r>
              <w:rPr>
                <w:rFonts w:ascii="宋体" w:hAnsi="宋体" w:cs="宋体" w:eastAsia="宋体" w:hint="default"/>
                <w:sz w:val="24"/>
                <w:szCs w:val="24"/>
              </w:rPr>
              <w:t>比如取自价格</w:t>
            </w:r>
            <w:r>
              <w:rPr>
                <w:rFonts w:ascii="Arial" w:hAnsi="Arial" w:cs="Arial" w:eastAsia="Arial" w:hint="default"/>
                <w:sz w:val="24"/>
                <w:szCs w:val="24"/>
              </w:rPr>
              <w:t>)</w:t>
            </w:r>
            <w:r>
              <w:rPr>
                <w:rFonts w:ascii="宋体" w:hAnsi="宋体" w:cs="宋体" w:eastAsia="宋体" w:hint="default"/>
                <w:sz w:val="24"/>
                <w:szCs w:val="24"/>
              </w:rPr>
              <w:t>或间接</w:t>
            </w:r>
            <w:r>
              <w:rPr>
                <w:rFonts w:ascii="Arial" w:hAnsi="Arial" w:cs="Arial" w:eastAsia="Arial" w:hint="default"/>
                <w:sz w:val="24"/>
                <w:szCs w:val="24"/>
              </w:rPr>
              <w:t>(</w:t>
            </w:r>
            <w:r>
              <w:rPr>
                <w:rFonts w:ascii="宋体" w:hAnsi="宋体" w:cs="宋体" w:eastAsia="宋体" w:hint="default"/>
                <w:sz w:val="24"/>
                <w:szCs w:val="24"/>
              </w:rPr>
              <w:t>比如根据价格推算的</w:t>
            </w:r>
            <w:r>
              <w:rPr>
                <w:rFonts w:ascii="Arial" w:hAnsi="Arial" w:cs="Arial" w:eastAsia="Arial" w:hint="default"/>
                <w:sz w:val="24"/>
                <w:szCs w:val="24"/>
              </w:rPr>
              <w:t>)</w:t>
            </w:r>
            <w:r>
              <w:rPr>
                <w:rFonts w:ascii="宋体" w:hAnsi="宋体" w:cs="宋体" w:eastAsia="宋体" w:hint="default"/>
                <w:sz w:val="24"/>
                <w:szCs w:val="24"/>
              </w:rPr>
              <w:t>可观察到的、除 第一层级中的市场报价以外的资产或负债的输入值。</w:t>
            </w:r>
          </w:p>
        </w:tc>
      </w:tr>
      <w:tr>
        <w:trPr>
          <w:trHeight w:val="735" w:hRule="exact"/>
        </w:trPr>
        <w:tc>
          <w:tcPr>
            <w:tcW w:w="798" w:type="dxa"/>
            <w:tcBorders>
              <w:top w:val="nil" w:sz="6" w:space="0" w:color="auto"/>
              <w:left w:val="nil" w:sz="6" w:space="0" w:color="auto"/>
              <w:bottom w:val="nil" w:sz="6" w:space="0" w:color="auto"/>
              <w:right w:val="nil" w:sz="6" w:space="0" w:color="auto"/>
            </w:tcBorders>
          </w:tcPr>
          <w:p>
            <w:pPr/>
          </w:p>
        </w:tc>
        <w:tc>
          <w:tcPr>
            <w:tcW w:w="8438"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117" w:right="319"/>
              <w:jc w:val="left"/>
              <w:rPr>
                <w:rFonts w:ascii="宋体" w:hAnsi="宋体" w:cs="宋体" w:eastAsia="宋体" w:hint="default"/>
                <w:sz w:val="24"/>
                <w:szCs w:val="24"/>
              </w:rPr>
            </w:pPr>
            <w:r>
              <w:rPr>
                <w:rFonts w:ascii="宋体" w:hAnsi="宋体" w:cs="宋体" w:eastAsia="宋体" w:hint="default"/>
                <w:sz w:val="24"/>
                <w:szCs w:val="24"/>
              </w:rPr>
              <w:t>第三层级：以可观察到的市场数据以外的变量为基础确定的资产或负债的输</w:t>
            </w:r>
            <w:r>
              <w:rPr>
                <w:rFonts w:ascii="宋体" w:hAnsi="宋体" w:cs="宋体" w:eastAsia="宋体" w:hint="default"/>
                <w:spacing w:val="-55"/>
                <w:sz w:val="24"/>
                <w:szCs w:val="24"/>
              </w:rPr>
              <w:t> </w:t>
            </w:r>
            <w:r>
              <w:rPr>
                <w:rFonts w:ascii="宋体" w:hAnsi="宋体" w:cs="宋体" w:eastAsia="宋体" w:hint="default"/>
                <w:sz w:val="24"/>
                <w:szCs w:val="24"/>
              </w:rPr>
              <w:t>入值</w:t>
            </w:r>
            <w:r>
              <w:rPr>
                <w:rFonts w:ascii="Arial" w:hAnsi="Arial" w:cs="Arial" w:eastAsia="Arial" w:hint="default"/>
                <w:sz w:val="24"/>
                <w:szCs w:val="24"/>
              </w:rPr>
              <w:t>(</w:t>
            </w:r>
            <w:r>
              <w:rPr>
                <w:rFonts w:ascii="宋体" w:hAnsi="宋体" w:cs="宋体" w:eastAsia="宋体" w:hint="default"/>
                <w:sz w:val="24"/>
                <w:szCs w:val="24"/>
              </w:rPr>
              <w:t>不可观察输入值</w:t>
            </w:r>
            <w:r>
              <w:rPr>
                <w:rFonts w:ascii="Arial" w:hAnsi="Arial" w:cs="Arial" w:eastAsia="Arial" w:hint="default"/>
                <w:sz w:val="24"/>
                <w:szCs w:val="24"/>
              </w:rPr>
              <w:t>)</w:t>
            </w:r>
            <w:r>
              <w:rPr>
                <w:rFonts w:ascii="宋体" w:hAnsi="宋体" w:cs="宋体" w:eastAsia="宋体"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3"/>
          <w:szCs w:val="13"/>
        </w:rPr>
      </w:pPr>
    </w:p>
    <w:tbl>
      <w:tblPr>
        <w:tblW w:w="0" w:type="auto"/>
        <w:jc w:val="left"/>
        <w:tblInd w:w="751" w:type="dxa"/>
        <w:tblLayout w:type="fixed"/>
        <w:tblCellMar>
          <w:top w:w="0" w:type="dxa"/>
          <w:left w:w="0" w:type="dxa"/>
          <w:bottom w:w="0" w:type="dxa"/>
          <w:right w:w="0" w:type="dxa"/>
        </w:tblCellMar>
        <w:tblLook w:val="01E0"/>
      </w:tblPr>
      <w:tblGrid>
        <w:gridCol w:w="3100"/>
        <w:gridCol w:w="1284"/>
        <w:gridCol w:w="134"/>
        <w:gridCol w:w="1274"/>
        <w:gridCol w:w="144"/>
        <w:gridCol w:w="1188"/>
        <w:gridCol w:w="135"/>
        <w:gridCol w:w="1118"/>
      </w:tblGrid>
      <w:tr>
        <w:trPr>
          <w:trHeight w:val="804" w:hRule="exact"/>
        </w:trPr>
        <w:tc>
          <w:tcPr>
            <w:tcW w:w="8378" w:type="dxa"/>
            <w:gridSpan w:val="8"/>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6"/>
                <w:sz w:val="24"/>
                <w:szCs w:val="24"/>
              </w:rPr>
              <w:t> </w:t>
            </w:r>
            <w:r>
              <w:rPr>
                <w:rFonts w:ascii="Arial" w:hAnsi="Arial" w:cs="Arial" w:eastAsia="Arial" w:hint="default"/>
                <w:sz w:val="24"/>
                <w:szCs w:val="24"/>
              </w:rPr>
              <w:t>2012</w:t>
            </w:r>
            <w:r>
              <w:rPr>
                <w:rFonts w:ascii="Arial" w:hAnsi="Arial" w:cs="Arial" w:eastAsia="Arial"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Arial" w:hAnsi="Arial" w:cs="Arial" w:eastAsia="Arial" w:hint="default"/>
                <w:sz w:val="24"/>
                <w:szCs w:val="24"/>
              </w:rPr>
              <w:t>12</w:t>
            </w:r>
            <w:r>
              <w:rPr>
                <w:rFonts w:ascii="Arial" w:hAnsi="Arial" w:cs="Arial" w:eastAsia="Arial"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69"/>
                <w:sz w:val="24"/>
                <w:szCs w:val="24"/>
              </w:rPr>
              <w:t> </w:t>
            </w:r>
            <w:r>
              <w:rPr>
                <w:rFonts w:ascii="Arial" w:hAnsi="Arial" w:cs="Arial" w:eastAsia="Arial" w:hint="default"/>
                <w:sz w:val="24"/>
                <w:szCs w:val="24"/>
              </w:rPr>
              <w:t>31</w:t>
            </w:r>
            <w:r>
              <w:rPr>
                <w:rFonts w:ascii="Arial" w:hAnsi="Arial" w:cs="Arial" w:eastAsia="Arial" w:hint="default"/>
                <w:spacing w:val="-12"/>
                <w:sz w:val="24"/>
                <w:szCs w:val="24"/>
              </w:rPr>
              <w:t> </w:t>
            </w:r>
            <w:r>
              <w:rPr>
                <w:rFonts w:ascii="宋体" w:hAnsi="宋体" w:cs="宋体" w:eastAsia="宋体" w:hint="default"/>
                <w:sz w:val="24"/>
                <w:szCs w:val="24"/>
              </w:rPr>
              <w:t>日，以公允价值作为后续计量的金融资产及金融负债按上</w:t>
            </w:r>
          </w:p>
          <w:p>
            <w:pPr>
              <w:pStyle w:val="TableParagraph"/>
              <w:spacing w:line="303" w:lineRule="exact"/>
              <w:ind w:left="200" w:right="0"/>
              <w:jc w:val="left"/>
              <w:rPr>
                <w:rFonts w:ascii="宋体" w:hAnsi="宋体" w:cs="宋体" w:eastAsia="宋体" w:hint="default"/>
                <w:sz w:val="24"/>
                <w:szCs w:val="24"/>
              </w:rPr>
            </w:pPr>
            <w:r>
              <w:rPr>
                <w:rFonts w:ascii="宋体" w:hAnsi="宋体" w:cs="宋体" w:eastAsia="宋体" w:hint="default"/>
                <w:sz w:val="24"/>
                <w:szCs w:val="24"/>
              </w:rPr>
              <w:t>述三个层级列示如下：</w:t>
            </w:r>
          </w:p>
        </w:tc>
      </w:tr>
      <w:tr>
        <w:trPr>
          <w:trHeight w:val="748" w:hRule="exact"/>
        </w:trPr>
        <w:tc>
          <w:tcPr>
            <w:tcW w:w="310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53"/>
              <w:jc w:val="right"/>
              <w:rPr>
                <w:rFonts w:ascii="宋体" w:hAnsi="宋体" w:cs="宋体" w:eastAsia="宋体" w:hint="default"/>
                <w:sz w:val="24"/>
                <w:szCs w:val="24"/>
              </w:rPr>
            </w:pPr>
            <w:r>
              <w:rPr>
                <w:rFonts w:ascii="宋体" w:hAnsi="宋体" w:cs="宋体" w:eastAsia="宋体" w:hint="default"/>
                <w:sz w:val="24"/>
                <w:szCs w:val="24"/>
              </w:rPr>
              <w:t>第一层级</w:t>
            </w:r>
          </w:p>
        </w:tc>
        <w:tc>
          <w:tcPr>
            <w:tcW w:w="13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53"/>
              <w:jc w:val="right"/>
              <w:rPr>
                <w:rFonts w:ascii="宋体" w:hAnsi="宋体" w:cs="宋体" w:eastAsia="宋体" w:hint="default"/>
                <w:sz w:val="24"/>
                <w:szCs w:val="24"/>
              </w:rPr>
            </w:pPr>
            <w:r>
              <w:rPr>
                <w:rFonts w:ascii="宋体" w:hAnsi="宋体" w:cs="宋体" w:eastAsia="宋体" w:hint="default"/>
                <w:sz w:val="24"/>
                <w:szCs w:val="24"/>
              </w:rPr>
              <w:t>第二层级</w:t>
            </w:r>
          </w:p>
        </w:tc>
        <w:tc>
          <w:tcPr>
            <w:tcW w:w="14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53"/>
              <w:jc w:val="right"/>
              <w:rPr>
                <w:rFonts w:ascii="宋体" w:hAnsi="宋体" w:cs="宋体" w:eastAsia="宋体" w:hint="default"/>
                <w:sz w:val="24"/>
                <w:szCs w:val="24"/>
              </w:rPr>
            </w:pPr>
            <w:r>
              <w:rPr>
                <w:rFonts w:ascii="宋体" w:hAnsi="宋体" w:cs="宋体" w:eastAsia="宋体" w:hint="default"/>
                <w:sz w:val="24"/>
                <w:szCs w:val="24"/>
              </w:rPr>
              <w:t>第三层级</w:t>
            </w:r>
          </w:p>
        </w:tc>
        <w:tc>
          <w:tcPr>
            <w:tcW w:w="135"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55"/>
              <w:jc w:val="right"/>
              <w:rPr>
                <w:rFonts w:ascii="宋体" w:hAnsi="宋体" w:cs="宋体" w:eastAsia="宋体" w:hint="default"/>
                <w:sz w:val="24"/>
                <w:szCs w:val="24"/>
              </w:rPr>
            </w:pPr>
            <w:r>
              <w:rPr>
                <w:rFonts w:ascii="宋体" w:hAnsi="宋体" w:cs="宋体" w:eastAsia="宋体" w:hint="default"/>
                <w:sz w:val="24"/>
                <w:szCs w:val="24"/>
              </w:rPr>
              <w:t>合计</w:t>
            </w:r>
          </w:p>
        </w:tc>
      </w:tr>
      <w:tr>
        <w:trPr>
          <w:trHeight w:val="57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00" w:right="0"/>
              <w:jc w:val="left"/>
              <w:rPr>
                <w:rFonts w:ascii="Arial" w:hAnsi="Arial" w:cs="Arial" w:eastAsia="Arial" w:hint="default"/>
                <w:sz w:val="24"/>
                <w:szCs w:val="24"/>
              </w:rPr>
            </w:pPr>
            <w:r>
              <w:rPr>
                <w:rFonts w:ascii="宋体" w:hAnsi="宋体" w:cs="宋体" w:eastAsia="宋体" w:hint="default"/>
                <w:sz w:val="24"/>
                <w:szCs w:val="24"/>
              </w:rPr>
              <w:t>金融资产 </w:t>
            </w:r>
            <w:r>
              <w:rPr>
                <w:rFonts w:ascii="Arial" w:hAnsi="Arial" w:cs="Arial" w:eastAsia="Arial" w:hint="default"/>
                <w:sz w:val="24"/>
                <w:szCs w:val="24"/>
              </w:rPr>
              <w:t>-</w:t>
            </w:r>
          </w:p>
        </w:tc>
        <w:tc>
          <w:tcPr>
            <w:tcW w:w="1284"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
        </w:tc>
      </w:tr>
      <w:tr>
        <w:trPr>
          <w:trHeight w:val="391"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327" w:lineRule="exact"/>
              <w:ind w:right="719"/>
              <w:jc w:val="right"/>
              <w:rPr>
                <w:rFonts w:ascii="Arial" w:hAnsi="Arial" w:cs="Arial" w:eastAsia="Arial" w:hint="default"/>
                <w:sz w:val="24"/>
                <w:szCs w:val="24"/>
              </w:rPr>
            </w:pPr>
            <w:r>
              <w:rPr>
                <w:rFonts w:ascii="宋体" w:hAnsi="宋体" w:cs="宋体" w:eastAsia="宋体" w:hint="default"/>
                <w:sz w:val="24"/>
                <w:szCs w:val="24"/>
              </w:rPr>
              <w:t>可供出售金融资产</w:t>
            </w:r>
            <w:r>
              <w:rPr>
                <w:rFonts w:ascii="Arial" w:hAnsi="Arial" w:cs="Arial" w:eastAsia="Arial" w:hint="default"/>
                <w:sz w:val="24"/>
                <w:szCs w:val="24"/>
              </w:rPr>
              <w:t>-</w:t>
            </w:r>
          </w:p>
        </w:tc>
        <w:tc>
          <w:tcPr>
            <w:tcW w:w="1284"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
        </w:tc>
      </w:tr>
      <w:tr>
        <w:trPr>
          <w:trHeight w:val="401"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327" w:lineRule="exact"/>
              <w:ind w:left="636" w:right="0"/>
              <w:jc w:val="left"/>
              <w:rPr>
                <w:rFonts w:ascii="Arial" w:hAnsi="Arial" w:cs="Arial" w:eastAsia="Arial" w:hint="default"/>
                <w:sz w:val="24"/>
                <w:szCs w:val="24"/>
              </w:rPr>
            </w:pPr>
            <w:r>
              <w:rPr>
                <w:rFonts w:ascii="宋体" w:hAnsi="宋体" w:cs="宋体" w:eastAsia="宋体" w:hint="default"/>
                <w:sz w:val="24"/>
                <w:szCs w:val="24"/>
              </w:rPr>
              <w:t>股票投资</w:t>
            </w:r>
            <w:r>
              <w:rPr>
                <w:rFonts w:ascii="Arial" w:hAnsi="Arial" w:cs="Arial" w:eastAsia="Arial" w:hint="default"/>
                <w:sz w:val="24"/>
                <w:szCs w:val="24"/>
              </w:rPr>
              <w:t>(a)</w:t>
            </w:r>
          </w:p>
        </w:tc>
        <w:tc>
          <w:tcPr>
            <w:tcW w:w="1284" w:type="dxa"/>
            <w:tcBorders>
              <w:top w:val="nil" w:sz="6" w:space="0" w:color="auto"/>
              <w:left w:val="nil" w:sz="6" w:space="0" w:color="auto"/>
              <w:bottom w:val="single" w:sz="12" w:space="0" w:color="000000"/>
              <w:right w:val="nil" w:sz="6" w:space="0" w:color="auto"/>
            </w:tcBorders>
          </w:tcPr>
          <w:p>
            <w:pPr>
              <w:pStyle w:val="TableParagraph"/>
              <w:spacing w:line="240" w:lineRule="auto" w:before="67"/>
              <w:ind w:right="51"/>
              <w:jc w:val="right"/>
              <w:rPr>
                <w:rFonts w:ascii="Arial" w:hAnsi="Arial" w:cs="Arial" w:eastAsia="Arial" w:hint="default"/>
                <w:sz w:val="24"/>
                <w:szCs w:val="24"/>
              </w:rPr>
            </w:pPr>
            <w:r>
              <w:rPr>
                <w:rFonts w:ascii="Arial"/>
                <w:w w:val="95"/>
                <w:sz w:val="24"/>
              </w:rPr>
              <w:t>982</w:t>
            </w:r>
            <w:r>
              <w:rPr>
                <w:rFonts w:ascii="Arial"/>
                <w:sz w:val="24"/>
              </w:rPr>
            </w:r>
          </w:p>
        </w:tc>
        <w:tc>
          <w:tcPr>
            <w:tcW w:w="13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12" w:space="0" w:color="000000"/>
              <w:right w:val="nil" w:sz="6" w:space="0" w:color="auto"/>
            </w:tcBorders>
          </w:tcPr>
          <w:p>
            <w:pPr>
              <w:pStyle w:val="TableParagraph"/>
              <w:spacing w:line="240" w:lineRule="auto" w:before="67"/>
              <w:ind w:right="52"/>
              <w:jc w:val="right"/>
              <w:rPr>
                <w:rFonts w:ascii="Arial" w:hAnsi="Arial" w:cs="Arial" w:eastAsia="Arial" w:hint="default"/>
                <w:sz w:val="24"/>
                <w:szCs w:val="24"/>
              </w:rPr>
            </w:pPr>
            <w:r>
              <w:rPr>
                <w:rFonts w:ascii="Arial"/>
                <w:w w:val="99"/>
                <w:sz w:val="24"/>
              </w:rPr>
              <w:t>-</w:t>
            </w:r>
            <w:r>
              <w:rPr>
                <w:rFonts w:ascii="Arial"/>
                <w:sz w:val="24"/>
              </w:rPr>
            </w:r>
          </w:p>
        </w:tc>
        <w:tc>
          <w:tcPr>
            <w:tcW w:w="14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12" w:space="0" w:color="000000"/>
              <w:right w:val="nil" w:sz="6" w:space="0" w:color="auto"/>
            </w:tcBorders>
          </w:tcPr>
          <w:p>
            <w:pPr>
              <w:pStyle w:val="TableParagraph"/>
              <w:spacing w:line="240" w:lineRule="auto" w:before="67"/>
              <w:ind w:right="52"/>
              <w:jc w:val="right"/>
              <w:rPr>
                <w:rFonts w:ascii="Arial" w:hAnsi="Arial" w:cs="Arial" w:eastAsia="Arial" w:hint="default"/>
                <w:sz w:val="24"/>
                <w:szCs w:val="24"/>
              </w:rPr>
            </w:pPr>
            <w:r>
              <w:rPr>
                <w:rFonts w:ascii="Arial"/>
                <w:w w:val="99"/>
                <w:sz w:val="24"/>
              </w:rPr>
              <w:t>-</w:t>
            </w:r>
            <w:r>
              <w:rPr>
                <w:rFonts w:ascii="Arial"/>
                <w:sz w:val="24"/>
              </w:rPr>
            </w:r>
          </w:p>
        </w:tc>
        <w:tc>
          <w:tcPr>
            <w:tcW w:w="135"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single" w:sz="12" w:space="0" w:color="000000"/>
              <w:right w:val="nil" w:sz="6" w:space="0" w:color="auto"/>
            </w:tcBorders>
          </w:tcPr>
          <w:p>
            <w:pPr>
              <w:pStyle w:val="TableParagraph"/>
              <w:spacing w:line="240" w:lineRule="auto" w:before="67"/>
              <w:ind w:right="53"/>
              <w:jc w:val="right"/>
              <w:rPr>
                <w:rFonts w:ascii="Arial" w:hAnsi="Arial" w:cs="Arial" w:eastAsia="Arial" w:hint="default"/>
                <w:sz w:val="24"/>
                <w:szCs w:val="24"/>
              </w:rPr>
            </w:pPr>
            <w:r>
              <w:rPr>
                <w:rFonts w:ascii="Arial"/>
                <w:w w:val="95"/>
                <w:sz w:val="24"/>
              </w:rPr>
              <w:t>982</w:t>
            </w:r>
            <w:r>
              <w:rPr>
                <w:rFonts w:ascii="Arial"/>
                <w:sz w:val="24"/>
              </w:rPr>
            </w:r>
          </w:p>
        </w:tc>
      </w:tr>
      <w:tr>
        <w:trPr>
          <w:trHeight w:val="940" w:hRule="exact"/>
        </w:trPr>
        <w:tc>
          <w:tcPr>
            <w:tcW w:w="3100" w:type="dxa"/>
            <w:tcBorders>
              <w:top w:val="nil" w:sz="6" w:space="0" w:color="auto"/>
              <w:left w:val="nil" w:sz="6" w:space="0" w:color="auto"/>
              <w:bottom w:val="nil" w:sz="6" w:space="0" w:color="auto"/>
              <w:right w:val="nil" w:sz="6" w:space="0" w:color="auto"/>
            </w:tcBorders>
          </w:tcPr>
          <w:p>
            <w:pPr/>
          </w:p>
        </w:tc>
        <w:tc>
          <w:tcPr>
            <w:tcW w:w="1284"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40" w:lineRule="auto"/>
              <w:ind w:right="53"/>
              <w:jc w:val="right"/>
              <w:rPr>
                <w:rFonts w:ascii="宋体" w:hAnsi="宋体" w:cs="宋体" w:eastAsia="宋体" w:hint="default"/>
                <w:sz w:val="24"/>
                <w:szCs w:val="24"/>
              </w:rPr>
            </w:pPr>
            <w:r>
              <w:rPr>
                <w:rFonts w:ascii="宋体" w:hAnsi="宋体" w:cs="宋体" w:eastAsia="宋体" w:hint="default"/>
                <w:sz w:val="24"/>
                <w:szCs w:val="24"/>
              </w:rPr>
              <w:t>第一层级</w:t>
            </w:r>
          </w:p>
        </w:tc>
        <w:tc>
          <w:tcPr>
            <w:tcW w:w="134" w:type="dxa"/>
            <w:tcBorders>
              <w:top w:val="nil" w:sz="6" w:space="0" w:color="auto"/>
              <w:left w:val="nil" w:sz="6" w:space="0" w:color="auto"/>
              <w:bottom w:val="nil" w:sz="6" w:space="0" w:color="auto"/>
              <w:right w:val="nil" w:sz="6" w:space="0" w:color="auto"/>
            </w:tcBorders>
          </w:tcPr>
          <w:p>
            <w:pPr/>
          </w:p>
        </w:tc>
        <w:tc>
          <w:tcPr>
            <w:tcW w:w="1274"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40" w:lineRule="auto"/>
              <w:ind w:right="53"/>
              <w:jc w:val="right"/>
              <w:rPr>
                <w:rFonts w:ascii="宋体" w:hAnsi="宋体" w:cs="宋体" w:eastAsia="宋体" w:hint="default"/>
                <w:sz w:val="24"/>
                <w:szCs w:val="24"/>
              </w:rPr>
            </w:pPr>
            <w:r>
              <w:rPr>
                <w:rFonts w:ascii="宋体" w:hAnsi="宋体" w:cs="宋体" w:eastAsia="宋体" w:hint="default"/>
                <w:sz w:val="24"/>
                <w:szCs w:val="24"/>
              </w:rPr>
              <w:t>第二层级</w:t>
            </w:r>
          </w:p>
        </w:tc>
        <w:tc>
          <w:tcPr>
            <w:tcW w:w="144" w:type="dxa"/>
            <w:tcBorders>
              <w:top w:val="nil" w:sz="6" w:space="0" w:color="auto"/>
              <w:left w:val="nil" w:sz="6" w:space="0" w:color="auto"/>
              <w:bottom w:val="nil" w:sz="6" w:space="0" w:color="auto"/>
              <w:right w:val="nil" w:sz="6" w:space="0" w:color="auto"/>
            </w:tcBorders>
          </w:tcPr>
          <w:p>
            <w:pPr/>
          </w:p>
        </w:tc>
        <w:tc>
          <w:tcPr>
            <w:tcW w:w="1188"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40" w:lineRule="auto"/>
              <w:ind w:right="53"/>
              <w:jc w:val="right"/>
              <w:rPr>
                <w:rFonts w:ascii="宋体" w:hAnsi="宋体" w:cs="宋体" w:eastAsia="宋体" w:hint="default"/>
                <w:sz w:val="24"/>
                <w:szCs w:val="24"/>
              </w:rPr>
            </w:pPr>
            <w:r>
              <w:rPr>
                <w:rFonts w:ascii="宋体" w:hAnsi="宋体" w:cs="宋体" w:eastAsia="宋体" w:hint="default"/>
                <w:sz w:val="24"/>
                <w:szCs w:val="24"/>
              </w:rPr>
              <w:t>第三层级</w:t>
            </w:r>
          </w:p>
        </w:tc>
        <w:tc>
          <w:tcPr>
            <w:tcW w:w="135" w:type="dxa"/>
            <w:tcBorders>
              <w:top w:val="nil" w:sz="6" w:space="0" w:color="auto"/>
              <w:left w:val="nil" w:sz="6" w:space="0" w:color="auto"/>
              <w:bottom w:val="nil" w:sz="6" w:space="0" w:color="auto"/>
              <w:right w:val="nil" w:sz="6" w:space="0" w:color="auto"/>
            </w:tcBorders>
          </w:tcPr>
          <w:p>
            <w:pPr/>
          </w:p>
        </w:tc>
        <w:tc>
          <w:tcPr>
            <w:tcW w:w="1118"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40" w:lineRule="auto"/>
              <w:ind w:right="55"/>
              <w:jc w:val="right"/>
              <w:rPr>
                <w:rFonts w:ascii="宋体" w:hAnsi="宋体" w:cs="宋体" w:eastAsia="宋体" w:hint="default"/>
                <w:sz w:val="24"/>
                <w:szCs w:val="24"/>
              </w:rPr>
            </w:pPr>
            <w:r>
              <w:rPr>
                <w:rFonts w:ascii="宋体" w:hAnsi="宋体" w:cs="宋体" w:eastAsia="宋体" w:hint="default"/>
                <w:sz w:val="24"/>
                <w:szCs w:val="24"/>
              </w:rPr>
              <w:t>合计</w:t>
            </w:r>
          </w:p>
        </w:tc>
      </w:tr>
      <w:tr>
        <w:trPr>
          <w:trHeight w:val="57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00" w:right="0"/>
              <w:jc w:val="left"/>
              <w:rPr>
                <w:rFonts w:ascii="Arial" w:hAnsi="Arial" w:cs="Arial" w:eastAsia="Arial" w:hint="default"/>
                <w:sz w:val="24"/>
                <w:szCs w:val="24"/>
              </w:rPr>
            </w:pPr>
            <w:r>
              <w:rPr>
                <w:rFonts w:ascii="宋体" w:hAnsi="宋体" w:cs="宋体" w:eastAsia="宋体" w:hint="default"/>
                <w:sz w:val="24"/>
                <w:szCs w:val="24"/>
              </w:rPr>
              <w:t>金融负债 </w:t>
            </w:r>
            <w:r>
              <w:rPr>
                <w:rFonts w:ascii="Arial" w:hAnsi="Arial" w:cs="Arial" w:eastAsia="Arial" w:hint="default"/>
                <w:sz w:val="24"/>
                <w:szCs w:val="24"/>
              </w:rPr>
              <w:t>-</w:t>
            </w:r>
          </w:p>
        </w:tc>
        <w:tc>
          <w:tcPr>
            <w:tcW w:w="1284"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
        </w:tc>
      </w:tr>
      <w:tr>
        <w:trPr>
          <w:trHeight w:val="391"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327" w:lineRule="exact"/>
              <w:ind w:left="377" w:right="0"/>
              <w:jc w:val="left"/>
              <w:rPr>
                <w:rFonts w:ascii="Arial" w:hAnsi="Arial" w:cs="Arial" w:eastAsia="Arial" w:hint="default"/>
                <w:sz w:val="24"/>
                <w:szCs w:val="24"/>
              </w:rPr>
            </w:pPr>
            <w:r>
              <w:rPr>
                <w:rFonts w:ascii="宋体" w:hAnsi="宋体" w:cs="宋体" w:eastAsia="宋体" w:hint="default"/>
                <w:sz w:val="24"/>
                <w:szCs w:val="24"/>
              </w:rPr>
              <w:t>其他非流动负债</w:t>
            </w:r>
            <w:r>
              <w:rPr>
                <w:rFonts w:ascii="Arial" w:hAnsi="Arial" w:cs="Arial" w:eastAsia="Arial" w:hint="default"/>
                <w:sz w:val="24"/>
                <w:szCs w:val="24"/>
              </w:rPr>
              <w:t>-</w:t>
            </w:r>
          </w:p>
        </w:tc>
        <w:tc>
          <w:tcPr>
            <w:tcW w:w="1284"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
        </w:tc>
      </w:tr>
      <w:tr>
        <w:trPr>
          <w:trHeight w:val="401"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327" w:lineRule="exact"/>
              <w:ind w:right="727"/>
              <w:jc w:val="right"/>
              <w:rPr>
                <w:rFonts w:ascii="Arial" w:hAnsi="Arial" w:cs="Arial" w:eastAsia="Arial" w:hint="default"/>
                <w:sz w:val="24"/>
                <w:szCs w:val="24"/>
              </w:rPr>
            </w:pPr>
            <w:r>
              <w:rPr>
                <w:rFonts w:ascii="宋体" w:hAnsi="宋体" w:cs="宋体" w:eastAsia="宋体" w:hint="default"/>
                <w:w w:val="95"/>
                <w:sz w:val="24"/>
                <w:szCs w:val="24"/>
              </w:rPr>
              <w:t>远期外汇合约</w:t>
            </w:r>
            <w:r>
              <w:rPr>
                <w:rFonts w:ascii="Arial" w:hAnsi="Arial" w:cs="Arial" w:eastAsia="Arial" w:hint="default"/>
                <w:w w:val="95"/>
                <w:sz w:val="24"/>
                <w:szCs w:val="24"/>
              </w:rPr>
              <w:t>(b)</w:t>
            </w:r>
            <w:r>
              <w:rPr>
                <w:rFonts w:ascii="Arial" w:hAnsi="Arial" w:cs="Arial" w:eastAsia="Arial" w:hint="default"/>
                <w:sz w:val="24"/>
                <w:szCs w:val="24"/>
              </w:rPr>
            </w:r>
          </w:p>
        </w:tc>
        <w:tc>
          <w:tcPr>
            <w:tcW w:w="1284"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52"/>
              <w:jc w:val="right"/>
              <w:rPr>
                <w:rFonts w:ascii="Arial" w:hAnsi="Arial" w:cs="Arial" w:eastAsia="Arial" w:hint="default"/>
                <w:sz w:val="24"/>
                <w:szCs w:val="24"/>
              </w:rPr>
            </w:pPr>
            <w:r>
              <w:rPr>
                <w:rFonts w:ascii="Arial"/>
                <w:w w:val="99"/>
                <w:sz w:val="24"/>
              </w:rPr>
              <w:t>-</w:t>
            </w:r>
            <w:r>
              <w:rPr>
                <w:rFonts w:ascii="Arial"/>
                <w:sz w:val="24"/>
              </w:rPr>
            </w:r>
          </w:p>
        </w:tc>
        <w:tc>
          <w:tcPr>
            <w:tcW w:w="13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52"/>
              <w:jc w:val="right"/>
              <w:rPr>
                <w:rFonts w:ascii="Arial" w:hAnsi="Arial" w:cs="Arial" w:eastAsia="Arial" w:hint="default"/>
                <w:sz w:val="24"/>
                <w:szCs w:val="24"/>
              </w:rPr>
            </w:pPr>
            <w:r>
              <w:rPr>
                <w:rFonts w:ascii="Arial"/>
                <w:spacing w:val="-1"/>
                <w:sz w:val="24"/>
              </w:rPr>
              <w:t>3,826</w:t>
            </w:r>
          </w:p>
        </w:tc>
        <w:tc>
          <w:tcPr>
            <w:tcW w:w="14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52"/>
              <w:jc w:val="right"/>
              <w:rPr>
                <w:rFonts w:ascii="Arial" w:hAnsi="Arial" w:cs="Arial" w:eastAsia="Arial" w:hint="default"/>
                <w:sz w:val="24"/>
                <w:szCs w:val="24"/>
              </w:rPr>
            </w:pPr>
            <w:r>
              <w:rPr>
                <w:rFonts w:ascii="Arial"/>
                <w:w w:val="99"/>
                <w:sz w:val="24"/>
              </w:rPr>
              <w:t>-</w:t>
            </w:r>
            <w:r>
              <w:rPr>
                <w:rFonts w:ascii="Arial"/>
                <w:sz w:val="24"/>
              </w:rPr>
            </w:r>
          </w:p>
        </w:tc>
        <w:tc>
          <w:tcPr>
            <w:tcW w:w="135"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54"/>
              <w:jc w:val="right"/>
              <w:rPr>
                <w:rFonts w:ascii="Arial" w:hAnsi="Arial" w:cs="Arial" w:eastAsia="Arial" w:hint="default"/>
                <w:sz w:val="24"/>
                <w:szCs w:val="24"/>
              </w:rPr>
            </w:pPr>
            <w:r>
              <w:rPr>
                <w:rFonts w:ascii="Arial"/>
                <w:spacing w:val="-1"/>
                <w:sz w:val="24"/>
              </w:rPr>
              <w:t>3,826</w:t>
            </w:r>
          </w:p>
        </w:tc>
      </w:tr>
    </w:tbl>
    <w:p>
      <w:pPr>
        <w:spacing w:after="0" w:line="240" w:lineRule="auto"/>
        <w:jc w:val="right"/>
        <w:rPr>
          <w:rFonts w:ascii="Arial" w:hAnsi="Arial" w:cs="Arial" w:eastAsia="Arial" w:hint="default"/>
          <w:sz w:val="24"/>
          <w:szCs w:val="24"/>
        </w:rPr>
        <w:sectPr>
          <w:footerReference w:type="default" r:id="rId106"/>
          <w:pgSz w:w="11910" w:h="16850"/>
          <w:pgMar w:footer="708" w:header="795" w:top="2020" w:bottom="900" w:left="1420" w:right="0"/>
          <w:pgNumType w:start="217"/>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5.039978pt;width:135.0pt;height:77pt;mso-position-horizontal-relative:page;mso-position-vertical-relative:page;z-index:4168" type="#_x0000_t75" stroked="false">
            <v:imagedata r:id="rId10" o:title=""/>
          </v:shape>
        </w:pict>
      </w:r>
    </w:p>
    <w:p>
      <w:pPr>
        <w:spacing w:line="240" w:lineRule="auto" w:before="4"/>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764"/>
        <w:gridCol w:w="2684"/>
        <w:gridCol w:w="1714"/>
        <w:gridCol w:w="1274"/>
        <w:gridCol w:w="144"/>
        <w:gridCol w:w="1133"/>
        <w:gridCol w:w="135"/>
        <w:gridCol w:w="1226"/>
      </w:tblGrid>
      <w:tr>
        <w:trPr>
          <w:trHeight w:val="415"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十一</w:t>
            </w:r>
          </w:p>
        </w:tc>
        <w:tc>
          <w:tcPr>
            <w:tcW w:w="2684" w:type="dxa"/>
            <w:tcBorders>
              <w:top w:val="nil" w:sz="6" w:space="0" w:color="auto"/>
              <w:left w:val="nil" w:sz="6" w:space="0" w:color="auto"/>
              <w:bottom w:val="nil" w:sz="6" w:space="0" w:color="auto"/>
              <w:right w:val="nil" w:sz="6" w:space="0" w:color="auto"/>
            </w:tcBorders>
          </w:tcPr>
          <w:p>
            <w:pPr>
              <w:pStyle w:val="TableParagraph"/>
              <w:spacing w:line="257" w:lineRule="exact"/>
              <w:ind w:left="83" w:right="0"/>
              <w:jc w:val="left"/>
              <w:rPr>
                <w:rFonts w:ascii="Arial" w:hAnsi="Arial" w:cs="Arial" w:eastAsia="Arial" w:hint="default"/>
                <w:sz w:val="24"/>
                <w:szCs w:val="24"/>
              </w:rPr>
            </w:pPr>
            <w:r>
              <w:rPr>
                <w:rFonts w:ascii="黑体" w:hAnsi="黑体" w:cs="黑体" w:eastAsia="黑体" w:hint="default"/>
                <w:sz w:val="24"/>
                <w:szCs w:val="24"/>
              </w:rPr>
              <w:t>金融工具及其风险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1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
        </w:tc>
      </w:tr>
      <w:tr>
        <w:trPr>
          <w:trHeight w:val="587"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00" w:right="0"/>
              <w:jc w:val="left"/>
              <w:rPr>
                <w:rFonts w:ascii="Arial" w:hAnsi="Arial" w:cs="Arial" w:eastAsia="Arial" w:hint="default"/>
                <w:sz w:val="24"/>
                <w:szCs w:val="24"/>
              </w:rPr>
            </w:pPr>
            <w:r>
              <w:rPr>
                <w:rFonts w:ascii="Arial"/>
                <w:sz w:val="24"/>
              </w:rPr>
              <w:t>(4)</w:t>
            </w: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83" w:right="0"/>
              <w:jc w:val="left"/>
              <w:rPr>
                <w:rFonts w:ascii="Arial" w:hAnsi="Arial" w:cs="Arial" w:eastAsia="Arial" w:hint="default"/>
                <w:sz w:val="24"/>
                <w:szCs w:val="24"/>
              </w:rPr>
            </w:pPr>
            <w:r>
              <w:rPr>
                <w:rFonts w:ascii="黑体" w:hAnsi="黑体" w:cs="黑体" w:eastAsia="黑体" w:hint="default"/>
                <w:sz w:val="24"/>
                <w:szCs w:val="24"/>
              </w:rPr>
              <w:t>公允价值</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1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
        </w:tc>
      </w:tr>
      <w:tr>
        <w:trPr>
          <w:trHeight w:val="592"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(b)</w:t>
            </w:r>
          </w:p>
        </w:tc>
        <w:tc>
          <w:tcPr>
            <w:tcW w:w="43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83" w:right="0"/>
              <w:jc w:val="left"/>
              <w:rPr>
                <w:rFonts w:ascii="Arial" w:hAnsi="Arial" w:cs="Arial" w:eastAsia="Arial" w:hint="default"/>
                <w:sz w:val="24"/>
                <w:szCs w:val="24"/>
              </w:rPr>
            </w:pPr>
            <w:r>
              <w:rPr>
                <w:rFonts w:ascii="宋体" w:hAnsi="宋体" w:cs="宋体" w:eastAsia="宋体" w:hint="default"/>
                <w:sz w:val="24"/>
                <w:szCs w:val="24"/>
              </w:rPr>
              <w:t>以公允价值作为后续计量的金融工具</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27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
        </w:tc>
      </w:tr>
      <w:tr>
        <w:trPr>
          <w:trHeight w:val="892" w:hRule="exact"/>
        </w:trPr>
        <w:tc>
          <w:tcPr>
            <w:tcW w:w="764" w:type="dxa"/>
            <w:tcBorders>
              <w:top w:val="nil" w:sz="6" w:space="0" w:color="auto"/>
              <w:left w:val="nil" w:sz="6" w:space="0" w:color="auto"/>
              <w:bottom w:val="nil" w:sz="6" w:space="0" w:color="auto"/>
              <w:right w:val="nil" w:sz="6" w:space="0" w:color="auto"/>
            </w:tcBorders>
          </w:tcPr>
          <w:p>
            <w:pPr/>
          </w:p>
        </w:tc>
        <w:tc>
          <w:tcPr>
            <w:tcW w:w="8310" w:type="dxa"/>
            <w:gridSpan w:val="7"/>
            <w:tcBorders>
              <w:top w:val="nil" w:sz="6" w:space="0" w:color="auto"/>
              <w:left w:val="nil" w:sz="6" w:space="0" w:color="auto"/>
              <w:bottom w:val="nil" w:sz="6" w:space="0" w:color="auto"/>
              <w:right w:val="nil" w:sz="6" w:space="0" w:color="auto"/>
            </w:tcBorders>
          </w:tcPr>
          <w:p>
            <w:pPr>
              <w:pStyle w:val="TableParagraph"/>
              <w:spacing w:line="310" w:lineRule="exact" w:before="126"/>
              <w:ind w:left="79" w:right="77" w:firstLine="4"/>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pacing w:val="-5"/>
                <w:sz w:val="24"/>
                <w:szCs w:val="24"/>
              </w:rPr>
              <w:t>2011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z w:val="24"/>
                <w:szCs w:val="24"/>
              </w:rPr>
              <w:t>日，以公允价值作为后续计量的金融资产按上述三个层级 列示如下：</w:t>
            </w:r>
          </w:p>
        </w:tc>
      </w:tr>
      <w:tr>
        <w:trPr>
          <w:trHeight w:val="588" w:hRule="exact"/>
        </w:trPr>
        <w:tc>
          <w:tcPr>
            <w:tcW w:w="764"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7"/>
              <w:jc w:val="right"/>
              <w:rPr>
                <w:rFonts w:ascii="宋体" w:hAnsi="宋体" w:cs="宋体" w:eastAsia="宋体" w:hint="default"/>
                <w:sz w:val="24"/>
                <w:szCs w:val="24"/>
              </w:rPr>
            </w:pPr>
            <w:r>
              <w:rPr>
                <w:rFonts w:ascii="宋体" w:hAnsi="宋体" w:cs="宋体" w:eastAsia="宋体" w:hint="default"/>
                <w:sz w:val="24"/>
                <w:szCs w:val="24"/>
              </w:rPr>
              <w:t>第一层级</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3"/>
              <w:jc w:val="right"/>
              <w:rPr>
                <w:rFonts w:ascii="宋体" w:hAnsi="宋体" w:cs="宋体" w:eastAsia="宋体" w:hint="default"/>
                <w:sz w:val="24"/>
                <w:szCs w:val="24"/>
              </w:rPr>
            </w:pPr>
            <w:r>
              <w:rPr>
                <w:rFonts w:ascii="宋体" w:hAnsi="宋体" w:cs="宋体" w:eastAsia="宋体" w:hint="default"/>
                <w:sz w:val="24"/>
                <w:szCs w:val="24"/>
              </w:rPr>
              <w:t>第二层级</w:t>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3"/>
              <w:jc w:val="right"/>
              <w:rPr>
                <w:rFonts w:ascii="宋体" w:hAnsi="宋体" w:cs="宋体" w:eastAsia="宋体" w:hint="default"/>
                <w:sz w:val="24"/>
                <w:szCs w:val="24"/>
              </w:rPr>
            </w:pPr>
            <w:r>
              <w:rPr>
                <w:rFonts w:ascii="宋体" w:hAnsi="宋体" w:cs="宋体" w:eastAsia="宋体" w:hint="default"/>
                <w:sz w:val="24"/>
                <w:szCs w:val="24"/>
              </w:rPr>
              <w:t>第三层级</w:t>
            </w:r>
          </w:p>
        </w:tc>
        <w:tc>
          <w:tcPr>
            <w:tcW w:w="135"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3"/>
              <w:jc w:val="right"/>
              <w:rPr>
                <w:rFonts w:ascii="宋体" w:hAnsi="宋体" w:cs="宋体" w:eastAsia="宋体" w:hint="default"/>
                <w:sz w:val="24"/>
                <w:szCs w:val="24"/>
              </w:rPr>
            </w:pPr>
            <w:r>
              <w:rPr>
                <w:rFonts w:ascii="宋体" w:hAnsi="宋体" w:cs="宋体" w:eastAsia="宋体" w:hint="default"/>
                <w:sz w:val="24"/>
                <w:szCs w:val="24"/>
              </w:rPr>
              <w:t>合计</w:t>
            </w:r>
          </w:p>
        </w:tc>
      </w:tr>
      <w:tr>
        <w:trPr>
          <w:trHeight w:val="455" w:hRule="exact"/>
        </w:trPr>
        <w:tc>
          <w:tcPr>
            <w:tcW w:w="764"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9" w:right="0"/>
              <w:jc w:val="left"/>
              <w:rPr>
                <w:rFonts w:ascii="Arial" w:hAnsi="Arial" w:cs="Arial" w:eastAsia="Arial" w:hint="default"/>
                <w:sz w:val="24"/>
                <w:szCs w:val="24"/>
              </w:rPr>
            </w:pPr>
            <w:r>
              <w:rPr>
                <w:rFonts w:ascii="宋体" w:hAnsi="宋体" w:cs="宋体" w:eastAsia="宋体" w:hint="default"/>
                <w:sz w:val="24"/>
                <w:szCs w:val="24"/>
              </w:rPr>
              <w:t>金融资产 </w:t>
            </w:r>
            <w:r>
              <w:rPr>
                <w:rFonts w:ascii="Arial" w:hAnsi="Arial" w:cs="Arial" w:eastAsia="Arial" w:hint="default"/>
                <w:sz w:val="24"/>
                <w:szCs w:val="24"/>
              </w:rPr>
              <w:t>-</w:t>
            </w:r>
          </w:p>
        </w:tc>
        <w:tc>
          <w:tcPr>
            <w:tcW w:w="171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
        </w:tc>
      </w:tr>
      <w:tr>
        <w:trPr>
          <w:trHeight w:val="307" w:hRule="exact"/>
        </w:trPr>
        <w:tc>
          <w:tcPr>
            <w:tcW w:w="764"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86" w:lineRule="exact"/>
              <w:ind w:left="256" w:right="0"/>
              <w:jc w:val="left"/>
              <w:rPr>
                <w:rFonts w:ascii="Arial" w:hAnsi="Arial" w:cs="Arial" w:eastAsia="Arial" w:hint="default"/>
                <w:sz w:val="24"/>
                <w:szCs w:val="24"/>
              </w:rPr>
            </w:pPr>
            <w:r>
              <w:rPr>
                <w:rFonts w:ascii="宋体" w:hAnsi="宋体" w:cs="宋体" w:eastAsia="宋体" w:hint="default"/>
                <w:sz w:val="24"/>
                <w:szCs w:val="24"/>
              </w:rPr>
              <w:t>可供出售金融资产</w:t>
            </w:r>
            <w:r>
              <w:rPr>
                <w:rFonts w:ascii="Arial" w:hAnsi="Arial" w:cs="Arial" w:eastAsia="Arial" w:hint="default"/>
                <w:sz w:val="24"/>
                <w:szCs w:val="24"/>
              </w:rPr>
              <w:t>-</w:t>
            </w:r>
          </w:p>
        </w:tc>
        <w:tc>
          <w:tcPr>
            <w:tcW w:w="171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
        </w:tc>
      </w:tr>
      <w:tr>
        <w:trPr>
          <w:trHeight w:val="326" w:hRule="exact"/>
        </w:trPr>
        <w:tc>
          <w:tcPr>
            <w:tcW w:w="764"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91" w:lineRule="exact"/>
              <w:ind w:left="515" w:right="0"/>
              <w:jc w:val="left"/>
              <w:rPr>
                <w:rFonts w:ascii="Arial" w:hAnsi="Arial" w:cs="Arial" w:eastAsia="Arial" w:hint="default"/>
                <w:sz w:val="24"/>
                <w:szCs w:val="24"/>
              </w:rPr>
            </w:pPr>
            <w:r>
              <w:rPr>
                <w:rFonts w:ascii="宋体" w:hAnsi="宋体" w:cs="宋体" w:eastAsia="宋体" w:hint="default"/>
                <w:sz w:val="24"/>
                <w:szCs w:val="24"/>
              </w:rPr>
              <w:t>股票投资</w:t>
            </w:r>
            <w:r>
              <w:rPr>
                <w:rFonts w:ascii="Arial" w:hAnsi="Arial" w:cs="Arial" w:eastAsia="Arial" w:hint="default"/>
                <w:sz w:val="24"/>
                <w:szCs w:val="24"/>
              </w:rPr>
              <w:t>(a)</w:t>
            </w:r>
          </w:p>
        </w:tc>
        <w:tc>
          <w:tcPr>
            <w:tcW w:w="1714"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31"/>
              <w:ind w:right="196"/>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1,764</w:t>
            </w:r>
            <w:r>
              <w:rPr>
                <w:rFonts w:ascii="Arial"/>
                <w:spacing w:val="-1"/>
                <w:sz w:val="24"/>
              </w:rPr>
            </w:r>
          </w:p>
        </w:tc>
        <w:tc>
          <w:tcPr>
            <w:tcW w:w="1274" w:type="dxa"/>
            <w:tcBorders>
              <w:top w:val="nil" w:sz="6" w:space="0" w:color="auto"/>
              <w:left w:val="nil" w:sz="6" w:space="0" w:color="auto"/>
              <w:bottom w:val="single" w:sz="12" w:space="0" w:color="000000"/>
              <w:right w:val="nil" w:sz="6" w:space="0" w:color="auto"/>
            </w:tcBorders>
          </w:tcPr>
          <w:p>
            <w:pPr>
              <w:pStyle w:val="TableParagraph"/>
              <w:spacing w:line="272" w:lineRule="exact"/>
              <w:ind w:right="52"/>
              <w:jc w:val="right"/>
              <w:rPr>
                <w:rFonts w:ascii="Arial" w:hAnsi="Arial" w:cs="Arial" w:eastAsia="Arial" w:hint="default"/>
                <w:sz w:val="24"/>
                <w:szCs w:val="24"/>
              </w:rPr>
            </w:pPr>
            <w:r>
              <w:rPr>
                <w:rFonts w:ascii="Arial"/>
                <w:w w:val="99"/>
                <w:sz w:val="24"/>
              </w:rPr>
              <w:t>-</w:t>
            </w:r>
            <w:r>
              <w:rPr>
                <w:rFonts w:ascii="Arial"/>
                <w:sz w:val="24"/>
              </w:rPr>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12" w:space="0" w:color="000000"/>
              <w:right w:val="nil" w:sz="6" w:space="0" w:color="auto"/>
            </w:tcBorders>
          </w:tcPr>
          <w:p>
            <w:pPr>
              <w:pStyle w:val="TableParagraph"/>
              <w:spacing w:line="272" w:lineRule="exact"/>
              <w:ind w:right="52"/>
              <w:jc w:val="right"/>
              <w:rPr>
                <w:rFonts w:ascii="Arial" w:hAnsi="Arial" w:cs="Arial" w:eastAsia="Arial" w:hint="default"/>
                <w:sz w:val="24"/>
                <w:szCs w:val="24"/>
              </w:rPr>
            </w:pPr>
            <w:r>
              <w:rPr>
                <w:rFonts w:ascii="Arial"/>
                <w:w w:val="99"/>
                <w:sz w:val="24"/>
              </w:rPr>
              <w:t>-</w:t>
            </w:r>
            <w:r>
              <w:rPr>
                <w:rFonts w:ascii="Arial"/>
                <w:sz w:val="24"/>
              </w:rPr>
            </w:r>
          </w:p>
        </w:tc>
        <w:tc>
          <w:tcPr>
            <w:tcW w:w="135"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52"/>
              <w:jc w:val="right"/>
              <w:rPr>
                <w:rFonts w:ascii="Arial" w:hAnsi="Arial" w:cs="Arial" w:eastAsia="Arial" w:hint="default"/>
                <w:sz w:val="24"/>
                <w:szCs w:val="24"/>
              </w:rPr>
            </w:pPr>
            <w:r>
              <w:rPr>
                <w:rFonts w:ascii="Arial"/>
                <w:spacing w:val="-1"/>
                <w:sz w:val="24"/>
              </w:rPr>
              <w:t>1,764</w:t>
            </w:r>
          </w:p>
        </w:tc>
      </w:tr>
      <w:tr>
        <w:trPr>
          <w:trHeight w:val="1476" w:hRule="exact"/>
        </w:trPr>
        <w:tc>
          <w:tcPr>
            <w:tcW w:w="764" w:type="dxa"/>
            <w:tcBorders>
              <w:top w:val="nil" w:sz="6" w:space="0" w:color="auto"/>
              <w:left w:val="nil" w:sz="6" w:space="0" w:color="auto"/>
              <w:bottom w:val="nil" w:sz="6" w:space="0" w:color="auto"/>
              <w:right w:val="nil" w:sz="6" w:space="0" w:color="auto"/>
            </w:tcBorders>
          </w:tcPr>
          <w:p>
            <w:pPr/>
          </w:p>
        </w:tc>
        <w:tc>
          <w:tcPr>
            <w:tcW w:w="8310"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2" w:lineRule="exact"/>
              <w:ind w:left="427" w:right="53" w:hanging="334"/>
              <w:jc w:val="left"/>
              <w:rPr>
                <w:rFonts w:ascii="宋体" w:hAnsi="宋体" w:cs="宋体" w:eastAsia="宋体" w:hint="default"/>
                <w:sz w:val="24"/>
                <w:szCs w:val="24"/>
              </w:rPr>
            </w:pPr>
            <w:r>
              <w:rPr>
                <w:rFonts w:ascii="Arial" w:hAnsi="Arial" w:cs="Arial" w:eastAsia="Arial" w:hint="default"/>
                <w:sz w:val="24"/>
                <w:szCs w:val="24"/>
              </w:rPr>
              <w:t>(a) </w:t>
            </w:r>
            <w:r>
              <w:rPr>
                <w:rFonts w:ascii="宋体" w:hAnsi="宋体" w:cs="宋体" w:eastAsia="宋体" w:hint="default"/>
                <w:sz w:val="24"/>
                <w:szCs w:val="24"/>
              </w:rPr>
              <w:t>该金融资产为本集团子公司 </w:t>
            </w:r>
            <w:r>
              <w:rPr>
                <w:rFonts w:ascii="Arial" w:hAnsi="Arial" w:cs="Arial" w:eastAsia="Arial" w:hint="default"/>
                <w:sz w:val="24"/>
                <w:szCs w:val="24"/>
              </w:rPr>
              <w:t>LAOX</w:t>
            </w:r>
            <w:r>
              <w:rPr>
                <w:rFonts w:ascii="Arial" w:hAnsi="Arial" w:cs="Arial" w:eastAsia="Arial" w:hint="default"/>
                <w:spacing w:val="10"/>
                <w:sz w:val="24"/>
                <w:szCs w:val="24"/>
              </w:rPr>
              <w:t> </w:t>
            </w:r>
            <w:r>
              <w:rPr>
                <w:rFonts w:ascii="宋体" w:hAnsi="宋体" w:cs="宋体" w:eastAsia="宋体" w:hint="default"/>
                <w:sz w:val="24"/>
                <w:szCs w:val="24"/>
              </w:rPr>
              <w:t>株式会社购买的股票投资，该股票投资 存在活跃的市场，以活跃市场中的报价确定其公允价值。</w:t>
            </w: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宋体" w:hAnsi="宋体" w:cs="宋体" w:eastAsia="宋体" w:hint="default"/>
                <w:sz w:val="24"/>
                <w:szCs w:val="24"/>
              </w:rPr>
            </w:pPr>
            <w:r>
              <w:rPr>
                <w:rFonts w:ascii="Arial" w:hAnsi="Arial" w:cs="Arial" w:eastAsia="Arial" w:hint="default"/>
                <w:sz w:val="24"/>
                <w:szCs w:val="24"/>
              </w:rPr>
              <w:t>(b)</w:t>
            </w:r>
            <w:r>
              <w:rPr>
                <w:rFonts w:ascii="Arial" w:hAnsi="Arial" w:cs="Arial" w:eastAsia="Arial" w:hint="default"/>
                <w:spacing w:val="-28"/>
                <w:sz w:val="24"/>
                <w:szCs w:val="24"/>
              </w:rPr>
              <w:t> </w:t>
            </w:r>
            <w:r>
              <w:rPr>
                <w:rFonts w:ascii="宋体" w:hAnsi="宋体" w:cs="宋体" w:eastAsia="宋体" w:hint="default"/>
                <w:sz w:val="24"/>
                <w:szCs w:val="24"/>
              </w:rPr>
              <w:t>该金融负债为本集团香港子公司与银行签订的远期外汇合约。</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802"/>
        <w:gridCol w:w="1849"/>
        <w:gridCol w:w="1194"/>
        <w:gridCol w:w="1422"/>
        <w:gridCol w:w="1582"/>
        <w:gridCol w:w="1087"/>
        <w:gridCol w:w="1196"/>
      </w:tblGrid>
      <w:tr>
        <w:trPr>
          <w:trHeight w:val="410"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十二</w:t>
            </w:r>
          </w:p>
        </w:tc>
        <w:tc>
          <w:tcPr>
            <w:tcW w:w="4464"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黑体" w:hAnsi="黑体" w:cs="黑体" w:eastAsia="黑体" w:hint="default"/>
                <w:sz w:val="24"/>
                <w:szCs w:val="24"/>
              </w:rPr>
            </w:pPr>
            <w:r>
              <w:rPr>
                <w:rFonts w:ascii="黑体" w:hAnsi="黑体" w:cs="黑体" w:eastAsia="黑体" w:hint="default"/>
                <w:sz w:val="24"/>
                <w:szCs w:val="24"/>
              </w:rPr>
              <w:t>以公允价值计量的资产和负债</w:t>
            </w:r>
          </w:p>
        </w:tc>
        <w:tc>
          <w:tcPr>
            <w:tcW w:w="1582"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r>
      <w:tr>
        <w:trPr>
          <w:trHeight w:val="717" w:hRule="exact"/>
        </w:trPr>
        <w:tc>
          <w:tcPr>
            <w:tcW w:w="802"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241" w:lineRule="exact" w:before="114"/>
              <w:ind w:left="388"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1" w:lineRule="exact"/>
              <w:ind w:left="10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422" w:type="dxa"/>
            <w:tcBorders>
              <w:top w:val="nil" w:sz="6" w:space="0" w:color="auto"/>
              <w:left w:val="nil" w:sz="6" w:space="0" w:color="auto"/>
              <w:bottom w:val="nil" w:sz="6" w:space="0" w:color="auto"/>
              <w:right w:val="nil" w:sz="6" w:space="0" w:color="auto"/>
            </w:tcBorders>
          </w:tcPr>
          <w:p>
            <w:pPr>
              <w:pStyle w:val="TableParagraph"/>
              <w:spacing w:line="232" w:lineRule="exact" w:before="139"/>
              <w:ind w:left="370" w:right="148" w:hanging="180"/>
              <w:jc w:val="left"/>
              <w:rPr>
                <w:rFonts w:ascii="宋体" w:hAnsi="宋体" w:cs="宋体" w:eastAsia="宋体" w:hint="default"/>
                <w:sz w:val="18"/>
                <w:szCs w:val="18"/>
              </w:rPr>
            </w:pPr>
            <w:r>
              <w:rPr>
                <w:rFonts w:ascii="宋体" w:hAnsi="宋体" w:cs="宋体" w:eastAsia="宋体" w:hint="default"/>
                <w:sz w:val="18"/>
                <w:szCs w:val="18"/>
              </w:rPr>
              <w:t>本年度公允价 值变动损失</w:t>
            </w:r>
          </w:p>
        </w:tc>
        <w:tc>
          <w:tcPr>
            <w:tcW w:w="1582" w:type="dxa"/>
            <w:tcBorders>
              <w:top w:val="nil" w:sz="6" w:space="0" w:color="auto"/>
              <w:left w:val="nil" w:sz="6" w:space="0" w:color="auto"/>
              <w:bottom w:val="nil" w:sz="6" w:space="0" w:color="auto"/>
              <w:right w:val="nil" w:sz="6" w:space="0" w:color="auto"/>
            </w:tcBorders>
          </w:tcPr>
          <w:p>
            <w:pPr>
              <w:pStyle w:val="TableParagraph"/>
              <w:spacing w:line="232" w:lineRule="exact" w:before="139"/>
              <w:ind w:left="329" w:right="170" w:hanging="18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087" w:type="dxa"/>
            <w:tcBorders>
              <w:top w:val="nil" w:sz="6" w:space="0" w:color="auto"/>
              <w:left w:val="nil" w:sz="6" w:space="0" w:color="auto"/>
              <w:bottom w:val="nil" w:sz="6" w:space="0" w:color="auto"/>
              <w:right w:val="nil" w:sz="6" w:space="0" w:color="auto"/>
            </w:tcBorders>
          </w:tcPr>
          <w:p>
            <w:pPr>
              <w:pStyle w:val="TableParagraph"/>
              <w:spacing w:line="232" w:lineRule="exact" w:before="139"/>
              <w:ind w:left="170" w:right="194"/>
              <w:jc w:val="left"/>
              <w:rPr>
                <w:rFonts w:ascii="宋体" w:hAnsi="宋体" w:cs="宋体" w:eastAsia="宋体" w:hint="default"/>
                <w:sz w:val="18"/>
                <w:szCs w:val="18"/>
              </w:rPr>
            </w:pPr>
            <w:r>
              <w:rPr>
                <w:rFonts w:ascii="宋体" w:hAnsi="宋体" w:cs="宋体" w:eastAsia="宋体" w:hint="default"/>
                <w:sz w:val="18"/>
                <w:szCs w:val="18"/>
              </w:rPr>
              <w:t>本年度计 提的减值</w:t>
            </w:r>
          </w:p>
        </w:tc>
        <w:tc>
          <w:tcPr>
            <w:tcW w:w="1196" w:type="dxa"/>
            <w:tcBorders>
              <w:top w:val="nil" w:sz="6" w:space="0" w:color="auto"/>
              <w:left w:val="nil" w:sz="6" w:space="0" w:color="auto"/>
              <w:bottom w:val="nil" w:sz="6" w:space="0" w:color="auto"/>
              <w:right w:val="nil" w:sz="6" w:space="0" w:color="auto"/>
            </w:tcBorders>
          </w:tcPr>
          <w:p>
            <w:pPr>
              <w:pStyle w:val="TableParagraph"/>
              <w:spacing w:line="241" w:lineRule="exact" w:before="114"/>
              <w:ind w:left="464"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1" w:lineRule="exact"/>
              <w:ind w:left="19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33" w:hRule="exact"/>
        </w:trPr>
        <w:tc>
          <w:tcPr>
            <w:tcW w:w="802"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94"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r>
      <w:tr>
        <w:trPr>
          <w:trHeight w:val="283" w:hRule="exact"/>
        </w:trPr>
        <w:tc>
          <w:tcPr>
            <w:tcW w:w="802"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73" w:lineRule="exact"/>
              <w:ind w:left="326" w:right="0"/>
              <w:jc w:val="left"/>
              <w:rPr>
                <w:rFonts w:ascii="宋体" w:hAnsi="宋体" w:cs="宋体" w:eastAsia="宋体" w:hint="default"/>
                <w:sz w:val="18"/>
                <w:szCs w:val="18"/>
              </w:rPr>
            </w:pPr>
            <w:r>
              <w:rPr>
                <w:rFonts w:ascii="Times New Roman" w:hAnsi="Times New Roman" w:cs="Times New Roman" w:eastAsia="Times New Roman" w:hint="default"/>
                <w:sz w:val="24"/>
                <w:szCs w:val="24"/>
              </w:rPr>
              <w:t>-</w:t>
            </w:r>
            <w:r>
              <w:rPr>
                <w:rFonts w:ascii="宋体" w:hAnsi="宋体" w:cs="宋体" w:eastAsia="宋体" w:hint="default"/>
                <w:sz w:val="18"/>
                <w:szCs w:val="18"/>
              </w:rPr>
              <w:t>股票投资</w:t>
            </w:r>
          </w:p>
        </w:tc>
        <w:tc>
          <w:tcPr>
            <w:tcW w:w="1194"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90"/>
              <w:jc w:val="right"/>
              <w:rPr>
                <w:rFonts w:ascii="Arial" w:hAnsi="Arial" w:cs="Arial" w:eastAsia="Arial" w:hint="default"/>
                <w:sz w:val="18"/>
                <w:szCs w:val="18"/>
              </w:rPr>
            </w:pPr>
            <w:r>
              <w:rPr>
                <w:rFonts w:ascii="Arial"/>
                <w:w w:val="95"/>
                <w:sz w:val="18"/>
              </w:rPr>
              <w:t>1,764</w:t>
            </w:r>
            <w:r>
              <w:rPr>
                <w:rFonts w:ascii="Arial"/>
                <w:sz w:val="18"/>
              </w:rPr>
            </w: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48"/>
              <w:jc w:val="right"/>
              <w:rPr>
                <w:rFonts w:ascii="Arial" w:hAnsi="Arial" w:cs="Arial" w:eastAsia="Arial" w:hint="default"/>
                <w:sz w:val="18"/>
                <w:szCs w:val="18"/>
              </w:rPr>
            </w:pPr>
            <w:r>
              <w:rPr>
                <w:rFonts w:ascii="Arial"/>
                <w:b/>
                <w:w w:val="99"/>
                <w:sz w:val="18"/>
              </w:rPr>
              <w:t>-</w:t>
            </w:r>
            <w:r>
              <w:rPr>
                <w:rFonts w:ascii="Arial"/>
                <w:sz w:val="18"/>
              </w:rPr>
            </w: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68"/>
              <w:jc w:val="right"/>
              <w:rPr>
                <w:rFonts w:ascii="Arial" w:hAnsi="Arial" w:cs="Arial" w:eastAsia="Arial" w:hint="default"/>
                <w:sz w:val="18"/>
                <w:szCs w:val="18"/>
              </w:rPr>
            </w:pPr>
            <w:r>
              <w:rPr>
                <w:rFonts w:ascii="Arial"/>
                <w:w w:val="95"/>
                <w:sz w:val="18"/>
              </w:rPr>
              <w:t>(449)</w:t>
            </w:r>
            <w:r>
              <w:rPr>
                <w:rFonts w:ascii="Arial"/>
                <w:sz w:val="18"/>
              </w:rPr>
            </w:r>
          </w:p>
        </w:tc>
        <w:tc>
          <w:tcPr>
            <w:tcW w:w="108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93"/>
              <w:jc w:val="right"/>
              <w:rPr>
                <w:rFonts w:ascii="Arial" w:hAnsi="Arial" w:cs="Arial" w:eastAsia="Arial" w:hint="default"/>
                <w:sz w:val="18"/>
                <w:szCs w:val="18"/>
              </w:rPr>
            </w:pPr>
            <w:r>
              <w:rPr>
                <w:rFonts w:ascii="Arial"/>
                <w:b/>
                <w:w w:val="99"/>
                <w:sz w:val="18"/>
              </w:rPr>
              <w:t>-</w:t>
            </w:r>
            <w:r>
              <w:rPr>
                <w:rFonts w:ascii="Arial"/>
                <w:sz w:val="18"/>
              </w:rPr>
            </w: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01"/>
              <w:jc w:val="right"/>
              <w:rPr>
                <w:rFonts w:ascii="Arial" w:hAnsi="Arial" w:cs="Arial" w:eastAsia="Arial" w:hint="default"/>
                <w:sz w:val="18"/>
                <w:szCs w:val="18"/>
              </w:rPr>
            </w:pPr>
            <w:r>
              <w:rPr>
                <w:rFonts w:ascii="Arial"/>
                <w:w w:val="95"/>
                <w:sz w:val="18"/>
              </w:rPr>
              <w:t>982</w:t>
            </w:r>
            <w:r>
              <w:rPr>
                <w:rFonts w:ascii="Arial"/>
                <w:sz w:val="18"/>
              </w:rPr>
            </w:r>
          </w:p>
        </w:tc>
      </w:tr>
      <w:tr>
        <w:trPr>
          <w:trHeight w:val="512" w:hRule="exact"/>
        </w:trPr>
        <w:tc>
          <w:tcPr>
            <w:tcW w:w="802"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94" w:type="dxa"/>
            <w:tcBorders>
              <w:top w:val="single" w:sz="4" w:space="0" w:color="000000"/>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
        </w:tc>
        <w:tc>
          <w:tcPr>
            <w:tcW w:w="1087" w:type="dxa"/>
            <w:tcBorders>
              <w:top w:val="single" w:sz="4" w:space="0" w:color="000000"/>
              <w:left w:val="nil" w:sz="6" w:space="0" w:color="auto"/>
              <w:bottom w:val="nil" w:sz="6" w:space="0" w:color="auto"/>
              <w:right w:val="nil" w:sz="6" w:space="0" w:color="auto"/>
            </w:tcBorders>
          </w:tcPr>
          <w:p>
            <w:pPr/>
          </w:p>
        </w:tc>
        <w:tc>
          <w:tcPr>
            <w:tcW w:w="1196" w:type="dxa"/>
            <w:tcBorders>
              <w:top w:val="single" w:sz="4" w:space="0" w:color="000000"/>
              <w:left w:val="nil" w:sz="6" w:space="0" w:color="auto"/>
              <w:bottom w:val="nil" w:sz="6" w:space="0" w:color="auto"/>
              <w:right w:val="nil" w:sz="6" w:space="0" w:color="auto"/>
            </w:tcBorders>
          </w:tcPr>
          <w:p>
            <w:pPr/>
          </w:p>
        </w:tc>
      </w:tr>
      <w:tr>
        <w:trPr>
          <w:trHeight w:val="294" w:hRule="exact"/>
        </w:trPr>
        <w:tc>
          <w:tcPr>
            <w:tcW w:w="802"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71" w:lineRule="exact"/>
              <w:ind w:left="326" w:right="0"/>
              <w:jc w:val="left"/>
              <w:rPr>
                <w:rFonts w:ascii="宋体" w:hAnsi="宋体" w:cs="宋体" w:eastAsia="宋体" w:hint="default"/>
                <w:sz w:val="18"/>
                <w:szCs w:val="18"/>
              </w:rPr>
            </w:pPr>
            <w:r>
              <w:rPr>
                <w:rFonts w:ascii="Times New Roman" w:hAnsi="Times New Roman" w:cs="Times New Roman" w:eastAsia="Times New Roman" w:hint="default"/>
                <w:sz w:val="24"/>
                <w:szCs w:val="24"/>
              </w:rPr>
              <w:t>-</w:t>
            </w:r>
            <w:r>
              <w:rPr>
                <w:rFonts w:ascii="宋体" w:hAnsi="宋体" w:cs="宋体" w:eastAsia="宋体" w:hint="default"/>
                <w:sz w:val="18"/>
                <w:szCs w:val="18"/>
              </w:rPr>
              <w:t>远期外汇合约</w:t>
            </w:r>
          </w:p>
        </w:tc>
        <w:tc>
          <w:tcPr>
            <w:tcW w:w="1194" w:type="dxa"/>
            <w:tcBorders>
              <w:top w:val="nil" w:sz="6" w:space="0" w:color="auto"/>
              <w:left w:val="nil" w:sz="6" w:space="0" w:color="auto"/>
              <w:bottom w:val="single" w:sz="12" w:space="0" w:color="000000"/>
              <w:right w:val="nil" w:sz="6" w:space="0" w:color="auto"/>
            </w:tcBorders>
          </w:tcPr>
          <w:p>
            <w:pPr>
              <w:pStyle w:val="TableParagraph"/>
              <w:spacing w:line="240" w:lineRule="auto" w:before="70"/>
              <w:ind w:right="191"/>
              <w:jc w:val="right"/>
              <w:rPr>
                <w:rFonts w:ascii="Arial" w:hAnsi="Arial" w:cs="Arial" w:eastAsia="Arial" w:hint="default"/>
                <w:sz w:val="18"/>
                <w:szCs w:val="18"/>
              </w:rPr>
            </w:pPr>
            <w:r>
              <w:rPr>
                <w:rFonts w:ascii="Arial"/>
                <w:w w:val="99"/>
                <w:sz w:val="18"/>
              </w:rPr>
              <w:t>-</w:t>
            </w:r>
            <w:r>
              <w:rPr>
                <w:rFonts w:ascii="Arial"/>
                <w:sz w:val="18"/>
              </w:rPr>
            </w:r>
          </w:p>
        </w:tc>
        <w:tc>
          <w:tcPr>
            <w:tcW w:w="1422" w:type="dxa"/>
            <w:tcBorders>
              <w:top w:val="nil" w:sz="6" w:space="0" w:color="auto"/>
              <w:left w:val="nil" w:sz="6" w:space="0" w:color="auto"/>
              <w:bottom w:val="single" w:sz="12" w:space="0" w:color="000000"/>
              <w:right w:val="nil" w:sz="6" w:space="0" w:color="auto"/>
            </w:tcBorders>
          </w:tcPr>
          <w:p>
            <w:pPr>
              <w:pStyle w:val="TableParagraph"/>
              <w:spacing w:line="240" w:lineRule="auto" w:before="70"/>
              <w:ind w:right="147"/>
              <w:jc w:val="right"/>
              <w:rPr>
                <w:rFonts w:ascii="Arial" w:hAnsi="Arial" w:cs="Arial" w:eastAsia="Arial" w:hint="default"/>
                <w:sz w:val="18"/>
                <w:szCs w:val="18"/>
              </w:rPr>
            </w:pPr>
            <w:r>
              <w:rPr>
                <w:rFonts w:ascii="Arial"/>
                <w:w w:val="95"/>
                <w:sz w:val="18"/>
              </w:rPr>
              <w:t>3,826</w:t>
            </w:r>
            <w:r>
              <w:rPr>
                <w:rFonts w:ascii="Arial"/>
                <w:sz w:val="18"/>
              </w:rPr>
            </w:r>
          </w:p>
        </w:tc>
        <w:tc>
          <w:tcPr>
            <w:tcW w:w="1582" w:type="dxa"/>
            <w:tcBorders>
              <w:top w:val="nil" w:sz="6" w:space="0" w:color="auto"/>
              <w:left w:val="nil" w:sz="6" w:space="0" w:color="auto"/>
              <w:bottom w:val="single" w:sz="12" w:space="0" w:color="000000"/>
              <w:right w:val="nil" w:sz="6" w:space="0" w:color="auto"/>
            </w:tcBorders>
          </w:tcPr>
          <w:p>
            <w:pPr>
              <w:pStyle w:val="TableParagraph"/>
              <w:spacing w:line="240" w:lineRule="auto" w:before="70"/>
              <w:ind w:right="170"/>
              <w:jc w:val="right"/>
              <w:rPr>
                <w:rFonts w:ascii="Arial" w:hAnsi="Arial" w:cs="Arial" w:eastAsia="Arial" w:hint="default"/>
                <w:sz w:val="18"/>
                <w:szCs w:val="18"/>
              </w:rPr>
            </w:pPr>
            <w:r>
              <w:rPr>
                <w:rFonts w:ascii="Arial"/>
                <w:w w:val="99"/>
                <w:sz w:val="18"/>
              </w:rPr>
              <w:t>-</w:t>
            </w:r>
            <w:r>
              <w:rPr>
                <w:rFonts w:ascii="Arial"/>
                <w:sz w:val="18"/>
              </w:rPr>
            </w:r>
          </w:p>
        </w:tc>
        <w:tc>
          <w:tcPr>
            <w:tcW w:w="1087"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193"/>
              <w:jc w:val="right"/>
              <w:rPr>
                <w:rFonts w:ascii="Arial" w:hAnsi="Arial" w:cs="Arial" w:eastAsia="Arial" w:hint="default"/>
                <w:sz w:val="18"/>
                <w:szCs w:val="18"/>
              </w:rPr>
            </w:pPr>
            <w:r>
              <w:rPr>
                <w:rFonts w:ascii="Arial"/>
                <w:b/>
                <w:w w:val="99"/>
                <w:sz w:val="18"/>
              </w:rPr>
              <w:t>-</w:t>
            </w:r>
            <w:r>
              <w:rPr>
                <w:rFonts w:ascii="Arial"/>
                <w:sz w:val="18"/>
              </w:rPr>
            </w:r>
          </w:p>
        </w:tc>
        <w:tc>
          <w:tcPr>
            <w:tcW w:w="1196" w:type="dxa"/>
            <w:tcBorders>
              <w:top w:val="nil" w:sz="6" w:space="0" w:color="auto"/>
              <w:left w:val="nil" w:sz="6" w:space="0" w:color="auto"/>
              <w:bottom w:val="single" w:sz="12" w:space="0" w:color="000000"/>
              <w:right w:val="nil" w:sz="6" w:space="0" w:color="auto"/>
            </w:tcBorders>
          </w:tcPr>
          <w:p>
            <w:pPr>
              <w:pStyle w:val="TableParagraph"/>
              <w:spacing w:line="240" w:lineRule="auto" w:before="70"/>
              <w:ind w:right="102"/>
              <w:jc w:val="right"/>
              <w:rPr>
                <w:rFonts w:ascii="Arial" w:hAnsi="Arial" w:cs="Arial" w:eastAsia="Arial" w:hint="default"/>
                <w:sz w:val="18"/>
                <w:szCs w:val="18"/>
              </w:rPr>
            </w:pPr>
            <w:r>
              <w:rPr>
                <w:rFonts w:ascii="Arial"/>
                <w:w w:val="95"/>
                <w:sz w:val="18"/>
              </w:rPr>
              <w:t>3,826</w:t>
            </w:r>
            <w:r>
              <w:rPr>
                <w:rFonts w:ascii="Arial"/>
                <w:sz w:val="18"/>
              </w:rPr>
            </w:r>
          </w:p>
        </w:tc>
      </w:tr>
    </w:tbl>
    <w:p>
      <w:pPr>
        <w:spacing w:line="240" w:lineRule="auto" w:before="9"/>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802"/>
        <w:gridCol w:w="1849"/>
        <w:gridCol w:w="1194"/>
        <w:gridCol w:w="1422"/>
        <w:gridCol w:w="1582"/>
        <w:gridCol w:w="1087"/>
        <w:gridCol w:w="1196"/>
      </w:tblGrid>
      <w:tr>
        <w:trPr>
          <w:trHeight w:val="410"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十三</w:t>
            </w:r>
          </w:p>
        </w:tc>
        <w:tc>
          <w:tcPr>
            <w:tcW w:w="4464"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黑体" w:hAnsi="黑体" w:cs="黑体" w:eastAsia="黑体" w:hint="default"/>
                <w:sz w:val="24"/>
                <w:szCs w:val="24"/>
              </w:rPr>
            </w:pPr>
            <w:r>
              <w:rPr>
                <w:rFonts w:ascii="黑体" w:hAnsi="黑体" w:cs="黑体" w:eastAsia="黑体" w:hint="default"/>
                <w:sz w:val="24"/>
                <w:szCs w:val="24"/>
              </w:rPr>
              <w:t>外币金融资产和外币金融负债</w:t>
            </w:r>
          </w:p>
        </w:tc>
        <w:tc>
          <w:tcPr>
            <w:tcW w:w="1582"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r>
      <w:tr>
        <w:trPr>
          <w:trHeight w:val="718" w:hRule="exact"/>
        </w:trPr>
        <w:tc>
          <w:tcPr>
            <w:tcW w:w="802"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241" w:lineRule="exact" w:before="114"/>
              <w:ind w:left="388"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1" w:lineRule="exact"/>
              <w:ind w:left="10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422" w:type="dxa"/>
            <w:tcBorders>
              <w:top w:val="nil" w:sz="6" w:space="0" w:color="auto"/>
              <w:left w:val="nil" w:sz="6" w:space="0" w:color="auto"/>
              <w:bottom w:val="nil" w:sz="6" w:space="0" w:color="auto"/>
              <w:right w:val="nil" w:sz="6" w:space="0" w:color="auto"/>
            </w:tcBorders>
          </w:tcPr>
          <w:p>
            <w:pPr>
              <w:pStyle w:val="TableParagraph"/>
              <w:spacing w:line="232" w:lineRule="exact" w:before="139"/>
              <w:ind w:left="370" w:right="148" w:hanging="180"/>
              <w:jc w:val="left"/>
              <w:rPr>
                <w:rFonts w:ascii="宋体" w:hAnsi="宋体" w:cs="宋体" w:eastAsia="宋体" w:hint="default"/>
                <w:sz w:val="18"/>
                <w:szCs w:val="18"/>
              </w:rPr>
            </w:pPr>
            <w:r>
              <w:rPr>
                <w:rFonts w:ascii="宋体" w:hAnsi="宋体" w:cs="宋体" w:eastAsia="宋体" w:hint="default"/>
                <w:sz w:val="18"/>
                <w:szCs w:val="18"/>
              </w:rPr>
              <w:t>本年度公允价 值变动损失</w:t>
            </w:r>
          </w:p>
        </w:tc>
        <w:tc>
          <w:tcPr>
            <w:tcW w:w="1582" w:type="dxa"/>
            <w:tcBorders>
              <w:top w:val="nil" w:sz="6" w:space="0" w:color="auto"/>
              <w:left w:val="nil" w:sz="6" w:space="0" w:color="auto"/>
              <w:bottom w:val="nil" w:sz="6" w:space="0" w:color="auto"/>
              <w:right w:val="nil" w:sz="6" w:space="0" w:color="auto"/>
            </w:tcBorders>
          </w:tcPr>
          <w:p>
            <w:pPr>
              <w:pStyle w:val="TableParagraph"/>
              <w:spacing w:line="232" w:lineRule="exact" w:before="139"/>
              <w:ind w:left="329" w:right="170" w:hanging="18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087" w:type="dxa"/>
            <w:tcBorders>
              <w:top w:val="nil" w:sz="6" w:space="0" w:color="auto"/>
              <w:left w:val="nil" w:sz="6" w:space="0" w:color="auto"/>
              <w:bottom w:val="nil" w:sz="6" w:space="0" w:color="auto"/>
              <w:right w:val="nil" w:sz="6" w:space="0" w:color="auto"/>
            </w:tcBorders>
          </w:tcPr>
          <w:p>
            <w:pPr>
              <w:pStyle w:val="TableParagraph"/>
              <w:spacing w:line="232" w:lineRule="exact" w:before="139"/>
              <w:ind w:left="170" w:right="194"/>
              <w:jc w:val="left"/>
              <w:rPr>
                <w:rFonts w:ascii="宋体" w:hAnsi="宋体" w:cs="宋体" w:eastAsia="宋体" w:hint="default"/>
                <w:sz w:val="18"/>
                <w:szCs w:val="18"/>
              </w:rPr>
            </w:pPr>
            <w:r>
              <w:rPr>
                <w:rFonts w:ascii="宋体" w:hAnsi="宋体" w:cs="宋体" w:eastAsia="宋体" w:hint="default"/>
                <w:sz w:val="18"/>
                <w:szCs w:val="18"/>
              </w:rPr>
              <w:t>本年度计 提的减值</w:t>
            </w:r>
          </w:p>
        </w:tc>
        <w:tc>
          <w:tcPr>
            <w:tcW w:w="1196" w:type="dxa"/>
            <w:tcBorders>
              <w:top w:val="nil" w:sz="6" w:space="0" w:color="auto"/>
              <w:left w:val="nil" w:sz="6" w:space="0" w:color="auto"/>
              <w:bottom w:val="nil" w:sz="6" w:space="0" w:color="auto"/>
              <w:right w:val="nil" w:sz="6" w:space="0" w:color="auto"/>
            </w:tcBorders>
          </w:tcPr>
          <w:p>
            <w:pPr>
              <w:pStyle w:val="TableParagraph"/>
              <w:spacing w:line="241" w:lineRule="exact" w:before="114"/>
              <w:ind w:left="464"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1" w:lineRule="exact"/>
              <w:ind w:left="19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33" w:hRule="exact"/>
        </w:trPr>
        <w:tc>
          <w:tcPr>
            <w:tcW w:w="802"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94"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r>
      <w:tr>
        <w:trPr>
          <w:trHeight w:val="282" w:hRule="exact"/>
        </w:trPr>
        <w:tc>
          <w:tcPr>
            <w:tcW w:w="802"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71" w:lineRule="exact"/>
              <w:ind w:left="326" w:right="0"/>
              <w:jc w:val="left"/>
              <w:rPr>
                <w:rFonts w:ascii="宋体" w:hAnsi="宋体" w:cs="宋体" w:eastAsia="宋体" w:hint="default"/>
                <w:sz w:val="18"/>
                <w:szCs w:val="18"/>
              </w:rPr>
            </w:pPr>
            <w:r>
              <w:rPr>
                <w:rFonts w:ascii="Times New Roman" w:hAnsi="Times New Roman" w:cs="Times New Roman" w:eastAsia="Times New Roman" w:hint="default"/>
                <w:sz w:val="24"/>
                <w:szCs w:val="24"/>
              </w:rPr>
              <w:t>-</w:t>
            </w:r>
            <w:r>
              <w:rPr>
                <w:rFonts w:ascii="宋体" w:hAnsi="宋体" w:cs="宋体" w:eastAsia="宋体" w:hint="default"/>
                <w:sz w:val="18"/>
                <w:szCs w:val="18"/>
              </w:rPr>
              <w:t>股票投资</w:t>
            </w:r>
          </w:p>
        </w:tc>
        <w:tc>
          <w:tcPr>
            <w:tcW w:w="1194"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90"/>
              <w:jc w:val="right"/>
              <w:rPr>
                <w:rFonts w:ascii="Arial" w:hAnsi="Arial" w:cs="Arial" w:eastAsia="Arial" w:hint="default"/>
                <w:sz w:val="18"/>
                <w:szCs w:val="18"/>
              </w:rPr>
            </w:pPr>
            <w:r>
              <w:rPr>
                <w:rFonts w:ascii="Arial"/>
                <w:w w:val="95"/>
                <w:sz w:val="18"/>
              </w:rPr>
              <w:t>1,764</w:t>
            </w:r>
            <w:r>
              <w:rPr>
                <w:rFonts w:ascii="Arial"/>
                <w:sz w:val="18"/>
              </w:rPr>
            </w: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48"/>
              <w:jc w:val="right"/>
              <w:rPr>
                <w:rFonts w:ascii="Arial" w:hAnsi="Arial" w:cs="Arial" w:eastAsia="Arial" w:hint="default"/>
                <w:sz w:val="18"/>
                <w:szCs w:val="18"/>
              </w:rPr>
            </w:pPr>
            <w:r>
              <w:rPr>
                <w:rFonts w:ascii="Arial"/>
                <w:b/>
                <w:w w:val="99"/>
                <w:sz w:val="18"/>
              </w:rPr>
              <w:t>-</w:t>
            </w:r>
            <w:r>
              <w:rPr>
                <w:rFonts w:ascii="Arial"/>
                <w:sz w:val="18"/>
              </w:rPr>
            </w: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68"/>
              <w:jc w:val="right"/>
              <w:rPr>
                <w:rFonts w:ascii="Arial" w:hAnsi="Arial" w:cs="Arial" w:eastAsia="Arial" w:hint="default"/>
                <w:sz w:val="18"/>
                <w:szCs w:val="18"/>
              </w:rPr>
            </w:pPr>
            <w:r>
              <w:rPr>
                <w:rFonts w:ascii="Arial"/>
                <w:w w:val="95"/>
                <w:sz w:val="18"/>
              </w:rPr>
              <w:t>(449)</w:t>
            </w:r>
            <w:r>
              <w:rPr>
                <w:rFonts w:ascii="Arial"/>
                <w:sz w:val="18"/>
              </w:rPr>
            </w:r>
          </w:p>
        </w:tc>
        <w:tc>
          <w:tcPr>
            <w:tcW w:w="1087"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93"/>
              <w:jc w:val="right"/>
              <w:rPr>
                <w:rFonts w:ascii="Arial" w:hAnsi="Arial" w:cs="Arial" w:eastAsia="Arial" w:hint="default"/>
                <w:sz w:val="18"/>
                <w:szCs w:val="18"/>
              </w:rPr>
            </w:pPr>
            <w:r>
              <w:rPr>
                <w:rFonts w:ascii="Arial"/>
                <w:b/>
                <w:w w:val="99"/>
                <w:sz w:val="18"/>
              </w:rPr>
              <w:t>-</w:t>
            </w:r>
            <w:r>
              <w:rPr>
                <w:rFonts w:ascii="Arial"/>
                <w:sz w:val="18"/>
              </w:rPr>
            </w: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01"/>
              <w:jc w:val="right"/>
              <w:rPr>
                <w:rFonts w:ascii="Arial" w:hAnsi="Arial" w:cs="Arial" w:eastAsia="Arial" w:hint="default"/>
                <w:sz w:val="18"/>
                <w:szCs w:val="18"/>
              </w:rPr>
            </w:pPr>
            <w:r>
              <w:rPr>
                <w:rFonts w:ascii="Arial"/>
                <w:w w:val="95"/>
                <w:sz w:val="18"/>
              </w:rPr>
              <w:t>982</w:t>
            </w:r>
            <w:r>
              <w:rPr>
                <w:rFonts w:ascii="Arial"/>
                <w:sz w:val="18"/>
              </w:rPr>
            </w:r>
          </w:p>
        </w:tc>
      </w:tr>
      <w:tr>
        <w:trPr>
          <w:trHeight w:val="512" w:hRule="exact"/>
        </w:trPr>
        <w:tc>
          <w:tcPr>
            <w:tcW w:w="802"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94" w:type="dxa"/>
            <w:tcBorders>
              <w:top w:val="single" w:sz="4" w:space="0" w:color="000000"/>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
        </w:tc>
        <w:tc>
          <w:tcPr>
            <w:tcW w:w="1087" w:type="dxa"/>
            <w:tcBorders>
              <w:top w:val="single" w:sz="4" w:space="0" w:color="000000"/>
              <w:left w:val="nil" w:sz="6" w:space="0" w:color="auto"/>
              <w:bottom w:val="nil" w:sz="6" w:space="0" w:color="auto"/>
              <w:right w:val="nil" w:sz="6" w:space="0" w:color="auto"/>
            </w:tcBorders>
          </w:tcPr>
          <w:p>
            <w:pPr/>
          </w:p>
        </w:tc>
        <w:tc>
          <w:tcPr>
            <w:tcW w:w="1196" w:type="dxa"/>
            <w:tcBorders>
              <w:top w:val="single" w:sz="4" w:space="0" w:color="000000"/>
              <w:left w:val="nil" w:sz="6" w:space="0" w:color="auto"/>
              <w:bottom w:val="nil" w:sz="6" w:space="0" w:color="auto"/>
              <w:right w:val="nil" w:sz="6" w:space="0" w:color="auto"/>
            </w:tcBorders>
          </w:tcPr>
          <w:p>
            <w:pPr/>
          </w:p>
        </w:tc>
      </w:tr>
      <w:tr>
        <w:trPr>
          <w:trHeight w:val="294" w:hRule="exact"/>
        </w:trPr>
        <w:tc>
          <w:tcPr>
            <w:tcW w:w="802"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71" w:lineRule="exact"/>
              <w:ind w:left="326" w:right="0"/>
              <w:jc w:val="left"/>
              <w:rPr>
                <w:rFonts w:ascii="宋体" w:hAnsi="宋体" w:cs="宋体" w:eastAsia="宋体" w:hint="default"/>
                <w:sz w:val="18"/>
                <w:szCs w:val="18"/>
              </w:rPr>
            </w:pPr>
            <w:r>
              <w:rPr>
                <w:rFonts w:ascii="Times New Roman" w:hAnsi="Times New Roman" w:cs="Times New Roman" w:eastAsia="Times New Roman" w:hint="default"/>
                <w:sz w:val="24"/>
                <w:szCs w:val="24"/>
              </w:rPr>
              <w:t>-</w:t>
            </w:r>
            <w:r>
              <w:rPr>
                <w:rFonts w:ascii="宋体" w:hAnsi="宋体" w:cs="宋体" w:eastAsia="宋体" w:hint="default"/>
                <w:sz w:val="18"/>
                <w:szCs w:val="18"/>
              </w:rPr>
              <w:t>远期外汇合约</w:t>
            </w:r>
          </w:p>
        </w:tc>
        <w:tc>
          <w:tcPr>
            <w:tcW w:w="1194" w:type="dxa"/>
            <w:tcBorders>
              <w:top w:val="nil" w:sz="6" w:space="0" w:color="auto"/>
              <w:left w:val="nil" w:sz="6" w:space="0" w:color="auto"/>
              <w:bottom w:val="single" w:sz="12" w:space="0" w:color="000000"/>
              <w:right w:val="nil" w:sz="6" w:space="0" w:color="auto"/>
            </w:tcBorders>
          </w:tcPr>
          <w:p>
            <w:pPr>
              <w:pStyle w:val="TableParagraph"/>
              <w:spacing w:line="240" w:lineRule="auto" w:before="70"/>
              <w:ind w:right="191"/>
              <w:jc w:val="right"/>
              <w:rPr>
                <w:rFonts w:ascii="Arial" w:hAnsi="Arial" w:cs="Arial" w:eastAsia="Arial" w:hint="default"/>
                <w:sz w:val="18"/>
                <w:szCs w:val="18"/>
              </w:rPr>
            </w:pPr>
            <w:r>
              <w:rPr>
                <w:rFonts w:ascii="Arial"/>
                <w:w w:val="99"/>
                <w:sz w:val="18"/>
              </w:rPr>
              <w:t>-</w:t>
            </w:r>
            <w:r>
              <w:rPr>
                <w:rFonts w:ascii="Arial"/>
                <w:sz w:val="18"/>
              </w:rPr>
            </w:r>
          </w:p>
        </w:tc>
        <w:tc>
          <w:tcPr>
            <w:tcW w:w="1422" w:type="dxa"/>
            <w:tcBorders>
              <w:top w:val="nil" w:sz="6" w:space="0" w:color="auto"/>
              <w:left w:val="nil" w:sz="6" w:space="0" w:color="auto"/>
              <w:bottom w:val="single" w:sz="12" w:space="0" w:color="000000"/>
              <w:right w:val="nil" w:sz="6" w:space="0" w:color="auto"/>
            </w:tcBorders>
          </w:tcPr>
          <w:p>
            <w:pPr>
              <w:pStyle w:val="TableParagraph"/>
              <w:spacing w:line="240" w:lineRule="auto" w:before="70"/>
              <w:ind w:right="147"/>
              <w:jc w:val="right"/>
              <w:rPr>
                <w:rFonts w:ascii="Arial" w:hAnsi="Arial" w:cs="Arial" w:eastAsia="Arial" w:hint="default"/>
                <w:sz w:val="18"/>
                <w:szCs w:val="18"/>
              </w:rPr>
            </w:pPr>
            <w:r>
              <w:rPr>
                <w:rFonts w:ascii="Arial"/>
                <w:w w:val="95"/>
                <w:sz w:val="18"/>
              </w:rPr>
              <w:t>3,826</w:t>
            </w:r>
            <w:r>
              <w:rPr>
                <w:rFonts w:ascii="Arial"/>
                <w:sz w:val="18"/>
              </w:rPr>
            </w:r>
          </w:p>
        </w:tc>
        <w:tc>
          <w:tcPr>
            <w:tcW w:w="1582" w:type="dxa"/>
            <w:tcBorders>
              <w:top w:val="nil" w:sz="6" w:space="0" w:color="auto"/>
              <w:left w:val="nil" w:sz="6" w:space="0" w:color="auto"/>
              <w:bottom w:val="single" w:sz="12" w:space="0" w:color="000000"/>
              <w:right w:val="nil" w:sz="6" w:space="0" w:color="auto"/>
            </w:tcBorders>
          </w:tcPr>
          <w:p>
            <w:pPr>
              <w:pStyle w:val="TableParagraph"/>
              <w:spacing w:line="240" w:lineRule="auto" w:before="70"/>
              <w:ind w:right="170"/>
              <w:jc w:val="right"/>
              <w:rPr>
                <w:rFonts w:ascii="Arial" w:hAnsi="Arial" w:cs="Arial" w:eastAsia="Arial" w:hint="default"/>
                <w:sz w:val="18"/>
                <w:szCs w:val="18"/>
              </w:rPr>
            </w:pPr>
            <w:r>
              <w:rPr>
                <w:rFonts w:ascii="Arial"/>
                <w:w w:val="99"/>
                <w:sz w:val="18"/>
              </w:rPr>
              <w:t>-</w:t>
            </w:r>
            <w:r>
              <w:rPr>
                <w:rFonts w:ascii="Arial"/>
                <w:sz w:val="18"/>
              </w:rPr>
            </w:r>
          </w:p>
        </w:tc>
        <w:tc>
          <w:tcPr>
            <w:tcW w:w="1087"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193"/>
              <w:jc w:val="right"/>
              <w:rPr>
                <w:rFonts w:ascii="Arial" w:hAnsi="Arial" w:cs="Arial" w:eastAsia="Arial" w:hint="default"/>
                <w:sz w:val="18"/>
                <w:szCs w:val="18"/>
              </w:rPr>
            </w:pPr>
            <w:r>
              <w:rPr>
                <w:rFonts w:ascii="Arial"/>
                <w:b/>
                <w:w w:val="99"/>
                <w:sz w:val="18"/>
              </w:rPr>
              <w:t>-</w:t>
            </w:r>
            <w:r>
              <w:rPr>
                <w:rFonts w:ascii="Arial"/>
                <w:sz w:val="18"/>
              </w:rPr>
            </w:r>
          </w:p>
        </w:tc>
        <w:tc>
          <w:tcPr>
            <w:tcW w:w="1196" w:type="dxa"/>
            <w:tcBorders>
              <w:top w:val="nil" w:sz="6" w:space="0" w:color="auto"/>
              <w:left w:val="nil" w:sz="6" w:space="0" w:color="auto"/>
              <w:bottom w:val="single" w:sz="12" w:space="0" w:color="000000"/>
              <w:right w:val="nil" w:sz="6" w:space="0" w:color="auto"/>
            </w:tcBorders>
          </w:tcPr>
          <w:p>
            <w:pPr>
              <w:pStyle w:val="TableParagraph"/>
              <w:spacing w:line="240" w:lineRule="auto" w:before="70"/>
              <w:ind w:right="102"/>
              <w:jc w:val="right"/>
              <w:rPr>
                <w:rFonts w:ascii="Arial" w:hAnsi="Arial" w:cs="Arial" w:eastAsia="Arial" w:hint="default"/>
                <w:sz w:val="18"/>
                <w:szCs w:val="18"/>
              </w:rPr>
            </w:pPr>
            <w:r>
              <w:rPr>
                <w:rFonts w:ascii="Arial"/>
                <w:w w:val="95"/>
                <w:sz w:val="18"/>
              </w:rPr>
              <w:t>3,826</w:t>
            </w:r>
            <w:r>
              <w:rPr>
                <w:rFonts w:ascii="Arial"/>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800"/>
        <w:gridCol w:w="8480"/>
      </w:tblGrid>
      <w:tr>
        <w:trPr>
          <w:trHeight w:val="494"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十四</w:t>
            </w:r>
          </w:p>
        </w:tc>
        <w:tc>
          <w:tcPr>
            <w:tcW w:w="8480" w:type="dxa"/>
            <w:tcBorders>
              <w:top w:val="nil" w:sz="6" w:space="0" w:color="auto"/>
              <w:left w:val="nil" w:sz="6" w:space="0" w:color="auto"/>
              <w:bottom w:val="nil" w:sz="6" w:space="0" w:color="auto"/>
              <w:right w:val="nil" w:sz="6" w:space="0" w:color="auto"/>
            </w:tcBorders>
          </w:tcPr>
          <w:p>
            <w:pPr>
              <w:pStyle w:val="TableParagraph"/>
              <w:spacing w:line="240" w:lineRule="exact"/>
              <w:ind w:left="119" w:right="0"/>
              <w:jc w:val="left"/>
              <w:rPr>
                <w:rFonts w:ascii="黑体" w:hAnsi="黑体" w:cs="黑体" w:eastAsia="黑体" w:hint="default"/>
                <w:sz w:val="24"/>
                <w:szCs w:val="24"/>
              </w:rPr>
            </w:pPr>
            <w:r>
              <w:rPr>
                <w:rFonts w:ascii="黑体" w:hAnsi="黑体" w:cs="黑体" w:eastAsia="黑体" w:hint="default"/>
                <w:sz w:val="24"/>
                <w:szCs w:val="24"/>
              </w:rPr>
              <w:t>重分类</w:t>
            </w:r>
          </w:p>
        </w:tc>
      </w:tr>
      <w:tr>
        <w:trPr>
          <w:trHeight w:val="494" w:hRule="exact"/>
        </w:trPr>
        <w:tc>
          <w:tcPr>
            <w:tcW w:w="800" w:type="dxa"/>
            <w:tcBorders>
              <w:top w:val="nil" w:sz="6" w:space="0" w:color="auto"/>
              <w:left w:val="nil" w:sz="6" w:space="0" w:color="auto"/>
              <w:bottom w:val="nil" w:sz="6" w:space="0" w:color="auto"/>
              <w:right w:val="nil" w:sz="6" w:space="0" w:color="auto"/>
            </w:tcBorders>
          </w:tcPr>
          <w:p>
            <w:pPr/>
          </w:p>
        </w:tc>
        <w:tc>
          <w:tcPr>
            <w:tcW w:w="8480"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19" w:right="0"/>
              <w:jc w:val="left"/>
              <w:rPr>
                <w:rFonts w:ascii="宋体" w:hAnsi="宋体" w:cs="宋体" w:eastAsia="宋体" w:hint="default"/>
                <w:sz w:val="24"/>
                <w:szCs w:val="24"/>
              </w:rPr>
            </w:pPr>
            <w:r>
              <w:rPr>
                <w:rFonts w:ascii="宋体" w:hAnsi="宋体" w:cs="宋体" w:eastAsia="宋体" w:hint="default"/>
                <w:sz w:val="24"/>
                <w:szCs w:val="24"/>
              </w:rPr>
              <w:t>比较期间财务报表的部分项目已按本年度财务报表的披露方式进行了重分类。</w:t>
            </w:r>
          </w:p>
        </w:tc>
      </w:tr>
    </w:tbl>
    <w:p>
      <w:pPr>
        <w:spacing w:after="0" w:line="240" w:lineRule="auto"/>
        <w:jc w:val="left"/>
        <w:rPr>
          <w:rFonts w:ascii="宋体" w:hAnsi="宋体" w:cs="宋体" w:eastAsia="宋体" w:hint="default"/>
          <w:sz w:val="24"/>
          <w:szCs w:val="24"/>
        </w:rPr>
        <w:sectPr>
          <w:pgSz w:w="11910" w:h="16850"/>
          <w:pgMar w:header="795" w:footer="708" w:top="2020" w:bottom="9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802"/>
        <w:gridCol w:w="3269"/>
        <w:gridCol w:w="2408"/>
        <w:gridCol w:w="353"/>
        <w:gridCol w:w="2352"/>
      </w:tblGrid>
      <w:tr>
        <w:trPr>
          <w:trHeight w:val="489"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十五</w:t>
            </w:r>
          </w:p>
        </w:tc>
        <w:tc>
          <w:tcPr>
            <w:tcW w:w="3269"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黑体" w:hAnsi="黑体" w:cs="黑体" w:eastAsia="黑体" w:hint="default"/>
                <w:sz w:val="24"/>
                <w:szCs w:val="24"/>
              </w:rPr>
            </w:pPr>
            <w:r>
              <w:rPr>
                <w:rFonts w:ascii="黑体" w:hAnsi="黑体" w:cs="黑体" w:eastAsia="黑体" w:hint="default"/>
                <w:sz w:val="24"/>
                <w:szCs w:val="24"/>
              </w:rPr>
              <w:t>公司财务报表附注</w:t>
            </w:r>
          </w:p>
        </w:tc>
        <w:tc>
          <w:tcPr>
            <w:tcW w:w="2408"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nil" w:sz="6" w:space="0" w:color="auto"/>
              <w:right w:val="nil" w:sz="6" w:space="0" w:color="auto"/>
            </w:tcBorders>
          </w:tcPr>
          <w:p>
            <w:pPr/>
          </w:p>
        </w:tc>
      </w:tr>
      <w:tr>
        <w:trPr>
          <w:trHeight w:val="751"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(1)</w:t>
            </w:r>
          </w:p>
        </w:tc>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22" w:right="0"/>
              <w:jc w:val="left"/>
              <w:rPr>
                <w:rFonts w:ascii="黑体" w:hAnsi="黑体" w:cs="黑体" w:eastAsia="黑体" w:hint="default"/>
                <w:sz w:val="24"/>
                <w:szCs w:val="24"/>
              </w:rPr>
            </w:pPr>
            <w:r>
              <w:rPr>
                <w:rFonts w:ascii="黑体" w:hAnsi="黑体" w:cs="黑体" w:eastAsia="黑体" w:hint="default"/>
                <w:sz w:val="24"/>
                <w:szCs w:val="24"/>
              </w:rPr>
              <w:t>应收账款</w:t>
            </w:r>
          </w:p>
        </w:tc>
        <w:tc>
          <w:tcPr>
            <w:tcW w:w="2408"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nil" w:sz="6" w:space="0" w:color="auto"/>
              <w:right w:val="nil" w:sz="6" w:space="0" w:color="auto"/>
            </w:tcBorders>
          </w:tcPr>
          <w:p>
            <w:pPr/>
          </w:p>
        </w:tc>
      </w:tr>
      <w:tr>
        <w:trPr>
          <w:trHeight w:val="753" w:hRule="exact"/>
        </w:trPr>
        <w:tc>
          <w:tcPr>
            <w:tcW w:w="802" w:type="dxa"/>
            <w:tcBorders>
              <w:top w:val="nil" w:sz="6" w:space="0" w:color="auto"/>
              <w:left w:val="nil" w:sz="6" w:space="0" w:color="auto"/>
              <w:bottom w:val="nil" w:sz="6" w:space="0" w:color="auto"/>
              <w:right w:val="nil" w:sz="6" w:space="0" w:color="auto"/>
            </w:tcBorders>
          </w:tcPr>
          <w:p>
            <w:pPr/>
          </w:p>
        </w:tc>
        <w:tc>
          <w:tcPr>
            <w:tcW w:w="3269"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50"/>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353"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50"/>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78" w:hRule="exact"/>
        </w:trPr>
        <w:tc>
          <w:tcPr>
            <w:tcW w:w="802" w:type="dxa"/>
            <w:tcBorders>
              <w:top w:val="nil" w:sz="6" w:space="0" w:color="auto"/>
              <w:left w:val="nil" w:sz="6" w:space="0" w:color="auto"/>
              <w:bottom w:val="nil" w:sz="6" w:space="0" w:color="auto"/>
              <w:right w:val="nil" w:sz="6" w:space="0" w:color="auto"/>
            </w:tcBorders>
          </w:tcPr>
          <w:p>
            <w:pPr/>
          </w:p>
        </w:tc>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22"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Arial" w:hAnsi="Arial" w:cs="Arial" w:eastAsia="Arial" w:hint="default"/>
                <w:sz w:val="24"/>
                <w:szCs w:val="24"/>
              </w:rPr>
            </w:pPr>
            <w:r>
              <w:rPr>
                <w:rFonts w:ascii="Arial"/>
                <w:spacing w:val="-1"/>
                <w:sz w:val="24"/>
              </w:rPr>
              <w:t>14,682,958</w:t>
            </w:r>
          </w:p>
        </w:tc>
        <w:tc>
          <w:tcPr>
            <w:tcW w:w="353"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74"/>
              <w:jc w:val="right"/>
              <w:rPr>
                <w:rFonts w:ascii="Arial" w:hAnsi="Arial" w:cs="Arial" w:eastAsia="Arial" w:hint="default"/>
                <w:sz w:val="24"/>
                <w:szCs w:val="24"/>
              </w:rPr>
            </w:pPr>
            <w:r>
              <w:rPr>
                <w:rFonts w:ascii="Arial"/>
                <w:spacing w:val="-1"/>
                <w:sz w:val="24"/>
              </w:rPr>
              <w:t>10,774,446</w:t>
            </w:r>
          </w:p>
        </w:tc>
      </w:tr>
      <w:tr>
        <w:trPr>
          <w:trHeight w:val="383" w:hRule="exact"/>
        </w:trPr>
        <w:tc>
          <w:tcPr>
            <w:tcW w:w="802" w:type="dxa"/>
            <w:tcBorders>
              <w:top w:val="nil" w:sz="6" w:space="0" w:color="auto"/>
              <w:left w:val="nil" w:sz="6" w:space="0" w:color="auto"/>
              <w:bottom w:val="nil" w:sz="6" w:space="0" w:color="auto"/>
              <w:right w:val="nil" w:sz="6" w:space="0" w:color="auto"/>
            </w:tcBorders>
          </w:tcPr>
          <w:p>
            <w:pPr/>
          </w:p>
        </w:tc>
        <w:tc>
          <w:tcPr>
            <w:tcW w:w="3269" w:type="dxa"/>
            <w:tcBorders>
              <w:top w:val="nil" w:sz="6" w:space="0" w:color="auto"/>
              <w:left w:val="nil" w:sz="6" w:space="0" w:color="auto"/>
              <w:bottom w:val="nil" w:sz="6" w:space="0" w:color="auto"/>
              <w:right w:val="nil" w:sz="6" w:space="0" w:color="auto"/>
            </w:tcBorders>
          </w:tcPr>
          <w:p>
            <w:pPr>
              <w:pStyle w:val="TableParagraph"/>
              <w:spacing w:line="302" w:lineRule="exact"/>
              <w:ind w:left="122"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240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31"/>
              <w:jc w:val="right"/>
              <w:rPr>
                <w:rFonts w:ascii="Arial" w:hAnsi="Arial" w:cs="Arial" w:eastAsia="Arial" w:hint="default"/>
                <w:sz w:val="24"/>
                <w:szCs w:val="24"/>
              </w:rPr>
            </w:pPr>
            <w:r>
              <w:rPr>
                <w:rFonts w:ascii="Arial"/>
                <w:sz w:val="24"/>
              </w:rPr>
              <w:t>(8,464)</w:t>
            </w:r>
          </w:p>
        </w:tc>
        <w:tc>
          <w:tcPr>
            <w:tcW w:w="353"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84"/>
              <w:jc w:val="right"/>
              <w:rPr>
                <w:rFonts w:ascii="Arial" w:hAnsi="Arial" w:cs="Arial" w:eastAsia="Arial" w:hint="default"/>
                <w:sz w:val="24"/>
                <w:szCs w:val="24"/>
              </w:rPr>
            </w:pPr>
            <w:r>
              <w:rPr>
                <w:rFonts w:ascii="Arial"/>
                <w:sz w:val="24"/>
              </w:rPr>
              <w:t>(6,991)</w:t>
            </w:r>
          </w:p>
        </w:tc>
      </w:tr>
      <w:tr>
        <w:trPr>
          <w:trHeight w:val="377" w:hRule="exact"/>
        </w:trPr>
        <w:tc>
          <w:tcPr>
            <w:tcW w:w="802" w:type="dxa"/>
            <w:tcBorders>
              <w:top w:val="nil" w:sz="6" w:space="0" w:color="auto"/>
              <w:left w:val="nil" w:sz="6" w:space="0" w:color="auto"/>
              <w:bottom w:val="nil" w:sz="6" w:space="0" w:color="auto"/>
              <w:right w:val="nil" w:sz="6" w:space="0" w:color="auto"/>
            </w:tcBorders>
          </w:tcPr>
          <w:p>
            <w:pPr/>
          </w:p>
        </w:tc>
        <w:tc>
          <w:tcPr>
            <w:tcW w:w="3269" w:type="dxa"/>
            <w:tcBorders>
              <w:top w:val="nil" w:sz="6" w:space="0" w:color="auto"/>
              <w:left w:val="nil" w:sz="6" w:space="0" w:color="auto"/>
              <w:bottom w:val="nil" w:sz="6" w:space="0" w:color="auto"/>
              <w:right w:val="nil" w:sz="6" w:space="0" w:color="auto"/>
            </w:tcBorders>
          </w:tcPr>
          <w:p>
            <w:pPr/>
          </w:p>
        </w:tc>
        <w:tc>
          <w:tcPr>
            <w:tcW w:w="2408"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96"/>
              <w:jc w:val="right"/>
              <w:rPr>
                <w:rFonts w:ascii="Arial" w:hAnsi="Arial" w:cs="Arial" w:eastAsia="Arial" w:hint="default"/>
                <w:sz w:val="24"/>
                <w:szCs w:val="24"/>
              </w:rPr>
            </w:pPr>
            <w:r>
              <w:rPr>
                <w:rFonts w:ascii="Arial"/>
                <w:spacing w:val="-1"/>
                <w:sz w:val="24"/>
              </w:rPr>
              <w:t>14,674,494</w:t>
            </w:r>
          </w:p>
        </w:tc>
        <w:tc>
          <w:tcPr>
            <w:tcW w:w="353"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74"/>
              <w:jc w:val="right"/>
              <w:rPr>
                <w:rFonts w:ascii="Arial" w:hAnsi="Arial" w:cs="Arial" w:eastAsia="Arial" w:hint="default"/>
                <w:sz w:val="24"/>
                <w:szCs w:val="24"/>
              </w:rPr>
            </w:pPr>
            <w:r>
              <w:rPr>
                <w:rFonts w:ascii="Arial"/>
                <w:spacing w:val="-1"/>
                <w:sz w:val="24"/>
              </w:rPr>
              <w:t>10,767,455</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705"/>
        <w:gridCol w:w="2020"/>
        <w:gridCol w:w="1298"/>
        <w:gridCol w:w="670"/>
        <w:gridCol w:w="125"/>
        <w:gridCol w:w="749"/>
        <w:gridCol w:w="864"/>
        <w:gridCol w:w="55"/>
        <w:gridCol w:w="1075"/>
        <w:gridCol w:w="776"/>
        <w:gridCol w:w="137"/>
        <w:gridCol w:w="768"/>
        <w:gridCol w:w="644"/>
      </w:tblGrid>
      <w:tr>
        <w:trPr>
          <w:trHeight w:val="501" w:hRule="exact"/>
        </w:trPr>
        <w:tc>
          <w:tcPr>
            <w:tcW w:w="705" w:type="dxa"/>
            <w:tcBorders>
              <w:top w:val="nil" w:sz="6" w:space="0" w:color="auto"/>
              <w:left w:val="nil" w:sz="6" w:space="0" w:color="auto"/>
              <w:bottom w:val="nil" w:sz="6" w:space="0" w:color="auto"/>
              <w:right w:val="nil" w:sz="6" w:space="0" w:color="auto"/>
            </w:tcBorders>
          </w:tcPr>
          <w:p>
            <w:pPr>
              <w:pStyle w:val="TableParagraph"/>
              <w:spacing w:line="245" w:lineRule="exact"/>
              <w:ind w:right="10"/>
              <w:jc w:val="center"/>
              <w:rPr>
                <w:rFonts w:ascii="Arial" w:hAnsi="Arial" w:cs="Arial" w:eastAsia="Arial" w:hint="default"/>
                <w:sz w:val="24"/>
                <w:szCs w:val="24"/>
              </w:rPr>
            </w:pPr>
            <w:r>
              <w:rPr>
                <w:rFonts w:ascii="Arial"/>
                <w:sz w:val="24"/>
              </w:rPr>
              <w:t>(a)</w:t>
            </w:r>
          </w:p>
        </w:tc>
        <w:tc>
          <w:tcPr>
            <w:tcW w:w="3318"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212" w:right="0"/>
              <w:jc w:val="left"/>
              <w:rPr>
                <w:rFonts w:ascii="宋体" w:hAnsi="宋体" w:cs="宋体" w:eastAsia="宋体" w:hint="default"/>
                <w:sz w:val="24"/>
                <w:szCs w:val="24"/>
              </w:rPr>
            </w:pPr>
            <w:r>
              <w:rPr>
                <w:rFonts w:ascii="宋体" w:hAnsi="宋体" w:cs="宋体" w:eastAsia="宋体" w:hint="default"/>
                <w:sz w:val="24"/>
                <w:szCs w:val="24"/>
              </w:rPr>
              <w:t>应收账款账龄分析如下：</w:t>
            </w:r>
          </w:p>
        </w:tc>
        <w:tc>
          <w:tcPr>
            <w:tcW w:w="670"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55"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r>
      <w:tr>
        <w:trPr>
          <w:trHeight w:val="749" w:hRule="exact"/>
        </w:trPr>
        <w:tc>
          <w:tcPr>
            <w:tcW w:w="705"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c>
          <w:tcPr>
            <w:tcW w:w="2463"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79"/>
              <w:ind w:left="316"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75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9"/>
              <w:ind w:left="573"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644" w:type="dxa"/>
            <w:tcBorders>
              <w:top w:val="nil" w:sz="6" w:space="0" w:color="auto"/>
              <w:left w:val="nil" w:sz="6" w:space="0" w:color="auto"/>
              <w:bottom w:val="nil" w:sz="6" w:space="0" w:color="auto"/>
              <w:right w:val="nil" w:sz="6" w:space="0" w:color="auto"/>
            </w:tcBorders>
          </w:tcPr>
          <w:p>
            <w:pPr/>
          </w:p>
        </w:tc>
      </w:tr>
      <w:tr>
        <w:trPr>
          <w:trHeight w:val="577" w:hRule="exact"/>
        </w:trPr>
        <w:tc>
          <w:tcPr>
            <w:tcW w:w="705"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2"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29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79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13"/>
              <w:ind w:left="449" w:right="0"/>
              <w:jc w:val="left"/>
              <w:rPr>
                <w:rFonts w:ascii="Arial" w:hAnsi="Arial" w:cs="Arial" w:eastAsia="Arial" w:hint="default"/>
                <w:sz w:val="24"/>
                <w:szCs w:val="24"/>
              </w:rPr>
            </w:pPr>
            <w:r>
              <w:rPr>
                <w:rFonts w:ascii="Arial"/>
                <w:sz w:val="24"/>
              </w:rPr>
              <w:t>14,653,491</w:t>
            </w:r>
          </w:p>
        </w:tc>
        <w:tc>
          <w:tcPr>
            <w:tcW w:w="1075" w:type="dxa"/>
            <w:tcBorders>
              <w:top w:val="nil" w:sz="6" w:space="0" w:color="auto"/>
              <w:left w:val="nil" w:sz="6" w:space="0" w:color="auto"/>
              <w:bottom w:val="nil" w:sz="6" w:space="0" w:color="auto"/>
              <w:right w:val="nil" w:sz="6" w:space="0" w:color="auto"/>
            </w:tcBorders>
          </w:tcPr>
          <w:p>
            <w:pPr/>
          </w:p>
        </w:tc>
        <w:tc>
          <w:tcPr>
            <w:tcW w:w="168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50" w:right="0"/>
              <w:jc w:val="left"/>
              <w:rPr>
                <w:rFonts w:ascii="Arial" w:hAnsi="Arial" w:cs="Arial" w:eastAsia="Arial" w:hint="default"/>
                <w:sz w:val="24"/>
                <w:szCs w:val="24"/>
              </w:rPr>
            </w:pPr>
            <w:r>
              <w:rPr>
                <w:rFonts w:ascii="Arial"/>
                <w:sz w:val="24"/>
              </w:rPr>
              <w:t>10,764,567</w:t>
            </w:r>
          </w:p>
        </w:tc>
        <w:tc>
          <w:tcPr>
            <w:tcW w:w="644" w:type="dxa"/>
            <w:tcBorders>
              <w:top w:val="nil" w:sz="6" w:space="0" w:color="auto"/>
              <w:left w:val="nil" w:sz="6" w:space="0" w:color="auto"/>
              <w:bottom w:val="nil" w:sz="6" w:space="0" w:color="auto"/>
              <w:right w:val="nil" w:sz="6" w:space="0" w:color="auto"/>
            </w:tcBorders>
          </w:tcPr>
          <w:p>
            <w:pPr/>
          </w:p>
        </w:tc>
      </w:tr>
      <w:tr>
        <w:trPr>
          <w:trHeight w:val="391" w:hRule="exact"/>
        </w:trPr>
        <w:tc>
          <w:tcPr>
            <w:tcW w:w="705"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305" w:lineRule="exact"/>
              <w:ind w:left="212"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129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79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7"/>
              <w:ind w:left="917" w:right="0"/>
              <w:jc w:val="left"/>
              <w:rPr>
                <w:rFonts w:ascii="Arial" w:hAnsi="Arial" w:cs="Arial" w:eastAsia="Arial" w:hint="default"/>
                <w:sz w:val="24"/>
                <w:szCs w:val="24"/>
              </w:rPr>
            </w:pPr>
            <w:r>
              <w:rPr>
                <w:rFonts w:ascii="Arial"/>
                <w:sz w:val="24"/>
              </w:rPr>
              <w:t>27,064</w:t>
            </w:r>
          </w:p>
        </w:tc>
        <w:tc>
          <w:tcPr>
            <w:tcW w:w="1075"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60" w:right="0"/>
              <w:jc w:val="left"/>
              <w:rPr>
                <w:rFonts w:ascii="Arial" w:hAnsi="Arial" w:cs="Arial" w:eastAsia="Arial" w:hint="default"/>
                <w:sz w:val="24"/>
                <w:szCs w:val="24"/>
              </w:rPr>
            </w:pPr>
            <w:r>
              <w:rPr>
                <w:rFonts w:ascii="Arial"/>
                <w:sz w:val="24"/>
              </w:rPr>
              <w:t>8,197</w:t>
            </w:r>
          </w:p>
        </w:tc>
        <w:tc>
          <w:tcPr>
            <w:tcW w:w="644" w:type="dxa"/>
            <w:tcBorders>
              <w:top w:val="nil" w:sz="6" w:space="0" w:color="auto"/>
              <w:left w:val="nil" w:sz="6" w:space="0" w:color="auto"/>
              <w:bottom w:val="nil" w:sz="6" w:space="0" w:color="auto"/>
              <w:right w:val="nil" w:sz="6" w:space="0" w:color="auto"/>
            </w:tcBorders>
          </w:tcPr>
          <w:p>
            <w:pPr/>
          </w:p>
        </w:tc>
      </w:tr>
      <w:tr>
        <w:trPr>
          <w:trHeight w:val="391" w:hRule="exact"/>
        </w:trPr>
        <w:tc>
          <w:tcPr>
            <w:tcW w:w="705"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305" w:lineRule="exact"/>
              <w:ind w:left="212"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129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3"/>
              <w:jc w:val="right"/>
              <w:rPr>
                <w:rFonts w:ascii="Arial" w:hAnsi="Arial" w:cs="Arial" w:eastAsia="Arial" w:hint="default"/>
                <w:sz w:val="24"/>
                <w:szCs w:val="24"/>
              </w:rPr>
            </w:pPr>
            <w:r>
              <w:rPr>
                <w:rFonts w:ascii="Arial"/>
                <w:spacing w:val="-1"/>
                <w:sz w:val="24"/>
              </w:rPr>
              <w:t>1,069</w:t>
            </w:r>
          </w:p>
        </w:tc>
        <w:tc>
          <w:tcPr>
            <w:tcW w:w="55"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39" w:right="0"/>
              <w:jc w:val="left"/>
              <w:rPr>
                <w:rFonts w:ascii="Arial" w:hAnsi="Arial" w:cs="Arial" w:eastAsia="Arial" w:hint="default"/>
                <w:sz w:val="24"/>
                <w:szCs w:val="24"/>
              </w:rPr>
            </w:pPr>
            <w:r>
              <w:rPr>
                <w:rFonts w:ascii="Arial"/>
                <w:sz w:val="24"/>
              </w:rPr>
              <w:t>614</w:t>
            </w:r>
          </w:p>
        </w:tc>
        <w:tc>
          <w:tcPr>
            <w:tcW w:w="644" w:type="dxa"/>
            <w:tcBorders>
              <w:top w:val="nil" w:sz="6" w:space="0" w:color="auto"/>
              <w:left w:val="nil" w:sz="6" w:space="0" w:color="auto"/>
              <w:bottom w:val="nil" w:sz="6" w:space="0" w:color="auto"/>
              <w:right w:val="nil" w:sz="6" w:space="0" w:color="auto"/>
            </w:tcBorders>
          </w:tcPr>
          <w:p>
            <w:pPr/>
          </w:p>
        </w:tc>
      </w:tr>
      <w:tr>
        <w:trPr>
          <w:trHeight w:val="391" w:hRule="exact"/>
        </w:trPr>
        <w:tc>
          <w:tcPr>
            <w:tcW w:w="705"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305" w:lineRule="exact"/>
              <w:ind w:left="212"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129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2"/>
              <w:jc w:val="right"/>
              <w:rPr>
                <w:rFonts w:ascii="Arial" w:hAnsi="Arial" w:cs="Arial" w:eastAsia="Arial" w:hint="default"/>
                <w:sz w:val="24"/>
                <w:szCs w:val="24"/>
              </w:rPr>
            </w:pPr>
            <w:r>
              <w:rPr>
                <w:rFonts w:ascii="Arial"/>
                <w:w w:val="95"/>
                <w:sz w:val="24"/>
              </w:rPr>
              <w:t>366</w:t>
            </w:r>
            <w:r>
              <w:rPr>
                <w:rFonts w:ascii="Arial"/>
                <w:sz w:val="24"/>
              </w:rPr>
            </w:r>
          </w:p>
        </w:tc>
        <w:tc>
          <w:tcPr>
            <w:tcW w:w="55"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39" w:right="0"/>
              <w:jc w:val="left"/>
              <w:rPr>
                <w:rFonts w:ascii="Arial" w:hAnsi="Arial" w:cs="Arial" w:eastAsia="Arial" w:hint="default"/>
                <w:sz w:val="24"/>
                <w:szCs w:val="24"/>
              </w:rPr>
            </w:pPr>
            <w:r>
              <w:rPr>
                <w:rFonts w:ascii="Arial"/>
                <w:sz w:val="24"/>
              </w:rPr>
              <w:t>549</w:t>
            </w:r>
          </w:p>
        </w:tc>
        <w:tc>
          <w:tcPr>
            <w:tcW w:w="644" w:type="dxa"/>
            <w:tcBorders>
              <w:top w:val="nil" w:sz="6" w:space="0" w:color="auto"/>
              <w:left w:val="nil" w:sz="6" w:space="0" w:color="auto"/>
              <w:bottom w:val="nil" w:sz="6" w:space="0" w:color="auto"/>
              <w:right w:val="nil" w:sz="6" w:space="0" w:color="auto"/>
            </w:tcBorders>
          </w:tcPr>
          <w:p>
            <w:pPr/>
          </w:p>
        </w:tc>
      </w:tr>
      <w:tr>
        <w:trPr>
          <w:trHeight w:val="391" w:hRule="exact"/>
        </w:trPr>
        <w:tc>
          <w:tcPr>
            <w:tcW w:w="705"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305" w:lineRule="exact"/>
              <w:ind w:left="212"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129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2"/>
              <w:jc w:val="right"/>
              <w:rPr>
                <w:rFonts w:ascii="Arial" w:hAnsi="Arial" w:cs="Arial" w:eastAsia="Arial" w:hint="default"/>
                <w:sz w:val="24"/>
                <w:szCs w:val="24"/>
              </w:rPr>
            </w:pPr>
            <w:r>
              <w:rPr>
                <w:rFonts w:ascii="Arial"/>
                <w:w w:val="95"/>
                <w:sz w:val="24"/>
              </w:rPr>
              <w:t>549</w:t>
            </w:r>
            <w:r>
              <w:rPr>
                <w:rFonts w:ascii="Arial"/>
                <w:sz w:val="24"/>
              </w:rPr>
            </w:r>
          </w:p>
        </w:tc>
        <w:tc>
          <w:tcPr>
            <w:tcW w:w="55"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39" w:right="0"/>
              <w:jc w:val="left"/>
              <w:rPr>
                <w:rFonts w:ascii="Arial" w:hAnsi="Arial" w:cs="Arial" w:eastAsia="Arial" w:hint="default"/>
                <w:sz w:val="24"/>
                <w:szCs w:val="24"/>
              </w:rPr>
            </w:pPr>
            <w:r>
              <w:rPr>
                <w:rFonts w:ascii="Arial"/>
                <w:sz w:val="24"/>
              </w:rPr>
              <w:t>121</w:t>
            </w:r>
          </w:p>
        </w:tc>
        <w:tc>
          <w:tcPr>
            <w:tcW w:w="644" w:type="dxa"/>
            <w:tcBorders>
              <w:top w:val="nil" w:sz="6" w:space="0" w:color="auto"/>
              <w:left w:val="nil" w:sz="6" w:space="0" w:color="auto"/>
              <w:bottom w:val="nil" w:sz="6" w:space="0" w:color="auto"/>
              <w:right w:val="nil" w:sz="6" w:space="0" w:color="auto"/>
            </w:tcBorders>
          </w:tcPr>
          <w:p>
            <w:pPr/>
          </w:p>
        </w:tc>
      </w:tr>
      <w:tr>
        <w:trPr>
          <w:trHeight w:val="386" w:hRule="exact"/>
        </w:trPr>
        <w:tc>
          <w:tcPr>
            <w:tcW w:w="705"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305" w:lineRule="exact"/>
              <w:ind w:left="212"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129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single" w:sz="4" w:space="0" w:color="000000"/>
              <w:right w:val="nil" w:sz="6" w:space="0" w:color="auto"/>
            </w:tcBorders>
          </w:tcPr>
          <w:p>
            <w:pPr/>
          </w:p>
        </w:tc>
        <w:tc>
          <w:tcPr>
            <w:tcW w:w="125" w:type="dxa"/>
            <w:tcBorders>
              <w:top w:val="nil" w:sz="6" w:space="0" w:color="auto"/>
              <w:left w:val="nil" w:sz="6" w:space="0" w:color="auto"/>
              <w:bottom w:val="single" w:sz="4" w:space="0" w:color="000000"/>
              <w:right w:val="nil" w:sz="6" w:space="0" w:color="auto"/>
            </w:tcBorders>
          </w:tcPr>
          <w:p>
            <w:pPr/>
          </w:p>
        </w:tc>
        <w:tc>
          <w:tcPr>
            <w:tcW w:w="749" w:type="dxa"/>
            <w:tcBorders>
              <w:top w:val="nil" w:sz="6" w:space="0" w:color="auto"/>
              <w:left w:val="nil" w:sz="6" w:space="0" w:color="auto"/>
              <w:bottom w:val="single" w:sz="4" w:space="0" w:color="000000"/>
              <w:right w:val="nil" w:sz="6" w:space="0" w:color="auto"/>
            </w:tcBorders>
          </w:tcPr>
          <w:p>
            <w:pPr/>
          </w:p>
        </w:tc>
        <w:tc>
          <w:tcPr>
            <w:tcW w:w="86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82"/>
              <w:jc w:val="right"/>
              <w:rPr>
                <w:rFonts w:ascii="Arial" w:hAnsi="Arial" w:cs="Arial" w:eastAsia="Arial" w:hint="default"/>
                <w:sz w:val="24"/>
                <w:szCs w:val="24"/>
              </w:rPr>
            </w:pPr>
            <w:r>
              <w:rPr>
                <w:rFonts w:ascii="Arial"/>
                <w:w w:val="95"/>
                <w:sz w:val="24"/>
              </w:rPr>
              <w:t>419</w:t>
            </w:r>
            <w:r>
              <w:rPr>
                <w:rFonts w:ascii="Arial"/>
                <w:sz w:val="24"/>
              </w:rPr>
            </w:r>
          </w:p>
        </w:tc>
        <w:tc>
          <w:tcPr>
            <w:tcW w:w="55" w:type="dxa"/>
            <w:tcBorders>
              <w:top w:val="nil" w:sz="6" w:space="0" w:color="auto"/>
              <w:left w:val="nil" w:sz="6" w:space="0" w:color="auto"/>
              <w:bottom w:val="single" w:sz="4" w:space="0" w:color="000000"/>
              <w:right w:val="nil" w:sz="6" w:space="0" w:color="auto"/>
            </w:tcBorders>
          </w:tcPr>
          <w:p>
            <w:pPr/>
          </w:p>
        </w:tc>
        <w:tc>
          <w:tcPr>
            <w:tcW w:w="1075" w:type="dxa"/>
            <w:tcBorders>
              <w:top w:val="nil" w:sz="6" w:space="0" w:color="auto"/>
              <w:left w:val="nil" w:sz="6" w:space="0" w:color="auto"/>
              <w:bottom w:val="single" w:sz="4" w:space="0" w:color="000000"/>
              <w:right w:val="nil" w:sz="6" w:space="0" w:color="auto"/>
            </w:tcBorders>
          </w:tcPr>
          <w:p>
            <w:pPr/>
          </w:p>
        </w:tc>
        <w:tc>
          <w:tcPr>
            <w:tcW w:w="776" w:type="dxa"/>
            <w:tcBorders>
              <w:top w:val="nil" w:sz="6" w:space="0" w:color="auto"/>
              <w:left w:val="nil" w:sz="6" w:space="0" w:color="auto"/>
              <w:bottom w:val="single" w:sz="4" w:space="0" w:color="000000"/>
              <w:right w:val="nil" w:sz="6" w:space="0" w:color="auto"/>
            </w:tcBorders>
          </w:tcPr>
          <w:p>
            <w:pPr/>
          </w:p>
        </w:tc>
        <w:tc>
          <w:tcPr>
            <w:tcW w:w="137" w:type="dxa"/>
            <w:tcBorders>
              <w:top w:val="nil" w:sz="6" w:space="0" w:color="auto"/>
              <w:left w:val="nil" w:sz="6" w:space="0" w:color="auto"/>
              <w:bottom w:val="single" w:sz="4" w:space="0" w:color="000000"/>
              <w:right w:val="nil" w:sz="6" w:space="0" w:color="auto"/>
            </w:tcBorders>
          </w:tcPr>
          <w:p>
            <w:pPr/>
          </w:p>
        </w:tc>
        <w:tc>
          <w:tcPr>
            <w:tcW w:w="768"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left="139" w:right="0"/>
              <w:jc w:val="left"/>
              <w:rPr>
                <w:rFonts w:ascii="Arial" w:hAnsi="Arial" w:cs="Arial" w:eastAsia="Arial" w:hint="default"/>
                <w:sz w:val="24"/>
                <w:szCs w:val="24"/>
              </w:rPr>
            </w:pPr>
            <w:r>
              <w:rPr>
                <w:rFonts w:ascii="Arial"/>
                <w:sz w:val="24"/>
              </w:rPr>
              <w:t>398</w:t>
            </w:r>
          </w:p>
        </w:tc>
        <w:tc>
          <w:tcPr>
            <w:tcW w:w="644" w:type="dxa"/>
            <w:tcBorders>
              <w:top w:val="nil" w:sz="6" w:space="0" w:color="auto"/>
              <w:left w:val="nil" w:sz="6" w:space="0" w:color="auto"/>
              <w:bottom w:val="nil" w:sz="6" w:space="0" w:color="auto"/>
              <w:right w:val="nil" w:sz="6" w:space="0" w:color="auto"/>
            </w:tcBorders>
          </w:tcPr>
          <w:p>
            <w:pPr/>
          </w:p>
        </w:tc>
      </w:tr>
      <w:tr>
        <w:trPr>
          <w:trHeight w:val="377" w:hRule="exact"/>
        </w:trPr>
        <w:tc>
          <w:tcPr>
            <w:tcW w:w="705"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c>
          <w:tcPr>
            <w:tcW w:w="670" w:type="dxa"/>
            <w:tcBorders>
              <w:top w:val="single" w:sz="4" w:space="0" w:color="000000"/>
              <w:left w:val="nil" w:sz="6" w:space="0" w:color="auto"/>
              <w:bottom w:val="single" w:sz="12" w:space="0" w:color="000000"/>
              <w:right w:val="nil" w:sz="6" w:space="0" w:color="auto"/>
            </w:tcBorders>
          </w:tcPr>
          <w:p>
            <w:pPr/>
          </w:p>
        </w:tc>
        <w:tc>
          <w:tcPr>
            <w:tcW w:w="1793" w:type="dxa"/>
            <w:gridSpan w:val="4"/>
            <w:tcBorders>
              <w:top w:val="single" w:sz="4" w:space="0" w:color="000000"/>
              <w:left w:val="nil" w:sz="6" w:space="0" w:color="auto"/>
              <w:bottom w:val="single" w:sz="12" w:space="0" w:color="000000"/>
              <w:right w:val="nil" w:sz="6" w:space="0" w:color="auto"/>
            </w:tcBorders>
          </w:tcPr>
          <w:p>
            <w:pPr>
              <w:pStyle w:val="TableParagraph"/>
              <w:spacing w:line="240" w:lineRule="auto" w:before="39"/>
              <w:ind w:left="449" w:right="0"/>
              <w:jc w:val="left"/>
              <w:rPr>
                <w:rFonts w:ascii="Arial" w:hAnsi="Arial" w:cs="Arial" w:eastAsia="Arial" w:hint="default"/>
                <w:sz w:val="24"/>
                <w:szCs w:val="24"/>
              </w:rPr>
            </w:pPr>
            <w:r>
              <w:rPr>
                <w:rFonts w:ascii="Arial"/>
                <w:sz w:val="24"/>
              </w:rPr>
              <w:t>14,682,958</w:t>
            </w:r>
          </w:p>
        </w:tc>
        <w:tc>
          <w:tcPr>
            <w:tcW w:w="1075" w:type="dxa"/>
            <w:tcBorders>
              <w:top w:val="single" w:sz="4" w:space="0" w:color="000000"/>
              <w:left w:val="nil" w:sz="6" w:space="0" w:color="auto"/>
              <w:bottom w:val="single" w:sz="12" w:space="0" w:color="000000"/>
              <w:right w:val="nil" w:sz="6" w:space="0" w:color="auto"/>
            </w:tcBorders>
          </w:tcPr>
          <w:p>
            <w:pPr/>
          </w:p>
        </w:tc>
        <w:tc>
          <w:tcPr>
            <w:tcW w:w="1681" w:type="dxa"/>
            <w:gridSpan w:val="3"/>
            <w:tcBorders>
              <w:top w:val="single" w:sz="4" w:space="0" w:color="000000"/>
              <w:left w:val="nil" w:sz="6" w:space="0" w:color="auto"/>
              <w:bottom w:val="single" w:sz="12" w:space="0" w:color="000000"/>
              <w:right w:val="nil" w:sz="6" w:space="0" w:color="auto"/>
            </w:tcBorders>
          </w:tcPr>
          <w:p>
            <w:pPr>
              <w:pStyle w:val="TableParagraph"/>
              <w:spacing w:line="240" w:lineRule="auto" w:before="39"/>
              <w:ind w:left="250" w:right="0"/>
              <w:jc w:val="left"/>
              <w:rPr>
                <w:rFonts w:ascii="Arial" w:hAnsi="Arial" w:cs="Arial" w:eastAsia="Arial" w:hint="default"/>
                <w:sz w:val="24"/>
                <w:szCs w:val="24"/>
              </w:rPr>
            </w:pPr>
            <w:r>
              <w:rPr>
                <w:rFonts w:ascii="Arial"/>
                <w:sz w:val="24"/>
              </w:rPr>
              <w:t>10,774,446</w:t>
            </w:r>
          </w:p>
        </w:tc>
        <w:tc>
          <w:tcPr>
            <w:tcW w:w="644" w:type="dxa"/>
            <w:tcBorders>
              <w:top w:val="nil" w:sz="6" w:space="0" w:color="auto"/>
              <w:left w:val="nil" w:sz="6" w:space="0" w:color="auto"/>
              <w:bottom w:val="nil" w:sz="6" w:space="0" w:color="auto"/>
              <w:right w:val="nil" w:sz="6" w:space="0" w:color="auto"/>
            </w:tcBorders>
          </w:tcPr>
          <w:p>
            <w:pPr/>
          </w:p>
        </w:tc>
      </w:tr>
      <w:tr>
        <w:trPr>
          <w:trHeight w:val="900" w:hRule="exact"/>
        </w:trPr>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right="10"/>
              <w:jc w:val="center"/>
              <w:rPr>
                <w:rFonts w:ascii="Arial" w:hAnsi="Arial" w:cs="Arial" w:eastAsia="Arial" w:hint="default"/>
                <w:sz w:val="24"/>
                <w:szCs w:val="24"/>
              </w:rPr>
            </w:pPr>
            <w:r>
              <w:rPr>
                <w:rFonts w:ascii="Arial"/>
                <w:sz w:val="24"/>
              </w:rPr>
              <w:t>(b)</w:t>
            </w:r>
          </w:p>
        </w:tc>
        <w:tc>
          <w:tcPr>
            <w:tcW w:w="33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212" w:right="0"/>
              <w:jc w:val="left"/>
              <w:rPr>
                <w:rFonts w:ascii="宋体" w:hAnsi="宋体" w:cs="宋体" w:eastAsia="宋体" w:hint="default"/>
                <w:sz w:val="24"/>
                <w:szCs w:val="24"/>
              </w:rPr>
            </w:pPr>
            <w:r>
              <w:rPr>
                <w:rFonts w:ascii="宋体" w:hAnsi="宋体" w:cs="宋体" w:eastAsia="宋体" w:hint="default"/>
                <w:sz w:val="24"/>
                <w:szCs w:val="24"/>
              </w:rPr>
              <w:t>应收账款按类别分析如下：</w:t>
            </w:r>
          </w:p>
        </w:tc>
        <w:tc>
          <w:tcPr>
            <w:tcW w:w="670" w:type="dxa"/>
            <w:tcBorders>
              <w:top w:val="single" w:sz="12" w:space="0" w:color="000000"/>
              <w:left w:val="nil" w:sz="6" w:space="0" w:color="auto"/>
              <w:bottom w:val="nil" w:sz="6" w:space="0" w:color="auto"/>
              <w:right w:val="nil" w:sz="6" w:space="0" w:color="auto"/>
            </w:tcBorders>
          </w:tcPr>
          <w:p>
            <w:pPr/>
          </w:p>
        </w:tc>
        <w:tc>
          <w:tcPr>
            <w:tcW w:w="125" w:type="dxa"/>
            <w:tcBorders>
              <w:top w:val="single" w:sz="12" w:space="0" w:color="000000"/>
              <w:left w:val="nil" w:sz="6" w:space="0" w:color="auto"/>
              <w:bottom w:val="nil" w:sz="6" w:space="0" w:color="auto"/>
              <w:right w:val="nil" w:sz="6" w:space="0" w:color="auto"/>
            </w:tcBorders>
          </w:tcPr>
          <w:p>
            <w:pPr/>
          </w:p>
        </w:tc>
        <w:tc>
          <w:tcPr>
            <w:tcW w:w="749" w:type="dxa"/>
            <w:tcBorders>
              <w:top w:val="single" w:sz="12" w:space="0" w:color="000000"/>
              <w:left w:val="nil" w:sz="6" w:space="0" w:color="auto"/>
              <w:bottom w:val="nil" w:sz="6" w:space="0" w:color="auto"/>
              <w:right w:val="nil" w:sz="6" w:space="0" w:color="auto"/>
            </w:tcBorders>
          </w:tcPr>
          <w:p>
            <w:pPr/>
          </w:p>
        </w:tc>
        <w:tc>
          <w:tcPr>
            <w:tcW w:w="864" w:type="dxa"/>
            <w:tcBorders>
              <w:top w:val="single" w:sz="12" w:space="0" w:color="000000"/>
              <w:left w:val="nil" w:sz="6" w:space="0" w:color="auto"/>
              <w:bottom w:val="nil" w:sz="6" w:space="0" w:color="auto"/>
              <w:right w:val="nil" w:sz="6" w:space="0" w:color="auto"/>
            </w:tcBorders>
          </w:tcPr>
          <w:p>
            <w:pPr/>
          </w:p>
        </w:tc>
        <w:tc>
          <w:tcPr>
            <w:tcW w:w="55" w:type="dxa"/>
            <w:tcBorders>
              <w:top w:val="single" w:sz="12" w:space="0" w:color="000000"/>
              <w:left w:val="nil" w:sz="6" w:space="0" w:color="auto"/>
              <w:bottom w:val="nil" w:sz="6" w:space="0" w:color="auto"/>
              <w:right w:val="nil" w:sz="6" w:space="0" w:color="auto"/>
            </w:tcBorders>
          </w:tcPr>
          <w:p>
            <w:pPr/>
          </w:p>
        </w:tc>
        <w:tc>
          <w:tcPr>
            <w:tcW w:w="1075" w:type="dxa"/>
            <w:tcBorders>
              <w:top w:val="single" w:sz="12" w:space="0" w:color="000000"/>
              <w:left w:val="nil" w:sz="6" w:space="0" w:color="auto"/>
              <w:bottom w:val="nil" w:sz="6" w:space="0" w:color="auto"/>
              <w:right w:val="nil" w:sz="6" w:space="0" w:color="auto"/>
            </w:tcBorders>
          </w:tcPr>
          <w:p>
            <w:pPr/>
          </w:p>
        </w:tc>
        <w:tc>
          <w:tcPr>
            <w:tcW w:w="776" w:type="dxa"/>
            <w:tcBorders>
              <w:top w:val="single" w:sz="12" w:space="0" w:color="000000"/>
              <w:left w:val="nil" w:sz="6" w:space="0" w:color="auto"/>
              <w:bottom w:val="nil" w:sz="6" w:space="0" w:color="auto"/>
              <w:right w:val="nil" w:sz="6" w:space="0" w:color="auto"/>
            </w:tcBorders>
          </w:tcPr>
          <w:p>
            <w:pPr/>
          </w:p>
        </w:tc>
        <w:tc>
          <w:tcPr>
            <w:tcW w:w="137" w:type="dxa"/>
            <w:tcBorders>
              <w:top w:val="single" w:sz="12" w:space="0" w:color="000000"/>
              <w:left w:val="nil" w:sz="6" w:space="0" w:color="auto"/>
              <w:bottom w:val="nil" w:sz="6" w:space="0" w:color="auto"/>
              <w:right w:val="nil" w:sz="6" w:space="0" w:color="auto"/>
            </w:tcBorders>
          </w:tcPr>
          <w:p>
            <w:pPr/>
          </w:p>
        </w:tc>
        <w:tc>
          <w:tcPr>
            <w:tcW w:w="768" w:type="dxa"/>
            <w:tcBorders>
              <w:top w:val="single" w:sz="12" w:space="0" w:color="000000"/>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r>
      <w:tr>
        <w:trPr>
          <w:trHeight w:val="468" w:hRule="exact"/>
        </w:trPr>
        <w:tc>
          <w:tcPr>
            <w:tcW w:w="705"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
        </w:tc>
        <w:tc>
          <w:tcPr>
            <w:tcW w:w="2842"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57"/>
              <w:ind w:left="1022"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864" w:type="dxa"/>
            <w:tcBorders>
              <w:top w:val="nil" w:sz="6" w:space="0" w:color="auto"/>
              <w:left w:val="nil" w:sz="6" w:space="0" w:color="auto"/>
              <w:bottom w:val="single" w:sz="4" w:space="0" w:color="000000"/>
              <w:right w:val="nil" w:sz="6" w:space="0" w:color="auto"/>
            </w:tcBorders>
          </w:tcPr>
          <w:p>
            <w:pPr/>
          </w:p>
        </w:tc>
        <w:tc>
          <w:tcPr>
            <w:tcW w:w="55" w:type="dxa"/>
            <w:tcBorders>
              <w:top w:val="nil" w:sz="6" w:space="0" w:color="auto"/>
              <w:left w:val="nil" w:sz="6" w:space="0" w:color="auto"/>
              <w:bottom w:val="single" w:sz="4" w:space="0" w:color="000000"/>
              <w:right w:val="nil" w:sz="6" w:space="0" w:color="auto"/>
            </w:tcBorders>
          </w:tcPr>
          <w:p>
            <w:pPr/>
          </w:p>
        </w:tc>
        <w:tc>
          <w:tcPr>
            <w:tcW w:w="2756"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57"/>
              <w:ind w:left="883"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644" w:type="dxa"/>
            <w:tcBorders>
              <w:top w:val="nil" w:sz="6" w:space="0" w:color="auto"/>
              <w:left w:val="nil" w:sz="6" w:space="0" w:color="auto"/>
              <w:bottom w:val="single" w:sz="4" w:space="0" w:color="000000"/>
              <w:right w:val="nil" w:sz="6" w:space="0" w:color="auto"/>
            </w:tcBorders>
          </w:tcPr>
          <w:p>
            <w:pPr/>
          </w:p>
        </w:tc>
      </w:tr>
      <w:tr>
        <w:trPr>
          <w:trHeight w:val="325" w:hRule="exact"/>
        </w:trPr>
        <w:tc>
          <w:tcPr>
            <w:tcW w:w="705"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
        </w:tc>
        <w:tc>
          <w:tcPr>
            <w:tcW w:w="196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6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9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3"/>
              <w:ind w:left="48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8"/>
              <w:ind w:left="5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31" w:hRule="exact"/>
        </w:trPr>
        <w:tc>
          <w:tcPr>
            <w:tcW w:w="705"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53"/>
              <w:jc w:val="center"/>
              <w:rPr>
                <w:rFonts w:ascii="宋体" w:hAnsi="宋体" w:cs="宋体" w:eastAsia="宋体" w:hint="default"/>
                <w:sz w:val="18"/>
                <w:szCs w:val="18"/>
              </w:rPr>
            </w:pPr>
            <w:r>
              <w:rPr>
                <w:rFonts w:ascii="宋体" w:hAnsi="宋体" w:cs="宋体" w:eastAsia="宋体" w:hint="default"/>
                <w:sz w:val="18"/>
                <w:szCs w:val="18"/>
              </w:rPr>
              <w:t>金额</w:t>
            </w:r>
          </w:p>
        </w:tc>
        <w:tc>
          <w:tcPr>
            <w:tcW w:w="670" w:type="dxa"/>
            <w:tcBorders>
              <w:top w:val="single" w:sz="4" w:space="0" w:color="000000"/>
              <w:left w:val="nil" w:sz="6" w:space="0" w:color="auto"/>
              <w:bottom w:val="nil" w:sz="6" w:space="0" w:color="auto"/>
              <w:right w:val="nil" w:sz="6" w:space="0" w:color="auto"/>
            </w:tcBorders>
          </w:tcPr>
          <w:p>
            <w:pPr>
              <w:pStyle w:val="TableParagraph"/>
              <w:spacing w:line="276" w:lineRule="auto" w:before="8"/>
              <w:ind w:left="124" w:right="91" w:hanging="89"/>
              <w:jc w:val="left"/>
              <w:rPr>
                <w:rFonts w:ascii="宋体" w:hAnsi="宋体" w:cs="宋体" w:eastAsia="宋体" w:hint="default"/>
                <w:sz w:val="18"/>
                <w:szCs w:val="18"/>
              </w:rPr>
            </w:pPr>
            <w:r>
              <w:rPr>
                <w:rFonts w:ascii="宋体" w:hAnsi="宋体" w:cs="宋体" w:eastAsia="宋体" w:hint="default"/>
                <w:sz w:val="18"/>
                <w:szCs w:val="18"/>
              </w:rPr>
              <w:t>占总额 比例</w:t>
            </w:r>
          </w:p>
        </w:tc>
        <w:tc>
          <w:tcPr>
            <w:tcW w:w="125" w:type="dxa"/>
            <w:tcBorders>
              <w:top w:val="nil" w:sz="6" w:space="0" w:color="auto"/>
              <w:left w:val="nil" w:sz="6" w:space="0" w:color="auto"/>
              <w:bottom w:val="nil" w:sz="6" w:space="0" w:color="auto"/>
              <w:right w:val="nil" w:sz="6" w:space="0" w:color="auto"/>
            </w:tcBorders>
          </w:tcPr>
          <w:p>
            <w:pPr/>
          </w:p>
        </w:tc>
        <w:tc>
          <w:tcPr>
            <w:tcW w:w="74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64" w:type="dxa"/>
            <w:tcBorders>
              <w:top w:val="single" w:sz="4" w:space="0" w:color="000000"/>
              <w:left w:val="nil" w:sz="6" w:space="0" w:color="auto"/>
              <w:bottom w:val="nil" w:sz="6" w:space="0" w:color="auto"/>
              <w:right w:val="nil" w:sz="6" w:space="0" w:color="auto"/>
            </w:tcBorders>
          </w:tcPr>
          <w:p>
            <w:pPr>
              <w:pStyle w:val="TableParagraph"/>
              <w:spacing w:line="276" w:lineRule="auto" w:before="8"/>
              <w:ind w:left="203" w:right="299"/>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55" w:type="dxa"/>
            <w:tcBorders>
              <w:top w:val="single" w:sz="4" w:space="0" w:color="000000"/>
              <w:left w:val="nil" w:sz="6" w:space="0" w:color="auto"/>
              <w:bottom w:val="nil" w:sz="6" w:space="0" w:color="auto"/>
              <w:right w:val="nil" w:sz="6" w:space="0" w:color="auto"/>
            </w:tcBorders>
          </w:tcPr>
          <w:p>
            <w:pPr/>
          </w:p>
        </w:tc>
        <w:tc>
          <w:tcPr>
            <w:tcW w:w="107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6" w:type="dxa"/>
            <w:tcBorders>
              <w:top w:val="single" w:sz="4" w:space="0" w:color="000000"/>
              <w:left w:val="nil" w:sz="6" w:space="0" w:color="auto"/>
              <w:bottom w:val="nil" w:sz="6" w:space="0" w:color="auto"/>
              <w:right w:val="nil" w:sz="6" w:space="0" w:color="auto"/>
            </w:tcBorders>
          </w:tcPr>
          <w:p>
            <w:pPr>
              <w:pStyle w:val="TableParagraph"/>
              <w:spacing w:line="276" w:lineRule="auto" w:before="8"/>
              <w:ind w:left="224" w:right="98" w:hanging="89"/>
              <w:jc w:val="left"/>
              <w:rPr>
                <w:rFonts w:ascii="宋体" w:hAnsi="宋体" w:cs="宋体" w:eastAsia="宋体" w:hint="default"/>
                <w:sz w:val="18"/>
                <w:szCs w:val="18"/>
              </w:rPr>
            </w:pPr>
            <w:r>
              <w:rPr>
                <w:rFonts w:ascii="宋体" w:hAnsi="宋体" w:cs="宋体" w:eastAsia="宋体" w:hint="default"/>
                <w:sz w:val="18"/>
                <w:szCs w:val="18"/>
              </w:rPr>
              <w:t>占总额 比例</w:t>
            </w: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49"/>
              <w:jc w:val="right"/>
              <w:rPr>
                <w:rFonts w:ascii="宋体" w:hAnsi="宋体" w:cs="宋体" w:eastAsia="宋体" w:hint="default"/>
                <w:sz w:val="18"/>
                <w:szCs w:val="18"/>
              </w:rPr>
            </w:pPr>
            <w:r>
              <w:rPr>
                <w:rFonts w:ascii="宋体" w:hAnsi="宋体" w:cs="宋体" w:eastAsia="宋体" w:hint="default"/>
                <w:sz w:val="18"/>
                <w:szCs w:val="18"/>
              </w:rPr>
              <w:t>金额</w:t>
            </w:r>
          </w:p>
        </w:tc>
        <w:tc>
          <w:tcPr>
            <w:tcW w:w="644" w:type="dxa"/>
            <w:tcBorders>
              <w:top w:val="single" w:sz="4" w:space="0" w:color="000000"/>
              <w:left w:val="nil" w:sz="6" w:space="0" w:color="auto"/>
              <w:bottom w:val="nil" w:sz="6" w:space="0" w:color="auto"/>
              <w:right w:val="nil" w:sz="6" w:space="0" w:color="auto"/>
            </w:tcBorders>
          </w:tcPr>
          <w:p>
            <w:pPr>
              <w:pStyle w:val="TableParagraph"/>
              <w:spacing w:line="276" w:lineRule="auto" w:before="8"/>
              <w:ind w:left="192" w:right="89"/>
              <w:jc w:val="left"/>
              <w:rPr>
                <w:rFonts w:ascii="宋体" w:hAnsi="宋体" w:cs="宋体" w:eastAsia="宋体" w:hint="default"/>
                <w:sz w:val="18"/>
                <w:szCs w:val="18"/>
              </w:rPr>
            </w:pPr>
            <w:r>
              <w:rPr>
                <w:rFonts w:ascii="宋体" w:hAnsi="宋体" w:cs="宋体" w:eastAsia="宋体" w:hint="default"/>
                <w:sz w:val="18"/>
                <w:szCs w:val="18"/>
              </w:rPr>
              <w:t>计提 比例</w:t>
            </w:r>
          </w:p>
        </w:tc>
      </w:tr>
      <w:tr>
        <w:trPr>
          <w:trHeight w:val="458" w:hRule="exact"/>
        </w:trPr>
        <w:tc>
          <w:tcPr>
            <w:tcW w:w="705"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1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29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55"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r>
      <w:tr>
        <w:trPr>
          <w:trHeight w:val="325" w:hRule="exact"/>
        </w:trPr>
        <w:tc>
          <w:tcPr>
            <w:tcW w:w="705"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21" w:right="0"/>
              <w:jc w:val="left"/>
              <w:rPr>
                <w:rFonts w:ascii="宋体" w:hAnsi="宋体" w:cs="宋体" w:eastAsia="宋体" w:hint="default"/>
                <w:sz w:val="18"/>
                <w:szCs w:val="18"/>
              </w:rPr>
            </w:pPr>
            <w:r>
              <w:rPr>
                <w:rFonts w:ascii="宋体" w:hAnsi="宋体" w:cs="宋体" w:eastAsia="宋体" w:hint="default"/>
                <w:sz w:val="18"/>
                <w:szCs w:val="18"/>
              </w:rPr>
              <w:t>应收政府补贴组合</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24"/>
              <w:jc w:val="right"/>
              <w:rPr>
                <w:rFonts w:ascii="Arial" w:hAnsi="Arial" w:cs="Arial" w:eastAsia="Arial" w:hint="default"/>
                <w:sz w:val="18"/>
                <w:szCs w:val="18"/>
              </w:rPr>
            </w:pPr>
            <w:r>
              <w:rPr>
                <w:rFonts w:ascii="Arial"/>
                <w:w w:val="95"/>
                <w:sz w:val="18"/>
              </w:rPr>
              <w:t>842</w:t>
            </w:r>
            <w:r>
              <w:rPr>
                <w:rFonts w:ascii="Arial"/>
                <w:sz w:val="18"/>
              </w:rPr>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8"/>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8"/>
              <w:jc w:val="right"/>
              <w:rPr>
                <w:rFonts w:ascii="Arial" w:hAnsi="Arial" w:cs="Arial" w:eastAsia="Arial" w:hint="default"/>
                <w:sz w:val="18"/>
                <w:szCs w:val="18"/>
              </w:rPr>
            </w:pPr>
            <w:r>
              <w:rPr>
                <w:rFonts w:ascii="Arial"/>
                <w:w w:val="99"/>
                <w:sz w:val="18"/>
              </w:rPr>
              <w:t>-</w:t>
            </w:r>
            <w:r>
              <w:rPr>
                <w:rFonts w:ascii="Arial"/>
                <w:sz w:val="18"/>
              </w:rPr>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7" w:right="0"/>
              <w:jc w:val="center"/>
              <w:rPr>
                <w:rFonts w:ascii="Arial" w:hAnsi="Arial" w:cs="Arial" w:eastAsia="Arial" w:hint="default"/>
                <w:sz w:val="18"/>
                <w:szCs w:val="18"/>
              </w:rPr>
            </w:pPr>
            <w:r>
              <w:rPr>
                <w:rFonts w:ascii="Arial"/>
                <w:w w:val="99"/>
                <w:sz w:val="18"/>
              </w:rPr>
              <w:t>-</w:t>
            </w:r>
            <w:r>
              <w:rPr>
                <w:rFonts w:ascii="Arial"/>
                <w:sz w:val="18"/>
              </w:rPr>
            </w:r>
          </w:p>
        </w:tc>
        <w:tc>
          <w:tcPr>
            <w:tcW w:w="55"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22"/>
              <w:jc w:val="right"/>
              <w:rPr>
                <w:rFonts w:ascii="Arial" w:hAnsi="Arial" w:cs="Arial" w:eastAsia="Arial" w:hint="default"/>
                <w:sz w:val="18"/>
                <w:szCs w:val="18"/>
              </w:rPr>
            </w:pPr>
            <w:r>
              <w:rPr>
                <w:rFonts w:ascii="Arial"/>
                <w:spacing w:val="-1"/>
                <w:sz w:val="18"/>
              </w:rPr>
              <w:t>25,787</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4"/>
              <w:jc w:val="right"/>
              <w:rPr>
                <w:rFonts w:ascii="Arial" w:hAnsi="Arial" w:cs="Arial" w:eastAsia="Arial" w:hint="default"/>
                <w:sz w:val="18"/>
                <w:szCs w:val="18"/>
              </w:rPr>
            </w:pPr>
            <w:r>
              <w:rPr>
                <w:rFonts w:ascii="Arial"/>
                <w:w w:val="95"/>
                <w:sz w:val="18"/>
              </w:rPr>
              <w:t>0.2%</w:t>
            </w:r>
            <w:r>
              <w:rPr>
                <w:rFonts w:ascii="Arial"/>
                <w:sz w:val="18"/>
              </w:rPr>
            </w: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6"/>
              <w:jc w:val="right"/>
              <w:rPr>
                <w:rFonts w:ascii="Arial" w:hAnsi="Arial" w:cs="Arial" w:eastAsia="Arial" w:hint="default"/>
                <w:sz w:val="18"/>
                <w:szCs w:val="18"/>
              </w:rPr>
            </w:pPr>
            <w:r>
              <w:rPr>
                <w:rFonts w:ascii="Arial"/>
                <w:w w:val="99"/>
                <w:sz w:val="18"/>
              </w:rPr>
              <w:t>-</w:t>
            </w:r>
            <w:r>
              <w:rPr>
                <w:rFonts w:ascii="Arial"/>
                <w:sz w:val="18"/>
              </w:rPr>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52"/>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705"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34" w:lineRule="exact"/>
              <w:ind w:left="221" w:right="0"/>
              <w:jc w:val="left"/>
              <w:rPr>
                <w:rFonts w:ascii="宋体" w:hAnsi="宋体" w:cs="宋体" w:eastAsia="宋体" w:hint="default"/>
                <w:sz w:val="18"/>
                <w:szCs w:val="18"/>
              </w:rPr>
            </w:pPr>
            <w:r>
              <w:rPr>
                <w:rFonts w:ascii="宋体" w:hAnsi="宋体" w:cs="宋体" w:eastAsia="宋体" w:hint="default"/>
                <w:sz w:val="18"/>
                <w:szCs w:val="18"/>
              </w:rPr>
              <w:t>应收节能补贴组合</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4"/>
              <w:jc w:val="right"/>
              <w:rPr>
                <w:rFonts w:ascii="Arial" w:hAnsi="Arial" w:cs="Arial" w:eastAsia="Arial" w:hint="default"/>
                <w:sz w:val="18"/>
                <w:szCs w:val="18"/>
              </w:rPr>
            </w:pPr>
            <w:r>
              <w:rPr>
                <w:rFonts w:ascii="Arial"/>
                <w:spacing w:val="-1"/>
                <w:sz w:val="18"/>
              </w:rPr>
              <w:t>12,247</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w w:val="95"/>
                <w:sz w:val="18"/>
              </w:rPr>
              <w:t>0.1%</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Arial" w:hAnsi="Arial" w:cs="Arial" w:eastAsia="Arial" w:hint="default"/>
                <w:sz w:val="18"/>
                <w:szCs w:val="18"/>
              </w:rPr>
            </w:pPr>
            <w:r>
              <w:rPr>
                <w:rFonts w:ascii="Arial"/>
                <w:w w:val="99"/>
                <w:sz w:val="18"/>
              </w:rPr>
              <w:t>-</w:t>
            </w:r>
            <w:r>
              <w:rPr>
                <w:rFonts w:ascii="Arial"/>
                <w:sz w:val="18"/>
              </w:rPr>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3" w:right="0"/>
              <w:jc w:val="center"/>
              <w:rPr>
                <w:rFonts w:ascii="Arial" w:hAnsi="Arial" w:cs="Arial" w:eastAsia="Arial" w:hint="default"/>
                <w:sz w:val="18"/>
                <w:szCs w:val="18"/>
              </w:rPr>
            </w:pPr>
            <w:r>
              <w:rPr>
                <w:rFonts w:ascii="Arial"/>
                <w:w w:val="99"/>
                <w:sz w:val="18"/>
              </w:rPr>
              <w:t>-</w:t>
            </w:r>
            <w:r>
              <w:rPr>
                <w:rFonts w:ascii="Arial"/>
                <w:sz w:val="18"/>
              </w:rPr>
            </w:r>
          </w:p>
        </w:tc>
        <w:tc>
          <w:tcPr>
            <w:tcW w:w="55"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3"/>
              <w:jc w:val="right"/>
              <w:rPr>
                <w:rFonts w:ascii="Arial" w:hAnsi="Arial" w:cs="Arial" w:eastAsia="Arial" w:hint="default"/>
                <w:sz w:val="18"/>
                <w:szCs w:val="18"/>
              </w:rPr>
            </w:pPr>
            <w:r>
              <w:rPr>
                <w:rFonts w:ascii="Arial"/>
                <w:w w:val="99"/>
                <w:sz w:val="18"/>
              </w:rPr>
              <w:t>-</w:t>
            </w:r>
            <w:r>
              <w:rPr>
                <w:rFonts w:ascii="Arial"/>
                <w:sz w:val="18"/>
              </w:rPr>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4"/>
              <w:jc w:val="right"/>
              <w:rPr>
                <w:rFonts w:ascii="Arial" w:hAnsi="Arial" w:cs="Arial" w:eastAsia="Arial" w:hint="default"/>
                <w:sz w:val="18"/>
                <w:szCs w:val="18"/>
              </w:rPr>
            </w:pPr>
            <w:r>
              <w:rPr>
                <w:rFonts w:ascii="Arial"/>
                <w:w w:val="99"/>
                <w:sz w:val="18"/>
              </w:rPr>
              <w:t>-</w:t>
            </w:r>
            <w:r>
              <w:rPr>
                <w:rFonts w:ascii="Arial"/>
                <w:sz w:val="18"/>
              </w:rPr>
            </w: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6"/>
              <w:jc w:val="right"/>
              <w:rPr>
                <w:rFonts w:ascii="Arial" w:hAnsi="Arial" w:cs="Arial" w:eastAsia="Arial" w:hint="default"/>
                <w:sz w:val="18"/>
                <w:szCs w:val="18"/>
              </w:rPr>
            </w:pPr>
            <w:r>
              <w:rPr>
                <w:rFonts w:ascii="Arial"/>
                <w:w w:val="99"/>
                <w:sz w:val="18"/>
              </w:rPr>
              <w:t>-</w:t>
            </w:r>
            <w:r>
              <w:rPr>
                <w:rFonts w:ascii="Arial"/>
                <w:sz w:val="18"/>
              </w:rPr>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27" w:right="0"/>
              <w:jc w:val="left"/>
              <w:rPr>
                <w:rFonts w:ascii="Arial" w:hAnsi="Arial" w:cs="Arial" w:eastAsia="Arial" w:hint="default"/>
                <w:sz w:val="18"/>
                <w:szCs w:val="18"/>
              </w:rPr>
            </w:pPr>
            <w:r>
              <w:rPr>
                <w:rFonts w:ascii="Arial"/>
                <w:w w:val="99"/>
                <w:sz w:val="18"/>
              </w:rPr>
              <w:t>-</w:t>
            </w:r>
            <w:r>
              <w:rPr>
                <w:rFonts w:ascii="Arial"/>
                <w:sz w:val="18"/>
              </w:rPr>
            </w:r>
          </w:p>
        </w:tc>
      </w:tr>
      <w:tr>
        <w:trPr>
          <w:trHeight w:val="309" w:hRule="exact"/>
        </w:trPr>
        <w:tc>
          <w:tcPr>
            <w:tcW w:w="705"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应收其他款项组合</w:t>
            </w: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234"/>
              <w:jc w:val="right"/>
              <w:rPr>
                <w:rFonts w:ascii="Arial" w:hAnsi="Arial" w:cs="Arial" w:eastAsia="Arial" w:hint="default"/>
                <w:sz w:val="18"/>
                <w:szCs w:val="18"/>
              </w:rPr>
            </w:pPr>
            <w:r>
              <w:rPr>
                <w:rFonts w:ascii="Arial"/>
                <w:spacing w:val="-1"/>
                <w:sz w:val="18"/>
              </w:rPr>
              <w:t>14,669,869</w:t>
            </w:r>
          </w:p>
        </w:tc>
        <w:tc>
          <w:tcPr>
            <w:tcW w:w="670"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56"/>
              <w:jc w:val="right"/>
              <w:rPr>
                <w:rFonts w:ascii="Arial" w:hAnsi="Arial" w:cs="Arial" w:eastAsia="Arial" w:hint="default"/>
                <w:sz w:val="18"/>
                <w:szCs w:val="18"/>
              </w:rPr>
            </w:pPr>
            <w:r>
              <w:rPr>
                <w:rFonts w:ascii="Arial"/>
                <w:w w:val="95"/>
                <w:sz w:val="18"/>
              </w:rPr>
              <w:t>99.9%</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left="167" w:right="0"/>
              <w:jc w:val="left"/>
              <w:rPr>
                <w:rFonts w:ascii="Arial" w:hAnsi="Arial" w:cs="Arial" w:eastAsia="Arial" w:hint="default"/>
                <w:sz w:val="18"/>
                <w:szCs w:val="18"/>
              </w:rPr>
            </w:pPr>
            <w:r>
              <w:rPr>
                <w:rFonts w:ascii="Arial"/>
                <w:sz w:val="18"/>
              </w:rPr>
              <w:t>(8,464)</w:t>
            </w:r>
          </w:p>
        </w:tc>
        <w:tc>
          <w:tcPr>
            <w:tcW w:w="864"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left="203" w:right="0"/>
              <w:jc w:val="left"/>
              <w:rPr>
                <w:rFonts w:ascii="Arial" w:hAnsi="Arial" w:cs="Arial" w:eastAsia="Arial" w:hint="default"/>
                <w:sz w:val="18"/>
                <w:szCs w:val="18"/>
              </w:rPr>
            </w:pPr>
            <w:r>
              <w:rPr>
                <w:rFonts w:ascii="Arial"/>
                <w:sz w:val="18"/>
              </w:rPr>
              <w:t>0.1%</w:t>
            </w:r>
          </w:p>
        </w:tc>
        <w:tc>
          <w:tcPr>
            <w:tcW w:w="55" w:type="dxa"/>
            <w:tcBorders>
              <w:top w:val="nil" w:sz="6" w:space="0" w:color="auto"/>
              <w:left w:val="nil" w:sz="6" w:space="0" w:color="auto"/>
              <w:bottom w:val="single" w:sz="4" w:space="0" w:color="000000"/>
              <w:right w:val="nil" w:sz="6" w:space="0" w:color="auto"/>
            </w:tcBorders>
          </w:tcPr>
          <w:p>
            <w:pPr/>
          </w:p>
        </w:tc>
        <w:tc>
          <w:tcPr>
            <w:tcW w:w="1075"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07"/>
              <w:jc w:val="right"/>
              <w:rPr>
                <w:rFonts w:ascii="Arial" w:hAnsi="Arial" w:cs="Arial" w:eastAsia="Arial" w:hint="default"/>
                <w:sz w:val="18"/>
                <w:szCs w:val="18"/>
              </w:rPr>
            </w:pPr>
            <w:r>
              <w:rPr>
                <w:rFonts w:ascii="Arial"/>
                <w:spacing w:val="-1"/>
                <w:sz w:val="18"/>
              </w:rPr>
              <w:t>10,748,659</w:t>
            </w:r>
          </w:p>
        </w:tc>
        <w:tc>
          <w:tcPr>
            <w:tcW w:w="776"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54"/>
              <w:jc w:val="right"/>
              <w:rPr>
                <w:rFonts w:ascii="Arial" w:hAnsi="Arial" w:cs="Arial" w:eastAsia="Arial" w:hint="default"/>
                <w:sz w:val="18"/>
                <w:szCs w:val="18"/>
              </w:rPr>
            </w:pPr>
            <w:r>
              <w:rPr>
                <w:rFonts w:ascii="Arial"/>
                <w:w w:val="95"/>
                <w:sz w:val="18"/>
              </w:rPr>
              <w:t>99.8%</w:t>
            </w:r>
            <w:r>
              <w:rPr>
                <w:rFonts w:ascii="Arial"/>
                <w:sz w:val="18"/>
              </w:rPr>
            </w: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51"/>
              <w:jc w:val="right"/>
              <w:rPr>
                <w:rFonts w:ascii="Arial" w:hAnsi="Arial" w:cs="Arial" w:eastAsia="Arial" w:hint="default"/>
                <w:sz w:val="18"/>
                <w:szCs w:val="18"/>
              </w:rPr>
            </w:pPr>
            <w:r>
              <w:rPr>
                <w:rFonts w:ascii="Arial"/>
                <w:w w:val="95"/>
                <w:sz w:val="18"/>
              </w:rPr>
              <w:t>(6,991)</w:t>
            </w:r>
            <w:r>
              <w:rPr>
                <w:rFonts w:ascii="Arial"/>
                <w:sz w:val="18"/>
              </w:rPr>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77" w:right="0"/>
              <w:jc w:val="left"/>
              <w:rPr>
                <w:rFonts w:ascii="Arial" w:hAnsi="Arial" w:cs="Arial" w:eastAsia="Arial" w:hint="default"/>
                <w:sz w:val="18"/>
                <w:szCs w:val="18"/>
              </w:rPr>
            </w:pPr>
            <w:r>
              <w:rPr>
                <w:rFonts w:ascii="Arial"/>
                <w:sz w:val="18"/>
              </w:rPr>
              <w:t>0.1%</w:t>
            </w:r>
          </w:p>
        </w:tc>
      </w:tr>
      <w:tr>
        <w:trPr>
          <w:trHeight w:val="310" w:hRule="exact"/>
        </w:trPr>
        <w:tc>
          <w:tcPr>
            <w:tcW w:w="705"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234"/>
              <w:jc w:val="right"/>
              <w:rPr>
                <w:rFonts w:ascii="Arial" w:hAnsi="Arial" w:cs="Arial" w:eastAsia="Arial" w:hint="default"/>
                <w:sz w:val="18"/>
                <w:szCs w:val="18"/>
              </w:rPr>
            </w:pPr>
            <w:r>
              <w:rPr>
                <w:rFonts w:ascii="Arial"/>
                <w:spacing w:val="-1"/>
                <w:sz w:val="18"/>
              </w:rPr>
              <w:t>14,682,958</w:t>
            </w:r>
          </w:p>
        </w:tc>
        <w:tc>
          <w:tcPr>
            <w:tcW w:w="67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56"/>
              <w:jc w:val="right"/>
              <w:rPr>
                <w:rFonts w:ascii="Arial" w:hAnsi="Arial" w:cs="Arial" w:eastAsia="Arial" w:hint="default"/>
                <w:sz w:val="18"/>
                <w:szCs w:val="18"/>
              </w:rPr>
            </w:pPr>
            <w:r>
              <w:rPr>
                <w:rFonts w:ascii="Arial"/>
                <w:spacing w:val="-1"/>
                <w:sz w:val="18"/>
              </w:rPr>
              <w:t>100.0%</w:t>
            </w:r>
          </w:p>
        </w:tc>
        <w:tc>
          <w:tcPr>
            <w:tcW w:w="125" w:type="dxa"/>
            <w:tcBorders>
              <w:top w:val="nil" w:sz="6" w:space="0" w:color="auto"/>
              <w:left w:val="nil" w:sz="6" w:space="0" w:color="auto"/>
              <w:bottom w:val="nil" w:sz="6" w:space="0" w:color="auto"/>
              <w:right w:val="nil" w:sz="6" w:space="0" w:color="auto"/>
            </w:tcBorders>
          </w:tcPr>
          <w:p>
            <w:pPr/>
          </w:p>
        </w:tc>
        <w:tc>
          <w:tcPr>
            <w:tcW w:w="749"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167" w:right="0"/>
              <w:jc w:val="left"/>
              <w:rPr>
                <w:rFonts w:ascii="Arial" w:hAnsi="Arial" w:cs="Arial" w:eastAsia="Arial" w:hint="default"/>
                <w:sz w:val="18"/>
                <w:szCs w:val="18"/>
              </w:rPr>
            </w:pPr>
            <w:r>
              <w:rPr>
                <w:rFonts w:ascii="Arial"/>
                <w:sz w:val="18"/>
              </w:rPr>
              <w:t>(8,464)</w:t>
            </w:r>
          </w:p>
        </w:tc>
        <w:tc>
          <w:tcPr>
            <w:tcW w:w="864" w:type="dxa"/>
            <w:tcBorders>
              <w:top w:val="single" w:sz="4" w:space="0" w:color="000000"/>
              <w:left w:val="nil" w:sz="6" w:space="0" w:color="auto"/>
              <w:bottom w:val="single" w:sz="12" w:space="0" w:color="000000"/>
              <w:right w:val="nil" w:sz="6" w:space="0" w:color="auto"/>
            </w:tcBorders>
          </w:tcPr>
          <w:p>
            <w:pPr/>
          </w:p>
        </w:tc>
        <w:tc>
          <w:tcPr>
            <w:tcW w:w="55" w:type="dxa"/>
            <w:tcBorders>
              <w:top w:val="single" w:sz="4" w:space="0" w:color="000000"/>
              <w:left w:val="nil" w:sz="6" w:space="0" w:color="auto"/>
              <w:bottom w:val="single" w:sz="12" w:space="0" w:color="000000"/>
              <w:right w:val="nil" w:sz="6" w:space="0" w:color="auto"/>
            </w:tcBorders>
          </w:tcPr>
          <w:p>
            <w:pPr/>
          </w:p>
        </w:tc>
        <w:tc>
          <w:tcPr>
            <w:tcW w:w="1075"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7"/>
              <w:jc w:val="right"/>
              <w:rPr>
                <w:rFonts w:ascii="Arial" w:hAnsi="Arial" w:cs="Arial" w:eastAsia="Arial" w:hint="default"/>
                <w:sz w:val="18"/>
                <w:szCs w:val="18"/>
              </w:rPr>
            </w:pPr>
            <w:r>
              <w:rPr>
                <w:rFonts w:ascii="Arial"/>
                <w:spacing w:val="-1"/>
                <w:sz w:val="18"/>
              </w:rPr>
              <w:t>10,774,446</w:t>
            </w:r>
          </w:p>
        </w:tc>
        <w:tc>
          <w:tcPr>
            <w:tcW w:w="776"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53"/>
              <w:jc w:val="right"/>
              <w:rPr>
                <w:rFonts w:ascii="Arial" w:hAnsi="Arial" w:cs="Arial" w:eastAsia="Arial" w:hint="default"/>
                <w:sz w:val="18"/>
                <w:szCs w:val="18"/>
              </w:rPr>
            </w:pPr>
            <w:r>
              <w:rPr>
                <w:rFonts w:ascii="Arial"/>
                <w:spacing w:val="-1"/>
                <w:sz w:val="18"/>
              </w:rPr>
              <w:t>100.0%</w:t>
            </w: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51"/>
              <w:jc w:val="right"/>
              <w:rPr>
                <w:rFonts w:ascii="Arial" w:hAnsi="Arial" w:cs="Arial" w:eastAsia="Arial" w:hint="default"/>
                <w:sz w:val="18"/>
                <w:szCs w:val="18"/>
              </w:rPr>
            </w:pPr>
            <w:r>
              <w:rPr>
                <w:rFonts w:ascii="Arial"/>
                <w:w w:val="95"/>
                <w:sz w:val="18"/>
              </w:rPr>
              <w:t>(6,991)</w:t>
            </w:r>
            <w:r>
              <w:rPr>
                <w:rFonts w:ascii="Arial"/>
                <w:sz w:val="18"/>
              </w:rPr>
            </w:r>
          </w:p>
        </w:tc>
        <w:tc>
          <w:tcPr>
            <w:tcW w:w="644"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107"/>
          <w:pgSz w:w="11910" w:h="16850"/>
          <w:pgMar w:footer="1340" w:header="795" w:top="2020" w:bottom="1540" w:left="1420" w:right="0"/>
        </w:sectPr>
      </w:pPr>
    </w:p>
    <w:p>
      <w:pPr>
        <w:spacing w:line="240" w:lineRule="auto" w:before="0"/>
        <w:rPr>
          <w:rFonts w:ascii="Times New Roman" w:hAnsi="Times New Roman" w:cs="Times New Roman" w:eastAsia="Times New Roman" w:hint="default"/>
          <w:sz w:val="28"/>
          <w:szCs w:val="28"/>
        </w:rPr>
      </w:pPr>
    </w:p>
    <w:p>
      <w:pPr>
        <w:pStyle w:val="Heading3"/>
        <w:tabs>
          <w:tab w:pos="885" w:val="left" w:leader="none"/>
        </w:tabs>
        <w:spacing w:line="542" w:lineRule="auto" w:before="26"/>
        <w:ind w:left="168" w:right="7138"/>
        <w:jc w:val="left"/>
        <w:rPr>
          <w:rFonts w:ascii="Arial" w:hAnsi="Arial" w:cs="Arial" w:eastAsia="Arial" w:hint="default"/>
        </w:rPr>
      </w:pPr>
      <w:r>
        <w:rPr>
          <w:rFonts w:ascii="黑体" w:hAnsi="黑体" w:cs="黑体" w:eastAsia="黑体" w:hint="default"/>
        </w:rPr>
        <w:t>十五</w:t>
        <w:tab/>
        <w:t>公司财务报表附注</w:t>
      </w:r>
      <w:r>
        <w:rPr>
          <w:rFonts w:ascii="Arial" w:hAnsi="Arial" w:cs="Arial" w:eastAsia="Arial" w:hint="default"/>
        </w:rPr>
        <w:t>(</w:t>
      </w:r>
      <w:r>
        <w:rPr>
          <w:rFonts w:ascii="黑体" w:hAnsi="黑体" w:cs="黑体" w:eastAsia="黑体" w:hint="default"/>
        </w:rPr>
        <w:t>续</w:t>
      </w:r>
      <w:r>
        <w:rPr>
          <w:rFonts w:ascii="Arial" w:hAnsi="Arial" w:cs="Arial" w:eastAsia="Arial" w:hint="default"/>
        </w:rPr>
        <w:t>) </w:t>
      </w:r>
      <w:r>
        <w:rPr>
          <w:rFonts w:ascii="Arial" w:hAnsi="Arial" w:cs="Arial" w:eastAsia="Arial" w:hint="default"/>
          <w:w w:val="95"/>
          <w:position w:val="2"/>
        </w:rPr>
        <w:t>(1)</w:t>
        <w:tab/>
      </w:r>
      <w:r>
        <w:rPr>
          <w:rFonts w:ascii="黑体" w:hAnsi="黑体" w:cs="黑体" w:eastAsia="黑体" w:hint="default"/>
        </w:rPr>
        <w:t>应收账款</w:t>
      </w:r>
      <w:r>
        <w:rPr>
          <w:rFonts w:ascii="Arial" w:hAnsi="Arial" w:cs="Arial" w:eastAsia="Arial" w:hint="default"/>
        </w:rPr>
        <w:t>(</w:t>
      </w:r>
      <w:r>
        <w:rPr>
          <w:rFonts w:ascii="黑体" w:hAnsi="黑体" w:cs="黑体" w:eastAsia="黑体" w:hint="default"/>
        </w:rPr>
        <w:t>续</w:t>
      </w:r>
      <w:r>
        <w:rPr>
          <w:rFonts w:ascii="Arial" w:hAnsi="Arial" w:cs="Arial" w:eastAsia="Arial" w:hint="default"/>
        </w:rPr>
        <w:t>)</w:t>
      </w:r>
    </w:p>
    <w:p>
      <w:pPr>
        <w:pStyle w:val="Heading3"/>
        <w:tabs>
          <w:tab w:pos="936" w:val="left" w:leader="none"/>
        </w:tabs>
        <w:spacing w:line="240" w:lineRule="auto" w:before="52"/>
        <w:ind w:left="221" w:right="1224"/>
        <w:jc w:val="left"/>
      </w:pPr>
      <w:r>
        <w:rPr>
          <w:rFonts w:ascii="Arial" w:hAnsi="Arial" w:cs="Arial" w:eastAsia="Arial" w:hint="default"/>
          <w:spacing w:val="-1"/>
          <w:position w:val="2"/>
        </w:rPr>
        <w:t>(c)</w:t>
        <w:tab/>
      </w:r>
      <w:r>
        <w:rPr/>
        <w:t>按组合计提坏账准备的应收账款中，采用账龄分析法的组合分析如下：</w:t>
      </w:r>
    </w:p>
    <w:p>
      <w:pPr>
        <w:spacing w:line="240" w:lineRule="auto" w:before="6"/>
        <w:rPr>
          <w:rFonts w:ascii="宋体" w:hAnsi="宋体" w:cs="宋体" w:eastAsia="宋体" w:hint="default"/>
          <w:sz w:val="28"/>
          <w:szCs w:val="28"/>
        </w:rPr>
      </w:pPr>
    </w:p>
    <w:p>
      <w:pPr>
        <w:tabs>
          <w:tab w:pos="5886" w:val="left" w:leader="none"/>
        </w:tabs>
        <w:spacing w:before="0"/>
        <w:ind w:left="1663" w:right="0" w:firstLine="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tab/>
      </w: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spacing w:line="240" w:lineRule="auto" w:before="3"/>
        <w:rPr>
          <w:rFonts w:ascii="宋体" w:hAnsi="宋体" w:cs="宋体" w:eastAsia="宋体" w:hint="default"/>
          <w:sz w:val="4"/>
          <w:szCs w:val="4"/>
        </w:rPr>
      </w:pPr>
    </w:p>
    <w:p>
      <w:pPr>
        <w:tabs>
          <w:tab w:pos="6205" w:val="left" w:leader="none"/>
        </w:tabs>
        <w:spacing w:line="20" w:lineRule="exact"/>
        <w:ind w:left="1824" w:right="0" w:firstLine="0"/>
        <w:rPr>
          <w:rFonts w:ascii="宋体" w:hAnsi="宋体" w:cs="宋体" w:eastAsia="宋体" w:hint="default"/>
          <w:sz w:val="2"/>
          <w:szCs w:val="2"/>
        </w:rPr>
      </w:pPr>
      <w:r>
        <w:rPr>
          <w:rFonts w:ascii="宋体"/>
          <w:sz w:val="2"/>
        </w:rPr>
        <w:pict>
          <v:group style="width:207.3pt;height:.5pt;mso-position-horizontal-relative:char;mso-position-vertical-relative:line" coordorigin="0,0" coordsize="4146,10">
            <v:group style="position:absolute;left:5;top:5;width:2264;height:2" coordorigin="5,5" coordsize="2264,2">
              <v:shape style="position:absolute;left:5;top:5;width:2264;height:2" coordorigin="5,5" coordsize="2264,0" path="m5,5l2268,5e" filled="false" stroked="true" strokeweight=".48pt" strokecolor="#000000">
                <v:path arrowok="t"/>
              </v:shape>
            </v:group>
            <v:group style="position:absolute;left:2269;top:5;width:10;height:2" coordorigin="2269,5" coordsize="10,2">
              <v:shape style="position:absolute;left:2269;top:5;width:10;height:2" coordorigin="2269,5" coordsize="10,0" path="m2269,5l2278,5e" filled="false" stroked="true" strokeweight=".48pt" strokecolor="#000000">
                <v:path arrowok="t"/>
              </v:shape>
            </v:group>
            <v:group style="position:absolute;left:2278;top:5;width:233;height:2" coordorigin="2278,5" coordsize="233,2">
              <v:shape style="position:absolute;left:2278;top:5;width:233;height:2" coordorigin="2278,5" coordsize="233,0" path="m2278,5l2511,5e" filled="false" stroked="true" strokeweight=".48pt" strokecolor="#000000">
                <v:path arrowok="t"/>
              </v:shape>
            </v:group>
            <v:group style="position:absolute;left:2511;top:5;width:10;height:2" coordorigin="2511,5" coordsize="10,2">
              <v:shape style="position:absolute;left:2511;top:5;width:10;height:2" coordorigin="2511,5" coordsize="10,0" path="m2511,5l2521,5e" filled="false" stroked="true" strokeweight=".48pt" strokecolor="#000000">
                <v:path arrowok="t"/>
              </v:shape>
            </v:group>
            <v:group style="position:absolute;left:2521;top:5;width:1621;height:2" coordorigin="2521,5" coordsize="1621,2">
              <v:shape style="position:absolute;left:2521;top:5;width:1621;height:2" coordorigin="2521,5" coordsize="1621,0" path="m2521,5l4141,5e" filled="false" stroked="true" strokeweight=".48pt" strokecolor="#000000">
                <v:path arrowok="t"/>
              </v:shape>
            </v:group>
          </v:group>
        </w:pict>
      </w:r>
      <w:r>
        <w:rPr>
          <w:rFonts w:ascii="宋体"/>
          <w:sz w:val="2"/>
        </w:rPr>
      </w:r>
      <w:r>
        <w:rPr>
          <w:rFonts w:ascii="宋体"/>
          <w:sz w:val="2"/>
        </w:rPr>
        <w:tab/>
      </w:r>
      <w:r>
        <w:rPr>
          <w:rFonts w:ascii="宋体"/>
          <w:sz w:val="2"/>
        </w:rPr>
        <w:pict>
          <v:group style="width:191.1pt;height:.5pt;mso-position-horizontal-relative:char;mso-position-vertical-relative:line" coordorigin="0,0" coordsize="3822,10">
            <v:group style="position:absolute;left:5;top:5;width:1940;height:2" coordorigin="5,5" coordsize="1940,2">
              <v:shape style="position:absolute;left:5;top:5;width:1940;height:2" coordorigin="5,5" coordsize="1940,0" path="m5,5l1944,5e" filled="false" stroked="true" strokeweight=".48pt" strokecolor="#000000">
                <v:path arrowok="t"/>
              </v:shape>
            </v:group>
            <v:group style="position:absolute;left:1945;top:5;width:10;height:2" coordorigin="1945,5" coordsize="10,2">
              <v:shape style="position:absolute;left:1945;top:5;width:10;height:2" coordorigin="1945,5" coordsize="10,0" path="m1945,5l1954,5e" filled="false" stroked="true" strokeweight=".48pt" strokecolor="#000000">
                <v:path arrowok="t"/>
              </v:shape>
            </v:group>
            <v:group style="position:absolute;left:1954;top:5;width:233;height:2" coordorigin="1954,5" coordsize="233,2">
              <v:shape style="position:absolute;left:1954;top:5;width:233;height:2" coordorigin="1954,5" coordsize="233,0" path="m1954,5l2187,5e" filled="false" stroked="true" strokeweight=".48pt" strokecolor="#000000">
                <v:path arrowok="t"/>
              </v:shape>
            </v:group>
            <v:group style="position:absolute;left:2187;top:5;width:10;height:2" coordorigin="2187,5" coordsize="10,2">
              <v:shape style="position:absolute;left:2187;top:5;width:10;height:2" coordorigin="2187,5" coordsize="10,0" path="m2187,5l2197,5e" filled="false" stroked="true" strokeweight=".48pt" strokecolor="#000000">
                <v:path arrowok="t"/>
              </v:shape>
            </v:group>
            <v:group style="position:absolute;left:2197;top:5;width:1597;height:2" coordorigin="2197,5" coordsize="1597,2">
              <v:shape style="position:absolute;left:2197;top:5;width:1597;height:2" coordorigin="2197,5" coordsize="1597,0" path="m2197,5l3793,5e" filled="false" stroked="true" strokeweight=".48pt" strokecolor="#000000">
                <v:path arrowok="t"/>
              </v:shape>
            </v:group>
            <v:group style="position:absolute;left:3793;top:5;width:10;height:2" coordorigin="3793,5" coordsize="10,2">
              <v:shape style="position:absolute;left:3793;top:5;width:10;height:2" coordorigin="3793,5" coordsize="10,0" path="m3793,5l3803,5e" filled="false" stroked="true" strokeweight=".48pt" strokecolor="#000000">
                <v:path arrowok="t"/>
              </v:shape>
            </v:group>
            <v:group style="position:absolute;left:3803;top:5;width:5;height:2" coordorigin="3803,5" coordsize="5,2">
              <v:shape style="position:absolute;left:3803;top:5;width:5;height:2" coordorigin="3803,5" coordsize="5,0" path="m3803,5l3807,5e" filled="false" stroked="true" strokeweight=".48pt" strokecolor="#000000">
                <v:path arrowok="t"/>
              </v:shape>
            </v:group>
            <v:group style="position:absolute;left:3807;top:5;width:10;height:2" coordorigin="3807,5" coordsize="10,2">
              <v:shape style="position:absolute;left:3807;top:5;width:10;height:2" coordorigin="3807,5" coordsize="10,0" path="m3807,5l3817,5e" filled="false" stroked="true" strokeweight=".48pt" strokecolor="#000000">
                <v:path arrowok="t"/>
              </v:shape>
            </v:group>
          </v:group>
        </w:pict>
      </w:r>
      <w:r>
        <w:rPr>
          <w:rFonts w:ascii="宋体"/>
          <w:sz w:val="2"/>
        </w:rPr>
      </w:r>
    </w:p>
    <w:p>
      <w:pPr>
        <w:tabs>
          <w:tab w:pos="4001" w:val="left" w:leader="none"/>
          <w:tab w:pos="6029" w:val="left" w:leader="none"/>
          <w:tab w:pos="8046" w:val="left" w:leader="none"/>
        </w:tabs>
        <w:spacing w:before="0"/>
        <w:ind w:left="1810" w:right="0" w:firstLine="0"/>
        <w:jc w:val="center"/>
        <w:rPr>
          <w:rFonts w:ascii="宋体" w:hAnsi="宋体" w:cs="宋体" w:eastAsia="宋体" w:hint="default"/>
          <w:sz w:val="18"/>
          <w:szCs w:val="18"/>
        </w:rPr>
      </w:pPr>
      <w:r>
        <w:rPr/>
        <w:pict>
          <v:group style="position:absolute;margin-left:169.220001pt;margin-top:15.311746pt;width:113.7pt;height:.5pt;mso-position-horizontal-relative:page;mso-position-vertical-relative:paragraph;z-index:4264" coordorigin="3384,306" coordsize="2274,10">
            <v:group style="position:absolute;left:3389;top:311;width:1417;height:2" coordorigin="3389,311" coordsize="1417,2">
              <v:shape style="position:absolute;left:3389;top:311;width:1417;height:2" coordorigin="3389,311" coordsize="1417,0" path="m3389,311l4806,311e" filled="false" stroked="true" strokeweight=".48pt" strokecolor="#000000">
                <v:path arrowok="t"/>
              </v:shape>
            </v:group>
            <v:group style="position:absolute;left:4806;top:311;width:10;height:2" coordorigin="4806,311" coordsize="10,2">
              <v:shape style="position:absolute;left:4806;top:311;width:10;height:2" coordorigin="4806,311" coordsize="10,0" path="m4806,311l4815,311e" filled="false" stroked="true" strokeweight=".48pt" strokecolor="#000000">
                <v:path arrowok="t"/>
              </v:shape>
            </v:group>
            <v:group style="position:absolute;left:4815;top:311;width:838;height:2" coordorigin="4815,311" coordsize="838,2">
              <v:shape style="position:absolute;left:4815;top:311;width:838;height:2" coordorigin="4815,311" coordsize="838,0" path="m4815,311l5653,311e" filled="false" stroked="true" strokeweight=".48pt" strokecolor="#000000">
                <v:path arrowok="t"/>
              </v:shape>
            </v:group>
            <w10:wrap type="none"/>
          </v:group>
        </w:pict>
      </w:r>
      <w:r>
        <w:rPr/>
        <w:pict>
          <v:group style="position:absolute;margin-left:294.529999pt;margin-top:15.311746pt;width:82pt;height:.5pt;mso-position-horizontal-relative:page;mso-position-vertical-relative:paragraph;z-index:4288" coordorigin="5891,306" coordsize="1640,10">
            <v:group style="position:absolute;left:5895;top:311;width:858;height:2" coordorigin="5895,311" coordsize="858,2">
              <v:shape style="position:absolute;left:5895;top:311;width:858;height:2" coordorigin="5895,311" coordsize="858,0" path="m5895,311l6753,311e" filled="false" stroked="true" strokeweight=".48pt" strokecolor="#000000">
                <v:path arrowok="t"/>
              </v:shape>
            </v:group>
            <v:group style="position:absolute;left:6753;top:311;width:10;height:2" coordorigin="6753,311" coordsize="10,2">
              <v:shape style="position:absolute;left:6753;top:311;width:10;height:2" coordorigin="6753,311" coordsize="10,0" path="m6753,311l6762,311e" filled="false" stroked="true" strokeweight=".48pt" strokecolor="#000000">
                <v:path arrowok="t"/>
              </v:shape>
            </v:group>
            <v:group style="position:absolute;left:6762;top:311;width:764;height:2" coordorigin="6762,311" coordsize="764,2">
              <v:shape style="position:absolute;left:6762;top:311;width:764;height:2" coordorigin="6762,311" coordsize="764,0" path="m6762,311l7525,311e" filled="false" stroked="true" strokeweight=".48pt" strokecolor="#000000">
                <v:path arrowok="t"/>
              </v:shape>
            </v:group>
            <w10:wrap type="none"/>
          </v:group>
        </w:pict>
      </w:r>
      <w:r>
        <w:rPr/>
        <w:pict>
          <v:group style="position:absolute;margin-left:388.269989pt;margin-top:15.311746pt;width:97.5pt;height:.5pt;mso-position-horizontal-relative:page;mso-position-vertical-relative:paragraph;z-index:4312" coordorigin="7765,306" coordsize="1950,10">
            <v:group style="position:absolute;left:7770;top:311;width:1103;height:2" coordorigin="7770,311" coordsize="1103,2">
              <v:shape style="position:absolute;left:7770;top:311;width:1103;height:2" coordorigin="7770,311" coordsize="1103,0" path="m7770,311l8872,311e" filled="false" stroked="true" strokeweight=".48pt" strokecolor="#000000">
                <v:path arrowok="t"/>
              </v:shape>
            </v:group>
            <v:group style="position:absolute;left:8872;top:311;width:10;height:2" coordorigin="8872,311" coordsize="10,2">
              <v:shape style="position:absolute;left:8872;top:311;width:10;height:2" coordorigin="8872,311" coordsize="10,0" path="m8872,311l8882,311e" filled="false" stroked="true" strokeweight=".48pt" strokecolor="#000000">
                <v:path arrowok="t"/>
              </v:shape>
            </v:group>
            <v:group style="position:absolute;left:8882;top:311;width:828;height:2" coordorigin="8882,311" coordsize="828,2">
              <v:shape style="position:absolute;left:8882;top:311;width:828;height:2" coordorigin="8882,311" coordsize="828,0" path="m8882,311l9710,311e" filled="false" stroked="true" strokeweight=".48pt" strokecolor="#000000">
                <v:path arrowok="t"/>
              </v:shape>
            </v:group>
            <w10:wrap type="none"/>
          </v:group>
        </w:pict>
      </w:r>
      <w:r>
        <w:rPr>
          <w:rFonts w:ascii="宋体" w:hAnsi="宋体" w:cs="宋体" w:eastAsia="宋体" w:hint="default"/>
          <w:sz w:val="18"/>
          <w:szCs w:val="18"/>
        </w:rPr>
        <w:t>账面余额</w:t>
        <w:tab/>
        <w:t>坏账准备</w:t>
        <w:tab/>
        <w:t>账面余额</w:t>
        <w:tab/>
        <w:t>坏账准备</w:t>
      </w:r>
    </w:p>
    <w:p>
      <w:pPr>
        <w:spacing w:after="0"/>
        <w:jc w:val="center"/>
        <w:rPr>
          <w:rFonts w:ascii="宋体" w:hAnsi="宋体" w:cs="宋体" w:eastAsia="宋体" w:hint="default"/>
          <w:sz w:val="18"/>
          <w:szCs w:val="18"/>
        </w:rPr>
        <w:sectPr>
          <w:footerReference w:type="default" r:id="rId108"/>
          <w:pgSz w:w="11910" w:h="16850"/>
          <w:pgMar w:footer="889" w:header="795" w:top="2020" w:bottom="1080" w:left="1560" w:right="0"/>
        </w:sectPr>
      </w:pPr>
    </w:p>
    <w:p>
      <w:pPr>
        <w:tabs>
          <w:tab w:pos="3399" w:val="left" w:leader="none"/>
        </w:tabs>
        <w:spacing w:line="232" w:lineRule="exact" w:before="113"/>
        <w:ind w:left="3488" w:right="0" w:hanging="1131"/>
        <w:jc w:val="left"/>
        <w:rPr>
          <w:rFonts w:ascii="宋体" w:hAnsi="宋体" w:cs="宋体" w:eastAsia="宋体" w:hint="default"/>
          <w:sz w:val="18"/>
          <w:szCs w:val="18"/>
        </w:rPr>
      </w:pPr>
      <w:r>
        <w:rPr>
          <w:rFonts w:ascii="宋体" w:hAnsi="宋体" w:cs="宋体" w:eastAsia="宋体" w:hint="default"/>
          <w:sz w:val="18"/>
          <w:szCs w:val="18"/>
        </w:rPr>
        <w:t>金额</w:t>
        <w:tab/>
        <w:t>占总额 比例</w:t>
      </w:r>
    </w:p>
    <w:p>
      <w:pPr>
        <w:tabs>
          <w:tab w:pos="1328" w:val="left" w:leader="none"/>
        </w:tabs>
        <w:spacing w:line="232" w:lineRule="exact" w:before="113"/>
        <w:ind w:left="1508" w:right="0" w:hanging="903"/>
        <w:jc w:val="left"/>
        <w:rPr>
          <w:rFonts w:ascii="宋体" w:hAnsi="宋体" w:cs="宋体" w:eastAsia="宋体" w:hint="default"/>
          <w:sz w:val="18"/>
          <w:szCs w:val="18"/>
        </w:rPr>
      </w:pPr>
      <w:r>
        <w:rPr/>
        <w:br w:type="column"/>
      </w:r>
      <w:r>
        <w:rPr>
          <w:rFonts w:ascii="宋体" w:hAnsi="宋体" w:cs="宋体" w:eastAsia="宋体" w:hint="default"/>
          <w:sz w:val="18"/>
          <w:szCs w:val="18"/>
        </w:rPr>
        <w:t>金额</w:t>
        <w:tab/>
        <w:t>计提比 例</w:t>
      </w:r>
    </w:p>
    <w:p>
      <w:pPr>
        <w:tabs>
          <w:tab w:pos="1573" w:val="left" w:leader="none"/>
        </w:tabs>
        <w:spacing w:line="232" w:lineRule="exact" w:before="113"/>
        <w:ind w:left="1662" w:right="0" w:hanging="971"/>
        <w:jc w:val="left"/>
        <w:rPr>
          <w:rFonts w:ascii="宋体" w:hAnsi="宋体" w:cs="宋体" w:eastAsia="宋体" w:hint="default"/>
          <w:sz w:val="18"/>
          <w:szCs w:val="18"/>
        </w:rPr>
      </w:pPr>
      <w:r>
        <w:rPr/>
        <w:br w:type="column"/>
      </w:r>
      <w:r>
        <w:rPr>
          <w:rFonts w:ascii="宋体" w:hAnsi="宋体" w:cs="宋体" w:eastAsia="宋体" w:hint="default"/>
          <w:sz w:val="18"/>
          <w:szCs w:val="18"/>
        </w:rPr>
        <w:t>金额</w:t>
        <w:tab/>
        <w:t>占总额 比例</w:t>
      </w:r>
    </w:p>
    <w:p>
      <w:pPr>
        <w:spacing w:line="240" w:lineRule="auto" w:before="5"/>
        <w:rPr>
          <w:rFonts w:ascii="宋体" w:hAnsi="宋体" w:cs="宋体" w:eastAsia="宋体" w:hint="default"/>
          <w:sz w:val="5"/>
          <w:szCs w:val="5"/>
        </w:rPr>
      </w:pPr>
      <w:r>
        <w:rPr/>
        <w:br w:type="column"/>
      </w:r>
      <w:r>
        <w:rPr>
          <w:rFonts w:ascii="宋体"/>
          <w:sz w:val="5"/>
        </w:rPr>
      </w:r>
    </w:p>
    <w:p>
      <w:pPr>
        <w:spacing w:line="20" w:lineRule="exact"/>
        <w:ind w:left="346" w:right="0" w:firstLine="0"/>
        <w:rPr>
          <w:rFonts w:ascii="宋体" w:hAnsi="宋体" w:cs="宋体" w:eastAsia="宋体" w:hint="default"/>
          <w:sz w:val="2"/>
          <w:szCs w:val="2"/>
        </w:rPr>
      </w:pPr>
      <w:r>
        <w:rPr>
          <w:rFonts w:ascii="宋体" w:hAnsi="宋体" w:cs="宋体" w:eastAsia="宋体" w:hint="default"/>
          <w:sz w:val="2"/>
          <w:szCs w:val="2"/>
        </w:rPr>
        <w:pict>
          <v:group style="width:80.8pt;height:.5pt;mso-position-horizontal-relative:char;mso-position-vertical-relative:line" coordorigin="0,0" coordsize="1616,10">
            <v:group style="position:absolute;left:5;top:5;width:814;height:2" coordorigin="5,5" coordsize="814,2">
              <v:shape style="position:absolute;left:5;top:5;width:814;height:2" coordorigin="5,5" coordsize="814,0" path="m5,5l818,5e" filled="false" stroked="true" strokeweight=".48pt" strokecolor="#000000">
                <v:path arrowok="t"/>
              </v:shape>
            </v:group>
            <v:group style="position:absolute;left:818;top:5;width:10;height:2" coordorigin="818,5" coordsize="10,2">
              <v:shape style="position:absolute;left:818;top:5;width:10;height:2" coordorigin="818,5" coordsize="10,0" path="m818,5l828,5e" filled="false" stroked="true" strokeweight=".48pt" strokecolor="#000000">
                <v:path arrowok="t"/>
              </v:shape>
            </v:group>
            <v:group style="position:absolute;left:828;top:5;width:783;height:2" coordorigin="828,5" coordsize="783,2">
              <v:shape style="position:absolute;left:828;top:5;width:783;height:2" coordorigin="828,5" coordsize="783,0" path="m828,5l1611,5e" filled="false" stroked="true" strokeweight=".48pt" strokecolor="#000000">
                <v:path arrowok="t"/>
              </v:shape>
            </v:group>
          </v:group>
        </w:pict>
      </w:r>
      <w:r>
        <w:rPr>
          <w:rFonts w:ascii="宋体" w:hAnsi="宋体" w:cs="宋体" w:eastAsia="宋体" w:hint="default"/>
          <w:sz w:val="2"/>
          <w:szCs w:val="2"/>
        </w:rPr>
      </w:r>
    </w:p>
    <w:p>
      <w:pPr>
        <w:tabs>
          <w:tab w:pos="1380" w:val="left" w:leader="none"/>
        </w:tabs>
        <w:spacing w:line="278" w:lineRule="auto" w:before="0"/>
        <w:ind w:left="1380" w:right="562" w:hanging="804"/>
        <w:jc w:val="left"/>
        <w:rPr>
          <w:rFonts w:ascii="宋体" w:hAnsi="宋体" w:cs="宋体" w:eastAsia="宋体" w:hint="default"/>
          <w:sz w:val="18"/>
          <w:szCs w:val="18"/>
        </w:rPr>
      </w:pPr>
      <w:r>
        <w:rPr>
          <w:rFonts w:ascii="宋体" w:hAnsi="宋体" w:cs="宋体" w:eastAsia="宋体" w:hint="default"/>
          <w:sz w:val="18"/>
          <w:szCs w:val="18"/>
        </w:rPr>
        <w:t>金额</w:t>
        <w:tab/>
        <w:t>计提 比例</w:t>
      </w:r>
    </w:p>
    <w:p>
      <w:pPr>
        <w:spacing w:after="0" w:line="278" w:lineRule="auto"/>
        <w:jc w:val="left"/>
        <w:rPr>
          <w:rFonts w:ascii="宋体" w:hAnsi="宋体" w:cs="宋体" w:eastAsia="宋体" w:hint="default"/>
          <w:sz w:val="18"/>
          <w:szCs w:val="18"/>
        </w:rPr>
        <w:sectPr>
          <w:type w:val="continuous"/>
          <w:pgSz w:w="11910" w:h="16850"/>
          <w:pgMar w:top="1060" w:bottom="1540" w:left="1560" w:right="0"/>
          <w:cols w:num="4" w:equalWidth="0">
            <w:col w:w="3940" w:space="40"/>
            <w:col w:w="1869" w:space="40"/>
            <w:col w:w="2114" w:space="40"/>
            <w:col w:w="230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1718"/>
        <w:gridCol w:w="1428"/>
        <w:gridCol w:w="836"/>
        <w:gridCol w:w="242"/>
        <w:gridCol w:w="857"/>
        <w:gridCol w:w="1018"/>
        <w:gridCol w:w="1108"/>
        <w:gridCol w:w="831"/>
        <w:gridCol w:w="242"/>
        <w:gridCol w:w="835"/>
        <w:gridCol w:w="744"/>
      </w:tblGrid>
      <w:tr>
        <w:trPr>
          <w:trHeight w:val="359"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1"/>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8"/>
              <w:jc w:val="right"/>
              <w:rPr>
                <w:rFonts w:ascii="Arial" w:hAnsi="Arial" w:cs="Arial" w:eastAsia="Arial" w:hint="default"/>
                <w:sz w:val="18"/>
                <w:szCs w:val="18"/>
              </w:rPr>
            </w:pPr>
            <w:r>
              <w:rPr>
                <w:rFonts w:ascii="Arial"/>
                <w:spacing w:val="-1"/>
                <w:sz w:val="18"/>
              </w:rPr>
              <w:t>14,640,402</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10" w:right="0"/>
              <w:jc w:val="center"/>
              <w:rPr>
                <w:rFonts w:ascii="Arial" w:hAnsi="Arial" w:cs="Arial" w:eastAsia="Arial" w:hint="default"/>
                <w:sz w:val="18"/>
                <w:szCs w:val="18"/>
              </w:rPr>
            </w:pPr>
            <w:r>
              <w:rPr>
                <w:rFonts w:ascii="Arial"/>
                <w:sz w:val="18"/>
              </w:rPr>
              <w:t>99.8%</w:t>
            </w:r>
          </w:p>
        </w:tc>
        <w:tc>
          <w:tcPr>
            <w:tcW w:w="242"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Arial" w:hAnsi="Arial" w:cs="Arial" w:eastAsia="Arial" w:hint="default"/>
                <w:sz w:val="18"/>
                <w:szCs w:val="18"/>
              </w:rPr>
            </w:pPr>
            <w:r>
              <w:rPr>
                <w:rFonts w:ascii="Arial"/>
                <w:w w:val="95"/>
                <w:sz w:val="18"/>
              </w:rPr>
              <w:t>(4,685)</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94"/>
              <w:jc w:val="right"/>
              <w:rPr>
                <w:rFonts w:ascii="Arial" w:hAnsi="Arial" w:cs="Arial" w:eastAsia="Arial" w:hint="default"/>
                <w:sz w:val="18"/>
                <w:szCs w:val="18"/>
              </w:rPr>
            </w:pPr>
            <w:r>
              <w:rPr>
                <w:rFonts w:ascii="Arial"/>
                <w:w w:val="95"/>
                <w:sz w:val="18"/>
              </w:rPr>
              <w:t>0.03%</w:t>
            </w:r>
            <w:r>
              <w:rPr>
                <w:rFonts w:ascii="Arial"/>
                <w:sz w:val="18"/>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4"/>
              <w:jc w:val="right"/>
              <w:rPr>
                <w:rFonts w:ascii="Arial" w:hAnsi="Arial" w:cs="Arial" w:eastAsia="Arial" w:hint="default"/>
                <w:sz w:val="18"/>
                <w:szCs w:val="18"/>
              </w:rPr>
            </w:pPr>
            <w:r>
              <w:rPr>
                <w:rFonts w:ascii="Arial"/>
                <w:spacing w:val="-1"/>
                <w:sz w:val="18"/>
              </w:rPr>
              <w:t>10,738,780</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4"/>
              <w:jc w:val="right"/>
              <w:rPr>
                <w:rFonts w:ascii="Arial" w:hAnsi="Arial" w:cs="Arial" w:eastAsia="Arial" w:hint="default"/>
                <w:sz w:val="18"/>
                <w:szCs w:val="18"/>
              </w:rPr>
            </w:pPr>
            <w:r>
              <w:rPr>
                <w:rFonts w:ascii="Arial"/>
                <w:w w:val="95"/>
                <w:sz w:val="18"/>
              </w:rPr>
              <w:t>99.9%</w:t>
            </w:r>
            <w:r>
              <w:rPr>
                <w:rFonts w:ascii="Arial"/>
                <w:sz w:val="18"/>
              </w:rPr>
            </w:r>
          </w:p>
        </w:tc>
        <w:tc>
          <w:tcPr>
            <w:tcW w:w="242"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0"/>
              <w:jc w:val="right"/>
              <w:rPr>
                <w:rFonts w:ascii="Arial" w:hAnsi="Arial" w:cs="Arial" w:eastAsia="Arial" w:hint="default"/>
                <w:sz w:val="18"/>
                <w:szCs w:val="18"/>
              </w:rPr>
            </w:pPr>
            <w:r>
              <w:rPr>
                <w:rFonts w:ascii="Arial"/>
                <w:w w:val="95"/>
                <w:sz w:val="18"/>
              </w:rPr>
              <w:t>(5,412)</w:t>
            </w:r>
            <w:r>
              <w:rPr>
                <w:rFonts w:ascii="Arial"/>
                <w:sz w:val="18"/>
              </w:rPr>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4"/>
              <w:jc w:val="right"/>
              <w:rPr>
                <w:rFonts w:ascii="Arial" w:hAnsi="Arial" w:cs="Arial" w:eastAsia="Arial" w:hint="default"/>
                <w:sz w:val="18"/>
                <w:szCs w:val="18"/>
              </w:rPr>
            </w:pPr>
            <w:r>
              <w:rPr>
                <w:rFonts w:ascii="Arial"/>
                <w:w w:val="95"/>
                <w:sz w:val="18"/>
              </w:rPr>
              <w:t>0.1%</w:t>
            </w:r>
            <w:r>
              <w:rPr>
                <w:rFonts w:ascii="Arial"/>
                <w:sz w:val="18"/>
              </w:rPr>
            </w:r>
          </w:p>
        </w:tc>
      </w:tr>
      <w:tr>
        <w:trPr>
          <w:trHeight w:val="404"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一到二年</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8"/>
              <w:jc w:val="right"/>
              <w:rPr>
                <w:rFonts w:ascii="Arial" w:hAnsi="Arial" w:cs="Arial" w:eastAsia="Arial" w:hint="default"/>
                <w:sz w:val="18"/>
                <w:szCs w:val="18"/>
              </w:rPr>
            </w:pPr>
            <w:r>
              <w:rPr>
                <w:rFonts w:ascii="Arial"/>
                <w:spacing w:val="-1"/>
                <w:sz w:val="18"/>
              </w:rPr>
              <w:t>27,064</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10" w:right="0"/>
              <w:jc w:val="center"/>
              <w:rPr>
                <w:rFonts w:ascii="Arial" w:hAnsi="Arial" w:cs="Arial" w:eastAsia="Arial" w:hint="default"/>
                <w:sz w:val="18"/>
                <w:szCs w:val="18"/>
              </w:rPr>
            </w:pPr>
            <w:r>
              <w:rPr>
                <w:rFonts w:ascii="Arial"/>
                <w:sz w:val="18"/>
              </w:rPr>
              <w:t>0.2%</w:t>
            </w:r>
          </w:p>
        </w:tc>
        <w:tc>
          <w:tcPr>
            <w:tcW w:w="242"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2"/>
              <w:jc w:val="right"/>
              <w:rPr>
                <w:rFonts w:ascii="Arial" w:hAnsi="Arial" w:cs="Arial" w:eastAsia="Arial" w:hint="default"/>
                <w:sz w:val="18"/>
                <w:szCs w:val="18"/>
              </w:rPr>
            </w:pPr>
            <w:r>
              <w:rPr>
                <w:rFonts w:ascii="Arial"/>
                <w:w w:val="95"/>
                <w:sz w:val="18"/>
              </w:rPr>
              <w:t>(2,706)</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48"/>
              <w:jc w:val="right"/>
              <w:rPr>
                <w:rFonts w:ascii="Arial" w:hAnsi="Arial" w:cs="Arial" w:eastAsia="Arial" w:hint="default"/>
                <w:sz w:val="18"/>
                <w:szCs w:val="18"/>
              </w:rPr>
            </w:pPr>
            <w:r>
              <w:rPr>
                <w:rFonts w:ascii="Arial"/>
                <w:w w:val="95"/>
                <w:sz w:val="18"/>
              </w:rPr>
              <w:t>10%</w:t>
            </w:r>
            <w:r>
              <w:rPr>
                <w:rFonts w:ascii="Arial"/>
                <w:sz w:val="18"/>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1"/>
              <w:jc w:val="right"/>
              <w:rPr>
                <w:rFonts w:ascii="Arial" w:hAnsi="Arial" w:cs="Arial" w:eastAsia="Arial" w:hint="default"/>
                <w:sz w:val="18"/>
                <w:szCs w:val="18"/>
              </w:rPr>
            </w:pPr>
            <w:r>
              <w:rPr>
                <w:rFonts w:ascii="Arial"/>
                <w:w w:val="95"/>
                <w:sz w:val="18"/>
              </w:rPr>
              <w:t>8,197</w:t>
            </w:r>
            <w:r>
              <w:rPr>
                <w:rFonts w:ascii="Arial"/>
                <w:sz w:val="18"/>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4"/>
              <w:jc w:val="right"/>
              <w:rPr>
                <w:rFonts w:ascii="Arial" w:hAnsi="Arial" w:cs="Arial" w:eastAsia="Arial" w:hint="default"/>
                <w:sz w:val="18"/>
                <w:szCs w:val="18"/>
              </w:rPr>
            </w:pPr>
            <w:r>
              <w:rPr>
                <w:rFonts w:ascii="Arial"/>
                <w:w w:val="95"/>
                <w:sz w:val="18"/>
              </w:rPr>
              <w:t>0.1%</w:t>
            </w:r>
            <w:r>
              <w:rPr>
                <w:rFonts w:ascii="Arial"/>
                <w:sz w:val="18"/>
              </w:rPr>
            </w:r>
          </w:p>
        </w:tc>
        <w:tc>
          <w:tcPr>
            <w:tcW w:w="242"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2"/>
              <w:jc w:val="right"/>
              <w:rPr>
                <w:rFonts w:ascii="Arial" w:hAnsi="Arial" w:cs="Arial" w:eastAsia="Arial" w:hint="default"/>
                <w:sz w:val="18"/>
                <w:szCs w:val="18"/>
              </w:rPr>
            </w:pPr>
            <w:r>
              <w:rPr>
                <w:rFonts w:ascii="Arial"/>
                <w:w w:val="95"/>
                <w:sz w:val="18"/>
              </w:rPr>
              <w:t>(820)</w:t>
            </w:r>
            <w:r>
              <w:rPr>
                <w:rFonts w:ascii="Arial"/>
                <w:sz w:val="18"/>
              </w:rPr>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1"/>
              <w:jc w:val="right"/>
              <w:rPr>
                <w:rFonts w:ascii="Arial" w:hAnsi="Arial" w:cs="Arial" w:eastAsia="Arial" w:hint="default"/>
                <w:sz w:val="18"/>
                <w:szCs w:val="18"/>
              </w:rPr>
            </w:pPr>
            <w:r>
              <w:rPr>
                <w:rFonts w:ascii="Arial"/>
                <w:w w:val="95"/>
                <w:sz w:val="18"/>
              </w:rPr>
              <w:t>10%</w:t>
            </w:r>
            <w:r>
              <w:rPr>
                <w:rFonts w:ascii="Arial"/>
                <w:sz w:val="18"/>
              </w:rPr>
            </w:r>
          </w:p>
        </w:tc>
      </w:tr>
      <w:tr>
        <w:trPr>
          <w:trHeight w:val="494"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21"/>
              <w:jc w:val="right"/>
              <w:rPr>
                <w:rFonts w:ascii="宋体" w:hAnsi="宋体" w:cs="宋体" w:eastAsia="宋体" w:hint="default"/>
                <w:sz w:val="18"/>
                <w:szCs w:val="18"/>
              </w:rPr>
            </w:pPr>
            <w:r>
              <w:rPr>
                <w:rFonts w:ascii="宋体" w:hAnsi="宋体" w:cs="宋体" w:eastAsia="宋体" w:hint="default"/>
                <w:sz w:val="18"/>
                <w:szCs w:val="18"/>
              </w:rPr>
              <w:t>二到三年</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16"/>
              <w:jc w:val="right"/>
              <w:rPr>
                <w:rFonts w:ascii="Arial" w:hAnsi="Arial" w:cs="Arial" w:eastAsia="Arial" w:hint="default"/>
                <w:sz w:val="18"/>
                <w:szCs w:val="18"/>
              </w:rPr>
            </w:pPr>
            <w:r>
              <w:rPr>
                <w:rFonts w:ascii="Arial"/>
                <w:w w:val="95"/>
                <w:sz w:val="18"/>
              </w:rPr>
              <w:t>1,069</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10" w:right="0"/>
              <w:jc w:val="center"/>
              <w:rPr>
                <w:rFonts w:ascii="Arial" w:hAnsi="Arial" w:cs="Arial" w:eastAsia="Arial" w:hint="default"/>
                <w:sz w:val="18"/>
                <w:szCs w:val="18"/>
              </w:rPr>
            </w:pPr>
            <w:r>
              <w:rPr>
                <w:rFonts w:ascii="Arial"/>
                <w:sz w:val="18"/>
              </w:rPr>
              <w:t>0.0%</w:t>
            </w:r>
          </w:p>
        </w:tc>
        <w:tc>
          <w:tcPr>
            <w:tcW w:w="242"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2"/>
              <w:jc w:val="right"/>
              <w:rPr>
                <w:rFonts w:ascii="Arial" w:hAnsi="Arial" w:cs="Arial" w:eastAsia="Arial" w:hint="default"/>
                <w:sz w:val="18"/>
                <w:szCs w:val="18"/>
              </w:rPr>
            </w:pPr>
            <w:r>
              <w:rPr>
                <w:rFonts w:ascii="Arial"/>
                <w:spacing w:val="-1"/>
                <w:sz w:val="18"/>
              </w:rPr>
              <w:t>(214)</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48"/>
              <w:jc w:val="right"/>
              <w:rPr>
                <w:rFonts w:ascii="Arial" w:hAnsi="Arial" w:cs="Arial" w:eastAsia="Arial" w:hint="default"/>
                <w:sz w:val="18"/>
                <w:szCs w:val="18"/>
              </w:rPr>
            </w:pPr>
            <w:r>
              <w:rPr>
                <w:rFonts w:ascii="Arial"/>
                <w:w w:val="95"/>
                <w:sz w:val="18"/>
              </w:rPr>
              <w:t>20%</w:t>
            </w:r>
            <w:r>
              <w:rPr>
                <w:rFonts w:ascii="Arial"/>
                <w:sz w:val="18"/>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12"/>
              <w:jc w:val="right"/>
              <w:rPr>
                <w:rFonts w:ascii="Arial" w:hAnsi="Arial" w:cs="Arial" w:eastAsia="Arial" w:hint="default"/>
                <w:sz w:val="18"/>
                <w:szCs w:val="18"/>
              </w:rPr>
            </w:pPr>
            <w:r>
              <w:rPr>
                <w:rFonts w:ascii="Arial"/>
                <w:w w:val="95"/>
                <w:sz w:val="18"/>
              </w:rPr>
              <w:t>614</w:t>
            </w:r>
            <w:r>
              <w:rPr>
                <w:rFonts w:ascii="Arial"/>
                <w:sz w:val="18"/>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Arial" w:hAnsi="Arial" w:cs="Arial" w:eastAsia="Arial" w:hint="default"/>
                <w:sz w:val="18"/>
                <w:szCs w:val="18"/>
              </w:rPr>
            </w:pPr>
            <w:r>
              <w:rPr>
                <w:rFonts w:ascii="Arial"/>
                <w:w w:val="95"/>
                <w:sz w:val="18"/>
              </w:rPr>
              <w:t>0.0%</w:t>
            </w:r>
            <w:r>
              <w:rPr>
                <w:rFonts w:ascii="Arial"/>
                <w:sz w:val="18"/>
              </w:rPr>
            </w:r>
          </w:p>
        </w:tc>
        <w:tc>
          <w:tcPr>
            <w:tcW w:w="242"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82"/>
              <w:jc w:val="right"/>
              <w:rPr>
                <w:rFonts w:ascii="Arial" w:hAnsi="Arial" w:cs="Arial" w:eastAsia="Arial" w:hint="default"/>
                <w:sz w:val="18"/>
                <w:szCs w:val="18"/>
              </w:rPr>
            </w:pPr>
            <w:r>
              <w:rPr>
                <w:rFonts w:ascii="Arial"/>
                <w:w w:val="95"/>
                <w:sz w:val="18"/>
              </w:rPr>
              <w:t>(123)</w:t>
            </w:r>
            <w:r>
              <w:rPr>
                <w:rFonts w:ascii="Arial"/>
                <w:sz w:val="18"/>
              </w:rPr>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1"/>
              <w:jc w:val="right"/>
              <w:rPr>
                <w:rFonts w:ascii="Arial" w:hAnsi="Arial" w:cs="Arial" w:eastAsia="Arial" w:hint="default"/>
                <w:sz w:val="18"/>
                <w:szCs w:val="18"/>
              </w:rPr>
            </w:pPr>
            <w:r>
              <w:rPr>
                <w:rFonts w:ascii="Arial"/>
                <w:w w:val="95"/>
                <w:sz w:val="18"/>
              </w:rPr>
              <w:t>20%</w:t>
            </w:r>
            <w:r>
              <w:rPr>
                <w:rFonts w:ascii="Arial"/>
                <w:sz w:val="18"/>
              </w:rPr>
            </w:r>
          </w:p>
        </w:tc>
      </w:tr>
      <w:tr>
        <w:trPr>
          <w:trHeight w:val="493"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21"/>
              <w:jc w:val="right"/>
              <w:rPr>
                <w:rFonts w:ascii="宋体" w:hAnsi="宋体" w:cs="宋体" w:eastAsia="宋体" w:hint="default"/>
                <w:sz w:val="18"/>
                <w:szCs w:val="18"/>
              </w:rPr>
            </w:pPr>
            <w:r>
              <w:rPr>
                <w:rFonts w:ascii="宋体" w:hAnsi="宋体" w:cs="宋体" w:eastAsia="宋体" w:hint="default"/>
                <w:sz w:val="18"/>
                <w:szCs w:val="18"/>
              </w:rPr>
              <w:t>三到四年</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17"/>
              <w:jc w:val="right"/>
              <w:rPr>
                <w:rFonts w:ascii="Arial" w:hAnsi="Arial" w:cs="Arial" w:eastAsia="Arial" w:hint="default"/>
                <w:sz w:val="18"/>
                <w:szCs w:val="18"/>
              </w:rPr>
            </w:pPr>
            <w:r>
              <w:rPr>
                <w:rFonts w:ascii="Arial"/>
                <w:w w:val="95"/>
                <w:sz w:val="18"/>
              </w:rPr>
              <w:t>366</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10" w:right="0"/>
              <w:jc w:val="center"/>
              <w:rPr>
                <w:rFonts w:ascii="Arial" w:hAnsi="Arial" w:cs="Arial" w:eastAsia="Arial" w:hint="default"/>
                <w:sz w:val="18"/>
                <w:szCs w:val="18"/>
              </w:rPr>
            </w:pPr>
            <w:r>
              <w:rPr>
                <w:rFonts w:ascii="Arial"/>
                <w:sz w:val="18"/>
              </w:rPr>
              <w:t>0.0%</w:t>
            </w:r>
          </w:p>
        </w:tc>
        <w:tc>
          <w:tcPr>
            <w:tcW w:w="242"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2"/>
              <w:jc w:val="right"/>
              <w:rPr>
                <w:rFonts w:ascii="Arial" w:hAnsi="Arial" w:cs="Arial" w:eastAsia="Arial" w:hint="default"/>
                <w:sz w:val="18"/>
                <w:szCs w:val="18"/>
              </w:rPr>
            </w:pPr>
            <w:r>
              <w:rPr>
                <w:rFonts w:ascii="Arial"/>
                <w:spacing w:val="-3"/>
                <w:sz w:val="18"/>
              </w:rPr>
              <w:t>(110)</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48"/>
              <w:jc w:val="right"/>
              <w:rPr>
                <w:rFonts w:ascii="Arial" w:hAnsi="Arial" w:cs="Arial" w:eastAsia="Arial" w:hint="default"/>
                <w:sz w:val="18"/>
                <w:szCs w:val="18"/>
              </w:rPr>
            </w:pPr>
            <w:r>
              <w:rPr>
                <w:rFonts w:ascii="Arial"/>
                <w:w w:val="95"/>
                <w:sz w:val="18"/>
              </w:rPr>
              <w:t>30%</w:t>
            </w:r>
            <w:r>
              <w:rPr>
                <w:rFonts w:ascii="Arial"/>
                <w:sz w:val="18"/>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12"/>
              <w:jc w:val="right"/>
              <w:rPr>
                <w:rFonts w:ascii="Arial" w:hAnsi="Arial" w:cs="Arial" w:eastAsia="Arial" w:hint="default"/>
                <w:sz w:val="18"/>
                <w:szCs w:val="18"/>
              </w:rPr>
            </w:pPr>
            <w:r>
              <w:rPr>
                <w:rFonts w:ascii="Arial"/>
                <w:w w:val="95"/>
                <w:sz w:val="18"/>
              </w:rPr>
              <w:t>549</w:t>
            </w:r>
            <w:r>
              <w:rPr>
                <w:rFonts w:ascii="Arial"/>
                <w:sz w:val="18"/>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Arial" w:hAnsi="Arial" w:cs="Arial" w:eastAsia="Arial" w:hint="default"/>
                <w:sz w:val="18"/>
                <w:szCs w:val="18"/>
              </w:rPr>
            </w:pPr>
            <w:r>
              <w:rPr>
                <w:rFonts w:ascii="Arial"/>
                <w:w w:val="95"/>
                <w:sz w:val="18"/>
              </w:rPr>
              <w:t>0.0%</w:t>
            </w:r>
            <w:r>
              <w:rPr>
                <w:rFonts w:ascii="Arial"/>
                <w:sz w:val="18"/>
              </w:rPr>
            </w:r>
          </w:p>
        </w:tc>
        <w:tc>
          <w:tcPr>
            <w:tcW w:w="242"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82"/>
              <w:jc w:val="right"/>
              <w:rPr>
                <w:rFonts w:ascii="Arial" w:hAnsi="Arial" w:cs="Arial" w:eastAsia="Arial" w:hint="default"/>
                <w:sz w:val="18"/>
                <w:szCs w:val="18"/>
              </w:rPr>
            </w:pPr>
            <w:r>
              <w:rPr>
                <w:rFonts w:ascii="Arial"/>
                <w:w w:val="95"/>
                <w:sz w:val="18"/>
              </w:rPr>
              <w:t>(165)</w:t>
            </w:r>
            <w:r>
              <w:rPr>
                <w:rFonts w:ascii="Arial"/>
                <w:sz w:val="18"/>
              </w:rPr>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1"/>
              <w:jc w:val="right"/>
              <w:rPr>
                <w:rFonts w:ascii="Arial" w:hAnsi="Arial" w:cs="Arial" w:eastAsia="Arial" w:hint="default"/>
                <w:sz w:val="18"/>
                <w:szCs w:val="18"/>
              </w:rPr>
            </w:pPr>
            <w:r>
              <w:rPr>
                <w:rFonts w:ascii="Arial"/>
                <w:w w:val="95"/>
                <w:sz w:val="18"/>
              </w:rPr>
              <w:t>30%</w:t>
            </w:r>
            <w:r>
              <w:rPr>
                <w:rFonts w:ascii="Arial"/>
                <w:sz w:val="18"/>
              </w:rPr>
            </w:r>
          </w:p>
        </w:tc>
      </w:tr>
      <w:tr>
        <w:trPr>
          <w:trHeight w:val="493"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1"/>
              <w:jc w:val="right"/>
              <w:rPr>
                <w:rFonts w:ascii="宋体" w:hAnsi="宋体" w:cs="宋体" w:eastAsia="宋体" w:hint="default"/>
                <w:sz w:val="18"/>
                <w:szCs w:val="18"/>
              </w:rPr>
            </w:pPr>
            <w:r>
              <w:rPr>
                <w:rFonts w:ascii="宋体" w:hAnsi="宋体" w:cs="宋体" w:eastAsia="宋体" w:hint="default"/>
                <w:sz w:val="18"/>
                <w:szCs w:val="18"/>
              </w:rPr>
              <w:t>四到五年</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17"/>
              <w:jc w:val="right"/>
              <w:rPr>
                <w:rFonts w:ascii="Arial" w:hAnsi="Arial" w:cs="Arial" w:eastAsia="Arial" w:hint="default"/>
                <w:sz w:val="18"/>
                <w:szCs w:val="18"/>
              </w:rPr>
            </w:pPr>
            <w:r>
              <w:rPr>
                <w:rFonts w:ascii="Arial"/>
                <w:w w:val="95"/>
                <w:sz w:val="18"/>
              </w:rPr>
              <w:t>549</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210" w:right="0"/>
              <w:jc w:val="center"/>
              <w:rPr>
                <w:rFonts w:ascii="Arial" w:hAnsi="Arial" w:cs="Arial" w:eastAsia="Arial" w:hint="default"/>
                <w:sz w:val="18"/>
                <w:szCs w:val="18"/>
              </w:rPr>
            </w:pPr>
            <w:r>
              <w:rPr>
                <w:rFonts w:ascii="Arial"/>
                <w:sz w:val="18"/>
              </w:rPr>
              <w:t>0.0%</w:t>
            </w:r>
          </w:p>
        </w:tc>
        <w:tc>
          <w:tcPr>
            <w:tcW w:w="242"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02"/>
              <w:jc w:val="right"/>
              <w:rPr>
                <w:rFonts w:ascii="Arial" w:hAnsi="Arial" w:cs="Arial" w:eastAsia="Arial" w:hint="default"/>
                <w:sz w:val="18"/>
                <w:szCs w:val="18"/>
              </w:rPr>
            </w:pPr>
            <w:r>
              <w:rPr>
                <w:rFonts w:ascii="Arial"/>
                <w:spacing w:val="-1"/>
                <w:sz w:val="18"/>
              </w:rPr>
              <w:t>(330)</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48"/>
              <w:jc w:val="right"/>
              <w:rPr>
                <w:rFonts w:ascii="Arial" w:hAnsi="Arial" w:cs="Arial" w:eastAsia="Arial" w:hint="default"/>
                <w:sz w:val="18"/>
                <w:szCs w:val="18"/>
              </w:rPr>
            </w:pPr>
            <w:r>
              <w:rPr>
                <w:rFonts w:ascii="Arial"/>
                <w:w w:val="95"/>
                <w:sz w:val="18"/>
              </w:rPr>
              <w:t>60%</w:t>
            </w:r>
            <w:r>
              <w:rPr>
                <w:rFonts w:ascii="Arial"/>
                <w:sz w:val="18"/>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12"/>
              <w:jc w:val="right"/>
              <w:rPr>
                <w:rFonts w:ascii="Arial" w:hAnsi="Arial" w:cs="Arial" w:eastAsia="Arial" w:hint="default"/>
                <w:sz w:val="18"/>
                <w:szCs w:val="18"/>
              </w:rPr>
            </w:pPr>
            <w:r>
              <w:rPr>
                <w:rFonts w:ascii="Arial"/>
                <w:w w:val="95"/>
                <w:sz w:val="18"/>
              </w:rPr>
              <w:t>121</w:t>
            </w:r>
            <w:r>
              <w:rPr>
                <w:rFonts w:ascii="Arial"/>
                <w:sz w:val="18"/>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04"/>
              <w:jc w:val="right"/>
              <w:rPr>
                <w:rFonts w:ascii="Arial" w:hAnsi="Arial" w:cs="Arial" w:eastAsia="Arial" w:hint="default"/>
                <w:sz w:val="18"/>
                <w:szCs w:val="18"/>
              </w:rPr>
            </w:pPr>
            <w:r>
              <w:rPr>
                <w:rFonts w:ascii="Arial"/>
                <w:w w:val="95"/>
                <w:sz w:val="18"/>
              </w:rPr>
              <w:t>0.0%</w:t>
            </w:r>
            <w:r>
              <w:rPr>
                <w:rFonts w:ascii="Arial"/>
                <w:sz w:val="18"/>
              </w:rPr>
            </w:r>
          </w:p>
        </w:tc>
        <w:tc>
          <w:tcPr>
            <w:tcW w:w="242"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82"/>
              <w:jc w:val="right"/>
              <w:rPr>
                <w:rFonts w:ascii="Arial" w:hAnsi="Arial" w:cs="Arial" w:eastAsia="Arial" w:hint="default"/>
                <w:sz w:val="18"/>
                <w:szCs w:val="18"/>
              </w:rPr>
            </w:pPr>
            <w:r>
              <w:rPr>
                <w:rFonts w:ascii="Arial"/>
                <w:w w:val="95"/>
                <w:sz w:val="18"/>
              </w:rPr>
              <w:t>(73)</w:t>
            </w:r>
            <w:r>
              <w:rPr>
                <w:rFonts w:ascii="Arial"/>
                <w:sz w:val="18"/>
              </w:rPr>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01"/>
              <w:jc w:val="right"/>
              <w:rPr>
                <w:rFonts w:ascii="Arial" w:hAnsi="Arial" w:cs="Arial" w:eastAsia="Arial" w:hint="default"/>
                <w:sz w:val="18"/>
                <w:szCs w:val="18"/>
              </w:rPr>
            </w:pPr>
            <w:r>
              <w:rPr>
                <w:rFonts w:ascii="Arial"/>
                <w:w w:val="95"/>
                <w:sz w:val="18"/>
              </w:rPr>
              <w:t>60%</w:t>
            </w:r>
            <w:r>
              <w:rPr>
                <w:rFonts w:ascii="Arial"/>
                <w:sz w:val="18"/>
              </w:rPr>
            </w:r>
          </w:p>
        </w:tc>
      </w:tr>
      <w:tr>
        <w:trPr>
          <w:trHeight w:val="401"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21"/>
              <w:jc w:val="right"/>
              <w:rPr>
                <w:rFonts w:ascii="宋体" w:hAnsi="宋体" w:cs="宋体" w:eastAsia="宋体" w:hint="default"/>
                <w:sz w:val="18"/>
                <w:szCs w:val="18"/>
              </w:rPr>
            </w:pPr>
            <w:r>
              <w:rPr>
                <w:rFonts w:ascii="宋体" w:hAnsi="宋体" w:cs="宋体" w:eastAsia="宋体" w:hint="default"/>
                <w:sz w:val="18"/>
                <w:szCs w:val="18"/>
              </w:rPr>
              <w:t>五年以上</w:t>
            </w:r>
          </w:p>
        </w:tc>
        <w:tc>
          <w:tcPr>
            <w:tcW w:w="1428"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right="117"/>
              <w:jc w:val="right"/>
              <w:rPr>
                <w:rFonts w:ascii="Arial" w:hAnsi="Arial" w:cs="Arial" w:eastAsia="Arial" w:hint="default"/>
                <w:sz w:val="18"/>
                <w:szCs w:val="18"/>
              </w:rPr>
            </w:pPr>
            <w:r>
              <w:rPr>
                <w:rFonts w:ascii="Arial"/>
                <w:w w:val="95"/>
                <w:sz w:val="18"/>
              </w:rPr>
              <w:t>419</w:t>
            </w:r>
            <w:r>
              <w:rPr>
                <w:rFonts w:ascii="Arial"/>
                <w:sz w:val="18"/>
              </w:rPr>
            </w:r>
          </w:p>
        </w:tc>
        <w:tc>
          <w:tcPr>
            <w:tcW w:w="836"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left="210" w:right="0"/>
              <w:jc w:val="center"/>
              <w:rPr>
                <w:rFonts w:ascii="Arial" w:hAnsi="Arial" w:cs="Arial" w:eastAsia="Arial" w:hint="default"/>
                <w:sz w:val="18"/>
                <w:szCs w:val="18"/>
              </w:rPr>
            </w:pPr>
            <w:r>
              <w:rPr>
                <w:rFonts w:ascii="Arial"/>
                <w:sz w:val="18"/>
              </w:rPr>
              <w:t>0.0%</w:t>
            </w:r>
          </w:p>
        </w:tc>
        <w:tc>
          <w:tcPr>
            <w:tcW w:w="242"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right="102"/>
              <w:jc w:val="right"/>
              <w:rPr>
                <w:rFonts w:ascii="Arial" w:hAnsi="Arial" w:cs="Arial" w:eastAsia="Arial" w:hint="default"/>
                <w:sz w:val="18"/>
                <w:szCs w:val="18"/>
              </w:rPr>
            </w:pPr>
            <w:r>
              <w:rPr>
                <w:rFonts w:ascii="Arial"/>
                <w:w w:val="95"/>
                <w:sz w:val="18"/>
              </w:rPr>
              <w:t>(419)</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12"/>
              <w:jc w:val="right"/>
              <w:rPr>
                <w:rFonts w:ascii="Arial" w:hAnsi="Arial" w:cs="Arial" w:eastAsia="Arial" w:hint="default"/>
                <w:sz w:val="18"/>
                <w:szCs w:val="18"/>
              </w:rPr>
            </w:pPr>
            <w:r>
              <w:rPr>
                <w:rFonts w:ascii="Arial"/>
                <w:w w:val="95"/>
                <w:sz w:val="18"/>
              </w:rPr>
              <w:t>100%</w:t>
            </w:r>
            <w:r>
              <w:rPr>
                <w:rFonts w:ascii="Arial"/>
                <w:sz w:val="18"/>
              </w:rPr>
            </w:r>
          </w:p>
        </w:tc>
        <w:tc>
          <w:tcPr>
            <w:tcW w:w="1108"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right="112"/>
              <w:jc w:val="right"/>
              <w:rPr>
                <w:rFonts w:ascii="Arial" w:hAnsi="Arial" w:cs="Arial" w:eastAsia="Arial" w:hint="default"/>
                <w:sz w:val="18"/>
                <w:szCs w:val="18"/>
              </w:rPr>
            </w:pPr>
            <w:r>
              <w:rPr>
                <w:rFonts w:ascii="Arial"/>
                <w:w w:val="95"/>
                <w:sz w:val="18"/>
              </w:rPr>
              <w:t>398</w:t>
            </w:r>
            <w:r>
              <w:rPr>
                <w:rFonts w:ascii="Arial"/>
                <w:sz w:val="18"/>
              </w:rPr>
            </w:r>
          </w:p>
        </w:tc>
        <w:tc>
          <w:tcPr>
            <w:tcW w:w="831"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right="104"/>
              <w:jc w:val="right"/>
              <w:rPr>
                <w:rFonts w:ascii="Arial" w:hAnsi="Arial" w:cs="Arial" w:eastAsia="Arial" w:hint="default"/>
                <w:sz w:val="18"/>
                <w:szCs w:val="18"/>
              </w:rPr>
            </w:pPr>
            <w:r>
              <w:rPr>
                <w:rFonts w:ascii="Arial"/>
                <w:w w:val="95"/>
                <w:sz w:val="18"/>
              </w:rPr>
              <w:t>0.0%</w:t>
            </w:r>
            <w:r>
              <w:rPr>
                <w:rFonts w:ascii="Arial"/>
                <w:sz w:val="18"/>
              </w:rPr>
            </w:r>
          </w:p>
        </w:tc>
        <w:tc>
          <w:tcPr>
            <w:tcW w:w="242"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right="80"/>
              <w:jc w:val="right"/>
              <w:rPr>
                <w:rFonts w:ascii="Arial" w:hAnsi="Arial" w:cs="Arial" w:eastAsia="Arial" w:hint="default"/>
                <w:sz w:val="18"/>
                <w:szCs w:val="18"/>
              </w:rPr>
            </w:pPr>
            <w:r>
              <w:rPr>
                <w:rFonts w:ascii="Arial"/>
                <w:w w:val="95"/>
                <w:sz w:val="18"/>
              </w:rPr>
              <w:t>(398)</w:t>
            </w:r>
            <w:r>
              <w:rPr>
                <w:rFonts w:ascii="Arial"/>
                <w:sz w:val="18"/>
              </w:rPr>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1"/>
              <w:jc w:val="right"/>
              <w:rPr>
                <w:rFonts w:ascii="Arial" w:hAnsi="Arial" w:cs="Arial" w:eastAsia="Arial" w:hint="default"/>
                <w:sz w:val="18"/>
                <w:szCs w:val="18"/>
              </w:rPr>
            </w:pPr>
            <w:r>
              <w:rPr>
                <w:rFonts w:ascii="Arial"/>
                <w:w w:val="95"/>
                <w:sz w:val="18"/>
              </w:rPr>
              <w:t>100%</w:t>
            </w:r>
            <w:r>
              <w:rPr>
                <w:rFonts w:ascii="Arial"/>
                <w:sz w:val="18"/>
              </w:rPr>
            </w:r>
          </w:p>
        </w:tc>
      </w:tr>
      <w:tr>
        <w:trPr>
          <w:trHeight w:val="292" w:hRule="exact"/>
        </w:trPr>
        <w:tc>
          <w:tcPr>
            <w:tcW w:w="1718" w:type="dxa"/>
            <w:tcBorders>
              <w:top w:val="nil" w:sz="6" w:space="0" w:color="auto"/>
              <w:left w:val="nil" w:sz="6" w:space="0" w:color="auto"/>
              <w:bottom w:val="single" w:sz="1" w:space="0" w:color="FFFF99"/>
              <w:right w:val="nil" w:sz="6" w:space="0" w:color="auto"/>
            </w:tcBorders>
          </w:tcPr>
          <w:p>
            <w:pPr/>
          </w:p>
        </w:tc>
        <w:tc>
          <w:tcPr>
            <w:tcW w:w="1428"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18"/>
              <w:jc w:val="right"/>
              <w:rPr>
                <w:rFonts w:ascii="Arial" w:hAnsi="Arial" w:cs="Arial" w:eastAsia="Arial" w:hint="default"/>
                <w:sz w:val="18"/>
                <w:szCs w:val="18"/>
              </w:rPr>
            </w:pPr>
            <w:r>
              <w:rPr>
                <w:rFonts w:ascii="Arial"/>
                <w:spacing w:val="-1"/>
                <w:sz w:val="18"/>
              </w:rPr>
              <w:t>14,669,869</w:t>
            </w:r>
          </w:p>
        </w:tc>
        <w:tc>
          <w:tcPr>
            <w:tcW w:w="836"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11" w:right="0"/>
              <w:jc w:val="center"/>
              <w:rPr>
                <w:rFonts w:ascii="Arial" w:hAnsi="Arial" w:cs="Arial" w:eastAsia="Arial" w:hint="default"/>
                <w:sz w:val="18"/>
                <w:szCs w:val="18"/>
              </w:rPr>
            </w:pPr>
            <w:r>
              <w:rPr>
                <w:rFonts w:ascii="Arial"/>
                <w:sz w:val="18"/>
              </w:rPr>
              <w:t>100.0%</w:t>
            </w:r>
          </w:p>
        </w:tc>
        <w:tc>
          <w:tcPr>
            <w:tcW w:w="242" w:type="dxa"/>
            <w:tcBorders>
              <w:top w:val="nil" w:sz="6" w:space="0" w:color="auto"/>
              <w:left w:val="nil" w:sz="6" w:space="0" w:color="auto"/>
              <w:bottom w:val="single" w:sz="1" w:space="0" w:color="FFFF99"/>
              <w:right w:val="nil" w:sz="6" w:space="0" w:color="auto"/>
            </w:tcBorders>
          </w:tcPr>
          <w:p>
            <w:pPr/>
          </w:p>
        </w:tc>
        <w:tc>
          <w:tcPr>
            <w:tcW w:w="857"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2"/>
              <w:jc w:val="right"/>
              <w:rPr>
                <w:rFonts w:ascii="Arial" w:hAnsi="Arial" w:cs="Arial" w:eastAsia="Arial" w:hint="default"/>
                <w:sz w:val="18"/>
                <w:szCs w:val="18"/>
              </w:rPr>
            </w:pPr>
            <w:r>
              <w:rPr>
                <w:rFonts w:ascii="Arial"/>
                <w:w w:val="95"/>
                <w:sz w:val="18"/>
              </w:rPr>
              <w:t>(8,464)</w:t>
            </w:r>
            <w:r>
              <w:rPr>
                <w:rFonts w:ascii="Arial"/>
                <w:sz w:val="18"/>
              </w:rPr>
            </w:r>
          </w:p>
        </w:tc>
        <w:tc>
          <w:tcPr>
            <w:tcW w:w="1018" w:type="dxa"/>
            <w:tcBorders>
              <w:top w:val="nil" w:sz="6" w:space="0" w:color="auto"/>
              <w:left w:val="nil" w:sz="6" w:space="0" w:color="auto"/>
              <w:bottom w:val="single" w:sz="1" w:space="0" w:color="FFFF99"/>
              <w:right w:val="nil" w:sz="6" w:space="0" w:color="auto"/>
            </w:tcBorders>
          </w:tcPr>
          <w:p>
            <w:pPr/>
          </w:p>
        </w:tc>
        <w:tc>
          <w:tcPr>
            <w:tcW w:w="1108"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14"/>
              <w:jc w:val="right"/>
              <w:rPr>
                <w:rFonts w:ascii="Arial" w:hAnsi="Arial" w:cs="Arial" w:eastAsia="Arial" w:hint="default"/>
                <w:sz w:val="18"/>
                <w:szCs w:val="18"/>
              </w:rPr>
            </w:pPr>
            <w:r>
              <w:rPr>
                <w:rFonts w:ascii="Arial"/>
                <w:spacing w:val="-1"/>
                <w:sz w:val="18"/>
              </w:rPr>
              <w:t>10,748,659</w:t>
            </w:r>
          </w:p>
        </w:tc>
        <w:tc>
          <w:tcPr>
            <w:tcW w:w="831"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4"/>
              <w:jc w:val="right"/>
              <w:rPr>
                <w:rFonts w:ascii="Arial" w:hAnsi="Arial" w:cs="Arial" w:eastAsia="Arial" w:hint="default"/>
                <w:sz w:val="18"/>
                <w:szCs w:val="18"/>
              </w:rPr>
            </w:pPr>
            <w:r>
              <w:rPr>
                <w:rFonts w:ascii="Arial"/>
                <w:spacing w:val="-1"/>
                <w:sz w:val="18"/>
              </w:rPr>
              <w:t>100.0%</w:t>
            </w:r>
          </w:p>
        </w:tc>
        <w:tc>
          <w:tcPr>
            <w:tcW w:w="242" w:type="dxa"/>
            <w:tcBorders>
              <w:top w:val="nil" w:sz="6" w:space="0" w:color="auto"/>
              <w:left w:val="nil" w:sz="6" w:space="0" w:color="auto"/>
              <w:bottom w:val="single" w:sz="1" w:space="0" w:color="FFFF99"/>
              <w:right w:val="nil" w:sz="6" w:space="0" w:color="auto"/>
            </w:tcBorders>
          </w:tcPr>
          <w:p>
            <w:pPr/>
          </w:p>
        </w:tc>
        <w:tc>
          <w:tcPr>
            <w:tcW w:w="835"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80"/>
              <w:jc w:val="right"/>
              <w:rPr>
                <w:rFonts w:ascii="Arial" w:hAnsi="Arial" w:cs="Arial" w:eastAsia="Arial" w:hint="default"/>
                <w:sz w:val="18"/>
                <w:szCs w:val="18"/>
              </w:rPr>
            </w:pPr>
            <w:r>
              <w:rPr>
                <w:rFonts w:ascii="Arial"/>
                <w:w w:val="95"/>
                <w:sz w:val="18"/>
              </w:rPr>
              <w:t>(6,991)</w:t>
            </w:r>
            <w:r>
              <w:rPr>
                <w:rFonts w:ascii="Arial"/>
                <w:sz w:val="18"/>
              </w:rPr>
            </w:r>
          </w:p>
        </w:tc>
        <w:tc>
          <w:tcPr>
            <w:tcW w:w="744" w:type="dxa"/>
            <w:tcBorders>
              <w:top w:val="nil" w:sz="6" w:space="0" w:color="auto"/>
              <w:left w:val="nil" w:sz="6" w:space="0" w:color="auto"/>
              <w:bottom w:val="single" w:sz="1" w:space="0" w:color="FFFF99"/>
              <w:right w:val="nil" w:sz="6" w:space="0" w:color="auto"/>
            </w:tcBorders>
          </w:tcPr>
          <w:p>
            <w:pPr/>
          </w:p>
        </w:tc>
      </w:tr>
    </w:tbl>
    <w:p>
      <w:pPr>
        <w:spacing w:line="240" w:lineRule="auto" w:before="7"/>
        <w:rPr>
          <w:rFonts w:ascii="宋体" w:hAnsi="宋体" w:cs="宋体" w:eastAsia="宋体" w:hint="default"/>
          <w:sz w:val="24"/>
          <w:szCs w:val="24"/>
        </w:rPr>
      </w:pPr>
    </w:p>
    <w:p>
      <w:pPr>
        <w:pStyle w:val="Heading3"/>
        <w:tabs>
          <w:tab w:pos="936" w:val="left" w:leader="none"/>
        </w:tabs>
        <w:spacing w:line="240" w:lineRule="auto" w:before="33"/>
        <w:ind w:left="221" w:right="1224"/>
        <w:jc w:val="left"/>
      </w:pPr>
      <w:r>
        <w:rPr>
          <w:rFonts w:ascii="Arial" w:hAnsi="Arial" w:cs="Arial" w:eastAsia="Arial" w:hint="default"/>
          <w:spacing w:val="-1"/>
          <w:position w:val="2"/>
        </w:rPr>
        <w:t>(d)</w:t>
        <w:tab/>
      </w:r>
      <w:r>
        <w:rPr/>
        <w:t>本年度实际核销的应收账款为人民币</w:t>
      </w:r>
      <w:r>
        <w:rPr>
          <w:spacing w:val="-55"/>
        </w:rPr>
        <w:t> </w:t>
      </w:r>
      <w:r>
        <w:rPr>
          <w:rFonts w:ascii="Arial" w:hAnsi="Arial" w:cs="Arial" w:eastAsia="Arial" w:hint="default"/>
        </w:rPr>
        <w:t>10.2</w:t>
      </w:r>
      <w:r>
        <w:rPr>
          <w:rFonts w:ascii="Arial" w:hAnsi="Arial" w:cs="Arial" w:eastAsia="Arial" w:hint="default"/>
          <w:spacing w:val="-2"/>
        </w:rPr>
        <w:t> </w:t>
      </w:r>
      <w:r>
        <w:rPr>
          <w:spacing w:val="-1"/>
        </w:rPr>
        <w:t>万元，并非因关联交易产生。</w:t>
      </w:r>
    </w:p>
    <w:p>
      <w:pPr>
        <w:spacing w:line="240" w:lineRule="auto" w:before="5"/>
        <w:rPr>
          <w:rFonts w:ascii="宋体" w:hAnsi="宋体" w:cs="宋体" w:eastAsia="宋体" w:hint="default"/>
          <w:sz w:val="34"/>
          <w:szCs w:val="34"/>
        </w:rPr>
      </w:pPr>
    </w:p>
    <w:p>
      <w:pPr>
        <w:pStyle w:val="Heading3"/>
        <w:tabs>
          <w:tab w:pos="936" w:val="left" w:leader="none"/>
        </w:tabs>
        <w:spacing w:line="310" w:lineRule="exact"/>
        <w:ind w:left="936" w:right="1224" w:hanging="716"/>
        <w:jc w:val="left"/>
      </w:pPr>
      <w:r>
        <w:rPr>
          <w:rFonts w:ascii="Arial" w:hAnsi="Arial" w:cs="Arial" w:eastAsia="Arial" w:hint="default"/>
          <w:spacing w:val="-1"/>
          <w:position w:val="2"/>
        </w:rPr>
        <w:t>(e)</w:t>
        <w:tab/>
      </w:r>
      <w:r>
        <w:rPr/>
        <w:t>于</w:t>
      </w:r>
      <w:r>
        <w:rPr>
          <w:spacing w:val="-1"/>
        </w:rPr>
        <w:t> </w:t>
      </w:r>
      <w:r>
        <w:rPr>
          <w:rFonts w:ascii="Arial" w:hAnsi="Arial" w:cs="Arial" w:eastAsia="Arial" w:hint="default"/>
        </w:rPr>
        <w:t>2012</w:t>
      </w:r>
      <w:r>
        <w:rPr>
          <w:rFonts w:ascii="Arial" w:hAnsi="Arial" w:cs="Arial" w:eastAsia="Arial" w:hint="default"/>
          <w:spacing w:val="-7"/>
        </w:rPr>
        <w:t> </w:t>
      </w:r>
      <w:r>
        <w:rPr/>
        <w:t>年</w:t>
      </w:r>
      <w:r>
        <w:rPr>
          <w:spacing w:val="-61"/>
        </w:rPr>
        <w:t> </w:t>
      </w:r>
      <w:r>
        <w:rPr>
          <w:rFonts w:ascii="Arial" w:hAnsi="Arial" w:cs="Arial" w:eastAsia="Arial" w:hint="default"/>
          <w:spacing w:val="-1"/>
        </w:rPr>
        <w:t>12</w:t>
      </w:r>
      <w:r>
        <w:rPr>
          <w:rFonts w:ascii="Arial" w:hAnsi="Arial" w:cs="Arial" w:eastAsia="Arial" w:hint="default"/>
          <w:spacing w:val="54"/>
        </w:rPr>
        <w:t> </w:t>
      </w:r>
      <w:r>
        <w:rPr/>
        <w:t>月</w:t>
      </w:r>
      <w:r>
        <w:rPr>
          <w:spacing w:val="-61"/>
        </w:rPr>
        <w:t> </w:t>
      </w:r>
      <w:r>
        <w:rPr>
          <w:rFonts w:ascii="Arial" w:hAnsi="Arial" w:cs="Arial" w:eastAsia="Arial" w:hint="default"/>
        </w:rPr>
        <w:t>31</w:t>
      </w:r>
      <w:r>
        <w:rPr>
          <w:rFonts w:ascii="Arial" w:hAnsi="Arial" w:cs="Arial" w:eastAsia="Arial" w:hint="default"/>
          <w:spacing w:val="51"/>
        </w:rPr>
        <w:t> </w:t>
      </w:r>
      <w:r>
        <w:rPr/>
        <w:t>日及</w:t>
      </w:r>
      <w:r>
        <w:rPr>
          <w:spacing w:val="-61"/>
        </w:rPr>
        <w:t> </w:t>
      </w:r>
      <w:r>
        <w:rPr>
          <w:rFonts w:ascii="Arial" w:hAnsi="Arial" w:cs="Arial" w:eastAsia="Arial" w:hint="default"/>
          <w:spacing w:val="-4"/>
        </w:rPr>
        <w:t>2011</w:t>
      </w:r>
      <w:r>
        <w:rPr>
          <w:rFonts w:ascii="Arial" w:hAnsi="Arial" w:cs="Arial" w:eastAsia="Arial" w:hint="default"/>
          <w:spacing w:val="-7"/>
        </w:rPr>
        <w:t> </w:t>
      </w:r>
      <w:r>
        <w:rPr/>
        <w:t>年</w:t>
      </w:r>
      <w:r>
        <w:rPr>
          <w:spacing w:val="-61"/>
        </w:rPr>
        <w:t> </w:t>
      </w:r>
      <w:r>
        <w:rPr>
          <w:rFonts w:ascii="Arial" w:hAnsi="Arial" w:cs="Arial" w:eastAsia="Arial" w:hint="default"/>
          <w:spacing w:val="-1"/>
        </w:rPr>
        <w:t>12</w:t>
      </w:r>
      <w:r>
        <w:rPr>
          <w:rFonts w:ascii="Arial" w:hAnsi="Arial" w:cs="Arial" w:eastAsia="Arial" w:hint="default"/>
          <w:spacing w:val="54"/>
        </w:rPr>
        <w:t> </w:t>
      </w:r>
      <w:r>
        <w:rPr/>
        <w:t>月</w:t>
      </w:r>
      <w:r>
        <w:rPr>
          <w:spacing w:val="-61"/>
        </w:rPr>
        <w:t> </w:t>
      </w:r>
      <w:r>
        <w:rPr>
          <w:rFonts w:ascii="Arial" w:hAnsi="Arial" w:cs="Arial" w:eastAsia="Arial" w:hint="default"/>
        </w:rPr>
        <w:t>31</w:t>
      </w:r>
      <w:r>
        <w:rPr>
          <w:rFonts w:ascii="Arial" w:hAnsi="Arial" w:cs="Arial" w:eastAsia="Arial" w:hint="default"/>
          <w:spacing w:val="51"/>
        </w:rPr>
        <w:t> </w:t>
      </w:r>
      <w:r>
        <w:rPr/>
        <w:t>日，应收账款中无应收持有本公 司</w:t>
      </w:r>
      <w:r>
        <w:rPr>
          <w:spacing w:val="-61"/>
        </w:rPr>
        <w:t> </w:t>
      </w:r>
      <w:r>
        <w:rPr>
          <w:rFonts w:ascii="Arial" w:hAnsi="Arial" w:cs="Arial" w:eastAsia="Arial" w:hint="default"/>
        </w:rPr>
        <w:t>5%(</w:t>
      </w:r>
      <w:r>
        <w:rPr/>
        <w:t>含</w:t>
      </w:r>
      <w:r>
        <w:rPr>
          <w:spacing w:val="-61"/>
        </w:rPr>
        <w:t> </w:t>
      </w:r>
      <w:r>
        <w:rPr>
          <w:rFonts w:ascii="Arial" w:hAnsi="Arial" w:cs="Arial" w:eastAsia="Arial" w:hint="default"/>
        </w:rPr>
        <w:t>5%)</w:t>
      </w:r>
      <w:r>
        <w:rPr/>
        <w:t>以上表决权股份的股东的款项。</w:t>
      </w:r>
    </w:p>
    <w:p>
      <w:pPr>
        <w:spacing w:line="240" w:lineRule="auto" w:before="1"/>
        <w:rPr>
          <w:rFonts w:ascii="宋体" w:hAnsi="宋体" w:cs="宋体" w:eastAsia="宋体" w:hint="default"/>
          <w:sz w:val="31"/>
          <w:szCs w:val="31"/>
        </w:rPr>
      </w:pPr>
    </w:p>
    <w:p>
      <w:pPr>
        <w:pStyle w:val="Heading3"/>
        <w:tabs>
          <w:tab w:pos="936" w:val="left" w:leader="none"/>
        </w:tabs>
        <w:spacing w:line="240" w:lineRule="auto"/>
        <w:ind w:left="221" w:right="1224"/>
        <w:jc w:val="left"/>
      </w:pPr>
      <w:r>
        <w:rPr/>
        <w:pict>
          <v:shape style="position:absolute;margin-left:123.07pt;margin-top:36.053116pt;width:416.35pt;height:188.15pt;mso-position-horizontal-relative:page;mso-position-vertical-relative:paragraph;z-index:4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52"/>
                    <w:gridCol w:w="1259"/>
                    <w:gridCol w:w="1298"/>
                    <w:gridCol w:w="1181"/>
                    <w:gridCol w:w="1435"/>
                  </w:tblGrid>
                  <w:tr>
                    <w:trPr>
                      <w:trHeight w:val="905" w:hRule="exact"/>
                    </w:trPr>
                    <w:tc>
                      <w:tcPr>
                        <w:tcW w:w="3152"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Style w:val="TableParagraph"/>
                          <w:spacing w:line="312" w:lineRule="exact" w:before="26"/>
                          <w:ind w:left="190" w:right="0"/>
                          <w:jc w:val="left"/>
                          <w:rPr>
                            <w:rFonts w:ascii="宋体" w:hAnsi="宋体" w:cs="宋体" w:eastAsia="宋体" w:hint="default"/>
                            <w:sz w:val="24"/>
                            <w:szCs w:val="24"/>
                          </w:rPr>
                        </w:pPr>
                        <w:r>
                          <w:rPr>
                            <w:rFonts w:ascii="宋体" w:hAnsi="宋体" w:cs="宋体" w:eastAsia="宋体" w:hint="default"/>
                            <w:sz w:val="24"/>
                            <w:szCs w:val="24"/>
                          </w:rPr>
                          <w:t>与本公司</w:t>
                        </w:r>
                      </w:p>
                      <w:p>
                        <w:pPr>
                          <w:pStyle w:val="TableParagraph"/>
                          <w:spacing w:line="312" w:lineRule="exact"/>
                          <w:ind w:left="670" w:right="0"/>
                          <w:jc w:val="left"/>
                          <w:rPr>
                            <w:rFonts w:ascii="宋体" w:hAnsi="宋体" w:cs="宋体" w:eastAsia="宋体" w:hint="default"/>
                            <w:sz w:val="24"/>
                            <w:szCs w:val="24"/>
                          </w:rPr>
                        </w:pPr>
                        <w:r>
                          <w:rPr>
                            <w:rFonts w:ascii="宋体" w:hAnsi="宋体" w:cs="宋体" w:eastAsia="宋体" w:hint="default"/>
                            <w:sz w:val="24"/>
                            <w:szCs w:val="24"/>
                          </w:rPr>
                          <w:t>关系</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7"/>
                          <w:jc w:val="right"/>
                          <w:rPr>
                            <w:rFonts w:ascii="宋体" w:hAnsi="宋体" w:cs="宋体" w:eastAsia="宋体" w:hint="default"/>
                            <w:sz w:val="24"/>
                            <w:szCs w:val="24"/>
                          </w:rPr>
                        </w:pPr>
                        <w:r>
                          <w:rPr>
                            <w:rFonts w:ascii="宋体" w:hAnsi="宋体" w:cs="宋体" w:eastAsia="宋体" w:hint="default"/>
                            <w:sz w:val="24"/>
                            <w:szCs w:val="24"/>
                          </w:rPr>
                          <w:t>金额</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4"/>
                          <w:jc w:val="right"/>
                          <w:rPr>
                            <w:rFonts w:ascii="宋体" w:hAnsi="宋体" w:cs="宋体" w:eastAsia="宋体" w:hint="default"/>
                            <w:sz w:val="24"/>
                            <w:szCs w:val="24"/>
                          </w:rPr>
                        </w:pPr>
                        <w:r>
                          <w:rPr>
                            <w:rFonts w:ascii="宋体" w:hAnsi="宋体" w:cs="宋体" w:eastAsia="宋体" w:hint="default"/>
                            <w:sz w:val="24"/>
                            <w:szCs w:val="24"/>
                          </w:rPr>
                          <w:t>年限</w:t>
                        </w:r>
                      </w:p>
                    </w:tc>
                    <w:tc>
                      <w:tcPr>
                        <w:tcW w:w="1435" w:type="dxa"/>
                        <w:tcBorders>
                          <w:top w:val="nil" w:sz="6" w:space="0" w:color="auto"/>
                          <w:left w:val="nil" w:sz="6" w:space="0" w:color="auto"/>
                          <w:bottom w:val="nil" w:sz="6" w:space="0" w:color="auto"/>
                          <w:right w:val="nil" w:sz="6" w:space="0" w:color="auto"/>
                        </w:tcBorders>
                      </w:tcPr>
                      <w:p>
                        <w:pPr>
                          <w:pStyle w:val="TableParagraph"/>
                          <w:spacing w:line="310" w:lineRule="exact" w:before="58"/>
                          <w:ind w:left="369" w:right="103" w:hanging="240"/>
                          <w:jc w:val="left"/>
                          <w:rPr>
                            <w:rFonts w:ascii="宋体" w:hAnsi="宋体" w:cs="宋体" w:eastAsia="宋体" w:hint="default"/>
                            <w:sz w:val="24"/>
                            <w:szCs w:val="24"/>
                          </w:rPr>
                        </w:pPr>
                        <w:r>
                          <w:rPr>
                            <w:rFonts w:ascii="宋体" w:hAnsi="宋体" w:cs="宋体" w:eastAsia="宋体" w:hint="default"/>
                            <w:sz w:val="24"/>
                            <w:szCs w:val="24"/>
                          </w:rPr>
                          <w:t>占应收账款 总额比例</w:t>
                        </w:r>
                      </w:p>
                    </w:tc>
                  </w:tr>
                  <w:tr>
                    <w:trPr>
                      <w:trHeight w:val="895"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286" w:right="188" w:hanging="252"/>
                          <w:jc w:val="left"/>
                          <w:rPr>
                            <w:rFonts w:ascii="宋体" w:hAnsi="宋体" w:cs="宋体" w:eastAsia="宋体" w:hint="default"/>
                            <w:sz w:val="24"/>
                            <w:szCs w:val="24"/>
                          </w:rPr>
                        </w:pPr>
                        <w:r>
                          <w:rPr>
                            <w:rFonts w:ascii="宋体" w:hAnsi="宋体" w:cs="宋体" w:eastAsia="宋体" w:hint="default"/>
                            <w:spacing w:val="9"/>
                            <w:sz w:val="24"/>
                            <w:szCs w:val="24"/>
                          </w:rPr>
                          <w:t>苏宁</w:t>
                        </w:r>
                        <w:r>
                          <w:rPr>
                            <w:rFonts w:ascii="Arial" w:hAnsi="Arial" w:cs="Arial" w:eastAsia="Arial" w:hint="default"/>
                            <w:spacing w:val="9"/>
                            <w:sz w:val="24"/>
                            <w:szCs w:val="24"/>
                          </w:rPr>
                          <w:t>(</w:t>
                        </w:r>
                        <w:r>
                          <w:rPr>
                            <w:rFonts w:ascii="宋体" w:hAnsi="宋体" w:cs="宋体" w:eastAsia="宋体" w:hint="default"/>
                            <w:spacing w:val="9"/>
                            <w:sz w:val="24"/>
                            <w:szCs w:val="24"/>
                          </w:rPr>
                          <w:t>天津</w:t>
                        </w:r>
                        <w:r>
                          <w:rPr>
                            <w:rFonts w:ascii="Arial" w:hAnsi="Arial" w:cs="Arial" w:eastAsia="Arial" w:hint="default"/>
                            <w:spacing w:val="9"/>
                            <w:sz w:val="24"/>
                            <w:szCs w:val="24"/>
                          </w:rPr>
                          <w:t>)</w:t>
                        </w:r>
                        <w:r>
                          <w:rPr>
                            <w:rFonts w:ascii="宋体" w:hAnsi="宋体" w:cs="宋体" w:eastAsia="宋体" w:hint="default"/>
                            <w:spacing w:val="9"/>
                            <w:sz w:val="24"/>
                            <w:szCs w:val="24"/>
                          </w:rPr>
                          <w:t>电器采购有限公</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司</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7"/>
                          <w:ind w:right="106"/>
                          <w:jc w:val="right"/>
                          <w:rPr>
                            <w:rFonts w:ascii="宋体" w:hAnsi="宋体" w:cs="宋体" w:eastAsia="宋体" w:hint="default"/>
                            <w:sz w:val="24"/>
                            <w:szCs w:val="24"/>
                          </w:rPr>
                        </w:pPr>
                        <w:r>
                          <w:rPr>
                            <w:rFonts w:ascii="宋体" w:hAnsi="宋体" w:cs="宋体" w:eastAsia="宋体" w:hint="default"/>
                            <w:sz w:val="24"/>
                            <w:szCs w:val="24"/>
                          </w:rPr>
                          <w:t>子公司</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5"/>
                          <w:jc w:val="right"/>
                          <w:rPr>
                            <w:rFonts w:ascii="Arial" w:hAnsi="Arial" w:cs="Arial" w:eastAsia="Arial" w:hint="default"/>
                            <w:sz w:val="24"/>
                            <w:szCs w:val="24"/>
                          </w:rPr>
                        </w:pPr>
                        <w:r>
                          <w:rPr>
                            <w:rFonts w:ascii="Arial"/>
                            <w:spacing w:val="-1"/>
                            <w:sz w:val="24"/>
                          </w:rPr>
                          <w:t>1,156,950</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7"/>
                          <w:ind w:right="104"/>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4"/>
                            <w:szCs w:val="24"/>
                          </w:rPr>
                        </w:pPr>
                        <w:r>
                          <w:rPr>
                            <w:rFonts w:ascii="Arial"/>
                            <w:sz w:val="24"/>
                          </w:rPr>
                          <w:t>7.9%</w:t>
                        </w:r>
                      </w:p>
                    </w:tc>
                  </w:tr>
                  <w:tr>
                    <w:trPr>
                      <w:trHeight w:val="391"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301" w:lineRule="exact"/>
                          <w:ind w:left="35" w:right="0"/>
                          <w:jc w:val="left"/>
                          <w:rPr>
                            <w:rFonts w:ascii="宋体" w:hAnsi="宋体" w:cs="宋体" w:eastAsia="宋体" w:hint="default"/>
                            <w:sz w:val="24"/>
                            <w:szCs w:val="24"/>
                          </w:rPr>
                        </w:pPr>
                        <w:r>
                          <w:rPr>
                            <w:rFonts w:ascii="宋体" w:hAnsi="宋体" w:cs="宋体" w:eastAsia="宋体" w:hint="default"/>
                            <w:sz w:val="24"/>
                            <w:szCs w:val="24"/>
                          </w:rPr>
                          <w:t>北京京朝苏宁电器有限公司</w:t>
                        </w:r>
                      </w:p>
                    </w:tc>
                    <w:tc>
                      <w:tcPr>
                        <w:tcW w:w="1259" w:type="dxa"/>
                        <w:tcBorders>
                          <w:top w:val="nil" w:sz="6" w:space="0" w:color="auto"/>
                          <w:left w:val="nil" w:sz="6" w:space="0" w:color="auto"/>
                          <w:bottom w:val="nil" w:sz="6" w:space="0" w:color="auto"/>
                          <w:right w:val="nil" w:sz="6" w:space="0" w:color="auto"/>
                        </w:tcBorders>
                      </w:tcPr>
                      <w:p>
                        <w:pPr>
                          <w:pStyle w:val="TableParagraph"/>
                          <w:spacing w:line="301" w:lineRule="exact"/>
                          <w:ind w:right="106"/>
                          <w:jc w:val="right"/>
                          <w:rPr>
                            <w:rFonts w:ascii="宋体" w:hAnsi="宋体" w:cs="宋体" w:eastAsia="宋体" w:hint="default"/>
                            <w:sz w:val="24"/>
                            <w:szCs w:val="24"/>
                          </w:rPr>
                        </w:pPr>
                        <w:r>
                          <w:rPr>
                            <w:rFonts w:ascii="宋体" w:hAnsi="宋体" w:cs="宋体" w:eastAsia="宋体" w:hint="default"/>
                            <w:sz w:val="24"/>
                            <w:szCs w:val="24"/>
                          </w:rPr>
                          <w:t>子公司</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spacing w:val="-1"/>
                            <w:sz w:val="24"/>
                          </w:rPr>
                          <w:t>1,008,666</w:t>
                        </w:r>
                      </w:p>
                    </w:tc>
                    <w:tc>
                      <w:tcPr>
                        <w:tcW w:w="1181" w:type="dxa"/>
                        <w:tcBorders>
                          <w:top w:val="nil" w:sz="6" w:space="0" w:color="auto"/>
                          <w:left w:val="nil" w:sz="6" w:space="0" w:color="auto"/>
                          <w:bottom w:val="nil" w:sz="6" w:space="0" w:color="auto"/>
                          <w:right w:val="nil" w:sz="6" w:space="0" w:color="auto"/>
                        </w:tcBorders>
                      </w:tcPr>
                      <w:p>
                        <w:pPr>
                          <w:pStyle w:val="TableParagraph"/>
                          <w:spacing w:line="301" w:lineRule="exact"/>
                          <w:ind w:right="104"/>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1"/>
                          <w:jc w:val="right"/>
                          <w:rPr>
                            <w:rFonts w:ascii="Arial" w:hAnsi="Arial" w:cs="Arial" w:eastAsia="Arial" w:hint="default"/>
                            <w:sz w:val="24"/>
                            <w:szCs w:val="24"/>
                          </w:rPr>
                        </w:pPr>
                        <w:r>
                          <w:rPr>
                            <w:rFonts w:ascii="Arial"/>
                            <w:sz w:val="24"/>
                          </w:rPr>
                          <w:t>6.9%</w:t>
                        </w:r>
                      </w:p>
                    </w:tc>
                  </w:tr>
                  <w:tr>
                    <w:trPr>
                      <w:trHeight w:val="391"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301" w:lineRule="exact"/>
                          <w:ind w:left="35" w:right="0"/>
                          <w:jc w:val="left"/>
                          <w:rPr>
                            <w:rFonts w:ascii="宋体" w:hAnsi="宋体" w:cs="宋体" w:eastAsia="宋体" w:hint="default"/>
                            <w:sz w:val="24"/>
                            <w:szCs w:val="24"/>
                          </w:rPr>
                        </w:pPr>
                        <w:r>
                          <w:rPr>
                            <w:rFonts w:ascii="宋体" w:hAnsi="宋体" w:cs="宋体" w:eastAsia="宋体" w:hint="default"/>
                            <w:sz w:val="24"/>
                            <w:szCs w:val="24"/>
                          </w:rPr>
                          <w:t>四川苏宁物流有限公司</w:t>
                        </w:r>
                      </w:p>
                    </w:tc>
                    <w:tc>
                      <w:tcPr>
                        <w:tcW w:w="1259" w:type="dxa"/>
                        <w:tcBorders>
                          <w:top w:val="nil" w:sz="6" w:space="0" w:color="auto"/>
                          <w:left w:val="nil" w:sz="6" w:space="0" w:color="auto"/>
                          <w:bottom w:val="nil" w:sz="6" w:space="0" w:color="auto"/>
                          <w:right w:val="nil" w:sz="6" w:space="0" w:color="auto"/>
                        </w:tcBorders>
                      </w:tcPr>
                      <w:p>
                        <w:pPr>
                          <w:pStyle w:val="TableParagraph"/>
                          <w:spacing w:line="301" w:lineRule="exact"/>
                          <w:ind w:right="106"/>
                          <w:jc w:val="right"/>
                          <w:rPr>
                            <w:rFonts w:ascii="宋体" w:hAnsi="宋体" w:cs="宋体" w:eastAsia="宋体" w:hint="default"/>
                            <w:sz w:val="24"/>
                            <w:szCs w:val="24"/>
                          </w:rPr>
                        </w:pPr>
                        <w:r>
                          <w:rPr>
                            <w:rFonts w:ascii="宋体" w:hAnsi="宋体" w:cs="宋体" w:eastAsia="宋体" w:hint="default"/>
                            <w:sz w:val="24"/>
                            <w:szCs w:val="24"/>
                          </w:rPr>
                          <w:t>子公司</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spacing w:val="-1"/>
                            <w:sz w:val="24"/>
                          </w:rPr>
                          <w:t>1,007,803</w:t>
                        </w:r>
                      </w:p>
                    </w:tc>
                    <w:tc>
                      <w:tcPr>
                        <w:tcW w:w="1181" w:type="dxa"/>
                        <w:tcBorders>
                          <w:top w:val="nil" w:sz="6" w:space="0" w:color="auto"/>
                          <w:left w:val="nil" w:sz="6" w:space="0" w:color="auto"/>
                          <w:bottom w:val="nil" w:sz="6" w:space="0" w:color="auto"/>
                          <w:right w:val="nil" w:sz="6" w:space="0" w:color="auto"/>
                        </w:tcBorders>
                      </w:tcPr>
                      <w:p>
                        <w:pPr>
                          <w:pStyle w:val="TableParagraph"/>
                          <w:spacing w:line="301" w:lineRule="exact"/>
                          <w:ind w:right="104"/>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1"/>
                          <w:jc w:val="right"/>
                          <w:rPr>
                            <w:rFonts w:ascii="Arial" w:hAnsi="Arial" w:cs="Arial" w:eastAsia="Arial" w:hint="default"/>
                            <w:sz w:val="24"/>
                            <w:szCs w:val="24"/>
                          </w:rPr>
                        </w:pPr>
                        <w:r>
                          <w:rPr>
                            <w:rFonts w:ascii="Arial"/>
                            <w:sz w:val="24"/>
                          </w:rPr>
                          <w:t>6.9%</w:t>
                        </w:r>
                      </w:p>
                    </w:tc>
                  </w:tr>
                  <w:tr>
                    <w:trPr>
                      <w:trHeight w:val="391"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301" w:lineRule="exact"/>
                          <w:ind w:left="35" w:right="0"/>
                          <w:jc w:val="left"/>
                          <w:rPr>
                            <w:rFonts w:ascii="宋体" w:hAnsi="宋体" w:cs="宋体" w:eastAsia="宋体" w:hint="default"/>
                            <w:sz w:val="24"/>
                            <w:szCs w:val="24"/>
                          </w:rPr>
                        </w:pPr>
                        <w:r>
                          <w:rPr>
                            <w:rFonts w:ascii="宋体" w:hAnsi="宋体" w:cs="宋体" w:eastAsia="宋体" w:hint="default"/>
                            <w:sz w:val="24"/>
                            <w:szCs w:val="24"/>
                          </w:rPr>
                          <w:t>重庆巴渝苏宁电器有限公司</w:t>
                        </w:r>
                      </w:p>
                    </w:tc>
                    <w:tc>
                      <w:tcPr>
                        <w:tcW w:w="1259" w:type="dxa"/>
                        <w:tcBorders>
                          <w:top w:val="nil" w:sz="6" w:space="0" w:color="auto"/>
                          <w:left w:val="nil" w:sz="6" w:space="0" w:color="auto"/>
                          <w:bottom w:val="nil" w:sz="6" w:space="0" w:color="auto"/>
                          <w:right w:val="nil" w:sz="6" w:space="0" w:color="auto"/>
                        </w:tcBorders>
                      </w:tcPr>
                      <w:p>
                        <w:pPr>
                          <w:pStyle w:val="TableParagraph"/>
                          <w:spacing w:line="301" w:lineRule="exact"/>
                          <w:ind w:right="106"/>
                          <w:jc w:val="right"/>
                          <w:rPr>
                            <w:rFonts w:ascii="宋体" w:hAnsi="宋体" w:cs="宋体" w:eastAsia="宋体" w:hint="default"/>
                            <w:sz w:val="24"/>
                            <w:szCs w:val="24"/>
                          </w:rPr>
                        </w:pPr>
                        <w:r>
                          <w:rPr>
                            <w:rFonts w:ascii="宋体" w:hAnsi="宋体" w:cs="宋体" w:eastAsia="宋体" w:hint="default"/>
                            <w:sz w:val="24"/>
                            <w:szCs w:val="24"/>
                          </w:rPr>
                          <w:t>子公司</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spacing w:val="-1"/>
                            <w:sz w:val="24"/>
                          </w:rPr>
                          <w:t>956,273</w:t>
                        </w:r>
                      </w:p>
                    </w:tc>
                    <w:tc>
                      <w:tcPr>
                        <w:tcW w:w="1181" w:type="dxa"/>
                        <w:tcBorders>
                          <w:top w:val="nil" w:sz="6" w:space="0" w:color="auto"/>
                          <w:left w:val="nil" w:sz="6" w:space="0" w:color="auto"/>
                          <w:bottom w:val="nil" w:sz="6" w:space="0" w:color="auto"/>
                          <w:right w:val="nil" w:sz="6" w:space="0" w:color="auto"/>
                        </w:tcBorders>
                      </w:tcPr>
                      <w:p>
                        <w:pPr>
                          <w:pStyle w:val="TableParagraph"/>
                          <w:spacing w:line="301" w:lineRule="exact"/>
                          <w:ind w:right="104"/>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1"/>
                          <w:jc w:val="right"/>
                          <w:rPr>
                            <w:rFonts w:ascii="Arial" w:hAnsi="Arial" w:cs="Arial" w:eastAsia="Arial" w:hint="default"/>
                            <w:sz w:val="24"/>
                            <w:szCs w:val="24"/>
                          </w:rPr>
                        </w:pPr>
                        <w:r>
                          <w:rPr>
                            <w:rFonts w:ascii="Arial"/>
                            <w:w w:val="95"/>
                            <w:sz w:val="24"/>
                          </w:rPr>
                          <w:t>6.5%</w:t>
                        </w:r>
                        <w:r>
                          <w:rPr>
                            <w:rFonts w:ascii="Arial"/>
                            <w:sz w:val="24"/>
                          </w:rPr>
                        </w:r>
                      </w:p>
                    </w:tc>
                  </w:tr>
                  <w:tr>
                    <w:trPr>
                      <w:trHeight w:val="383"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302" w:lineRule="exact"/>
                          <w:ind w:left="35" w:right="0"/>
                          <w:jc w:val="left"/>
                          <w:rPr>
                            <w:rFonts w:ascii="宋体" w:hAnsi="宋体" w:cs="宋体" w:eastAsia="宋体" w:hint="default"/>
                            <w:sz w:val="24"/>
                            <w:szCs w:val="24"/>
                          </w:rPr>
                        </w:pPr>
                        <w:r>
                          <w:rPr>
                            <w:rFonts w:ascii="宋体" w:hAnsi="宋体" w:cs="宋体" w:eastAsia="宋体" w:hint="default"/>
                            <w:sz w:val="24"/>
                            <w:szCs w:val="24"/>
                          </w:rPr>
                          <w:t>广州苏宁电器有限公司</w:t>
                        </w:r>
                      </w:p>
                    </w:tc>
                    <w:tc>
                      <w:tcPr>
                        <w:tcW w:w="1259" w:type="dxa"/>
                        <w:tcBorders>
                          <w:top w:val="nil" w:sz="6" w:space="0" w:color="auto"/>
                          <w:left w:val="nil" w:sz="6" w:space="0" w:color="auto"/>
                          <w:bottom w:val="nil" w:sz="6" w:space="0" w:color="auto"/>
                          <w:right w:val="nil" w:sz="6" w:space="0" w:color="auto"/>
                        </w:tcBorders>
                      </w:tcPr>
                      <w:p>
                        <w:pPr>
                          <w:pStyle w:val="TableParagraph"/>
                          <w:spacing w:line="302" w:lineRule="exact"/>
                          <w:ind w:right="106"/>
                          <w:jc w:val="right"/>
                          <w:rPr>
                            <w:rFonts w:ascii="宋体" w:hAnsi="宋体" w:cs="宋体" w:eastAsia="宋体" w:hint="default"/>
                            <w:sz w:val="24"/>
                            <w:szCs w:val="24"/>
                          </w:rPr>
                        </w:pPr>
                        <w:r>
                          <w:rPr>
                            <w:rFonts w:ascii="宋体" w:hAnsi="宋体" w:cs="宋体" w:eastAsia="宋体" w:hint="default"/>
                            <w:sz w:val="24"/>
                            <w:szCs w:val="24"/>
                          </w:rPr>
                          <w:t>子公司</w:t>
                        </w: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spacing w:val="-1"/>
                            <w:sz w:val="24"/>
                          </w:rPr>
                          <w:t>894,768</w:t>
                        </w:r>
                      </w:p>
                    </w:tc>
                    <w:tc>
                      <w:tcPr>
                        <w:tcW w:w="1181" w:type="dxa"/>
                        <w:tcBorders>
                          <w:top w:val="nil" w:sz="6" w:space="0" w:color="auto"/>
                          <w:left w:val="nil" w:sz="6" w:space="0" w:color="auto"/>
                          <w:bottom w:val="nil" w:sz="6" w:space="0" w:color="auto"/>
                          <w:right w:val="nil" w:sz="6" w:space="0" w:color="auto"/>
                        </w:tcBorders>
                      </w:tcPr>
                      <w:p>
                        <w:pPr>
                          <w:pStyle w:val="TableParagraph"/>
                          <w:spacing w:line="302" w:lineRule="exact"/>
                          <w:ind w:right="104"/>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43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1"/>
                          <w:jc w:val="right"/>
                          <w:rPr>
                            <w:rFonts w:ascii="Arial" w:hAnsi="Arial" w:cs="Arial" w:eastAsia="Arial" w:hint="default"/>
                            <w:sz w:val="24"/>
                            <w:szCs w:val="24"/>
                          </w:rPr>
                        </w:pPr>
                        <w:r>
                          <w:rPr>
                            <w:rFonts w:ascii="Arial"/>
                            <w:sz w:val="24"/>
                          </w:rPr>
                          <w:t>6.1%</w:t>
                        </w:r>
                      </w:p>
                    </w:tc>
                  </w:tr>
                  <w:tr>
                    <w:trPr>
                      <w:trHeight w:val="377" w:hRule="exact"/>
                    </w:trPr>
                    <w:tc>
                      <w:tcPr>
                        <w:tcW w:w="3152"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5"/>
                          <w:jc w:val="right"/>
                          <w:rPr>
                            <w:rFonts w:ascii="Arial" w:hAnsi="Arial" w:cs="Arial" w:eastAsia="Arial" w:hint="default"/>
                            <w:sz w:val="24"/>
                            <w:szCs w:val="24"/>
                          </w:rPr>
                        </w:pPr>
                        <w:r>
                          <w:rPr>
                            <w:rFonts w:ascii="Arial"/>
                            <w:spacing w:val="-1"/>
                            <w:sz w:val="24"/>
                          </w:rPr>
                          <w:t>5,024,460</w:t>
                        </w:r>
                      </w:p>
                    </w:tc>
                    <w:tc>
                      <w:tcPr>
                        <w:tcW w:w="1181" w:type="dxa"/>
                        <w:tcBorders>
                          <w:top w:val="nil" w:sz="6" w:space="0" w:color="auto"/>
                          <w:left w:val="nil" w:sz="6" w:space="0" w:color="auto"/>
                          <w:bottom w:val="nil" w:sz="6" w:space="0" w:color="auto"/>
                          <w:right w:val="nil" w:sz="6" w:space="0" w:color="auto"/>
                        </w:tcBorders>
                      </w:tcPr>
                      <w:p>
                        <w:pP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1"/>
                          <w:jc w:val="right"/>
                          <w:rPr>
                            <w:rFonts w:ascii="Arial" w:hAnsi="Arial" w:cs="Arial" w:eastAsia="Arial" w:hint="default"/>
                            <w:sz w:val="24"/>
                            <w:szCs w:val="24"/>
                          </w:rPr>
                        </w:pPr>
                        <w:r>
                          <w:rPr>
                            <w:rFonts w:ascii="Arial"/>
                            <w:w w:val="95"/>
                            <w:sz w:val="24"/>
                          </w:rPr>
                          <w:t>34.3%</w:t>
                        </w:r>
                        <w:r>
                          <w:rPr>
                            <w:rFonts w:ascii="Arial"/>
                            <w:sz w:val="24"/>
                          </w:rPr>
                        </w:r>
                      </w:p>
                    </w:tc>
                  </w:tr>
                </w:tbl>
                <w:p>
                  <w:pPr/>
                </w:p>
              </w:txbxContent>
            </v:textbox>
            <w10:wrap type="none"/>
          </v:shape>
        </w:pict>
      </w:r>
      <w:r>
        <w:rPr>
          <w:rFonts w:ascii="Arial" w:hAnsi="Arial" w:cs="Arial" w:eastAsia="Arial" w:hint="default"/>
          <w:position w:val="2"/>
        </w:rPr>
        <w:t>(f)</w:t>
        <w:tab/>
      </w:r>
      <w:r>
        <w:rPr/>
        <w:t>于</w:t>
      </w:r>
      <w:r>
        <w:rPr>
          <w:spacing w:val="-61"/>
        </w:rPr>
        <w:t> </w:t>
      </w:r>
      <w:r>
        <w:rPr>
          <w:rFonts w:ascii="Arial" w:hAnsi="Arial" w:cs="Arial" w:eastAsia="Arial" w:hint="default"/>
        </w:rPr>
        <w:t>2012</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7"/>
        </w:rPr>
        <w:t> </w:t>
      </w:r>
      <w:r>
        <w:rPr/>
        <w:t>日，余额前五名的应收账款分析如下：</w:t>
      </w:r>
    </w:p>
    <w:p>
      <w:pPr>
        <w:spacing w:after="0" w:line="240" w:lineRule="auto"/>
        <w:jc w:val="left"/>
        <w:sectPr>
          <w:type w:val="continuous"/>
          <w:pgSz w:w="11910" w:h="16850"/>
          <w:pgMar w:top="1060" w:bottom="1540" w:left="1560" w:right="0"/>
        </w:sectPr>
      </w:pPr>
    </w:p>
    <w:p>
      <w:pPr>
        <w:spacing w:line="240" w:lineRule="auto" w:before="8"/>
        <w:rPr>
          <w:rFonts w:ascii="宋体" w:hAnsi="宋体" w:cs="宋体" w:eastAsia="宋体" w:hint="default"/>
          <w:sz w:val="24"/>
          <w:szCs w:val="24"/>
        </w:rPr>
      </w:pPr>
    </w:p>
    <w:p>
      <w:pPr>
        <w:pStyle w:val="Heading3"/>
        <w:tabs>
          <w:tab w:pos="888" w:val="left" w:leader="none"/>
        </w:tabs>
        <w:spacing w:line="566" w:lineRule="auto" w:before="26"/>
        <w:ind w:left="168" w:right="7136"/>
        <w:jc w:val="left"/>
        <w:rPr>
          <w:rFonts w:ascii="Arial" w:hAnsi="Arial" w:cs="Arial" w:eastAsia="Arial" w:hint="default"/>
        </w:rPr>
      </w:pPr>
      <w:r>
        <w:rPr>
          <w:rFonts w:ascii="黑体" w:hAnsi="黑体" w:cs="黑体" w:eastAsia="黑体" w:hint="default"/>
        </w:rPr>
        <w:t>十五</w:t>
        <w:tab/>
        <w:t>公司财务报表附注</w:t>
      </w:r>
      <w:r>
        <w:rPr>
          <w:rFonts w:ascii="Arial" w:hAnsi="Arial" w:cs="Arial" w:eastAsia="Arial" w:hint="default"/>
        </w:rPr>
        <w:t>(</w:t>
      </w:r>
      <w:r>
        <w:rPr>
          <w:rFonts w:ascii="黑体" w:hAnsi="黑体" w:cs="黑体" w:eastAsia="黑体" w:hint="default"/>
        </w:rPr>
        <w:t>续</w:t>
      </w:r>
      <w:r>
        <w:rPr>
          <w:rFonts w:ascii="Arial" w:hAnsi="Arial" w:cs="Arial" w:eastAsia="Arial" w:hint="default"/>
        </w:rPr>
        <w:t>) </w:t>
      </w:r>
      <w:r>
        <w:rPr>
          <w:rFonts w:ascii="Arial" w:hAnsi="Arial" w:cs="Arial" w:eastAsia="Arial" w:hint="default"/>
          <w:spacing w:val="-1"/>
          <w:position w:val="2"/>
        </w:rPr>
        <w:t>(1)</w:t>
        <w:tab/>
      </w:r>
      <w:r>
        <w:rPr>
          <w:rFonts w:ascii="黑体" w:hAnsi="黑体" w:cs="黑体" w:eastAsia="黑体" w:hint="default"/>
          <w:spacing w:val="-1"/>
        </w:rPr>
        <w:t>应收账款</w:t>
      </w:r>
      <w:r>
        <w:rPr>
          <w:rFonts w:ascii="Arial" w:hAnsi="Arial" w:cs="Arial" w:eastAsia="Arial" w:hint="default"/>
          <w:spacing w:val="-1"/>
        </w:rPr>
        <w:t>(</w:t>
      </w:r>
      <w:r>
        <w:rPr>
          <w:rFonts w:ascii="黑体" w:hAnsi="黑体" w:cs="黑体" w:eastAsia="黑体" w:hint="default"/>
          <w:spacing w:val="-1"/>
        </w:rPr>
        <w:t>续</w:t>
      </w:r>
      <w:r>
        <w:rPr>
          <w:rFonts w:ascii="Arial" w:hAnsi="Arial" w:cs="Arial" w:eastAsia="Arial" w:hint="default"/>
          <w:spacing w:val="-1"/>
        </w:rPr>
        <w:t>)</w:t>
      </w:r>
    </w:p>
    <w:p>
      <w:pPr>
        <w:pStyle w:val="Heading3"/>
        <w:tabs>
          <w:tab w:pos="847" w:val="left" w:leader="none"/>
        </w:tabs>
        <w:spacing w:line="240" w:lineRule="auto" w:before="59"/>
        <w:ind w:left="118" w:right="1224"/>
        <w:jc w:val="left"/>
      </w:pPr>
      <w:r>
        <w:rPr>
          <w:rFonts w:ascii="Arial" w:hAnsi="Arial" w:cs="Arial" w:eastAsia="Arial" w:hint="default"/>
          <w:spacing w:val="-1"/>
          <w:w w:val="95"/>
          <w:position w:val="2"/>
        </w:rPr>
        <w:t>(g)</w:t>
        <w:tab/>
      </w:r>
      <w:r>
        <w:rPr/>
        <w:t>应收关联方的应收账款分析如下：</w:t>
      </w:r>
    </w:p>
    <w:p>
      <w:pPr>
        <w:spacing w:line="240" w:lineRule="auto" w:before="2"/>
        <w:rPr>
          <w:rFonts w:ascii="宋体" w:hAnsi="宋体" w:cs="宋体" w:eastAsia="宋体" w:hint="default"/>
          <w:sz w:val="33"/>
          <w:szCs w:val="33"/>
        </w:rPr>
      </w:pPr>
    </w:p>
    <w:p>
      <w:pPr>
        <w:pStyle w:val="BodyText"/>
        <w:tabs>
          <w:tab w:pos="4746" w:val="left" w:leader="none"/>
          <w:tab w:pos="7213" w:val="left" w:leader="none"/>
        </w:tabs>
        <w:spacing w:line="240" w:lineRule="auto" w:before="0"/>
        <w:ind w:left="3128" w:right="1224"/>
        <w:jc w:val="left"/>
      </w:pPr>
      <w:r>
        <w:rPr/>
        <w:pict>
          <v:group style="position:absolute;margin-left:299.929993pt;margin-top:17.423655pt;width:122.1pt;height:.5pt;mso-position-horizontal-relative:page;mso-position-vertical-relative:paragraph;z-index:4384" coordorigin="5999,348" coordsize="2442,10">
            <v:group style="position:absolute;left:6003;top:353;width:740;height:2" coordorigin="6003,353" coordsize="740,2">
              <v:shape style="position:absolute;left:6003;top:353;width:740;height:2" coordorigin="6003,353" coordsize="740,0" path="m6003,353l6743,353e" filled="false" stroked="true" strokeweight=".48pt" strokecolor="#000000">
                <v:path arrowok="t"/>
              </v:shape>
            </v:group>
            <v:group style="position:absolute;left:6743;top:353;width:10;height:2" coordorigin="6743,353" coordsize="10,2">
              <v:shape style="position:absolute;left:6743;top:353;width:10;height:2" coordorigin="6743,353" coordsize="10,0" path="m6743,353l6753,353e" filled="false" stroked="true" strokeweight=".48pt" strokecolor="#000000">
                <v:path arrowok="t"/>
              </v:shape>
            </v:group>
            <v:group style="position:absolute;left:6753;top:353;width:989;height:2" coordorigin="6753,353" coordsize="989,2">
              <v:shape style="position:absolute;left:6753;top:353;width:989;height:2" coordorigin="6753,353" coordsize="989,0" path="m6753,353l7741,353e" filled="false" stroked="true" strokeweight=".48pt" strokecolor="#000000">
                <v:path arrowok="t"/>
              </v:shape>
            </v:group>
            <v:group style="position:absolute;left:7741;top:353;width:10;height:2" coordorigin="7741,353" coordsize="10,2">
              <v:shape style="position:absolute;left:7741;top:353;width:10;height:2" coordorigin="7741,353" coordsize="10,0" path="m7741,353l7751,353e" filled="false" stroked="true" strokeweight=".48pt" strokecolor="#000000">
                <v:path arrowok="t"/>
              </v:shape>
            </v:group>
            <v:group style="position:absolute;left:7751;top:353;width:125;height:2" coordorigin="7751,353" coordsize="125,2">
              <v:shape style="position:absolute;left:7751;top:353;width:125;height:2" coordorigin="7751,353" coordsize="125,0" path="m7751,353l7876,353e" filled="false" stroked="true" strokeweight=".48pt" strokecolor="#000000">
                <v:path arrowok="t"/>
              </v:shape>
            </v:group>
            <v:group style="position:absolute;left:7876;top:353;width:10;height:2" coordorigin="7876,353" coordsize="10,2">
              <v:shape style="position:absolute;left:7876;top:353;width:10;height:2" coordorigin="7876,353" coordsize="10,0" path="m7876,353l7885,353e" filled="false" stroked="true" strokeweight=".48pt" strokecolor="#000000">
                <v:path arrowok="t"/>
              </v:shape>
            </v:group>
            <v:group style="position:absolute;left:7885;top:353;width:550;height:2" coordorigin="7885,353" coordsize="550,2">
              <v:shape style="position:absolute;left:7885;top:353;width:550;height:2" coordorigin="7885,353" coordsize="550,0" path="m7885,353l8435,353e" filled="false" stroked="true" strokeweight=".48pt" strokecolor="#000000">
                <v:path arrowok="t"/>
              </v:shape>
            </v:group>
            <w10:wrap type="none"/>
          </v:group>
        </w:pict>
      </w:r>
      <w:r>
        <w:rPr>
          <w:spacing w:val="-1"/>
        </w:rPr>
        <w:t>与本公司关系</w:t>
        <w:tab/>
      </w:r>
      <w:r>
        <w:rPr>
          <w:rFonts w:ascii="Arial" w:hAnsi="Arial" w:cs="Arial" w:eastAsia="Arial" w:hint="default"/>
        </w:rPr>
        <w:t>2012</w:t>
      </w:r>
      <w:r>
        <w:rPr>
          <w:rFonts w:ascii="Arial" w:hAnsi="Arial" w:cs="Arial" w:eastAsia="Arial" w:hint="default"/>
          <w:spacing w:val="-7"/>
        </w:rPr>
        <w:t> </w:t>
      </w:r>
      <w:r>
        <w:rPr/>
        <w:t>年</w:t>
      </w:r>
      <w:r>
        <w:rPr>
          <w:spacing w:val="-51"/>
        </w:rPr>
        <w:t> </w:t>
      </w:r>
      <w:r>
        <w:rPr>
          <w:rFonts w:ascii="Arial" w:hAnsi="Arial" w:cs="Arial" w:eastAsia="Arial" w:hint="default"/>
          <w:spacing w:val="-2"/>
        </w:rPr>
        <w:t>12</w:t>
      </w:r>
      <w:r>
        <w:rPr>
          <w:rFonts w:ascii="Arial" w:hAnsi="Arial" w:cs="Arial" w:eastAsia="Arial" w:hint="default"/>
          <w:spacing w:val="-4"/>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spacing w:val="-5"/>
        </w:rPr>
        <w:t>2011</w:t>
      </w:r>
      <w:r>
        <w:rPr>
          <w:rFonts w:ascii="Arial" w:hAnsi="Arial" w:cs="Arial" w:eastAsia="Arial" w:hint="default"/>
          <w:spacing w:val="-6"/>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spacing w:val="-2"/>
        </w:rPr>
        <w:t>31</w:t>
      </w:r>
      <w:r>
        <w:rPr>
          <w:rFonts w:ascii="Arial" w:hAnsi="Arial" w:cs="Arial" w:eastAsia="Arial" w:hint="default"/>
          <w:spacing w:val="-4"/>
        </w:rPr>
        <w:t> </w:t>
      </w:r>
      <w:r>
        <w:rPr/>
        <w:t>日</w:t>
      </w:r>
    </w:p>
    <w:p>
      <w:pPr>
        <w:spacing w:after="0" w:line="240" w:lineRule="auto"/>
        <w:jc w:val="left"/>
        <w:sectPr>
          <w:footerReference w:type="default" r:id="rId109"/>
          <w:pgSz w:w="11910" w:h="16850"/>
          <w:pgMar w:footer="708" w:header="795" w:top="2020" w:bottom="900" w:left="1560" w:right="0"/>
        </w:sectPr>
      </w:pPr>
    </w:p>
    <w:p>
      <w:pPr>
        <w:pStyle w:val="BodyText"/>
        <w:tabs>
          <w:tab w:pos="1783" w:val="left" w:leader="none"/>
        </w:tabs>
        <w:spacing w:line="274" w:lineRule="exact" w:before="75"/>
        <w:ind w:left="0" w:right="0"/>
        <w:jc w:val="right"/>
      </w:pPr>
      <w:r>
        <w:rPr/>
        <w:t>金额</w:t>
        <w:tab/>
        <w:t>坏账</w:t>
      </w:r>
    </w:p>
    <w:p>
      <w:pPr>
        <w:pStyle w:val="BodyText"/>
        <w:tabs>
          <w:tab w:pos="6385" w:val="left" w:leader="none"/>
        </w:tabs>
        <w:spacing w:line="272" w:lineRule="exact" w:before="27"/>
        <w:ind w:left="5286" w:right="0"/>
        <w:jc w:val="left"/>
      </w:pPr>
      <w:r>
        <w:rPr>
          <w:spacing w:val="-1"/>
        </w:rPr>
        <w:t>占应收账</w:t>
        <w:tab/>
      </w:r>
      <w:r>
        <w:rPr/>
        <w:t>准备</w:t>
      </w:r>
      <w:r>
        <w:rPr>
          <w:spacing w:val="-103"/>
        </w:rPr>
        <w:t> </w:t>
      </w:r>
      <w:r>
        <w:rPr>
          <w:spacing w:val="-103"/>
        </w:rPr>
      </w:r>
      <w:r>
        <w:rPr/>
        <w:t>款总额的</w:t>
      </w:r>
    </w:p>
    <w:p>
      <w:pPr>
        <w:pStyle w:val="BodyText"/>
        <w:spacing w:line="261" w:lineRule="exact" w:before="0"/>
        <w:ind w:left="0" w:right="679"/>
        <w:jc w:val="right"/>
        <w:rPr>
          <w:rFonts w:ascii="Arial" w:hAnsi="Arial" w:cs="Arial" w:eastAsia="Arial" w:hint="default"/>
        </w:rPr>
      </w:pPr>
      <w:r>
        <w:rPr/>
        <w:t>比例</w:t>
      </w:r>
      <w:r>
        <w:rPr>
          <w:spacing w:val="-1"/>
        </w:rPr>
        <w:t> </w:t>
      </w:r>
      <w:r>
        <w:rPr>
          <w:rFonts w:ascii="Arial" w:hAnsi="Arial" w:cs="Arial" w:eastAsia="Arial" w:hint="default"/>
        </w:rPr>
        <w:t>(%)</w:t>
      </w:r>
    </w:p>
    <w:p>
      <w:pPr>
        <w:spacing w:line="240" w:lineRule="auto" w:before="1"/>
        <w:rPr>
          <w:rFonts w:ascii="Arial" w:hAnsi="Arial" w:cs="Arial" w:eastAsia="Arial" w:hint="default"/>
          <w:sz w:val="5"/>
          <w:szCs w:val="5"/>
        </w:rPr>
      </w:pPr>
      <w:r>
        <w:rPr/>
        <w:br w:type="column"/>
      </w:r>
      <w:r>
        <w:rPr>
          <w:rFonts w:ascii="Arial"/>
          <w:sz w:val="5"/>
        </w:rPr>
      </w:r>
    </w:p>
    <w:p>
      <w:pPr>
        <w:spacing w:line="20" w:lineRule="exact"/>
        <w:ind w:left="156" w:right="0" w:firstLine="0"/>
        <w:rPr>
          <w:rFonts w:ascii="Arial" w:hAnsi="Arial" w:cs="Arial" w:eastAsia="Arial" w:hint="default"/>
          <w:sz w:val="2"/>
          <w:szCs w:val="2"/>
        </w:rPr>
      </w:pPr>
      <w:r>
        <w:rPr>
          <w:rFonts w:ascii="Arial" w:hAnsi="Arial" w:cs="Arial" w:eastAsia="Arial" w:hint="default"/>
          <w:sz w:val="2"/>
          <w:szCs w:val="2"/>
        </w:rPr>
        <w:pict>
          <v:group style="width:111.4pt;height:.5pt;mso-position-horizontal-relative:char;mso-position-vertical-relative:line" coordorigin="0,0" coordsize="2228,10">
            <v:group style="position:absolute;left:5;top:5;width:541;height:2" coordorigin="5,5" coordsize="541,2">
              <v:shape style="position:absolute;left:5;top:5;width:541;height:2" coordorigin="5,5" coordsize="541,0" path="m5,5l545,5e" filled="false" stroked="true" strokeweight=".48pt" strokecolor="#000000">
                <v:path arrowok="t"/>
              </v:shape>
            </v:group>
            <v:group style="position:absolute;left:545;top:5;width:10;height:2" coordorigin="545,5" coordsize="10,2">
              <v:shape style="position:absolute;left:545;top:5;width:10;height:2" coordorigin="545,5" coordsize="10,0" path="m545,5l555,5e" filled="false" stroked="true" strokeweight=".48pt" strokecolor="#000000">
                <v:path arrowok="t"/>
              </v:shape>
            </v:group>
            <v:group style="position:absolute;left:555;top:5;width:939;height:2" coordorigin="555,5" coordsize="939,2">
              <v:shape style="position:absolute;left:555;top:5;width:939;height:2" coordorigin="555,5" coordsize="939,0" path="m555,5l1493,5e" filled="false" stroked="true" strokeweight=".48pt" strokecolor="#000000">
                <v:path arrowok="t"/>
              </v:shape>
            </v:group>
            <v:group style="position:absolute;left:1493;top:5;width:10;height:2" coordorigin="1493,5" coordsize="10,2">
              <v:shape style="position:absolute;left:1493;top:5;width:10;height:2" coordorigin="1493,5" coordsize="10,0" path="m1493,5l1503,5e" filled="false" stroked="true" strokeweight=".48pt" strokecolor="#000000">
                <v:path arrowok="t"/>
              </v:shape>
            </v:group>
            <v:group style="position:absolute;left:1503;top:5;width:125;height:2" coordorigin="1503,5" coordsize="125,2">
              <v:shape style="position:absolute;left:1503;top:5;width:125;height:2" coordorigin="1503,5" coordsize="125,0" path="m1503,5l1628,5e" filled="false" stroked="true" strokeweight=".48pt" strokecolor="#000000">
                <v:path arrowok="t"/>
              </v:shape>
            </v:group>
            <v:group style="position:absolute;left:1628;top:5;width:10;height:2" coordorigin="1628,5" coordsize="10,2">
              <v:shape style="position:absolute;left:1628;top:5;width:10;height:2" coordorigin="1628,5" coordsize="10,0" path="m1628,5l1637,5e" filled="false" stroked="true" strokeweight=".48pt" strokecolor="#000000">
                <v:path arrowok="t"/>
              </v:shape>
            </v:group>
            <v:group style="position:absolute;left:1637;top:5;width:586;height:2" coordorigin="1637,5" coordsize="586,2">
              <v:shape style="position:absolute;left:1637;top:5;width:586;height:2" coordorigin="1637,5" coordsize="586,0" path="m1637,5l2223,5e" filled="false" stroked="true" strokeweight=".48pt" strokecolor="#000000">
                <v:path arrowok="t"/>
              </v:shape>
            </v:group>
          </v:group>
        </w:pict>
      </w:r>
      <w:r>
        <w:rPr>
          <w:rFonts w:ascii="Arial" w:hAnsi="Arial" w:cs="Arial" w:eastAsia="Arial" w:hint="default"/>
          <w:sz w:val="2"/>
          <w:szCs w:val="2"/>
        </w:rPr>
      </w:r>
    </w:p>
    <w:p>
      <w:pPr>
        <w:pStyle w:val="BodyText"/>
        <w:tabs>
          <w:tab w:pos="739" w:val="left" w:leader="none"/>
          <w:tab w:pos="1651" w:val="left" w:leader="none"/>
        </w:tabs>
        <w:spacing w:line="269" w:lineRule="exact" w:before="0"/>
        <w:ind w:left="0" w:right="979"/>
        <w:jc w:val="center"/>
      </w:pPr>
      <w:r>
        <w:rPr/>
        <w:t>金额</w:t>
        <w:tab/>
        <w:t>占应收</w:t>
        <w:tab/>
        <w:t>坏账</w:t>
      </w:r>
    </w:p>
    <w:p>
      <w:pPr>
        <w:pStyle w:val="BodyText"/>
        <w:tabs>
          <w:tab w:pos="1873" w:val="left" w:leader="none"/>
        </w:tabs>
        <w:spacing w:line="240" w:lineRule="auto" w:before="0"/>
        <w:ind w:left="961" w:right="1200"/>
        <w:jc w:val="left"/>
      </w:pPr>
      <w:r>
        <w:rPr/>
        <w:t>账款总</w:t>
        <w:tab/>
        <w:t>准备</w:t>
      </w:r>
      <w:r>
        <w:rPr>
          <w:spacing w:val="-103"/>
        </w:rPr>
        <w:t> </w:t>
      </w:r>
      <w:r>
        <w:rPr>
          <w:spacing w:val="-103"/>
        </w:rPr>
      </w:r>
      <w:r>
        <w:rPr/>
        <w:t>额的比</w:t>
      </w:r>
    </w:p>
    <w:p>
      <w:pPr>
        <w:pStyle w:val="BodyText"/>
        <w:spacing w:line="286" w:lineRule="exact" w:before="0"/>
        <w:ind w:left="951" w:right="1200"/>
        <w:jc w:val="left"/>
        <w:rPr>
          <w:rFonts w:ascii="Arial" w:hAnsi="Arial" w:cs="Arial" w:eastAsia="Arial" w:hint="default"/>
        </w:rPr>
      </w:pPr>
      <w:r>
        <w:rPr/>
        <w:t>例</w:t>
      </w:r>
      <w:r>
        <w:rPr>
          <w:spacing w:val="-2"/>
        </w:rPr>
        <w:t> </w:t>
      </w:r>
      <w:r>
        <w:rPr>
          <w:rFonts w:ascii="Arial" w:hAnsi="Arial" w:cs="Arial" w:eastAsia="Arial" w:hint="default"/>
        </w:rPr>
        <w:t>(%)</w:t>
      </w:r>
    </w:p>
    <w:p>
      <w:pPr>
        <w:spacing w:after="0" w:line="286" w:lineRule="exact"/>
        <w:jc w:val="left"/>
        <w:rPr>
          <w:rFonts w:ascii="Arial" w:hAnsi="Arial" w:cs="Arial" w:eastAsia="Arial" w:hint="default"/>
        </w:rPr>
        <w:sectPr>
          <w:type w:val="continuous"/>
          <w:pgSz w:w="11910" w:h="16850"/>
          <w:pgMar w:top="1060" w:bottom="1540" w:left="1560" w:right="0"/>
          <w:cols w:num="2" w:equalWidth="0">
            <w:col w:w="6808" w:space="40"/>
            <w:col w:w="3502"/>
          </w:cols>
        </w:sectPr>
      </w:pPr>
    </w:p>
    <w:p>
      <w:pPr>
        <w:spacing w:line="240" w:lineRule="auto" w:before="0"/>
        <w:rPr>
          <w:rFonts w:ascii="Arial" w:hAnsi="Arial" w:cs="Arial" w:eastAsia="Arial" w:hint="default"/>
          <w:sz w:val="20"/>
          <w:szCs w:val="20"/>
        </w:rPr>
      </w:pPr>
      <w:r>
        <w:rPr/>
        <w:pict>
          <v:shape style="position:absolute;margin-left:460.320007pt;margin-top:765.039978pt;width:135.0pt;height:77pt;mso-position-horizontal-relative:page;mso-position-vertical-relative:page;z-index:4408" type="#_x0000_t75" stroked="false">
            <v:imagedata r:id="rId10" o:title=""/>
          </v:shape>
        </w:pict>
      </w:r>
    </w:p>
    <w:p>
      <w:pPr>
        <w:spacing w:line="240" w:lineRule="auto" w:before="1"/>
        <w:rPr>
          <w:rFonts w:ascii="Arial" w:hAnsi="Arial" w:cs="Arial" w:eastAsia="Arial" w:hint="default"/>
          <w:sz w:val="10"/>
          <w:szCs w:val="10"/>
        </w:rPr>
      </w:pPr>
    </w:p>
    <w:tbl>
      <w:tblPr>
        <w:tblW w:w="0" w:type="auto"/>
        <w:jc w:val="left"/>
        <w:tblInd w:w="812" w:type="dxa"/>
        <w:tblLayout w:type="fixed"/>
        <w:tblCellMar>
          <w:top w:w="0" w:type="dxa"/>
          <w:left w:w="0" w:type="dxa"/>
          <w:bottom w:w="0" w:type="dxa"/>
          <w:right w:w="0" w:type="dxa"/>
        </w:tblCellMar>
        <w:tblLook w:val="01E0"/>
      </w:tblPr>
      <w:tblGrid>
        <w:gridCol w:w="1745"/>
        <w:gridCol w:w="1885"/>
        <w:gridCol w:w="886"/>
        <w:gridCol w:w="1109"/>
        <w:gridCol w:w="1174"/>
        <w:gridCol w:w="1161"/>
        <w:gridCol w:w="455"/>
      </w:tblGrid>
      <w:tr>
        <w:trPr>
          <w:trHeight w:val="667"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苏宁置业</w:t>
            </w:r>
          </w:p>
        </w:tc>
        <w:tc>
          <w:tcPr>
            <w:tcW w:w="1885" w:type="dxa"/>
            <w:tcBorders>
              <w:top w:val="nil" w:sz="6" w:space="0" w:color="auto"/>
              <w:left w:val="nil" w:sz="6" w:space="0" w:color="auto"/>
              <w:bottom w:val="nil" w:sz="6" w:space="0" w:color="auto"/>
              <w:right w:val="nil" w:sz="6" w:space="0" w:color="auto"/>
            </w:tcBorders>
          </w:tcPr>
          <w:p>
            <w:pPr>
              <w:pStyle w:val="TableParagraph"/>
              <w:spacing w:line="272" w:lineRule="exact" w:before="66"/>
              <w:ind w:left="570" w:right="50" w:hanging="420"/>
              <w:jc w:val="left"/>
              <w:rPr>
                <w:rFonts w:ascii="宋体" w:hAnsi="宋体" w:cs="宋体" w:eastAsia="宋体" w:hint="default"/>
                <w:sz w:val="21"/>
                <w:szCs w:val="21"/>
              </w:rPr>
            </w:pPr>
            <w:r>
              <w:rPr>
                <w:rFonts w:ascii="宋体" w:hAnsi="宋体" w:cs="宋体" w:eastAsia="宋体" w:hint="default"/>
                <w:spacing w:val="-2"/>
                <w:sz w:val="21"/>
                <w:szCs w:val="21"/>
              </w:rPr>
              <w:t>与本公司受同一实</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
                <w:sz w:val="21"/>
                <w:szCs w:val="21"/>
              </w:rPr>
              <w:t>际控制人控制</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0"/>
              <w:ind w:right="200"/>
              <w:jc w:val="right"/>
              <w:rPr>
                <w:rFonts w:ascii="Arial" w:hAnsi="Arial" w:cs="Arial" w:eastAsia="Arial" w:hint="default"/>
                <w:sz w:val="21"/>
                <w:szCs w:val="21"/>
              </w:rPr>
            </w:pPr>
            <w:r>
              <w:rPr>
                <w:rFonts w:ascii="Arial"/>
                <w:spacing w:val="-1"/>
                <w:sz w:val="21"/>
              </w:rPr>
              <w:t>1,659</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0"/>
              <w:ind w:right="307"/>
              <w:jc w:val="right"/>
              <w:rPr>
                <w:rFonts w:ascii="Arial" w:hAnsi="Arial" w:cs="Arial" w:eastAsia="Arial" w:hint="default"/>
                <w:sz w:val="21"/>
                <w:szCs w:val="21"/>
              </w:rPr>
            </w:pPr>
            <w:r>
              <w:rPr>
                <w:rFonts w:ascii="Arial"/>
                <w:spacing w:val="-1"/>
                <w:sz w:val="21"/>
              </w:rPr>
              <w:t>0.01%</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tabs>
                <w:tab w:pos="677" w:val="left" w:leader="none"/>
              </w:tabs>
              <w:spacing w:line="240" w:lineRule="auto" w:before="140"/>
              <w:ind w:right="114"/>
              <w:jc w:val="right"/>
              <w:rPr>
                <w:rFonts w:ascii="Arial" w:hAnsi="Arial" w:cs="Arial" w:eastAsia="Arial" w:hint="default"/>
                <w:sz w:val="21"/>
                <w:szCs w:val="21"/>
              </w:rPr>
            </w:pPr>
            <w:r>
              <w:rPr>
                <w:rFonts w:ascii="Arial"/>
                <w:sz w:val="21"/>
              </w:rPr>
              <w:t>-</w:t>
              <w:tab/>
              <w:t>-</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0"/>
              <w:ind w:right="329"/>
              <w:jc w:val="right"/>
              <w:rPr>
                <w:rFonts w:ascii="Arial" w:hAnsi="Arial" w:cs="Arial" w:eastAsia="Arial" w:hint="default"/>
                <w:sz w:val="21"/>
                <w:szCs w:val="21"/>
              </w:rPr>
            </w:pPr>
            <w:r>
              <w:rPr>
                <w:rFonts w:ascii="Arial"/>
                <w:w w:val="100"/>
                <w:sz w:val="21"/>
              </w:rPr>
              <w:t>-</w:t>
            </w:r>
          </w:p>
        </w:tc>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0"/>
              <w:ind w:right="52"/>
              <w:jc w:val="right"/>
              <w:rPr>
                <w:rFonts w:ascii="Arial" w:hAnsi="Arial" w:cs="Arial" w:eastAsia="Arial" w:hint="default"/>
                <w:sz w:val="21"/>
                <w:szCs w:val="21"/>
              </w:rPr>
            </w:pPr>
            <w:r>
              <w:rPr>
                <w:rFonts w:ascii="Arial"/>
                <w:w w:val="100"/>
                <w:sz w:val="21"/>
              </w:rPr>
              <w:t>-</w:t>
            </w:r>
          </w:p>
        </w:tc>
      </w:tr>
      <w:tr>
        <w:trPr>
          <w:trHeight w:val="303"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钟山高尔夫置业</w:t>
            </w:r>
          </w:p>
        </w:tc>
        <w:tc>
          <w:tcPr>
            <w:tcW w:w="1885" w:type="dxa"/>
            <w:tcBorders>
              <w:top w:val="nil" w:sz="6" w:space="0" w:color="auto"/>
              <w:left w:val="nil" w:sz="6" w:space="0" w:color="auto"/>
              <w:bottom w:val="nil" w:sz="6" w:space="0" w:color="auto"/>
              <w:right w:val="nil" w:sz="6" w:space="0" w:color="auto"/>
            </w:tcBorders>
          </w:tcPr>
          <w:p>
            <w:pPr>
              <w:pStyle w:val="TableParagraph"/>
              <w:spacing w:line="273" w:lineRule="exact"/>
              <w:ind w:right="50"/>
              <w:jc w:val="right"/>
              <w:rPr>
                <w:rFonts w:ascii="宋体" w:hAnsi="宋体" w:cs="宋体" w:eastAsia="宋体" w:hint="default"/>
                <w:sz w:val="21"/>
                <w:szCs w:val="21"/>
              </w:rPr>
            </w:pPr>
            <w:r>
              <w:rPr>
                <w:rFonts w:ascii="宋体" w:hAnsi="宋体" w:cs="宋体" w:eastAsia="宋体" w:hint="default"/>
                <w:spacing w:val="-2"/>
                <w:sz w:val="21"/>
                <w:szCs w:val="21"/>
              </w:rPr>
              <w:t>实际控制人系张近</w:t>
            </w:r>
          </w:p>
        </w:tc>
        <w:tc>
          <w:tcPr>
            <w:tcW w:w="886"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
        </w:tc>
        <w:tc>
          <w:tcPr>
            <w:tcW w:w="455" w:type="dxa"/>
            <w:tcBorders>
              <w:top w:val="nil" w:sz="6" w:space="0" w:color="auto"/>
              <w:left w:val="nil" w:sz="6" w:space="0" w:color="auto"/>
              <w:bottom w:val="nil" w:sz="6" w:space="0" w:color="auto"/>
              <w:right w:val="nil" w:sz="6" w:space="0" w:color="auto"/>
            </w:tcBorders>
          </w:tcPr>
          <w:p>
            <w:pPr/>
          </w:p>
        </w:tc>
      </w:tr>
      <w:tr>
        <w:trPr>
          <w:trHeight w:val="322" w:hRule="exact"/>
        </w:trPr>
        <w:tc>
          <w:tcPr>
            <w:tcW w:w="1745"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Style w:val="TableParagraph"/>
              <w:spacing w:line="241" w:lineRule="exact"/>
              <w:ind w:right="50"/>
              <w:jc w:val="right"/>
              <w:rPr>
                <w:rFonts w:ascii="宋体" w:hAnsi="宋体" w:cs="宋体" w:eastAsia="宋体" w:hint="default"/>
                <w:sz w:val="21"/>
                <w:szCs w:val="21"/>
              </w:rPr>
            </w:pPr>
            <w:r>
              <w:rPr>
                <w:rFonts w:ascii="宋体" w:hAnsi="宋体" w:cs="宋体" w:eastAsia="宋体" w:hint="default"/>
                <w:spacing w:val="-1"/>
                <w:sz w:val="21"/>
                <w:szCs w:val="21"/>
              </w:rPr>
              <w:t>东先生家庭成员</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9"/>
              <w:jc w:val="right"/>
              <w:rPr>
                <w:rFonts w:ascii="Arial" w:hAnsi="Arial" w:cs="Arial" w:eastAsia="Arial" w:hint="default"/>
                <w:sz w:val="21"/>
                <w:szCs w:val="21"/>
              </w:rPr>
            </w:pPr>
            <w:r>
              <w:rPr>
                <w:rFonts w:ascii="Arial"/>
                <w:sz w:val="21"/>
              </w:rPr>
              <w:t>772</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07"/>
              <w:jc w:val="right"/>
              <w:rPr>
                <w:rFonts w:ascii="Arial" w:hAnsi="Arial" w:cs="Arial" w:eastAsia="Arial" w:hint="default"/>
                <w:sz w:val="21"/>
                <w:szCs w:val="21"/>
              </w:rPr>
            </w:pPr>
            <w:r>
              <w:rPr>
                <w:rFonts w:ascii="Arial"/>
                <w:spacing w:val="-1"/>
                <w:sz w:val="21"/>
              </w:rPr>
              <w:t>0.01%</w:t>
            </w:r>
          </w:p>
        </w:tc>
        <w:tc>
          <w:tcPr>
            <w:tcW w:w="1174" w:type="dxa"/>
            <w:tcBorders>
              <w:top w:val="nil" w:sz="6" w:space="0" w:color="auto"/>
              <w:left w:val="nil" w:sz="6" w:space="0" w:color="auto"/>
              <w:bottom w:val="nil" w:sz="6" w:space="0" w:color="auto"/>
              <w:right w:val="nil" w:sz="6" w:space="0" w:color="auto"/>
            </w:tcBorders>
          </w:tcPr>
          <w:p>
            <w:pPr>
              <w:pStyle w:val="TableParagraph"/>
              <w:tabs>
                <w:tab w:pos="677" w:val="left" w:leader="none"/>
              </w:tabs>
              <w:spacing w:line="240" w:lineRule="auto" w:before="24"/>
              <w:ind w:right="114"/>
              <w:jc w:val="right"/>
              <w:rPr>
                <w:rFonts w:ascii="Arial" w:hAnsi="Arial" w:cs="Arial" w:eastAsia="Arial" w:hint="default"/>
                <w:sz w:val="21"/>
                <w:szCs w:val="21"/>
              </w:rPr>
            </w:pPr>
            <w:r>
              <w:rPr>
                <w:rFonts w:ascii="Arial"/>
                <w:sz w:val="21"/>
              </w:rPr>
              <w:t>-</w:t>
              <w:tab/>
              <w:t>-</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9"/>
              <w:jc w:val="right"/>
              <w:rPr>
                <w:rFonts w:ascii="Arial" w:hAnsi="Arial" w:cs="Arial" w:eastAsia="Arial" w:hint="default"/>
                <w:sz w:val="21"/>
                <w:szCs w:val="21"/>
              </w:rPr>
            </w:pPr>
            <w:r>
              <w:rPr>
                <w:rFonts w:ascii="Arial"/>
                <w:w w:val="100"/>
                <w:sz w:val="21"/>
              </w:rPr>
              <w:t>-</w:t>
            </w:r>
          </w:p>
        </w:tc>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2"/>
              <w:jc w:val="right"/>
              <w:rPr>
                <w:rFonts w:ascii="Arial" w:hAnsi="Arial" w:cs="Arial" w:eastAsia="Arial" w:hint="default"/>
                <w:sz w:val="21"/>
                <w:szCs w:val="21"/>
              </w:rPr>
            </w:pPr>
            <w:r>
              <w:rPr>
                <w:rFonts w:ascii="Arial"/>
                <w:w w:val="100"/>
                <w:sz w:val="21"/>
              </w:rPr>
              <w:t>-</w:t>
            </w:r>
          </w:p>
        </w:tc>
      </w:tr>
      <w:tr>
        <w:trPr>
          <w:trHeight w:val="302"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pacing w:val="17"/>
                <w:sz w:val="21"/>
                <w:szCs w:val="21"/>
              </w:rPr>
              <w:t>银河酒店管理公</w:t>
            </w:r>
            <w:r>
              <w:rPr>
                <w:rFonts w:ascii="宋体" w:hAnsi="宋体" w:cs="宋体" w:eastAsia="宋体" w:hint="default"/>
                <w:spacing w:val="-84"/>
                <w:sz w:val="21"/>
                <w:szCs w:val="21"/>
              </w:rPr>
              <w:t> </w:t>
            </w:r>
            <w:r>
              <w:rPr>
                <w:rFonts w:ascii="宋体" w:hAnsi="宋体" w:cs="宋体" w:eastAsia="宋体" w:hint="default"/>
                <w:sz w:val="21"/>
                <w:szCs w:val="21"/>
              </w:rPr>
            </w:r>
          </w:p>
        </w:tc>
        <w:tc>
          <w:tcPr>
            <w:tcW w:w="1885" w:type="dxa"/>
            <w:tcBorders>
              <w:top w:val="nil" w:sz="6" w:space="0" w:color="auto"/>
              <w:left w:val="nil" w:sz="6" w:space="0" w:color="auto"/>
              <w:bottom w:val="nil" w:sz="6" w:space="0" w:color="auto"/>
              <w:right w:val="nil" w:sz="6" w:space="0" w:color="auto"/>
            </w:tcBorders>
          </w:tcPr>
          <w:p>
            <w:pPr>
              <w:pStyle w:val="TableParagraph"/>
              <w:spacing w:line="272" w:lineRule="exact"/>
              <w:ind w:right="50"/>
              <w:jc w:val="right"/>
              <w:rPr>
                <w:rFonts w:ascii="宋体" w:hAnsi="宋体" w:cs="宋体" w:eastAsia="宋体" w:hint="default"/>
                <w:sz w:val="21"/>
                <w:szCs w:val="21"/>
              </w:rPr>
            </w:pPr>
            <w:r>
              <w:rPr>
                <w:rFonts w:ascii="宋体" w:hAnsi="宋体" w:cs="宋体" w:eastAsia="宋体" w:hint="default"/>
                <w:spacing w:val="-2"/>
                <w:sz w:val="21"/>
                <w:szCs w:val="21"/>
              </w:rPr>
              <w:t>苏宁电器集团有限</w:t>
            </w:r>
          </w:p>
        </w:tc>
        <w:tc>
          <w:tcPr>
            <w:tcW w:w="886"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
        </w:tc>
        <w:tc>
          <w:tcPr>
            <w:tcW w:w="455" w:type="dxa"/>
            <w:tcBorders>
              <w:top w:val="nil" w:sz="6" w:space="0" w:color="auto"/>
              <w:left w:val="nil" w:sz="6" w:space="0" w:color="auto"/>
              <w:bottom w:val="nil" w:sz="6" w:space="0" w:color="auto"/>
              <w:right w:val="nil" w:sz="6" w:space="0" w:color="auto"/>
            </w:tcBorders>
          </w:tcPr>
          <w:p>
            <w:pPr/>
          </w:p>
        </w:tc>
      </w:tr>
      <w:tr>
        <w:trPr>
          <w:trHeight w:val="321"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85" w:type="dxa"/>
            <w:tcBorders>
              <w:top w:val="nil" w:sz="6" w:space="0" w:color="auto"/>
              <w:left w:val="nil" w:sz="6" w:space="0" w:color="auto"/>
              <w:bottom w:val="nil" w:sz="6" w:space="0" w:color="auto"/>
              <w:right w:val="nil" w:sz="6" w:space="0" w:color="auto"/>
            </w:tcBorders>
          </w:tcPr>
          <w:p>
            <w:pPr>
              <w:pStyle w:val="TableParagraph"/>
              <w:spacing w:line="241" w:lineRule="exact"/>
              <w:ind w:right="50"/>
              <w:jc w:val="right"/>
              <w:rPr>
                <w:rFonts w:ascii="宋体" w:hAnsi="宋体" w:cs="宋体" w:eastAsia="宋体" w:hint="default"/>
                <w:sz w:val="21"/>
                <w:szCs w:val="21"/>
              </w:rPr>
            </w:pPr>
            <w:r>
              <w:rPr>
                <w:rFonts w:ascii="宋体" w:hAnsi="宋体" w:cs="宋体" w:eastAsia="宋体" w:hint="default"/>
                <w:spacing w:val="-1"/>
                <w:sz w:val="21"/>
                <w:szCs w:val="21"/>
              </w:rPr>
              <w:t>公司之子公司</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9"/>
              <w:jc w:val="right"/>
              <w:rPr>
                <w:rFonts w:ascii="Arial" w:hAnsi="Arial" w:cs="Arial" w:eastAsia="Arial" w:hint="default"/>
                <w:sz w:val="21"/>
                <w:szCs w:val="21"/>
              </w:rPr>
            </w:pPr>
            <w:r>
              <w:rPr>
                <w:rFonts w:ascii="Arial"/>
                <w:sz w:val="21"/>
              </w:rPr>
              <w:t>35</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07"/>
              <w:jc w:val="right"/>
              <w:rPr>
                <w:rFonts w:ascii="Arial" w:hAnsi="Arial" w:cs="Arial" w:eastAsia="Arial" w:hint="default"/>
                <w:sz w:val="21"/>
                <w:szCs w:val="21"/>
              </w:rPr>
            </w:pPr>
            <w:r>
              <w:rPr>
                <w:rFonts w:ascii="Arial"/>
                <w:spacing w:val="-1"/>
                <w:sz w:val="21"/>
              </w:rPr>
              <w:t>0.00%</w:t>
            </w:r>
          </w:p>
        </w:tc>
        <w:tc>
          <w:tcPr>
            <w:tcW w:w="1174" w:type="dxa"/>
            <w:tcBorders>
              <w:top w:val="nil" w:sz="6" w:space="0" w:color="auto"/>
              <w:left w:val="nil" w:sz="6" w:space="0" w:color="auto"/>
              <w:bottom w:val="nil" w:sz="6" w:space="0" w:color="auto"/>
              <w:right w:val="nil" w:sz="6" w:space="0" w:color="auto"/>
            </w:tcBorders>
          </w:tcPr>
          <w:p>
            <w:pPr>
              <w:pStyle w:val="TableParagraph"/>
              <w:tabs>
                <w:tab w:pos="677" w:val="left" w:leader="none"/>
              </w:tabs>
              <w:spacing w:line="240" w:lineRule="auto" w:before="24"/>
              <w:ind w:right="114"/>
              <w:jc w:val="right"/>
              <w:rPr>
                <w:rFonts w:ascii="Arial" w:hAnsi="Arial" w:cs="Arial" w:eastAsia="Arial" w:hint="default"/>
                <w:sz w:val="21"/>
                <w:szCs w:val="21"/>
              </w:rPr>
            </w:pPr>
            <w:r>
              <w:rPr>
                <w:rFonts w:ascii="Arial"/>
                <w:sz w:val="21"/>
              </w:rPr>
              <w:t>-</w:t>
              <w:tab/>
              <w:t>-</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9"/>
              <w:jc w:val="right"/>
              <w:rPr>
                <w:rFonts w:ascii="Arial" w:hAnsi="Arial" w:cs="Arial" w:eastAsia="Arial" w:hint="default"/>
                <w:sz w:val="21"/>
                <w:szCs w:val="21"/>
              </w:rPr>
            </w:pPr>
            <w:r>
              <w:rPr>
                <w:rFonts w:ascii="Arial"/>
                <w:w w:val="100"/>
                <w:sz w:val="21"/>
              </w:rPr>
              <w:t>-</w:t>
            </w:r>
          </w:p>
        </w:tc>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2"/>
              <w:jc w:val="right"/>
              <w:rPr>
                <w:rFonts w:ascii="Arial" w:hAnsi="Arial" w:cs="Arial" w:eastAsia="Arial" w:hint="default"/>
                <w:sz w:val="21"/>
                <w:szCs w:val="21"/>
              </w:rPr>
            </w:pPr>
            <w:r>
              <w:rPr>
                <w:rFonts w:ascii="Arial"/>
                <w:w w:val="100"/>
                <w:sz w:val="21"/>
              </w:rPr>
              <w:t>-</w:t>
            </w:r>
          </w:p>
        </w:tc>
      </w:tr>
      <w:tr>
        <w:trPr>
          <w:trHeight w:val="625"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沃德置业</w:t>
            </w:r>
          </w:p>
        </w:tc>
        <w:tc>
          <w:tcPr>
            <w:tcW w:w="1885" w:type="dxa"/>
            <w:tcBorders>
              <w:top w:val="nil" w:sz="6" w:space="0" w:color="auto"/>
              <w:left w:val="nil" w:sz="6" w:space="0" w:color="auto"/>
              <w:bottom w:val="nil" w:sz="6" w:space="0" w:color="auto"/>
              <w:right w:val="nil" w:sz="6" w:space="0" w:color="auto"/>
            </w:tcBorders>
          </w:tcPr>
          <w:p>
            <w:pPr>
              <w:pStyle w:val="TableParagraph"/>
              <w:spacing w:line="272" w:lineRule="exact" w:before="26"/>
              <w:ind w:left="570" w:right="50" w:hanging="490"/>
              <w:jc w:val="left"/>
              <w:rPr>
                <w:rFonts w:ascii="宋体" w:hAnsi="宋体" w:cs="宋体" w:eastAsia="宋体" w:hint="default"/>
                <w:sz w:val="21"/>
                <w:szCs w:val="21"/>
              </w:rPr>
            </w:pPr>
            <w:r>
              <w:rPr>
                <w:rFonts w:ascii="宋体" w:hAnsi="宋体" w:cs="宋体" w:eastAsia="宋体" w:hint="default"/>
                <w:spacing w:val="-2"/>
                <w:sz w:val="21"/>
                <w:szCs w:val="21"/>
              </w:rPr>
              <w:t>本公司关联方</w:t>
            </w:r>
            <w:r>
              <w:rPr>
                <w:rFonts w:ascii="Arial" w:hAnsi="Arial" w:cs="Arial" w:eastAsia="Arial" w:hint="default"/>
                <w:spacing w:val="-2"/>
                <w:sz w:val="21"/>
                <w:szCs w:val="21"/>
              </w:rPr>
              <w:t>-</w:t>
            </w:r>
            <w:r>
              <w:rPr>
                <w:rFonts w:ascii="宋体" w:hAnsi="宋体" w:cs="宋体" w:eastAsia="宋体" w:hint="default"/>
                <w:spacing w:val="-2"/>
                <w:sz w:val="21"/>
                <w:szCs w:val="21"/>
              </w:rPr>
              <w:t>苏宁</w:t>
            </w:r>
            <w:r>
              <w:rPr>
                <w:rFonts w:ascii="宋体" w:hAnsi="宋体" w:cs="宋体" w:eastAsia="宋体" w:hint="default"/>
                <w:spacing w:val="-91"/>
                <w:sz w:val="21"/>
                <w:szCs w:val="21"/>
              </w:rPr>
              <w:t> </w:t>
            </w:r>
            <w:r>
              <w:rPr>
                <w:rFonts w:ascii="宋体" w:hAnsi="宋体" w:cs="宋体" w:eastAsia="宋体" w:hint="default"/>
                <w:spacing w:val="-1"/>
                <w:sz w:val="21"/>
                <w:szCs w:val="21"/>
              </w:rPr>
              <w:t>置业之子公司</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28"/>
                <w:szCs w:val="28"/>
              </w:rPr>
            </w:pPr>
          </w:p>
          <w:p>
            <w:pPr>
              <w:pStyle w:val="TableParagraph"/>
              <w:spacing w:line="240" w:lineRule="auto"/>
              <w:ind w:right="199"/>
              <w:jc w:val="right"/>
              <w:rPr>
                <w:rFonts w:ascii="Arial" w:hAnsi="Arial" w:cs="Arial" w:eastAsia="Arial" w:hint="default"/>
                <w:sz w:val="21"/>
                <w:szCs w:val="21"/>
              </w:rPr>
            </w:pPr>
            <w:r>
              <w:rPr>
                <w:rFonts w:ascii="Arial"/>
                <w:sz w:val="21"/>
              </w:rPr>
              <w:t>27</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28"/>
                <w:szCs w:val="28"/>
              </w:rPr>
            </w:pPr>
          </w:p>
          <w:p>
            <w:pPr>
              <w:pStyle w:val="TableParagraph"/>
              <w:spacing w:line="240" w:lineRule="auto"/>
              <w:ind w:right="307"/>
              <w:jc w:val="right"/>
              <w:rPr>
                <w:rFonts w:ascii="Arial" w:hAnsi="Arial" w:cs="Arial" w:eastAsia="Arial" w:hint="default"/>
                <w:sz w:val="21"/>
                <w:szCs w:val="21"/>
              </w:rPr>
            </w:pPr>
            <w:r>
              <w:rPr>
                <w:rFonts w:ascii="Arial"/>
                <w:spacing w:val="-1"/>
                <w:sz w:val="21"/>
              </w:rPr>
              <w:t>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28"/>
                <w:szCs w:val="28"/>
              </w:rPr>
            </w:pPr>
          </w:p>
          <w:p>
            <w:pPr>
              <w:pStyle w:val="TableParagraph"/>
              <w:tabs>
                <w:tab w:pos="677" w:val="left" w:leader="none"/>
              </w:tabs>
              <w:spacing w:line="240" w:lineRule="auto"/>
              <w:ind w:right="114"/>
              <w:jc w:val="right"/>
              <w:rPr>
                <w:rFonts w:ascii="Arial" w:hAnsi="Arial" w:cs="Arial" w:eastAsia="Arial" w:hint="default"/>
                <w:sz w:val="21"/>
                <w:szCs w:val="21"/>
              </w:rPr>
            </w:pPr>
            <w:r>
              <w:rPr>
                <w:rFonts w:ascii="Arial"/>
                <w:sz w:val="21"/>
              </w:rPr>
              <w:t>-</w:t>
              <w:tab/>
              <w:t>-</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28"/>
                <w:szCs w:val="28"/>
              </w:rPr>
            </w:pPr>
          </w:p>
          <w:p>
            <w:pPr>
              <w:pStyle w:val="TableParagraph"/>
              <w:spacing w:line="240" w:lineRule="auto"/>
              <w:ind w:right="329"/>
              <w:jc w:val="right"/>
              <w:rPr>
                <w:rFonts w:ascii="Arial" w:hAnsi="Arial" w:cs="Arial" w:eastAsia="Arial" w:hint="default"/>
                <w:sz w:val="21"/>
                <w:szCs w:val="21"/>
              </w:rPr>
            </w:pPr>
            <w:r>
              <w:rPr>
                <w:rFonts w:ascii="Arial"/>
                <w:w w:val="100"/>
                <w:sz w:val="21"/>
              </w:rPr>
              <w:t>-</w:t>
            </w:r>
          </w:p>
        </w:tc>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28"/>
                <w:szCs w:val="28"/>
              </w:rPr>
            </w:pPr>
          </w:p>
          <w:p>
            <w:pPr>
              <w:pStyle w:val="TableParagraph"/>
              <w:spacing w:line="240" w:lineRule="auto"/>
              <w:ind w:right="52"/>
              <w:jc w:val="right"/>
              <w:rPr>
                <w:rFonts w:ascii="Arial" w:hAnsi="Arial" w:cs="Arial" w:eastAsia="Arial" w:hint="default"/>
                <w:sz w:val="21"/>
                <w:szCs w:val="21"/>
              </w:rPr>
            </w:pPr>
            <w:r>
              <w:rPr>
                <w:rFonts w:ascii="Arial"/>
                <w:w w:val="100"/>
                <w:sz w:val="21"/>
              </w:rPr>
              <w:t>-</w:t>
            </w:r>
          </w:p>
        </w:tc>
      </w:tr>
      <w:tr>
        <w:trPr>
          <w:trHeight w:val="625"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银河诺富特酒店</w:t>
            </w:r>
          </w:p>
        </w:tc>
        <w:tc>
          <w:tcPr>
            <w:tcW w:w="1885" w:type="dxa"/>
            <w:tcBorders>
              <w:top w:val="nil" w:sz="6" w:space="0" w:color="auto"/>
              <w:left w:val="nil" w:sz="6" w:space="0" w:color="auto"/>
              <w:bottom w:val="nil" w:sz="6" w:space="0" w:color="auto"/>
              <w:right w:val="nil" w:sz="6" w:space="0" w:color="auto"/>
            </w:tcBorders>
          </w:tcPr>
          <w:p>
            <w:pPr>
              <w:pStyle w:val="TableParagraph"/>
              <w:spacing w:line="274" w:lineRule="exact" w:before="23"/>
              <w:ind w:left="570" w:right="50" w:hanging="490"/>
              <w:jc w:val="left"/>
              <w:rPr>
                <w:rFonts w:ascii="宋体" w:hAnsi="宋体" w:cs="宋体" w:eastAsia="宋体" w:hint="default"/>
                <w:sz w:val="21"/>
                <w:szCs w:val="21"/>
              </w:rPr>
            </w:pPr>
            <w:r>
              <w:rPr>
                <w:rFonts w:ascii="宋体" w:hAnsi="宋体" w:cs="宋体" w:eastAsia="宋体" w:hint="default"/>
                <w:spacing w:val="-2"/>
                <w:sz w:val="21"/>
                <w:szCs w:val="21"/>
              </w:rPr>
              <w:t>本公司关联方</w:t>
            </w:r>
            <w:r>
              <w:rPr>
                <w:rFonts w:ascii="Arial" w:hAnsi="Arial" w:cs="Arial" w:eastAsia="Arial" w:hint="default"/>
                <w:spacing w:val="-2"/>
                <w:sz w:val="21"/>
                <w:szCs w:val="21"/>
              </w:rPr>
              <w:t>-</w:t>
            </w:r>
            <w:r>
              <w:rPr>
                <w:rFonts w:ascii="宋体" w:hAnsi="宋体" w:cs="宋体" w:eastAsia="宋体" w:hint="default"/>
                <w:spacing w:val="-2"/>
                <w:sz w:val="21"/>
                <w:szCs w:val="21"/>
              </w:rPr>
              <w:t>苏宁</w:t>
            </w:r>
            <w:r>
              <w:rPr>
                <w:rFonts w:ascii="宋体" w:hAnsi="宋体" w:cs="宋体" w:eastAsia="宋体" w:hint="default"/>
                <w:spacing w:val="-91"/>
                <w:sz w:val="21"/>
                <w:szCs w:val="21"/>
              </w:rPr>
              <w:t> </w:t>
            </w:r>
            <w:r>
              <w:rPr>
                <w:rFonts w:ascii="宋体" w:hAnsi="宋体" w:cs="宋体" w:eastAsia="宋体" w:hint="default"/>
                <w:spacing w:val="-1"/>
                <w:sz w:val="21"/>
                <w:szCs w:val="21"/>
              </w:rPr>
              <w:t>置业之子公司</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28"/>
                <w:szCs w:val="28"/>
              </w:rPr>
            </w:pPr>
          </w:p>
          <w:p>
            <w:pPr>
              <w:pStyle w:val="TableParagraph"/>
              <w:spacing w:line="240" w:lineRule="auto"/>
              <w:ind w:right="199"/>
              <w:jc w:val="right"/>
              <w:rPr>
                <w:rFonts w:ascii="Arial" w:hAnsi="Arial" w:cs="Arial" w:eastAsia="Arial" w:hint="default"/>
                <w:sz w:val="21"/>
                <w:szCs w:val="21"/>
              </w:rPr>
            </w:pPr>
            <w:r>
              <w:rPr>
                <w:rFonts w:ascii="Arial"/>
                <w:sz w:val="21"/>
              </w:rPr>
              <w:t>19</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28"/>
                <w:szCs w:val="28"/>
              </w:rPr>
            </w:pPr>
          </w:p>
          <w:p>
            <w:pPr>
              <w:pStyle w:val="TableParagraph"/>
              <w:spacing w:line="240" w:lineRule="auto"/>
              <w:ind w:right="307"/>
              <w:jc w:val="right"/>
              <w:rPr>
                <w:rFonts w:ascii="Arial" w:hAnsi="Arial" w:cs="Arial" w:eastAsia="Arial" w:hint="default"/>
                <w:sz w:val="21"/>
                <w:szCs w:val="21"/>
              </w:rPr>
            </w:pPr>
            <w:r>
              <w:rPr>
                <w:rFonts w:ascii="Arial"/>
                <w:spacing w:val="-1"/>
                <w:sz w:val="21"/>
              </w:rPr>
              <w:t>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28"/>
                <w:szCs w:val="28"/>
              </w:rPr>
            </w:pPr>
          </w:p>
          <w:p>
            <w:pPr>
              <w:pStyle w:val="TableParagraph"/>
              <w:tabs>
                <w:tab w:pos="677" w:val="left" w:leader="none"/>
              </w:tabs>
              <w:spacing w:line="240" w:lineRule="auto"/>
              <w:ind w:right="114"/>
              <w:jc w:val="right"/>
              <w:rPr>
                <w:rFonts w:ascii="Arial" w:hAnsi="Arial" w:cs="Arial" w:eastAsia="Arial" w:hint="default"/>
                <w:sz w:val="21"/>
                <w:szCs w:val="21"/>
              </w:rPr>
            </w:pPr>
            <w:r>
              <w:rPr>
                <w:rFonts w:ascii="Arial"/>
                <w:sz w:val="21"/>
              </w:rPr>
              <w:t>-</w:t>
              <w:tab/>
              <w:t>-</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28"/>
                <w:szCs w:val="28"/>
              </w:rPr>
            </w:pPr>
          </w:p>
          <w:p>
            <w:pPr>
              <w:pStyle w:val="TableParagraph"/>
              <w:spacing w:line="240" w:lineRule="auto"/>
              <w:ind w:right="329"/>
              <w:jc w:val="right"/>
              <w:rPr>
                <w:rFonts w:ascii="Arial" w:hAnsi="Arial" w:cs="Arial" w:eastAsia="Arial" w:hint="default"/>
                <w:sz w:val="21"/>
                <w:szCs w:val="21"/>
              </w:rPr>
            </w:pPr>
            <w:r>
              <w:rPr>
                <w:rFonts w:ascii="Arial"/>
                <w:w w:val="100"/>
                <w:sz w:val="21"/>
              </w:rPr>
              <w:t>-</w:t>
            </w:r>
          </w:p>
        </w:tc>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28"/>
                <w:szCs w:val="28"/>
              </w:rPr>
            </w:pPr>
          </w:p>
          <w:p>
            <w:pPr>
              <w:pStyle w:val="TableParagraph"/>
              <w:spacing w:line="240" w:lineRule="auto"/>
              <w:ind w:right="52"/>
              <w:jc w:val="right"/>
              <w:rPr>
                <w:rFonts w:ascii="Arial" w:hAnsi="Arial" w:cs="Arial" w:eastAsia="Arial" w:hint="default"/>
                <w:sz w:val="21"/>
                <w:szCs w:val="21"/>
              </w:rPr>
            </w:pPr>
            <w:r>
              <w:rPr>
                <w:rFonts w:ascii="Arial"/>
                <w:w w:val="100"/>
                <w:sz w:val="21"/>
              </w:rPr>
              <w:t>-</w:t>
            </w:r>
          </w:p>
        </w:tc>
      </w:tr>
      <w:tr>
        <w:trPr>
          <w:trHeight w:val="625"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江苏银河物业</w:t>
            </w:r>
          </w:p>
        </w:tc>
        <w:tc>
          <w:tcPr>
            <w:tcW w:w="1885" w:type="dxa"/>
            <w:tcBorders>
              <w:top w:val="nil" w:sz="6" w:space="0" w:color="auto"/>
              <w:left w:val="nil" w:sz="6" w:space="0" w:color="auto"/>
              <w:bottom w:val="nil" w:sz="6" w:space="0" w:color="auto"/>
              <w:right w:val="nil" w:sz="6" w:space="0" w:color="auto"/>
            </w:tcBorders>
          </w:tcPr>
          <w:p>
            <w:pPr>
              <w:pStyle w:val="TableParagraph"/>
              <w:spacing w:line="272" w:lineRule="exact" w:before="26"/>
              <w:ind w:left="570" w:right="50" w:hanging="490"/>
              <w:jc w:val="left"/>
              <w:rPr>
                <w:rFonts w:ascii="宋体" w:hAnsi="宋体" w:cs="宋体" w:eastAsia="宋体" w:hint="default"/>
                <w:sz w:val="21"/>
                <w:szCs w:val="21"/>
              </w:rPr>
            </w:pPr>
            <w:r>
              <w:rPr>
                <w:rFonts w:ascii="宋体" w:hAnsi="宋体" w:cs="宋体" w:eastAsia="宋体" w:hint="default"/>
                <w:spacing w:val="-2"/>
                <w:sz w:val="21"/>
                <w:szCs w:val="21"/>
              </w:rPr>
              <w:t>本公司关联方</w:t>
            </w:r>
            <w:r>
              <w:rPr>
                <w:rFonts w:ascii="Arial" w:hAnsi="Arial" w:cs="Arial" w:eastAsia="Arial" w:hint="default"/>
                <w:spacing w:val="-2"/>
                <w:sz w:val="21"/>
                <w:szCs w:val="21"/>
              </w:rPr>
              <w:t>-</w:t>
            </w:r>
            <w:r>
              <w:rPr>
                <w:rFonts w:ascii="宋体" w:hAnsi="宋体" w:cs="宋体" w:eastAsia="宋体" w:hint="default"/>
                <w:spacing w:val="-2"/>
                <w:sz w:val="21"/>
                <w:szCs w:val="21"/>
              </w:rPr>
              <w:t>苏宁</w:t>
            </w:r>
            <w:r>
              <w:rPr>
                <w:rFonts w:ascii="宋体" w:hAnsi="宋体" w:cs="宋体" w:eastAsia="宋体" w:hint="default"/>
                <w:spacing w:val="-91"/>
                <w:sz w:val="21"/>
                <w:szCs w:val="21"/>
              </w:rPr>
              <w:t> </w:t>
            </w:r>
            <w:r>
              <w:rPr>
                <w:rFonts w:ascii="宋体" w:hAnsi="宋体" w:cs="宋体" w:eastAsia="宋体" w:hint="default"/>
                <w:spacing w:val="-1"/>
                <w:sz w:val="21"/>
                <w:szCs w:val="21"/>
              </w:rPr>
              <w:t>置业之子公司</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8"/>
                <w:szCs w:val="28"/>
              </w:rPr>
            </w:pPr>
          </w:p>
          <w:p>
            <w:pPr>
              <w:pStyle w:val="TableParagraph"/>
              <w:spacing w:line="240" w:lineRule="auto"/>
              <w:ind w:right="199"/>
              <w:jc w:val="right"/>
              <w:rPr>
                <w:rFonts w:ascii="Arial" w:hAnsi="Arial" w:cs="Arial" w:eastAsia="Arial" w:hint="default"/>
                <w:sz w:val="21"/>
                <w:szCs w:val="21"/>
              </w:rPr>
            </w:pPr>
            <w:r>
              <w:rPr>
                <w:rFonts w:ascii="Arial"/>
                <w:sz w:val="21"/>
              </w:rPr>
              <w:t>12</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8"/>
                <w:szCs w:val="28"/>
              </w:rPr>
            </w:pPr>
          </w:p>
          <w:p>
            <w:pPr>
              <w:pStyle w:val="TableParagraph"/>
              <w:spacing w:line="240" w:lineRule="auto"/>
              <w:ind w:right="307"/>
              <w:jc w:val="right"/>
              <w:rPr>
                <w:rFonts w:ascii="Arial" w:hAnsi="Arial" w:cs="Arial" w:eastAsia="Arial" w:hint="default"/>
                <w:sz w:val="21"/>
                <w:szCs w:val="21"/>
              </w:rPr>
            </w:pPr>
            <w:r>
              <w:rPr>
                <w:rFonts w:ascii="Arial"/>
                <w:spacing w:val="-1"/>
                <w:sz w:val="21"/>
              </w:rPr>
              <w:t>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8"/>
                <w:szCs w:val="28"/>
              </w:rPr>
            </w:pPr>
          </w:p>
          <w:p>
            <w:pPr>
              <w:pStyle w:val="TableParagraph"/>
              <w:tabs>
                <w:tab w:pos="677" w:val="left" w:leader="none"/>
              </w:tabs>
              <w:spacing w:line="240" w:lineRule="auto"/>
              <w:ind w:right="114"/>
              <w:jc w:val="right"/>
              <w:rPr>
                <w:rFonts w:ascii="Arial" w:hAnsi="Arial" w:cs="Arial" w:eastAsia="Arial" w:hint="default"/>
                <w:sz w:val="21"/>
                <w:szCs w:val="21"/>
              </w:rPr>
            </w:pPr>
            <w:r>
              <w:rPr>
                <w:rFonts w:ascii="Arial"/>
                <w:sz w:val="21"/>
              </w:rPr>
              <w:t>-</w:t>
              <w:tab/>
              <w:t>-</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8"/>
                <w:szCs w:val="28"/>
              </w:rPr>
            </w:pPr>
          </w:p>
          <w:p>
            <w:pPr>
              <w:pStyle w:val="TableParagraph"/>
              <w:spacing w:line="240" w:lineRule="auto"/>
              <w:ind w:right="329"/>
              <w:jc w:val="right"/>
              <w:rPr>
                <w:rFonts w:ascii="Arial" w:hAnsi="Arial" w:cs="Arial" w:eastAsia="Arial" w:hint="default"/>
                <w:sz w:val="21"/>
                <w:szCs w:val="21"/>
              </w:rPr>
            </w:pPr>
            <w:r>
              <w:rPr>
                <w:rFonts w:ascii="Arial"/>
                <w:w w:val="100"/>
                <w:sz w:val="21"/>
              </w:rPr>
              <w:t>-</w:t>
            </w:r>
          </w:p>
        </w:tc>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8"/>
                <w:szCs w:val="28"/>
              </w:rPr>
            </w:pPr>
          </w:p>
          <w:p>
            <w:pPr>
              <w:pStyle w:val="TableParagraph"/>
              <w:spacing w:line="240" w:lineRule="auto"/>
              <w:ind w:right="52"/>
              <w:jc w:val="right"/>
              <w:rPr>
                <w:rFonts w:ascii="Arial" w:hAnsi="Arial" w:cs="Arial" w:eastAsia="Arial" w:hint="default"/>
                <w:sz w:val="21"/>
                <w:szCs w:val="21"/>
              </w:rPr>
            </w:pPr>
            <w:r>
              <w:rPr>
                <w:rFonts w:ascii="Arial"/>
                <w:w w:val="100"/>
                <w:sz w:val="21"/>
              </w:rPr>
              <w:t>-</w:t>
            </w:r>
          </w:p>
        </w:tc>
      </w:tr>
      <w:tr>
        <w:trPr>
          <w:trHeight w:val="624"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72" w:lineRule="exact" w:before="24"/>
              <w:ind w:left="35" w:right="78"/>
              <w:jc w:val="left"/>
              <w:rPr>
                <w:rFonts w:ascii="宋体" w:hAnsi="宋体" w:cs="宋体" w:eastAsia="宋体" w:hint="default"/>
                <w:sz w:val="21"/>
                <w:szCs w:val="21"/>
              </w:rPr>
            </w:pPr>
            <w:r>
              <w:rPr>
                <w:rFonts w:ascii="宋体" w:hAnsi="宋体" w:cs="宋体" w:eastAsia="宋体" w:hint="default"/>
                <w:spacing w:val="17"/>
                <w:sz w:val="21"/>
                <w:szCs w:val="21"/>
              </w:rPr>
              <w:t>索菲特银河大酒</w:t>
            </w:r>
            <w:r>
              <w:rPr>
                <w:rFonts w:ascii="宋体" w:hAnsi="宋体" w:cs="宋体" w:eastAsia="宋体" w:hint="default"/>
                <w:spacing w:val="-90"/>
                <w:sz w:val="21"/>
                <w:szCs w:val="21"/>
              </w:rPr>
              <w:t> </w:t>
            </w:r>
            <w:r>
              <w:rPr>
                <w:rFonts w:ascii="宋体" w:hAnsi="宋体" w:cs="宋体" w:eastAsia="宋体" w:hint="default"/>
                <w:sz w:val="21"/>
                <w:szCs w:val="21"/>
              </w:rPr>
              <w:t>店</w:t>
            </w:r>
          </w:p>
        </w:tc>
        <w:tc>
          <w:tcPr>
            <w:tcW w:w="1885" w:type="dxa"/>
            <w:tcBorders>
              <w:top w:val="nil" w:sz="6" w:space="0" w:color="auto"/>
              <w:left w:val="nil" w:sz="6" w:space="0" w:color="auto"/>
              <w:bottom w:val="nil" w:sz="6" w:space="0" w:color="auto"/>
              <w:right w:val="nil" w:sz="6" w:space="0" w:color="auto"/>
            </w:tcBorders>
          </w:tcPr>
          <w:p>
            <w:pPr>
              <w:pStyle w:val="TableParagraph"/>
              <w:spacing w:line="272" w:lineRule="exact" w:before="24"/>
              <w:ind w:left="570" w:right="50" w:hanging="490"/>
              <w:jc w:val="left"/>
              <w:rPr>
                <w:rFonts w:ascii="宋体" w:hAnsi="宋体" w:cs="宋体" w:eastAsia="宋体" w:hint="default"/>
                <w:sz w:val="21"/>
                <w:szCs w:val="21"/>
              </w:rPr>
            </w:pPr>
            <w:r>
              <w:rPr>
                <w:rFonts w:ascii="宋体" w:hAnsi="宋体" w:cs="宋体" w:eastAsia="宋体" w:hint="default"/>
                <w:spacing w:val="-2"/>
                <w:sz w:val="21"/>
                <w:szCs w:val="21"/>
              </w:rPr>
              <w:t>本公司关联方</w:t>
            </w:r>
            <w:r>
              <w:rPr>
                <w:rFonts w:ascii="Arial" w:hAnsi="Arial" w:cs="Arial" w:eastAsia="Arial" w:hint="default"/>
                <w:spacing w:val="-2"/>
                <w:sz w:val="21"/>
                <w:szCs w:val="21"/>
              </w:rPr>
              <w:t>-</w:t>
            </w:r>
            <w:r>
              <w:rPr>
                <w:rFonts w:ascii="宋体" w:hAnsi="宋体" w:cs="宋体" w:eastAsia="宋体" w:hint="default"/>
                <w:spacing w:val="-2"/>
                <w:sz w:val="21"/>
                <w:szCs w:val="21"/>
              </w:rPr>
              <w:t>苏宁</w:t>
            </w:r>
            <w:r>
              <w:rPr>
                <w:rFonts w:ascii="宋体" w:hAnsi="宋体" w:cs="宋体" w:eastAsia="宋体" w:hint="default"/>
                <w:spacing w:val="-91"/>
                <w:sz w:val="21"/>
                <w:szCs w:val="21"/>
              </w:rPr>
              <w:t> </w:t>
            </w:r>
            <w:r>
              <w:rPr>
                <w:rFonts w:ascii="宋体" w:hAnsi="宋体" w:cs="宋体" w:eastAsia="宋体" w:hint="default"/>
                <w:spacing w:val="-1"/>
                <w:sz w:val="21"/>
                <w:szCs w:val="21"/>
              </w:rPr>
              <w:t>置业之子公司</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8"/>
                <w:szCs w:val="28"/>
              </w:rPr>
            </w:pPr>
          </w:p>
          <w:p>
            <w:pPr>
              <w:pStyle w:val="TableParagraph"/>
              <w:spacing w:line="240" w:lineRule="auto"/>
              <w:ind w:right="202"/>
              <w:jc w:val="right"/>
              <w:rPr>
                <w:rFonts w:ascii="Arial" w:hAnsi="Arial" w:cs="Arial" w:eastAsia="Arial" w:hint="default"/>
                <w:sz w:val="21"/>
                <w:szCs w:val="21"/>
              </w:rPr>
            </w:pPr>
            <w:r>
              <w:rPr>
                <w:rFonts w:ascii="Arial"/>
                <w:w w:val="100"/>
                <w:sz w:val="21"/>
              </w:rPr>
              <w:t>2</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8"/>
                <w:szCs w:val="28"/>
              </w:rPr>
            </w:pPr>
          </w:p>
          <w:p>
            <w:pPr>
              <w:pStyle w:val="TableParagraph"/>
              <w:spacing w:line="240" w:lineRule="auto"/>
              <w:ind w:right="307"/>
              <w:jc w:val="right"/>
              <w:rPr>
                <w:rFonts w:ascii="Arial" w:hAnsi="Arial" w:cs="Arial" w:eastAsia="Arial" w:hint="default"/>
                <w:sz w:val="21"/>
                <w:szCs w:val="21"/>
              </w:rPr>
            </w:pPr>
            <w:r>
              <w:rPr>
                <w:rFonts w:ascii="Arial"/>
                <w:spacing w:val="-1"/>
                <w:sz w:val="21"/>
              </w:rPr>
              <w:t>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8"/>
                <w:szCs w:val="28"/>
              </w:rPr>
            </w:pPr>
          </w:p>
          <w:p>
            <w:pPr>
              <w:pStyle w:val="TableParagraph"/>
              <w:tabs>
                <w:tab w:pos="677" w:val="left" w:leader="none"/>
              </w:tabs>
              <w:spacing w:line="240" w:lineRule="auto"/>
              <w:ind w:right="114"/>
              <w:jc w:val="right"/>
              <w:rPr>
                <w:rFonts w:ascii="Arial" w:hAnsi="Arial" w:cs="Arial" w:eastAsia="Arial" w:hint="default"/>
                <w:sz w:val="21"/>
                <w:szCs w:val="21"/>
              </w:rPr>
            </w:pPr>
            <w:r>
              <w:rPr>
                <w:rFonts w:ascii="Arial"/>
                <w:sz w:val="21"/>
              </w:rPr>
              <w:t>-</w:t>
              <w:tab/>
              <w:t>-</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8"/>
                <w:szCs w:val="28"/>
              </w:rPr>
            </w:pPr>
          </w:p>
          <w:p>
            <w:pPr>
              <w:pStyle w:val="TableParagraph"/>
              <w:spacing w:line="240" w:lineRule="auto"/>
              <w:ind w:right="329"/>
              <w:jc w:val="right"/>
              <w:rPr>
                <w:rFonts w:ascii="Arial" w:hAnsi="Arial" w:cs="Arial" w:eastAsia="Arial" w:hint="default"/>
                <w:sz w:val="21"/>
                <w:szCs w:val="21"/>
              </w:rPr>
            </w:pPr>
            <w:r>
              <w:rPr>
                <w:rFonts w:ascii="Arial"/>
                <w:w w:val="100"/>
                <w:sz w:val="21"/>
              </w:rPr>
              <w:t>-</w:t>
            </w:r>
          </w:p>
        </w:tc>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8"/>
                <w:szCs w:val="28"/>
              </w:rPr>
            </w:pPr>
          </w:p>
          <w:p>
            <w:pPr>
              <w:pStyle w:val="TableParagraph"/>
              <w:spacing w:line="240" w:lineRule="auto"/>
              <w:ind w:right="52"/>
              <w:jc w:val="right"/>
              <w:rPr>
                <w:rFonts w:ascii="Arial" w:hAnsi="Arial" w:cs="Arial" w:eastAsia="Arial" w:hint="default"/>
                <w:sz w:val="21"/>
                <w:szCs w:val="21"/>
              </w:rPr>
            </w:pPr>
            <w:r>
              <w:rPr>
                <w:rFonts w:ascii="Arial"/>
                <w:w w:val="100"/>
                <w:sz w:val="21"/>
              </w:rPr>
              <w:t>-</w:t>
            </w:r>
          </w:p>
        </w:tc>
      </w:tr>
      <w:tr>
        <w:trPr>
          <w:trHeight w:val="302"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pacing w:val="17"/>
                <w:sz w:val="21"/>
                <w:szCs w:val="21"/>
              </w:rPr>
              <w:t>银河国际购物广</w:t>
            </w:r>
            <w:r>
              <w:rPr>
                <w:rFonts w:ascii="宋体" w:hAnsi="宋体" w:cs="宋体" w:eastAsia="宋体" w:hint="default"/>
                <w:spacing w:val="-84"/>
                <w:sz w:val="21"/>
                <w:szCs w:val="21"/>
              </w:rPr>
              <w:t> </w:t>
            </w:r>
            <w:r>
              <w:rPr>
                <w:rFonts w:ascii="宋体" w:hAnsi="宋体" w:cs="宋体" w:eastAsia="宋体" w:hint="default"/>
                <w:sz w:val="21"/>
                <w:szCs w:val="21"/>
              </w:rPr>
            </w:r>
          </w:p>
        </w:tc>
        <w:tc>
          <w:tcPr>
            <w:tcW w:w="1885" w:type="dxa"/>
            <w:tcBorders>
              <w:top w:val="nil" w:sz="6" w:space="0" w:color="auto"/>
              <w:left w:val="nil" w:sz="6" w:space="0" w:color="auto"/>
              <w:bottom w:val="nil" w:sz="6" w:space="0" w:color="auto"/>
              <w:right w:val="nil" w:sz="6" w:space="0" w:color="auto"/>
            </w:tcBorders>
          </w:tcPr>
          <w:p>
            <w:pPr>
              <w:pStyle w:val="TableParagraph"/>
              <w:spacing w:line="272" w:lineRule="exact"/>
              <w:ind w:right="50"/>
              <w:jc w:val="right"/>
              <w:rPr>
                <w:rFonts w:ascii="宋体" w:hAnsi="宋体" w:cs="宋体" w:eastAsia="宋体" w:hint="default"/>
                <w:sz w:val="21"/>
                <w:szCs w:val="21"/>
              </w:rPr>
            </w:pPr>
            <w:r>
              <w:rPr>
                <w:rFonts w:ascii="宋体" w:hAnsi="宋体" w:cs="宋体" w:eastAsia="宋体" w:hint="default"/>
                <w:spacing w:val="-2"/>
                <w:sz w:val="21"/>
                <w:szCs w:val="21"/>
              </w:rPr>
              <w:t>苏宁电器集团有限</w:t>
            </w:r>
          </w:p>
        </w:tc>
        <w:tc>
          <w:tcPr>
            <w:tcW w:w="886"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
        </w:tc>
        <w:tc>
          <w:tcPr>
            <w:tcW w:w="455" w:type="dxa"/>
            <w:tcBorders>
              <w:top w:val="nil" w:sz="6" w:space="0" w:color="auto"/>
              <w:left w:val="nil" w:sz="6" w:space="0" w:color="auto"/>
              <w:bottom w:val="nil" w:sz="6" w:space="0" w:color="auto"/>
              <w:right w:val="nil" w:sz="6" w:space="0" w:color="auto"/>
            </w:tcBorders>
          </w:tcPr>
          <w:p>
            <w:pPr/>
          </w:p>
        </w:tc>
      </w:tr>
      <w:tr>
        <w:trPr>
          <w:trHeight w:val="320"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w w:val="100"/>
                <w:sz w:val="21"/>
                <w:szCs w:val="21"/>
              </w:rPr>
              <w:t>场</w:t>
            </w:r>
          </w:p>
        </w:tc>
        <w:tc>
          <w:tcPr>
            <w:tcW w:w="1885" w:type="dxa"/>
            <w:tcBorders>
              <w:top w:val="nil" w:sz="6" w:space="0" w:color="auto"/>
              <w:left w:val="nil" w:sz="6" w:space="0" w:color="auto"/>
              <w:bottom w:val="nil" w:sz="6" w:space="0" w:color="auto"/>
              <w:right w:val="nil" w:sz="6" w:space="0" w:color="auto"/>
            </w:tcBorders>
          </w:tcPr>
          <w:p>
            <w:pPr>
              <w:pStyle w:val="TableParagraph"/>
              <w:spacing w:line="241" w:lineRule="exact"/>
              <w:ind w:right="50"/>
              <w:jc w:val="right"/>
              <w:rPr>
                <w:rFonts w:ascii="宋体" w:hAnsi="宋体" w:cs="宋体" w:eastAsia="宋体" w:hint="default"/>
                <w:sz w:val="21"/>
                <w:szCs w:val="21"/>
              </w:rPr>
            </w:pPr>
            <w:r>
              <w:rPr>
                <w:rFonts w:ascii="宋体" w:hAnsi="宋体" w:cs="宋体" w:eastAsia="宋体" w:hint="default"/>
                <w:spacing w:val="-1"/>
                <w:sz w:val="21"/>
                <w:szCs w:val="21"/>
              </w:rPr>
              <w:t>公司之子公司</w:t>
            </w:r>
          </w:p>
        </w:tc>
        <w:tc>
          <w:tcPr>
            <w:tcW w:w="88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01"/>
              <w:jc w:val="right"/>
              <w:rPr>
                <w:rFonts w:ascii="Arial" w:hAnsi="Arial" w:cs="Arial" w:eastAsia="Arial" w:hint="default"/>
                <w:sz w:val="21"/>
                <w:szCs w:val="21"/>
              </w:rPr>
            </w:pPr>
            <w:r>
              <w:rPr>
                <w:rFonts w:ascii="Arial"/>
                <w:w w:val="100"/>
                <w:sz w:val="21"/>
              </w:rPr>
              <w:t>-</w:t>
            </w:r>
          </w:p>
        </w:tc>
        <w:tc>
          <w:tcPr>
            <w:tcW w:w="1109"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309"/>
              <w:jc w:val="right"/>
              <w:rPr>
                <w:rFonts w:ascii="Arial" w:hAnsi="Arial" w:cs="Arial" w:eastAsia="Arial" w:hint="default"/>
                <w:sz w:val="21"/>
                <w:szCs w:val="21"/>
              </w:rPr>
            </w:pPr>
            <w:r>
              <w:rPr>
                <w:rFonts w:ascii="Arial"/>
                <w:w w:val="100"/>
                <w:sz w:val="21"/>
              </w:rPr>
              <w:t>-</w:t>
            </w:r>
          </w:p>
        </w:tc>
        <w:tc>
          <w:tcPr>
            <w:tcW w:w="1174" w:type="dxa"/>
            <w:tcBorders>
              <w:top w:val="nil" w:sz="6" w:space="0" w:color="auto"/>
              <w:left w:val="nil" w:sz="6" w:space="0" w:color="auto"/>
              <w:bottom w:val="single" w:sz="4" w:space="0" w:color="000000"/>
              <w:right w:val="nil" w:sz="6" w:space="0" w:color="auto"/>
            </w:tcBorders>
          </w:tcPr>
          <w:p>
            <w:pPr>
              <w:pStyle w:val="TableParagraph"/>
              <w:tabs>
                <w:tab w:pos="395" w:val="left" w:leader="none"/>
              </w:tabs>
              <w:spacing w:line="240" w:lineRule="auto" w:before="26"/>
              <w:ind w:right="113"/>
              <w:jc w:val="right"/>
              <w:rPr>
                <w:rFonts w:ascii="Arial" w:hAnsi="Arial" w:cs="Arial" w:eastAsia="Arial" w:hint="default"/>
                <w:sz w:val="21"/>
                <w:szCs w:val="21"/>
              </w:rPr>
            </w:pPr>
            <w:r>
              <w:rPr>
                <w:rFonts w:ascii="Arial"/>
                <w:sz w:val="21"/>
              </w:rPr>
              <w:t>-</w:t>
              <w:tab/>
              <w:t>194</w:t>
            </w:r>
          </w:p>
        </w:tc>
        <w:tc>
          <w:tcPr>
            <w:tcW w:w="1161"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327"/>
              <w:jc w:val="right"/>
              <w:rPr>
                <w:rFonts w:ascii="Arial" w:hAnsi="Arial" w:cs="Arial" w:eastAsia="Arial" w:hint="default"/>
                <w:sz w:val="21"/>
                <w:szCs w:val="21"/>
              </w:rPr>
            </w:pPr>
            <w:r>
              <w:rPr>
                <w:rFonts w:ascii="Arial"/>
                <w:spacing w:val="-1"/>
                <w:sz w:val="21"/>
              </w:rPr>
              <w:t>0.002%</w:t>
            </w:r>
          </w:p>
        </w:tc>
        <w:tc>
          <w:tcPr>
            <w:tcW w:w="455"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52"/>
              <w:jc w:val="right"/>
              <w:rPr>
                <w:rFonts w:ascii="Arial" w:hAnsi="Arial" w:cs="Arial" w:eastAsia="Arial" w:hint="default"/>
                <w:sz w:val="21"/>
                <w:szCs w:val="21"/>
              </w:rPr>
            </w:pPr>
            <w:r>
              <w:rPr>
                <w:rFonts w:ascii="Arial"/>
                <w:w w:val="100"/>
                <w:sz w:val="21"/>
              </w:rPr>
              <w:t>-</w:t>
            </w:r>
          </w:p>
        </w:tc>
      </w:tr>
      <w:tr>
        <w:trPr>
          <w:trHeight w:val="341" w:hRule="exact"/>
        </w:trPr>
        <w:tc>
          <w:tcPr>
            <w:tcW w:w="1745"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
        </w:tc>
        <w:tc>
          <w:tcPr>
            <w:tcW w:w="886"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200"/>
              <w:jc w:val="right"/>
              <w:rPr>
                <w:rFonts w:ascii="Arial" w:hAnsi="Arial" w:cs="Arial" w:eastAsia="Arial" w:hint="default"/>
                <w:sz w:val="21"/>
                <w:szCs w:val="21"/>
              </w:rPr>
            </w:pPr>
            <w:r>
              <w:rPr>
                <w:rFonts w:ascii="Arial"/>
                <w:spacing w:val="-1"/>
                <w:sz w:val="21"/>
              </w:rPr>
              <w:t>2,526</w:t>
            </w:r>
          </w:p>
        </w:tc>
        <w:tc>
          <w:tcPr>
            <w:tcW w:w="1109"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307"/>
              <w:jc w:val="right"/>
              <w:rPr>
                <w:rFonts w:ascii="Arial" w:hAnsi="Arial" w:cs="Arial" w:eastAsia="Arial" w:hint="default"/>
                <w:sz w:val="21"/>
                <w:szCs w:val="21"/>
              </w:rPr>
            </w:pPr>
            <w:r>
              <w:rPr>
                <w:rFonts w:ascii="Arial"/>
                <w:spacing w:val="-1"/>
                <w:sz w:val="21"/>
              </w:rPr>
              <w:t>0.02%</w:t>
            </w:r>
          </w:p>
        </w:tc>
        <w:tc>
          <w:tcPr>
            <w:tcW w:w="1174" w:type="dxa"/>
            <w:tcBorders>
              <w:top w:val="single" w:sz="4" w:space="0" w:color="000000"/>
              <w:left w:val="nil" w:sz="6" w:space="0" w:color="auto"/>
              <w:bottom w:val="single" w:sz="12" w:space="0" w:color="000000"/>
              <w:right w:val="nil" w:sz="6" w:space="0" w:color="auto"/>
            </w:tcBorders>
          </w:tcPr>
          <w:p>
            <w:pPr>
              <w:pStyle w:val="TableParagraph"/>
              <w:tabs>
                <w:tab w:pos="395" w:val="left" w:leader="none"/>
              </w:tabs>
              <w:spacing w:line="240" w:lineRule="auto" w:before="33"/>
              <w:ind w:right="113"/>
              <w:jc w:val="right"/>
              <w:rPr>
                <w:rFonts w:ascii="Arial" w:hAnsi="Arial" w:cs="Arial" w:eastAsia="Arial" w:hint="default"/>
                <w:sz w:val="21"/>
                <w:szCs w:val="21"/>
              </w:rPr>
            </w:pPr>
            <w:r>
              <w:rPr>
                <w:rFonts w:ascii="Arial"/>
                <w:sz w:val="21"/>
              </w:rPr>
              <w:t>-</w:t>
              <w:tab/>
              <w:t>194</w:t>
            </w:r>
          </w:p>
        </w:tc>
        <w:tc>
          <w:tcPr>
            <w:tcW w:w="1161"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327"/>
              <w:jc w:val="right"/>
              <w:rPr>
                <w:rFonts w:ascii="Arial" w:hAnsi="Arial" w:cs="Arial" w:eastAsia="Arial" w:hint="default"/>
                <w:sz w:val="21"/>
                <w:szCs w:val="21"/>
              </w:rPr>
            </w:pPr>
            <w:r>
              <w:rPr>
                <w:rFonts w:ascii="Arial"/>
                <w:spacing w:val="-1"/>
                <w:sz w:val="21"/>
              </w:rPr>
              <w:t>0.002%</w:t>
            </w:r>
          </w:p>
        </w:tc>
        <w:tc>
          <w:tcPr>
            <w:tcW w:w="455"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52"/>
              <w:jc w:val="right"/>
              <w:rPr>
                <w:rFonts w:ascii="Arial" w:hAnsi="Arial" w:cs="Arial" w:eastAsia="Arial" w:hint="default"/>
                <w:sz w:val="21"/>
                <w:szCs w:val="21"/>
              </w:rPr>
            </w:pPr>
            <w:r>
              <w:rPr>
                <w:rFonts w:ascii="Arial"/>
                <w:w w:val="100"/>
                <w:sz w:val="21"/>
              </w:rPr>
              <w:t>-</w:t>
            </w:r>
          </w:p>
        </w:tc>
      </w:tr>
    </w:tbl>
    <w:p>
      <w:pPr>
        <w:spacing w:after="0" w:line="240" w:lineRule="auto"/>
        <w:jc w:val="right"/>
        <w:rPr>
          <w:rFonts w:ascii="Arial" w:hAnsi="Arial" w:cs="Arial" w:eastAsia="Arial" w:hint="default"/>
          <w:sz w:val="21"/>
          <w:szCs w:val="21"/>
        </w:rPr>
        <w:sectPr>
          <w:type w:val="continuous"/>
          <w:pgSz w:w="11910" w:h="16850"/>
          <w:pgMar w:top="1060" w:bottom="1540" w:left="156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96"/>
        <w:gridCol w:w="3515"/>
        <w:gridCol w:w="2456"/>
        <w:gridCol w:w="221"/>
        <w:gridCol w:w="2295"/>
      </w:tblGrid>
      <w:tr>
        <w:trPr>
          <w:trHeight w:val="497"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十五</w:t>
            </w:r>
          </w:p>
        </w:tc>
        <w:tc>
          <w:tcPr>
            <w:tcW w:w="3515" w:type="dxa"/>
            <w:tcBorders>
              <w:top w:val="nil" w:sz="6" w:space="0" w:color="auto"/>
              <w:left w:val="nil" w:sz="6" w:space="0" w:color="auto"/>
              <w:bottom w:val="nil" w:sz="6" w:space="0" w:color="auto"/>
              <w:right w:val="nil" w:sz="6" w:space="0" w:color="auto"/>
            </w:tcBorders>
          </w:tcPr>
          <w:p>
            <w:pPr>
              <w:pStyle w:val="TableParagraph"/>
              <w:spacing w:line="257" w:lineRule="exact"/>
              <w:ind w:left="116"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56"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nil" w:sz="6" w:space="0" w:color="auto"/>
              <w:right w:val="nil" w:sz="6" w:space="0" w:color="auto"/>
            </w:tcBorders>
          </w:tcPr>
          <w:p>
            <w:pPr/>
          </w:p>
        </w:tc>
      </w:tr>
      <w:tr>
        <w:trPr>
          <w:trHeight w:val="745"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(2)</w:t>
            </w:r>
          </w:p>
        </w:tc>
        <w:tc>
          <w:tcPr>
            <w:tcW w:w="3515"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16" w:right="0"/>
              <w:jc w:val="left"/>
              <w:rPr>
                <w:rFonts w:ascii="黑体" w:hAnsi="黑体" w:cs="黑体" w:eastAsia="黑体" w:hint="default"/>
                <w:sz w:val="24"/>
                <w:szCs w:val="24"/>
              </w:rPr>
            </w:pPr>
            <w:r>
              <w:rPr>
                <w:rFonts w:ascii="黑体" w:hAnsi="黑体" w:cs="黑体" w:eastAsia="黑体" w:hint="default"/>
                <w:sz w:val="24"/>
                <w:szCs w:val="24"/>
              </w:rPr>
              <w:t>其他应收款</w:t>
            </w:r>
          </w:p>
        </w:tc>
        <w:tc>
          <w:tcPr>
            <w:tcW w:w="2456"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nil" w:sz="6" w:space="0" w:color="auto"/>
              <w:right w:val="nil" w:sz="6" w:space="0" w:color="auto"/>
            </w:tcBorders>
          </w:tcPr>
          <w:p>
            <w:pPr/>
          </w:p>
        </w:tc>
      </w:tr>
      <w:tr>
        <w:trPr>
          <w:trHeight w:val="752" w:hRule="exact"/>
        </w:trPr>
        <w:tc>
          <w:tcPr>
            <w:tcW w:w="796" w:type="dxa"/>
            <w:tcBorders>
              <w:top w:val="nil" w:sz="6" w:space="0" w:color="auto"/>
              <w:left w:val="nil" w:sz="6" w:space="0" w:color="auto"/>
              <w:bottom w:val="nil" w:sz="6" w:space="0" w:color="auto"/>
              <w:right w:val="nil" w:sz="6" w:space="0" w:color="auto"/>
            </w:tcBorders>
          </w:tcPr>
          <w:p>
            <w:pPr/>
          </w:p>
        </w:tc>
        <w:tc>
          <w:tcPr>
            <w:tcW w:w="3515"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0"/>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21"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0"/>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78" w:hRule="exact"/>
        </w:trPr>
        <w:tc>
          <w:tcPr>
            <w:tcW w:w="796" w:type="dxa"/>
            <w:tcBorders>
              <w:top w:val="nil" w:sz="6" w:space="0" w:color="auto"/>
              <w:left w:val="nil" w:sz="6" w:space="0" w:color="auto"/>
              <w:bottom w:val="nil" w:sz="6" w:space="0" w:color="auto"/>
              <w:right w:val="nil" w:sz="6" w:space="0" w:color="auto"/>
            </w:tcBorders>
          </w:tcPr>
          <w:p>
            <w:pPr/>
          </w:p>
        </w:tc>
        <w:tc>
          <w:tcPr>
            <w:tcW w:w="3515"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16" w:right="0"/>
              <w:jc w:val="left"/>
              <w:rPr>
                <w:rFonts w:ascii="宋体" w:hAnsi="宋体" w:cs="宋体" w:eastAsia="宋体" w:hint="default"/>
                <w:sz w:val="24"/>
                <w:szCs w:val="24"/>
              </w:rPr>
            </w:pPr>
            <w:r>
              <w:rPr>
                <w:rFonts w:ascii="宋体" w:hAnsi="宋体" w:cs="宋体" w:eastAsia="宋体" w:hint="default"/>
                <w:sz w:val="24"/>
                <w:szCs w:val="24"/>
              </w:rPr>
              <w:t>集团内部往来款项</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2"/>
              <w:jc w:val="right"/>
              <w:rPr>
                <w:rFonts w:ascii="Arial" w:hAnsi="Arial" w:cs="Arial" w:eastAsia="Arial" w:hint="default"/>
                <w:sz w:val="24"/>
                <w:szCs w:val="24"/>
              </w:rPr>
            </w:pPr>
            <w:r>
              <w:rPr>
                <w:rFonts w:ascii="Arial"/>
                <w:spacing w:val="-1"/>
                <w:sz w:val="24"/>
              </w:rPr>
              <w:t>43,086</w:t>
            </w:r>
          </w:p>
        </w:tc>
        <w:tc>
          <w:tcPr>
            <w:tcW w:w="221"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7"/>
              <w:jc w:val="right"/>
              <w:rPr>
                <w:rFonts w:ascii="Arial" w:hAnsi="Arial" w:cs="Arial" w:eastAsia="Arial" w:hint="default"/>
                <w:sz w:val="24"/>
                <w:szCs w:val="24"/>
              </w:rPr>
            </w:pPr>
            <w:r>
              <w:rPr>
                <w:rFonts w:ascii="Arial"/>
                <w:spacing w:val="-3"/>
                <w:sz w:val="24"/>
              </w:rPr>
              <w:t>2,110,772</w:t>
            </w:r>
          </w:p>
        </w:tc>
      </w:tr>
      <w:tr>
        <w:trPr>
          <w:trHeight w:val="392" w:hRule="exact"/>
        </w:trPr>
        <w:tc>
          <w:tcPr>
            <w:tcW w:w="796" w:type="dxa"/>
            <w:tcBorders>
              <w:top w:val="nil" w:sz="6" w:space="0" w:color="auto"/>
              <w:left w:val="nil" w:sz="6" w:space="0" w:color="auto"/>
              <w:bottom w:val="nil" w:sz="6" w:space="0" w:color="auto"/>
              <w:right w:val="nil" w:sz="6" w:space="0" w:color="auto"/>
            </w:tcBorders>
          </w:tcPr>
          <w:p>
            <w:pPr/>
          </w:p>
        </w:tc>
        <w:tc>
          <w:tcPr>
            <w:tcW w:w="3515" w:type="dxa"/>
            <w:tcBorders>
              <w:top w:val="nil" w:sz="6" w:space="0" w:color="auto"/>
              <w:left w:val="nil" w:sz="6" w:space="0" w:color="auto"/>
              <w:bottom w:val="nil" w:sz="6" w:space="0" w:color="auto"/>
              <w:right w:val="nil" w:sz="6" w:space="0" w:color="auto"/>
            </w:tcBorders>
          </w:tcPr>
          <w:p>
            <w:pPr>
              <w:pStyle w:val="TableParagraph"/>
              <w:spacing w:line="302" w:lineRule="exact"/>
              <w:ind w:left="116" w:right="0"/>
              <w:jc w:val="left"/>
              <w:rPr>
                <w:rFonts w:ascii="宋体" w:hAnsi="宋体" w:cs="宋体" w:eastAsia="宋体" w:hint="default"/>
                <w:sz w:val="24"/>
                <w:szCs w:val="24"/>
              </w:rPr>
            </w:pPr>
            <w:r>
              <w:rPr>
                <w:rFonts w:ascii="宋体" w:hAnsi="宋体" w:cs="宋体" w:eastAsia="宋体" w:hint="default"/>
                <w:sz w:val="24"/>
                <w:szCs w:val="24"/>
              </w:rPr>
              <w:t>押金及保证金</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1"/>
              <w:jc w:val="right"/>
              <w:rPr>
                <w:rFonts w:ascii="Arial" w:hAnsi="Arial" w:cs="Arial" w:eastAsia="Arial" w:hint="default"/>
                <w:sz w:val="24"/>
                <w:szCs w:val="24"/>
              </w:rPr>
            </w:pPr>
            <w:r>
              <w:rPr>
                <w:rFonts w:ascii="Arial"/>
                <w:spacing w:val="-1"/>
                <w:sz w:val="24"/>
              </w:rPr>
              <w:t>9,189</w:t>
            </w:r>
          </w:p>
        </w:tc>
        <w:tc>
          <w:tcPr>
            <w:tcW w:w="221"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6"/>
              <w:jc w:val="right"/>
              <w:rPr>
                <w:rFonts w:ascii="Arial" w:hAnsi="Arial" w:cs="Arial" w:eastAsia="Arial" w:hint="default"/>
                <w:sz w:val="24"/>
                <w:szCs w:val="24"/>
              </w:rPr>
            </w:pPr>
            <w:r>
              <w:rPr>
                <w:rFonts w:ascii="Arial"/>
                <w:spacing w:val="-1"/>
                <w:sz w:val="24"/>
              </w:rPr>
              <w:t>29,736</w:t>
            </w:r>
          </w:p>
        </w:tc>
      </w:tr>
      <w:tr>
        <w:trPr>
          <w:trHeight w:val="391" w:hRule="exact"/>
        </w:trPr>
        <w:tc>
          <w:tcPr>
            <w:tcW w:w="796" w:type="dxa"/>
            <w:tcBorders>
              <w:top w:val="nil" w:sz="6" w:space="0" w:color="auto"/>
              <w:left w:val="nil" w:sz="6" w:space="0" w:color="auto"/>
              <w:bottom w:val="nil" w:sz="6" w:space="0" w:color="auto"/>
              <w:right w:val="nil" w:sz="6" w:space="0" w:color="auto"/>
            </w:tcBorders>
          </w:tcPr>
          <w:p>
            <w:pPr/>
          </w:p>
        </w:tc>
        <w:tc>
          <w:tcPr>
            <w:tcW w:w="3515" w:type="dxa"/>
            <w:tcBorders>
              <w:top w:val="nil" w:sz="6" w:space="0" w:color="auto"/>
              <w:left w:val="nil" w:sz="6" w:space="0" w:color="auto"/>
              <w:bottom w:val="nil" w:sz="6" w:space="0" w:color="auto"/>
              <w:right w:val="nil" w:sz="6" w:space="0" w:color="auto"/>
            </w:tcBorders>
          </w:tcPr>
          <w:p>
            <w:pPr>
              <w:pStyle w:val="TableParagraph"/>
              <w:spacing w:line="301" w:lineRule="exact"/>
              <w:ind w:left="116" w:right="0"/>
              <w:jc w:val="left"/>
              <w:rPr>
                <w:rFonts w:ascii="宋体" w:hAnsi="宋体" w:cs="宋体" w:eastAsia="宋体" w:hint="default"/>
                <w:sz w:val="24"/>
                <w:szCs w:val="24"/>
              </w:rPr>
            </w:pPr>
            <w:r>
              <w:rPr>
                <w:rFonts w:ascii="宋体" w:hAnsi="宋体" w:cs="宋体" w:eastAsia="宋体" w:hint="default"/>
                <w:sz w:val="24"/>
                <w:szCs w:val="24"/>
              </w:rPr>
              <w:t>员工借款</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1"/>
              <w:jc w:val="right"/>
              <w:rPr>
                <w:rFonts w:ascii="Arial" w:hAnsi="Arial" w:cs="Arial" w:eastAsia="Arial" w:hint="default"/>
                <w:sz w:val="24"/>
                <w:szCs w:val="24"/>
              </w:rPr>
            </w:pPr>
            <w:r>
              <w:rPr>
                <w:rFonts w:ascii="Arial"/>
                <w:spacing w:val="-4"/>
                <w:sz w:val="24"/>
              </w:rPr>
              <w:t>11,464</w:t>
            </w:r>
          </w:p>
        </w:tc>
        <w:tc>
          <w:tcPr>
            <w:tcW w:w="221"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6"/>
              <w:jc w:val="right"/>
              <w:rPr>
                <w:rFonts w:ascii="Arial" w:hAnsi="Arial" w:cs="Arial" w:eastAsia="Arial" w:hint="default"/>
                <w:sz w:val="24"/>
                <w:szCs w:val="24"/>
              </w:rPr>
            </w:pPr>
            <w:r>
              <w:rPr>
                <w:rFonts w:ascii="Arial"/>
                <w:spacing w:val="-1"/>
                <w:sz w:val="24"/>
              </w:rPr>
              <w:t>6,541</w:t>
            </w:r>
          </w:p>
        </w:tc>
      </w:tr>
      <w:tr>
        <w:trPr>
          <w:trHeight w:val="383" w:hRule="exact"/>
        </w:trPr>
        <w:tc>
          <w:tcPr>
            <w:tcW w:w="796" w:type="dxa"/>
            <w:tcBorders>
              <w:top w:val="nil" w:sz="6" w:space="0" w:color="auto"/>
              <w:left w:val="nil" w:sz="6" w:space="0" w:color="auto"/>
              <w:bottom w:val="nil" w:sz="6" w:space="0" w:color="auto"/>
              <w:right w:val="nil" w:sz="6" w:space="0" w:color="auto"/>
            </w:tcBorders>
          </w:tcPr>
          <w:p>
            <w:pPr/>
          </w:p>
        </w:tc>
        <w:tc>
          <w:tcPr>
            <w:tcW w:w="3515" w:type="dxa"/>
            <w:tcBorders>
              <w:top w:val="nil" w:sz="6" w:space="0" w:color="auto"/>
              <w:left w:val="nil" w:sz="6" w:space="0" w:color="auto"/>
              <w:bottom w:val="nil" w:sz="6" w:space="0" w:color="auto"/>
              <w:right w:val="nil" w:sz="6" w:space="0" w:color="auto"/>
            </w:tcBorders>
          </w:tcPr>
          <w:p>
            <w:pPr>
              <w:pStyle w:val="TableParagraph"/>
              <w:spacing w:line="301" w:lineRule="exact"/>
              <w:ind w:left="116" w:right="0"/>
              <w:jc w:val="left"/>
              <w:rPr>
                <w:rFonts w:ascii="宋体" w:hAnsi="宋体" w:cs="宋体" w:eastAsia="宋体" w:hint="default"/>
                <w:sz w:val="24"/>
                <w:szCs w:val="24"/>
              </w:rPr>
            </w:pPr>
            <w:r>
              <w:rPr>
                <w:rFonts w:ascii="宋体" w:hAnsi="宋体" w:cs="宋体" w:eastAsia="宋体" w:hint="default"/>
                <w:sz w:val="24"/>
                <w:szCs w:val="24"/>
              </w:rPr>
              <w:t>其它</w:t>
            </w:r>
          </w:p>
        </w:tc>
        <w:tc>
          <w:tcPr>
            <w:tcW w:w="245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20"/>
              <w:jc w:val="right"/>
              <w:rPr>
                <w:rFonts w:ascii="Arial" w:hAnsi="Arial" w:cs="Arial" w:eastAsia="Arial" w:hint="default"/>
                <w:sz w:val="24"/>
                <w:szCs w:val="24"/>
              </w:rPr>
            </w:pPr>
            <w:r>
              <w:rPr>
                <w:rFonts w:ascii="Arial"/>
                <w:spacing w:val="-1"/>
                <w:sz w:val="24"/>
              </w:rPr>
              <w:t>66,550</w:t>
            </w:r>
          </w:p>
        </w:tc>
        <w:tc>
          <w:tcPr>
            <w:tcW w:w="221"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23"/>
              <w:jc w:val="right"/>
              <w:rPr>
                <w:rFonts w:ascii="Arial" w:hAnsi="Arial" w:cs="Arial" w:eastAsia="Arial" w:hint="default"/>
                <w:sz w:val="24"/>
                <w:szCs w:val="24"/>
              </w:rPr>
            </w:pPr>
            <w:r>
              <w:rPr>
                <w:rFonts w:ascii="Arial"/>
                <w:w w:val="95"/>
                <w:sz w:val="24"/>
              </w:rPr>
              <w:t>68,885</w:t>
            </w:r>
            <w:r>
              <w:rPr>
                <w:rFonts w:ascii="Arial"/>
                <w:sz w:val="24"/>
              </w:rPr>
            </w:r>
          </w:p>
        </w:tc>
      </w:tr>
      <w:tr>
        <w:trPr>
          <w:trHeight w:val="553" w:hRule="exact"/>
        </w:trPr>
        <w:tc>
          <w:tcPr>
            <w:tcW w:w="796" w:type="dxa"/>
            <w:tcBorders>
              <w:top w:val="nil" w:sz="6" w:space="0" w:color="auto"/>
              <w:left w:val="nil" w:sz="6" w:space="0" w:color="auto"/>
              <w:bottom w:val="nil" w:sz="6" w:space="0" w:color="auto"/>
              <w:right w:val="nil" w:sz="6" w:space="0" w:color="auto"/>
            </w:tcBorders>
          </w:tcPr>
          <w:p>
            <w:pPr/>
          </w:p>
        </w:tc>
        <w:tc>
          <w:tcPr>
            <w:tcW w:w="3515" w:type="dxa"/>
            <w:tcBorders>
              <w:top w:val="nil" w:sz="6" w:space="0" w:color="auto"/>
              <w:left w:val="nil" w:sz="6" w:space="0" w:color="auto"/>
              <w:bottom w:val="nil" w:sz="6" w:space="0" w:color="auto"/>
              <w:right w:val="nil" w:sz="6" w:space="0" w:color="auto"/>
            </w:tcBorders>
          </w:tcPr>
          <w:p>
            <w:pPr/>
          </w:p>
        </w:tc>
        <w:tc>
          <w:tcPr>
            <w:tcW w:w="2456"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22"/>
              <w:jc w:val="right"/>
              <w:rPr>
                <w:rFonts w:ascii="Arial" w:hAnsi="Arial" w:cs="Arial" w:eastAsia="Arial" w:hint="default"/>
                <w:sz w:val="24"/>
                <w:szCs w:val="24"/>
              </w:rPr>
            </w:pPr>
            <w:r>
              <w:rPr>
                <w:rFonts w:ascii="Arial"/>
                <w:spacing w:val="-1"/>
                <w:sz w:val="24"/>
              </w:rPr>
              <w:t>130,289</w:t>
            </w:r>
          </w:p>
        </w:tc>
        <w:tc>
          <w:tcPr>
            <w:tcW w:w="221" w:type="dxa"/>
            <w:tcBorders>
              <w:top w:val="nil" w:sz="6" w:space="0" w:color="auto"/>
              <w:left w:val="nil" w:sz="6" w:space="0" w:color="auto"/>
              <w:bottom w:val="nil" w:sz="6" w:space="0" w:color="auto"/>
              <w:right w:val="nil" w:sz="6" w:space="0" w:color="auto"/>
            </w:tcBorders>
          </w:tcPr>
          <w:p>
            <w:pPr/>
          </w:p>
        </w:tc>
        <w:tc>
          <w:tcPr>
            <w:tcW w:w="2295"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26"/>
              <w:jc w:val="right"/>
              <w:rPr>
                <w:rFonts w:ascii="Arial" w:hAnsi="Arial" w:cs="Arial" w:eastAsia="Arial" w:hint="default"/>
                <w:sz w:val="24"/>
                <w:szCs w:val="24"/>
              </w:rPr>
            </w:pPr>
            <w:r>
              <w:rPr>
                <w:rFonts w:ascii="Arial"/>
                <w:spacing w:val="-1"/>
                <w:sz w:val="24"/>
              </w:rPr>
              <w:t>2,215,934</w:t>
            </w:r>
          </w:p>
        </w:tc>
      </w:tr>
      <w:tr>
        <w:trPr>
          <w:trHeight w:val="560" w:hRule="exact"/>
        </w:trPr>
        <w:tc>
          <w:tcPr>
            <w:tcW w:w="796" w:type="dxa"/>
            <w:tcBorders>
              <w:top w:val="nil" w:sz="6" w:space="0" w:color="auto"/>
              <w:left w:val="nil" w:sz="6" w:space="0" w:color="auto"/>
              <w:bottom w:val="nil" w:sz="6" w:space="0" w:color="auto"/>
              <w:right w:val="nil" w:sz="6" w:space="0" w:color="auto"/>
            </w:tcBorders>
          </w:tcPr>
          <w:p>
            <w:pPr/>
          </w:p>
        </w:tc>
        <w:tc>
          <w:tcPr>
            <w:tcW w:w="3515"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16"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245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Arial" w:hAnsi="Arial" w:cs="Arial" w:eastAsia="Arial" w:hint="default"/>
                <w:sz w:val="24"/>
                <w:szCs w:val="24"/>
              </w:rPr>
            </w:pPr>
            <w:r>
              <w:rPr>
                <w:rFonts w:ascii="Arial"/>
                <w:sz w:val="24"/>
              </w:rPr>
              <w:t>(8,065)</w:t>
            </w:r>
          </w:p>
        </w:tc>
        <w:tc>
          <w:tcPr>
            <w:tcW w:w="221"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Arial" w:hAnsi="Arial" w:cs="Arial" w:eastAsia="Arial" w:hint="default"/>
                <w:sz w:val="24"/>
                <w:szCs w:val="24"/>
              </w:rPr>
            </w:pPr>
            <w:r>
              <w:rPr>
                <w:rFonts w:ascii="Arial"/>
                <w:w w:val="95"/>
                <w:sz w:val="24"/>
              </w:rPr>
              <w:t>(12,819)</w:t>
            </w:r>
            <w:r>
              <w:rPr>
                <w:rFonts w:ascii="Arial"/>
                <w:sz w:val="24"/>
              </w:rPr>
            </w:r>
          </w:p>
        </w:tc>
      </w:tr>
      <w:tr>
        <w:trPr>
          <w:trHeight w:val="377" w:hRule="exact"/>
        </w:trPr>
        <w:tc>
          <w:tcPr>
            <w:tcW w:w="796" w:type="dxa"/>
            <w:tcBorders>
              <w:top w:val="nil" w:sz="6" w:space="0" w:color="auto"/>
              <w:left w:val="nil" w:sz="6" w:space="0" w:color="auto"/>
              <w:bottom w:val="nil" w:sz="6" w:space="0" w:color="auto"/>
              <w:right w:val="nil" w:sz="6" w:space="0" w:color="auto"/>
            </w:tcBorders>
          </w:tcPr>
          <w:p>
            <w:pPr/>
          </w:p>
        </w:tc>
        <w:tc>
          <w:tcPr>
            <w:tcW w:w="3515" w:type="dxa"/>
            <w:tcBorders>
              <w:top w:val="nil" w:sz="6" w:space="0" w:color="auto"/>
              <w:left w:val="nil" w:sz="6" w:space="0" w:color="auto"/>
              <w:bottom w:val="nil" w:sz="6" w:space="0" w:color="auto"/>
              <w:right w:val="nil" w:sz="6" w:space="0" w:color="auto"/>
            </w:tcBorders>
          </w:tcPr>
          <w:p>
            <w:pPr/>
          </w:p>
        </w:tc>
        <w:tc>
          <w:tcPr>
            <w:tcW w:w="2456"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24"/>
              <w:jc w:val="right"/>
              <w:rPr>
                <w:rFonts w:ascii="Arial" w:hAnsi="Arial" w:cs="Arial" w:eastAsia="Arial" w:hint="default"/>
                <w:sz w:val="24"/>
                <w:szCs w:val="24"/>
              </w:rPr>
            </w:pPr>
            <w:r>
              <w:rPr>
                <w:rFonts w:ascii="Arial"/>
                <w:spacing w:val="-1"/>
                <w:sz w:val="24"/>
              </w:rPr>
              <w:t>122,224</w:t>
            </w:r>
          </w:p>
        </w:tc>
        <w:tc>
          <w:tcPr>
            <w:tcW w:w="221" w:type="dxa"/>
            <w:tcBorders>
              <w:top w:val="nil" w:sz="6" w:space="0" w:color="auto"/>
              <w:left w:val="nil" w:sz="6" w:space="0" w:color="auto"/>
              <w:bottom w:val="nil" w:sz="6" w:space="0" w:color="auto"/>
              <w:right w:val="nil" w:sz="6" w:space="0" w:color="auto"/>
            </w:tcBorders>
          </w:tcPr>
          <w:p>
            <w:pPr/>
          </w:p>
        </w:tc>
        <w:tc>
          <w:tcPr>
            <w:tcW w:w="2295"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26"/>
              <w:jc w:val="right"/>
              <w:rPr>
                <w:rFonts w:ascii="Arial" w:hAnsi="Arial" w:cs="Arial" w:eastAsia="Arial" w:hint="default"/>
                <w:sz w:val="24"/>
                <w:szCs w:val="24"/>
              </w:rPr>
            </w:pPr>
            <w:r>
              <w:rPr>
                <w:rFonts w:ascii="Arial"/>
                <w:spacing w:val="-3"/>
                <w:sz w:val="24"/>
              </w:rPr>
              <w:t>2,203,115</w:t>
            </w:r>
          </w:p>
        </w:tc>
      </w:tr>
      <w:tr>
        <w:trPr>
          <w:trHeight w:val="940"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35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16" w:right="0"/>
              <w:jc w:val="left"/>
              <w:rPr>
                <w:rFonts w:ascii="宋体" w:hAnsi="宋体" w:cs="宋体" w:eastAsia="宋体" w:hint="default"/>
                <w:sz w:val="24"/>
                <w:szCs w:val="24"/>
              </w:rPr>
            </w:pPr>
            <w:r>
              <w:rPr>
                <w:rFonts w:ascii="宋体" w:hAnsi="宋体" w:cs="宋体" w:eastAsia="宋体" w:hint="default"/>
                <w:sz w:val="24"/>
                <w:szCs w:val="24"/>
              </w:rPr>
              <w:t>其他应收款账龄分析如下：</w:t>
            </w:r>
          </w:p>
        </w:tc>
        <w:tc>
          <w:tcPr>
            <w:tcW w:w="2456" w:type="dxa"/>
            <w:tcBorders>
              <w:top w:val="single" w:sz="12" w:space="0" w:color="000000"/>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295" w:type="dxa"/>
            <w:tcBorders>
              <w:top w:val="single" w:sz="12" w:space="0" w:color="000000"/>
              <w:left w:val="nil" w:sz="6" w:space="0" w:color="auto"/>
              <w:bottom w:val="nil" w:sz="6" w:space="0" w:color="auto"/>
              <w:right w:val="nil" w:sz="6" w:space="0" w:color="auto"/>
            </w:tcBorders>
          </w:tcPr>
          <w:p>
            <w:pPr/>
          </w:p>
        </w:tc>
      </w:tr>
      <w:tr>
        <w:trPr>
          <w:trHeight w:val="752" w:hRule="exact"/>
        </w:trPr>
        <w:tc>
          <w:tcPr>
            <w:tcW w:w="796" w:type="dxa"/>
            <w:tcBorders>
              <w:top w:val="nil" w:sz="6" w:space="0" w:color="auto"/>
              <w:left w:val="nil" w:sz="6" w:space="0" w:color="auto"/>
              <w:bottom w:val="nil" w:sz="6" w:space="0" w:color="auto"/>
              <w:right w:val="nil" w:sz="6" w:space="0" w:color="auto"/>
            </w:tcBorders>
          </w:tcPr>
          <w:p>
            <w:pPr/>
          </w:p>
        </w:tc>
        <w:tc>
          <w:tcPr>
            <w:tcW w:w="3515"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0"/>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21"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71"/>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577" w:hRule="exact"/>
        </w:trPr>
        <w:tc>
          <w:tcPr>
            <w:tcW w:w="796" w:type="dxa"/>
            <w:tcBorders>
              <w:top w:val="nil" w:sz="6" w:space="0" w:color="auto"/>
              <w:left w:val="nil" w:sz="6" w:space="0" w:color="auto"/>
              <w:bottom w:val="nil" w:sz="6" w:space="0" w:color="auto"/>
              <w:right w:val="nil" w:sz="6" w:space="0" w:color="auto"/>
            </w:tcBorders>
          </w:tcPr>
          <w:p>
            <w:pPr/>
          </w:p>
        </w:tc>
        <w:tc>
          <w:tcPr>
            <w:tcW w:w="3515"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16"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1"/>
              <w:jc w:val="right"/>
              <w:rPr>
                <w:rFonts w:ascii="Arial" w:hAnsi="Arial" w:cs="Arial" w:eastAsia="Arial" w:hint="default"/>
                <w:sz w:val="24"/>
                <w:szCs w:val="24"/>
              </w:rPr>
            </w:pPr>
            <w:r>
              <w:rPr>
                <w:rFonts w:ascii="Arial"/>
                <w:w w:val="95"/>
                <w:sz w:val="24"/>
              </w:rPr>
              <w:t>88,834</w:t>
            </w:r>
            <w:r>
              <w:rPr>
                <w:rFonts w:ascii="Arial"/>
                <w:sz w:val="24"/>
              </w:rPr>
            </w:r>
          </w:p>
        </w:tc>
        <w:tc>
          <w:tcPr>
            <w:tcW w:w="221"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43"/>
              <w:jc w:val="right"/>
              <w:rPr>
                <w:rFonts w:ascii="Arial" w:hAnsi="Arial" w:cs="Arial" w:eastAsia="Arial" w:hint="default"/>
                <w:sz w:val="24"/>
                <w:szCs w:val="24"/>
              </w:rPr>
            </w:pPr>
            <w:r>
              <w:rPr>
                <w:rFonts w:ascii="Arial"/>
                <w:spacing w:val="-1"/>
                <w:sz w:val="24"/>
              </w:rPr>
              <w:t>2,165,221</w:t>
            </w:r>
          </w:p>
        </w:tc>
      </w:tr>
      <w:tr>
        <w:trPr>
          <w:trHeight w:val="391" w:hRule="exact"/>
        </w:trPr>
        <w:tc>
          <w:tcPr>
            <w:tcW w:w="796" w:type="dxa"/>
            <w:tcBorders>
              <w:top w:val="nil" w:sz="6" w:space="0" w:color="auto"/>
              <w:left w:val="nil" w:sz="6" w:space="0" w:color="auto"/>
              <w:bottom w:val="nil" w:sz="6" w:space="0" w:color="auto"/>
              <w:right w:val="nil" w:sz="6" w:space="0" w:color="auto"/>
            </w:tcBorders>
          </w:tcPr>
          <w:p>
            <w:pPr/>
          </w:p>
        </w:tc>
        <w:tc>
          <w:tcPr>
            <w:tcW w:w="3515" w:type="dxa"/>
            <w:tcBorders>
              <w:top w:val="nil" w:sz="6" w:space="0" w:color="auto"/>
              <w:left w:val="nil" w:sz="6" w:space="0" w:color="auto"/>
              <w:bottom w:val="nil" w:sz="6" w:space="0" w:color="auto"/>
              <w:right w:val="nil" w:sz="6" w:space="0" w:color="auto"/>
            </w:tcBorders>
          </w:tcPr>
          <w:p>
            <w:pPr>
              <w:pStyle w:val="TableParagraph"/>
              <w:spacing w:line="301" w:lineRule="exact"/>
              <w:ind w:left="116"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2"/>
              <w:jc w:val="right"/>
              <w:rPr>
                <w:rFonts w:ascii="Arial" w:hAnsi="Arial" w:cs="Arial" w:eastAsia="Arial" w:hint="default"/>
                <w:sz w:val="24"/>
                <w:szCs w:val="24"/>
              </w:rPr>
            </w:pPr>
            <w:r>
              <w:rPr>
                <w:rFonts w:ascii="Arial"/>
                <w:spacing w:val="-1"/>
                <w:sz w:val="24"/>
              </w:rPr>
              <w:t>30,254</w:t>
            </w:r>
          </w:p>
        </w:tc>
        <w:tc>
          <w:tcPr>
            <w:tcW w:w="221"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6"/>
              <w:jc w:val="right"/>
              <w:rPr>
                <w:rFonts w:ascii="Arial" w:hAnsi="Arial" w:cs="Arial" w:eastAsia="Arial" w:hint="default"/>
                <w:sz w:val="24"/>
                <w:szCs w:val="24"/>
              </w:rPr>
            </w:pPr>
            <w:r>
              <w:rPr>
                <w:rFonts w:ascii="Arial"/>
                <w:spacing w:val="-1"/>
                <w:sz w:val="24"/>
              </w:rPr>
              <w:t>27,170</w:t>
            </w:r>
          </w:p>
        </w:tc>
      </w:tr>
      <w:tr>
        <w:trPr>
          <w:trHeight w:val="391" w:hRule="exact"/>
        </w:trPr>
        <w:tc>
          <w:tcPr>
            <w:tcW w:w="796" w:type="dxa"/>
            <w:tcBorders>
              <w:top w:val="nil" w:sz="6" w:space="0" w:color="auto"/>
              <w:left w:val="nil" w:sz="6" w:space="0" w:color="auto"/>
              <w:bottom w:val="nil" w:sz="6" w:space="0" w:color="auto"/>
              <w:right w:val="nil" w:sz="6" w:space="0" w:color="auto"/>
            </w:tcBorders>
          </w:tcPr>
          <w:p>
            <w:pPr/>
          </w:p>
        </w:tc>
        <w:tc>
          <w:tcPr>
            <w:tcW w:w="3515" w:type="dxa"/>
            <w:tcBorders>
              <w:top w:val="nil" w:sz="6" w:space="0" w:color="auto"/>
              <w:left w:val="nil" w:sz="6" w:space="0" w:color="auto"/>
              <w:bottom w:val="nil" w:sz="6" w:space="0" w:color="auto"/>
              <w:right w:val="nil" w:sz="6" w:space="0" w:color="auto"/>
            </w:tcBorders>
          </w:tcPr>
          <w:p>
            <w:pPr>
              <w:pStyle w:val="TableParagraph"/>
              <w:spacing w:line="301" w:lineRule="exact"/>
              <w:ind w:left="116"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1"/>
              <w:jc w:val="right"/>
              <w:rPr>
                <w:rFonts w:ascii="Arial" w:hAnsi="Arial" w:cs="Arial" w:eastAsia="Arial" w:hint="default"/>
                <w:sz w:val="24"/>
                <w:szCs w:val="24"/>
              </w:rPr>
            </w:pPr>
            <w:r>
              <w:rPr>
                <w:rFonts w:ascii="Arial"/>
                <w:spacing w:val="-1"/>
                <w:sz w:val="24"/>
              </w:rPr>
              <w:t>8,692</w:t>
            </w:r>
          </w:p>
        </w:tc>
        <w:tc>
          <w:tcPr>
            <w:tcW w:w="221"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6"/>
              <w:jc w:val="right"/>
              <w:rPr>
                <w:rFonts w:ascii="Arial" w:hAnsi="Arial" w:cs="Arial" w:eastAsia="Arial" w:hint="default"/>
                <w:sz w:val="24"/>
                <w:szCs w:val="24"/>
              </w:rPr>
            </w:pPr>
            <w:r>
              <w:rPr>
                <w:rFonts w:ascii="Arial"/>
                <w:spacing w:val="-1"/>
                <w:sz w:val="24"/>
              </w:rPr>
              <w:t>20,586</w:t>
            </w:r>
          </w:p>
        </w:tc>
      </w:tr>
      <w:tr>
        <w:trPr>
          <w:trHeight w:val="391" w:hRule="exact"/>
        </w:trPr>
        <w:tc>
          <w:tcPr>
            <w:tcW w:w="796" w:type="dxa"/>
            <w:tcBorders>
              <w:top w:val="nil" w:sz="6" w:space="0" w:color="auto"/>
              <w:left w:val="nil" w:sz="6" w:space="0" w:color="auto"/>
              <w:bottom w:val="nil" w:sz="6" w:space="0" w:color="auto"/>
              <w:right w:val="nil" w:sz="6" w:space="0" w:color="auto"/>
            </w:tcBorders>
          </w:tcPr>
          <w:p>
            <w:pPr/>
          </w:p>
        </w:tc>
        <w:tc>
          <w:tcPr>
            <w:tcW w:w="3515" w:type="dxa"/>
            <w:tcBorders>
              <w:top w:val="nil" w:sz="6" w:space="0" w:color="auto"/>
              <w:left w:val="nil" w:sz="6" w:space="0" w:color="auto"/>
              <w:bottom w:val="nil" w:sz="6" w:space="0" w:color="auto"/>
              <w:right w:val="nil" w:sz="6" w:space="0" w:color="auto"/>
            </w:tcBorders>
          </w:tcPr>
          <w:p>
            <w:pPr>
              <w:pStyle w:val="TableParagraph"/>
              <w:spacing w:line="301" w:lineRule="exact"/>
              <w:ind w:left="116"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1"/>
              <w:jc w:val="right"/>
              <w:rPr>
                <w:rFonts w:ascii="Arial" w:hAnsi="Arial" w:cs="Arial" w:eastAsia="Arial" w:hint="default"/>
                <w:sz w:val="24"/>
                <w:szCs w:val="24"/>
              </w:rPr>
            </w:pPr>
            <w:r>
              <w:rPr>
                <w:rFonts w:ascii="Arial"/>
                <w:spacing w:val="-1"/>
                <w:sz w:val="24"/>
              </w:rPr>
              <w:t>1,503</w:t>
            </w:r>
          </w:p>
        </w:tc>
        <w:tc>
          <w:tcPr>
            <w:tcW w:w="221"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5"/>
              <w:jc w:val="right"/>
              <w:rPr>
                <w:rFonts w:ascii="Arial" w:hAnsi="Arial" w:cs="Arial" w:eastAsia="Arial" w:hint="default"/>
                <w:sz w:val="24"/>
                <w:szCs w:val="24"/>
              </w:rPr>
            </w:pPr>
            <w:r>
              <w:rPr>
                <w:rFonts w:ascii="Arial"/>
                <w:spacing w:val="-1"/>
                <w:sz w:val="24"/>
              </w:rPr>
              <w:t>1,506</w:t>
            </w:r>
          </w:p>
        </w:tc>
      </w:tr>
      <w:tr>
        <w:trPr>
          <w:trHeight w:val="391" w:hRule="exact"/>
        </w:trPr>
        <w:tc>
          <w:tcPr>
            <w:tcW w:w="796" w:type="dxa"/>
            <w:tcBorders>
              <w:top w:val="nil" w:sz="6" w:space="0" w:color="auto"/>
              <w:left w:val="nil" w:sz="6" w:space="0" w:color="auto"/>
              <w:bottom w:val="nil" w:sz="6" w:space="0" w:color="auto"/>
              <w:right w:val="nil" w:sz="6" w:space="0" w:color="auto"/>
            </w:tcBorders>
          </w:tcPr>
          <w:p>
            <w:pPr/>
          </w:p>
        </w:tc>
        <w:tc>
          <w:tcPr>
            <w:tcW w:w="3515" w:type="dxa"/>
            <w:tcBorders>
              <w:top w:val="nil" w:sz="6" w:space="0" w:color="auto"/>
              <w:left w:val="nil" w:sz="6" w:space="0" w:color="auto"/>
              <w:bottom w:val="nil" w:sz="6" w:space="0" w:color="auto"/>
              <w:right w:val="nil" w:sz="6" w:space="0" w:color="auto"/>
            </w:tcBorders>
          </w:tcPr>
          <w:p>
            <w:pPr>
              <w:pStyle w:val="TableParagraph"/>
              <w:spacing w:line="301" w:lineRule="exact"/>
              <w:ind w:left="116"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0"/>
              <w:jc w:val="right"/>
              <w:rPr>
                <w:rFonts w:ascii="Arial" w:hAnsi="Arial" w:cs="Arial" w:eastAsia="Arial" w:hint="default"/>
                <w:sz w:val="24"/>
                <w:szCs w:val="24"/>
              </w:rPr>
            </w:pPr>
            <w:r>
              <w:rPr>
                <w:rFonts w:ascii="Arial"/>
                <w:w w:val="95"/>
                <w:sz w:val="24"/>
              </w:rPr>
              <w:t>536</w:t>
            </w:r>
            <w:r>
              <w:rPr>
                <w:rFonts w:ascii="Arial"/>
                <w:sz w:val="24"/>
              </w:rPr>
            </w:r>
          </w:p>
        </w:tc>
        <w:tc>
          <w:tcPr>
            <w:tcW w:w="221"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5"/>
              <w:jc w:val="right"/>
              <w:rPr>
                <w:rFonts w:ascii="Arial" w:hAnsi="Arial" w:cs="Arial" w:eastAsia="Arial" w:hint="default"/>
                <w:sz w:val="24"/>
                <w:szCs w:val="24"/>
              </w:rPr>
            </w:pPr>
            <w:r>
              <w:rPr>
                <w:rFonts w:ascii="Arial"/>
                <w:spacing w:val="-1"/>
                <w:sz w:val="24"/>
              </w:rPr>
              <w:t>1,443</w:t>
            </w:r>
          </w:p>
        </w:tc>
      </w:tr>
      <w:tr>
        <w:trPr>
          <w:trHeight w:val="383" w:hRule="exact"/>
        </w:trPr>
        <w:tc>
          <w:tcPr>
            <w:tcW w:w="796" w:type="dxa"/>
            <w:tcBorders>
              <w:top w:val="nil" w:sz="6" w:space="0" w:color="auto"/>
              <w:left w:val="nil" w:sz="6" w:space="0" w:color="auto"/>
              <w:bottom w:val="nil" w:sz="6" w:space="0" w:color="auto"/>
              <w:right w:val="nil" w:sz="6" w:space="0" w:color="auto"/>
            </w:tcBorders>
          </w:tcPr>
          <w:p>
            <w:pPr/>
          </w:p>
        </w:tc>
        <w:tc>
          <w:tcPr>
            <w:tcW w:w="3515" w:type="dxa"/>
            <w:tcBorders>
              <w:top w:val="nil" w:sz="6" w:space="0" w:color="auto"/>
              <w:left w:val="nil" w:sz="6" w:space="0" w:color="auto"/>
              <w:bottom w:val="nil" w:sz="6" w:space="0" w:color="auto"/>
              <w:right w:val="nil" w:sz="6" w:space="0" w:color="auto"/>
            </w:tcBorders>
          </w:tcPr>
          <w:p>
            <w:pPr>
              <w:pStyle w:val="TableParagraph"/>
              <w:spacing w:line="301" w:lineRule="exact"/>
              <w:ind w:left="116"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2456"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20"/>
              <w:jc w:val="right"/>
              <w:rPr>
                <w:rFonts w:ascii="Arial" w:hAnsi="Arial" w:cs="Arial" w:eastAsia="Arial" w:hint="default"/>
                <w:sz w:val="24"/>
                <w:szCs w:val="24"/>
              </w:rPr>
            </w:pPr>
            <w:r>
              <w:rPr>
                <w:rFonts w:ascii="Arial"/>
                <w:w w:val="95"/>
                <w:sz w:val="24"/>
              </w:rPr>
              <w:t>470</w:t>
            </w:r>
            <w:r>
              <w:rPr>
                <w:rFonts w:ascii="Arial"/>
                <w:sz w:val="24"/>
              </w:rPr>
            </w:r>
          </w:p>
        </w:tc>
        <w:tc>
          <w:tcPr>
            <w:tcW w:w="221"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45"/>
              <w:jc w:val="right"/>
              <w:rPr>
                <w:rFonts w:ascii="Arial" w:hAnsi="Arial" w:cs="Arial" w:eastAsia="Arial" w:hint="default"/>
                <w:sz w:val="24"/>
                <w:szCs w:val="24"/>
              </w:rPr>
            </w:pPr>
            <w:r>
              <w:rPr>
                <w:rFonts w:ascii="Arial"/>
                <w:w w:val="99"/>
                <w:sz w:val="24"/>
              </w:rPr>
              <w:t>8</w:t>
            </w:r>
            <w:r>
              <w:rPr>
                <w:rFonts w:ascii="Arial"/>
                <w:sz w:val="24"/>
              </w:rPr>
            </w:r>
          </w:p>
        </w:tc>
      </w:tr>
      <w:tr>
        <w:trPr>
          <w:trHeight w:val="377" w:hRule="exact"/>
        </w:trPr>
        <w:tc>
          <w:tcPr>
            <w:tcW w:w="796" w:type="dxa"/>
            <w:tcBorders>
              <w:top w:val="nil" w:sz="6" w:space="0" w:color="auto"/>
              <w:left w:val="nil" w:sz="6" w:space="0" w:color="auto"/>
              <w:bottom w:val="nil" w:sz="6" w:space="0" w:color="auto"/>
              <w:right w:val="nil" w:sz="6" w:space="0" w:color="auto"/>
            </w:tcBorders>
          </w:tcPr>
          <w:p>
            <w:pPr/>
          </w:p>
        </w:tc>
        <w:tc>
          <w:tcPr>
            <w:tcW w:w="3515" w:type="dxa"/>
            <w:tcBorders>
              <w:top w:val="nil" w:sz="6" w:space="0" w:color="auto"/>
              <w:left w:val="nil" w:sz="6" w:space="0" w:color="auto"/>
              <w:bottom w:val="nil" w:sz="6" w:space="0" w:color="auto"/>
              <w:right w:val="nil" w:sz="6" w:space="0" w:color="auto"/>
            </w:tcBorders>
          </w:tcPr>
          <w:p>
            <w:pPr/>
          </w:p>
        </w:tc>
        <w:tc>
          <w:tcPr>
            <w:tcW w:w="2456"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21"/>
              <w:jc w:val="right"/>
              <w:rPr>
                <w:rFonts w:ascii="Arial" w:hAnsi="Arial" w:cs="Arial" w:eastAsia="Arial" w:hint="default"/>
                <w:sz w:val="24"/>
                <w:szCs w:val="24"/>
              </w:rPr>
            </w:pPr>
            <w:r>
              <w:rPr>
                <w:rFonts w:ascii="Arial"/>
                <w:spacing w:val="-1"/>
                <w:sz w:val="24"/>
              </w:rPr>
              <w:t>130,289</w:t>
            </w:r>
          </w:p>
        </w:tc>
        <w:tc>
          <w:tcPr>
            <w:tcW w:w="221" w:type="dxa"/>
            <w:tcBorders>
              <w:top w:val="nil" w:sz="6" w:space="0" w:color="auto"/>
              <w:left w:val="nil" w:sz="6" w:space="0" w:color="auto"/>
              <w:bottom w:val="nil" w:sz="6" w:space="0" w:color="auto"/>
              <w:right w:val="nil" w:sz="6" w:space="0" w:color="auto"/>
            </w:tcBorders>
          </w:tcPr>
          <w:p>
            <w:pPr/>
          </w:p>
        </w:tc>
        <w:tc>
          <w:tcPr>
            <w:tcW w:w="2295"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46"/>
              <w:jc w:val="right"/>
              <w:rPr>
                <w:rFonts w:ascii="Arial" w:hAnsi="Arial" w:cs="Arial" w:eastAsia="Arial" w:hint="default"/>
                <w:sz w:val="24"/>
                <w:szCs w:val="24"/>
              </w:rPr>
            </w:pPr>
            <w:r>
              <w:rPr>
                <w:rFonts w:ascii="Arial"/>
                <w:spacing w:val="-1"/>
                <w:sz w:val="24"/>
              </w:rPr>
              <w:t>2,215,934</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703"/>
        <w:gridCol w:w="1924"/>
        <w:gridCol w:w="1106"/>
        <w:gridCol w:w="807"/>
        <w:gridCol w:w="127"/>
        <w:gridCol w:w="912"/>
        <w:gridCol w:w="598"/>
        <w:gridCol w:w="127"/>
        <w:gridCol w:w="1045"/>
        <w:gridCol w:w="688"/>
        <w:gridCol w:w="127"/>
        <w:gridCol w:w="944"/>
        <w:gridCol w:w="585"/>
      </w:tblGrid>
      <w:tr>
        <w:trPr>
          <w:trHeight w:val="460"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3837" w:type="dxa"/>
            <w:gridSpan w:val="3"/>
            <w:tcBorders>
              <w:top w:val="nil" w:sz="6" w:space="0" w:color="auto"/>
              <w:left w:val="nil" w:sz="6" w:space="0" w:color="auto"/>
              <w:bottom w:val="nil" w:sz="6" w:space="0" w:color="auto"/>
              <w:right w:val="nil" w:sz="6" w:space="0" w:color="auto"/>
            </w:tcBorders>
          </w:tcPr>
          <w:p>
            <w:pPr>
              <w:pStyle w:val="TableParagraph"/>
              <w:spacing w:line="247" w:lineRule="exact"/>
              <w:ind w:left="209" w:right="0"/>
              <w:jc w:val="left"/>
              <w:rPr>
                <w:rFonts w:ascii="宋体" w:hAnsi="宋体" w:cs="宋体" w:eastAsia="宋体" w:hint="default"/>
                <w:sz w:val="24"/>
                <w:szCs w:val="24"/>
              </w:rPr>
            </w:pPr>
            <w:r>
              <w:rPr>
                <w:rFonts w:ascii="宋体" w:hAnsi="宋体" w:cs="宋体" w:eastAsia="宋体" w:hint="default"/>
                <w:sz w:val="24"/>
                <w:szCs w:val="24"/>
              </w:rPr>
              <w:t>其他应收款按类别分析如下：</w:t>
            </w:r>
          </w:p>
        </w:tc>
        <w:tc>
          <w:tcPr>
            <w:tcW w:w="127"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
        </w:tc>
      </w:tr>
      <w:tr>
        <w:trPr>
          <w:trHeight w:val="468" w:hRule="exact"/>
        </w:trPr>
        <w:tc>
          <w:tcPr>
            <w:tcW w:w="70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c>
          <w:tcPr>
            <w:tcW w:w="2952"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57"/>
              <w:ind w:left="991"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598" w:type="dxa"/>
            <w:tcBorders>
              <w:top w:val="nil" w:sz="6" w:space="0" w:color="auto"/>
              <w:left w:val="nil" w:sz="6" w:space="0" w:color="auto"/>
              <w:bottom w:val="single" w:sz="4" w:space="0" w:color="000000"/>
              <w:right w:val="nil" w:sz="6" w:space="0" w:color="auto"/>
            </w:tcBorders>
          </w:tcPr>
          <w:p>
            <w:pPr/>
          </w:p>
        </w:tc>
        <w:tc>
          <w:tcPr>
            <w:tcW w:w="2932"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157"/>
              <w:ind w:left="1048" w:right="0"/>
              <w:jc w:val="lef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585" w:type="dxa"/>
            <w:tcBorders>
              <w:top w:val="nil" w:sz="6" w:space="0" w:color="auto"/>
              <w:left w:val="nil" w:sz="6" w:space="0" w:color="auto"/>
              <w:bottom w:val="single" w:sz="4" w:space="0" w:color="000000"/>
              <w:right w:val="nil" w:sz="6" w:space="0" w:color="auto"/>
            </w:tcBorders>
          </w:tcPr>
          <w:p>
            <w:pPr/>
          </w:p>
        </w:tc>
      </w:tr>
      <w:tr>
        <w:trPr>
          <w:trHeight w:val="324" w:hRule="exact"/>
        </w:trPr>
        <w:tc>
          <w:tcPr>
            <w:tcW w:w="70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c>
          <w:tcPr>
            <w:tcW w:w="1913"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6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37"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8"/>
              <w:ind w:left="55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1"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8"/>
              <w:ind w:left="6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56"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8"/>
              <w:ind w:left="5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89" w:hRule="exact"/>
        </w:trPr>
        <w:tc>
          <w:tcPr>
            <w:tcW w:w="70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c>
          <w:tcPr>
            <w:tcW w:w="110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3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07" w:type="dxa"/>
            <w:tcBorders>
              <w:top w:val="single" w:sz="4" w:space="0" w:color="000000"/>
              <w:left w:val="nil" w:sz="6" w:space="0" w:color="auto"/>
              <w:bottom w:val="nil" w:sz="6" w:space="0" w:color="auto"/>
              <w:right w:val="nil" w:sz="6" w:space="0" w:color="auto"/>
            </w:tcBorders>
          </w:tcPr>
          <w:p>
            <w:pPr>
              <w:pStyle w:val="TableParagraph"/>
              <w:spacing w:line="232" w:lineRule="exact" w:before="32"/>
              <w:ind w:left="334" w:right="23" w:hanging="272"/>
              <w:jc w:val="left"/>
              <w:rPr>
                <w:rFonts w:ascii="宋体" w:hAnsi="宋体" w:cs="宋体" w:eastAsia="宋体" w:hint="default"/>
                <w:sz w:val="18"/>
                <w:szCs w:val="18"/>
              </w:rPr>
            </w:pPr>
            <w:r>
              <w:rPr>
                <w:rFonts w:ascii="宋体" w:hAnsi="宋体" w:cs="宋体" w:eastAsia="宋体" w:hint="default"/>
                <w:sz w:val="18"/>
                <w:szCs w:val="18"/>
              </w:rPr>
              <w:t>占总额比 例</w:t>
            </w:r>
          </w:p>
        </w:tc>
        <w:tc>
          <w:tcPr>
            <w:tcW w:w="127" w:type="dxa"/>
            <w:tcBorders>
              <w:top w:val="nil" w:sz="6" w:space="0" w:color="auto"/>
              <w:left w:val="nil" w:sz="6" w:space="0" w:color="auto"/>
              <w:bottom w:val="nil" w:sz="6" w:space="0" w:color="auto"/>
              <w:right w:val="nil" w:sz="6" w:space="0" w:color="auto"/>
            </w:tcBorders>
          </w:tcPr>
          <w:p>
            <w:pPr/>
          </w:p>
        </w:tc>
        <w:tc>
          <w:tcPr>
            <w:tcW w:w="91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7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98" w:type="dxa"/>
            <w:tcBorders>
              <w:top w:val="single" w:sz="4" w:space="0" w:color="000000"/>
              <w:left w:val="nil" w:sz="6" w:space="0" w:color="auto"/>
              <w:bottom w:val="nil" w:sz="6" w:space="0" w:color="auto"/>
              <w:right w:val="nil" w:sz="6" w:space="0" w:color="auto"/>
            </w:tcBorders>
          </w:tcPr>
          <w:p>
            <w:pPr>
              <w:pStyle w:val="TableParagraph"/>
              <w:spacing w:line="278" w:lineRule="auto" w:before="8"/>
              <w:ind w:left="113" w:right="122"/>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7" w:type="dxa"/>
            <w:tcBorders>
              <w:top w:val="nil" w:sz="6" w:space="0" w:color="auto"/>
              <w:left w:val="nil" w:sz="6" w:space="0" w:color="auto"/>
              <w:bottom w:val="nil" w:sz="6" w:space="0" w:color="auto"/>
              <w:right w:val="nil" w:sz="6" w:space="0" w:color="auto"/>
            </w:tcBorders>
          </w:tcPr>
          <w:p>
            <w:pPr/>
          </w:p>
        </w:tc>
        <w:tc>
          <w:tcPr>
            <w:tcW w:w="104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54"/>
              <w:jc w:val="center"/>
              <w:rPr>
                <w:rFonts w:ascii="宋体" w:hAnsi="宋体" w:cs="宋体" w:eastAsia="宋体" w:hint="default"/>
                <w:sz w:val="18"/>
                <w:szCs w:val="18"/>
              </w:rPr>
            </w:pPr>
            <w:r>
              <w:rPr>
                <w:rFonts w:ascii="宋体" w:hAnsi="宋体" w:cs="宋体" w:eastAsia="宋体" w:hint="default"/>
                <w:sz w:val="18"/>
                <w:szCs w:val="18"/>
              </w:rPr>
              <w:t>金额</w:t>
            </w:r>
          </w:p>
        </w:tc>
        <w:tc>
          <w:tcPr>
            <w:tcW w:w="688" w:type="dxa"/>
            <w:tcBorders>
              <w:top w:val="single" w:sz="4" w:space="0" w:color="000000"/>
              <w:left w:val="nil" w:sz="6" w:space="0" w:color="auto"/>
              <w:bottom w:val="nil" w:sz="6" w:space="0" w:color="auto"/>
              <w:right w:val="nil" w:sz="6" w:space="0" w:color="auto"/>
            </w:tcBorders>
          </w:tcPr>
          <w:p>
            <w:pPr>
              <w:pStyle w:val="TableParagraph"/>
              <w:spacing w:line="232" w:lineRule="exact" w:before="32"/>
              <w:ind w:left="174" w:right="60" w:hanging="89"/>
              <w:jc w:val="left"/>
              <w:rPr>
                <w:rFonts w:ascii="宋体" w:hAnsi="宋体" w:cs="宋体" w:eastAsia="宋体" w:hint="default"/>
                <w:sz w:val="18"/>
                <w:szCs w:val="18"/>
              </w:rPr>
            </w:pPr>
            <w:r>
              <w:rPr>
                <w:rFonts w:ascii="宋体" w:hAnsi="宋体" w:cs="宋体" w:eastAsia="宋体" w:hint="default"/>
                <w:sz w:val="18"/>
                <w:szCs w:val="18"/>
              </w:rPr>
              <w:t>占总额 比例</w:t>
            </w:r>
          </w:p>
        </w:tc>
        <w:tc>
          <w:tcPr>
            <w:tcW w:w="127" w:type="dxa"/>
            <w:tcBorders>
              <w:top w:val="nil" w:sz="6" w:space="0" w:color="auto"/>
              <w:left w:val="nil" w:sz="6" w:space="0" w:color="auto"/>
              <w:bottom w:val="nil" w:sz="6" w:space="0" w:color="auto"/>
              <w:right w:val="nil" w:sz="6" w:space="0" w:color="auto"/>
            </w:tcBorders>
          </w:tcPr>
          <w:p>
            <w:pPr/>
          </w:p>
        </w:tc>
        <w:tc>
          <w:tcPr>
            <w:tcW w:w="94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85" w:type="dxa"/>
            <w:tcBorders>
              <w:top w:val="single" w:sz="4" w:space="0" w:color="000000"/>
              <w:left w:val="nil" w:sz="6" w:space="0" w:color="auto"/>
              <w:bottom w:val="nil" w:sz="6" w:space="0" w:color="auto"/>
              <w:right w:val="nil" w:sz="6" w:space="0" w:color="auto"/>
            </w:tcBorders>
          </w:tcPr>
          <w:p>
            <w:pPr>
              <w:pStyle w:val="TableParagraph"/>
              <w:spacing w:line="232" w:lineRule="exact" w:before="32"/>
              <w:ind w:left="95" w:right="127"/>
              <w:jc w:val="left"/>
              <w:rPr>
                <w:rFonts w:ascii="宋体" w:hAnsi="宋体" w:cs="宋体" w:eastAsia="宋体" w:hint="default"/>
                <w:sz w:val="18"/>
                <w:szCs w:val="18"/>
              </w:rPr>
            </w:pPr>
            <w:r>
              <w:rPr>
                <w:rFonts w:ascii="宋体" w:hAnsi="宋体" w:cs="宋体" w:eastAsia="宋体" w:hint="default"/>
                <w:sz w:val="18"/>
                <w:szCs w:val="18"/>
              </w:rPr>
              <w:t>计提 比例</w:t>
            </w:r>
          </w:p>
        </w:tc>
      </w:tr>
      <w:tr>
        <w:trPr>
          <w:trHeight w:val="332" w:hRule="exact"/>
        </w:trPr>
        <w:tc>
          <w:tcPr>
            <w:tcW w:w="70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9" w:right="0"/>
              <w:jc w:val="left"/>
              <w:rPr>
                <w:rFonts w:ascii="宋体" w:hAnsi="宋体" w:cs="宋体" w:eastAsia="宋体" w:hint="default"/>
                <w:sz w:val="18"/>
                <w:szCs w:val="18"/>
              </w:rPr>
            </w:pPr>
            <w:r>
              <w:rPr>
                <w:rFonts w:ascii="宋体" w:hAnsi="宋体" w:cs="宋体" w:eastAsia="宋体" w:hint="default"/>
                <w:sz w:val="18"/>
                <w:szCs w:val="18"/>
              </w:rPr>
              <w:t>应收其他款项组合</w:t>
            </w:r>
          </w:p>
        </w:tc>
        <w:tc>
          <w:tcPr>
            <w:tcW w:w="1106" w:type="dxa"/>
            <w:tcBorders>
              <w:top w:val="nil" w:sz="6" w:space="0" w:color="auto"/>
              <w:left w:val="nil" w:sz="6" w:space="0" w:color="auto"/>
              <w:bottom w:val="single" w:sz="12" w:space="0" w:color="000000"/>
              <w:right w:val="nil" w:sz="6" w:space="0" w:color="auto"/>
            </w:tcBorders>
          </w:tcPr>
          <w:p>
            <w:pPr>
              <w:pStyle w:val="TableParagraph"/>
              <w:spacing w:line="240" w:lineRule="auto" w:before="67"/>
              <w:ind w:left="391" w:right="0"/>
              <w:jc w:val="left"/>
              <w:rPr>
                <w:rFonts w:ascii="Arial" w:hAnsi="Arial" w:cs="Arial" w:eastAsia="Arial" w:hint="default"/>
                <w:sz w:val="18"/>
                <w:szCs w:val="18"/>
              </w:rPr>
            </w:pPr>
            <w:r>
              <w:rPr>
                <w:rFonts w:ascii="Arial"/>
                <w:sz w:val="18"/>
              </w:rPr>
              <w:t>130,289</w:t>
            </w:r>
          </w:p>
        </w:tc>
        <w:tc>
          <w:tcPr>
            <w:tcW w:w="807" w:type="dxa"/>
            <w:tcBorders>
              <w:top w:val="nil" w:sz="6" w:space="0" w:color="auto"/>
              <w:left w:val="nil" w:sz="6" w:space="0" w:color="auto"/>
              <w:bottom w:val="single" w:sz="12" w:space="0" w:color="000000"/>
              <w:right w:val="nil" w:sz="6" w:space="0" w:color="auto"/>
            </w:tcBorders>
          </w:tcPr>
          <w:p>
            <w:pPr>
              <w:pStyle w:val="TableParagraph"/>
              <w:spacing w:line="240" w:lineRule="auto" w:before="67"/>
              <w:ind w:left="288" w:right="0"/>
              <w:jc w:val="left"/>
              <w:rPr>
                <w:rFonts w:ascii="Arial" w:hAnsi="Arial" w:cs="Arial" w:eastAsia="Arial" w:hint="default"/>
                <w:sz w:val="18"/>
                <w:szCs w:val="18"/>
              </w:rPr>
            </w:pPr>
            <w:r>
              <w:rPr>
                <w:rFonts w:ascii="Arial"/>
                <w:sz w:val="18"/>
              </w:rPr>
              <w:t>100%</w:t>
            </w:r>
          </w:p>
        </w:tc>
        <w:tc>
          <w:tcPr>
            <w:tcW w:w="127"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single" w:sz="12" w:space="0" w:color="000000"/>
              <w:right w:val="nil" w:sz="6" w:space="0" w:color="auto"/>
            </w:tcBorders>
          </w:tcPr>
          <w:p>
            <w:pPr>
              <w:pStyle w:val="TableParagraph"/>
              <w:spacing w:line="240" w:lineRule="auto" w:before="67"/>
              <w:ind w:left="226" w:right="0"/>
              <w:jc w:val="left"/>
              <w:rPr>
                <w:rFonts w:ascii="Arial" w:hAnsi="Arial" w:cs="Arial" w:eastAsia="Arial" w:hint="default"/>
                <w:sz w:val="18"/>
                <w:szCs w:val="18"/>
              </w:rPr>
            </w:pPr>
            <w:r>
              <w:rPr>
                <w:rFonts w:ascii="Arial"/>
                <w:sz w:val="18"/>
              </w:rPr>
              <w:t>(8,065)</w:t>
            </w:r>
          </w:p>
        </w:tc>
        <w:tc>
          <w:tcPr>
            <w:tcW w:w="598" w:type="dxa"/>
            <w:tcBorders>
              <w:top w:val="nil" w:sz="6" w:space="0" w:color="auto"/>
              <w:left w:val="nil" w:sz="6" w:space="0" w:color="auto"/>
              <w:bottom w:val="single" w:sz="12" w:space="0" w:color="000000"/>
              <w:right w:val="nil" w:sz="6" w:space="0" w:color="auto"/>
            </w:tcBorders>
          </w:tcPr>
          <w:p>
            <w:pPr>
              <w:pStyle w:val="TableParagraph"/>
              <w:spacing w:line="240" w:lineRule="auto" w:before="67"/>
              <w:ind w:left="130" w:right="0"/>
              <w:jc w:val="left"/>
              <w:rPr>
                <w:rFonts w:ascii="Arial" w:hAnsi="Arial" w:cs="Arial" w:eastAsia="Arial" w:hint="default"/>
                <w:sz w:val="18"/>
                <w:szCs w:val="18"/>
              </w:rPr>
            </w:pPr>
            <w:r>
              <w:rPr>
                <w:rFonts w:ascii="Arial"/>
                <w:sz w:val="18"/>
              </w:rPr>
              <w:t>6.2%</w:t>
            </w:r>
          </w:p>
        </w:tc>
        <w:tc>
          <w:tcPr>
            <w:tcW w:w="127"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single" w:sz="12" w:space="0" w:color="000000"/>
              <w:right w:val="nil" w:sz="6" w:space="0" w:color="auto"/>
            </w:tcBorders>
          </w:tcPr>
          <w:p>
            <w:pPr>
              <w:pStyle w:val="TableParagraph"/>
              <w:spacing w:line="240" w:lineRule="auto" w:before="67"/>
              <w:ind w:left="70" w:right="0"/>
              <w:jc w:val="center"/>
              <w:rPr>
                <w:rFonts w:ascii="Arial" w:hAnsi="Arial" w:cs="Arial" w:eastAsia="Arial" w:hint="default"/>
                <w:sz w:val="18"/>
                <w:szCs w:val="18"/>
              </w:rPr>
            </w:pPr>
            <w:r>
              <w:rPr>
                <w:rFonts w:ascii="Arial"/>
                <w:sz w:val="18"/>
              </w:rPr>
              <w:t>2,215,934</w:t>
            </w:r>
          </w:p>
        </w:tc>
        <w:tc>
          <w:tcPr>
            <w:tcW w:w="688" w:type="dxa"/>
            <w:tcBorders>
              <w:top w:val="nil" w:sz="6" w:space="0" w:color="auto"/>
              <w:left w:val="nil" w:sz="6" w:space="0" w:color="auto"/>
              <w:bottom w:val="single" w:sz="12" w:space="0" w:color="000000"/>
              <w:right w:val="nil" w:sz="6" w:space="0" w:color="auto"/>
            </w:tcBorders>
          </w:tcPr>
          <w:p>
            <w:pPr>
              <w:pStyle w:val="TableParagraph"/>
              <w:spacing w:line="240" w:lineRule="auto" w:before="67"/>
              <w:ind w:left="172" w:right="0"/>
              <w:jc w:val="left"/>
              <w:rPr>
                <w:rFonts w:ascii="Arial" w:hAnsi="Arial" w:cs="Arial" w:eastAsia="Arial" w:hint="default"/>
                <w:sz w:val="18"/>
                <w:szCs w:val="18"/>
              </w:rPr>
            </w:pPr>
            <w:r>
              <w:rPr>
                <w:rFonts w:ascii="Arial"/>
                <w:sz w:val="18"/>
              </w:rPr>
              <w:t>100%</w:t>
            </w:r>
          </w:p>
        </w:tc>
        <w:tc>
          <w:tcPr>
            <w:tcW w:w="127"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single" w:sz="12" w:space="0" w:color="000000"/>
              <w:right w:val="nil" w:sz="6" w:space="0" w:color="auto"/>
            </w:tcBorders>
          </w:tcPr>
          <w:p>
            <w:pPr>
              <w:pStyle w:val="TableParagraph"/>
              <w:spacing w:line="240" w:lineRule="auto" w:before="67"/>
              <w:ind w:left="82" w:right="0"/>
              <w:jc w:val="center"/>
              <w:rPr>
                <w:rFonts w:ascii="Arial" w:hAnsi="Arial" w:cs="Arial" w:eastAsia="Arial" w:hint="default"/>
                <w:sz w:val="18"/>
                <w:szCs w:val="18"/>
              </w:rPr>
            </w:pPr>
            <w:r>
              <w:rPr>
                <w:rFonts w:ascii="Arial"/>
                <w:sz w:val="18"/>
              </w:rPr>
              <w:t>(12,819)</w:t>
            </w:r>
          </w:p>
        </w:tc>
        <w:tc>
          <w:tcPr>
            <w:tcW w:w="585" w:type="dxa"/>
            <w:tcBorders>
              <w:top w:val="nil" w:sz="6" w:space="0" w:color="auto"/>
              <w:left w:val="nil" w:sz="6" w:space="0" w:color="auto"/>
              <w:bottom w:val="single" w:sz="12" w:space="0" w:color="000000"/>
              <w:right w:val="nil" w:sz="6" w:space="0" w:color="auto"/>
            </w:tcBorders>
          </w:tcPr>
          <w:p>
            <w:pPr>
              <w:pStyle w:val="TableParagraph"/>
              <w:spacing w:line="240" w:lineRule="auto" w:before="67"/>
              <w:ind w:left="119" w:right="0"/>
              <w:jc w:val="left"/>
              <w:rPr>
                <w:rFonts w:ascii="Arial" w:hAnsi="Arial" w:cs="Arial" w:eastAsia="Arial" w:hint="default"/>
                <w:sz w:val="18"/>
                <w:szCs w:val="18"/>
              </w:rPr>
            </w:pPr>
            <w:r>
              <w:rPr>
                <w:rFonts w:ascii="Arial"/>
                <w:sz w:val="18"/>
              </w:rPr>
              <w:t>0.6%</w:t>
            </w:r>
          </w:p>
        </w:tc>
      </w:tr>
    </w:tbl>
    <w:p>
      <w:pPr>
        <w:spacing w:after="0" w:line="240" w:lineRule="auto"/>
        <w:jc w:val="left"/>
        <w:rPr>
          <w:rFonts w:ascii="Arial" w:hAnsi="Arial" w:cs="Arial" w:eastAsia="Arial" w:hint="default"/>
          <w:sz w:val="18"/>
          <w:szCs w:val="18"/>
        </w:rPr>
        <w:sectPr>
          <w:footerReference w:type="default" r:id="rId110"/>
          <w:pgSz w:w="11910" w:h="16850"/>
          <w:pgMar w:footer="1340" w:header="795" w:top="2020" w:bottom="1540" w:left="1420" w:right="0"/>
          <w:pgNumType w:start="222"/>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799"/>
        <w:gridCol w:w="2638"/>
      </w:tblGrid>
      <w:tr>
        <w:trPr>
          <w:trHeight w:val="497" w:hRule="exact"/>
        </w:trPr>
        <w:tc>
          <w:tcPr>
            <w:tcW w:w="79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十五</w:t>
            </w:r>
          </w:p>
        </w:tc>
        <w:tc>
          <w:tcPr>
            <w:tcW w:w="2638" w:type="dxa"/>
            <w:tcBorders>
              <w:top w:val="nil" w:sz="6" w:space="0" w:color="auto"/>
              <w:left w:val="nil" w:sz="6" w:space="0" w:color="auto"/>
              <w:bottom w:val="nil" w:sz="6" w:space="0" w:color="auto"/>
              <w:right w:val="nil" w:sz="6" w:space="0" w:color="auto"/>
            </w:tcBorders>
          </w:tcPr>
          <w:p>
            <w:pPr>
              <w:pStyle w:val="TableParagraph"/>
              <w:spacing w:line="257" w:lineRule="exact"/>
              <w:ind w:left="118"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92" w:hRule="exact"/>
        </w:trPr>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(2)</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18" w:right="0"/>
              <w:jc w:val="left"/>
              <w:rPr>
                <w:rFonts w:ascii="黑体" w:hAnsi="黑体" w:cs="黑体" w:eastAsia="黑体" w:hint="default"/>
                <w:sz w:val="24"/>
                <w:szCs w:val="24"/>
              </w:rPr>
            </w:pPr>
            <w:r>
              <w:rPr>
                <w:rFonts w:ascii="黑体" w:hAnsi="黑体" w:cs="黑体" w:eastAsia="黑体" w:hint="default"/>
                <w:sz w:val="24"/>
                <w:szCs w:val="24"/>
              </w:rPr>
              <w:t>其他应收款（续）</w:t>
            </w:r>
          </w:p>
        </w:tc>
      </w:tr>
    </w:tbl>
    <w:p>
      <w:pPr>
        <w:spacing w:line="240" w:lineRule="auto" w:before="7"/>
        <w:rPr>
          <w:rFonts w:ascii="Times New Roman" w:hAnsi="Times New Roman" w:cs="Times New Roman" w:eastAsia="Times New Roman" w:hint="default"/>
          <w:sz w:val="28"/>
          <w:szCs w:val="28"/>
        </w:rPr>
      </w:pPr>
    </w:p>
    <w:p>
      <w:pPr>
        <w:pStyle w:val="Heading3"/>
        <w:tabs>
          <w:tab w:pos="1035" w:val="left" w:leader="none"/>
        </w:tabs>
        <w:spacing w:line="240" w:lineRule="auto" w:before="33"/>
        <w:ind w:left="308" w:right="846"/>
        <w:jc w:val="left"/>
      </w:pPr>
      <w:r>
        <w:rPr>
          <w:rFonts w:ascii="Arial" w:hAnsi="Arial" w:cs="Arial" w:eastAsia="Arial" w:hint="default"/>
          <w:spacing w:val="-1"/>
          <w:position w:val="2"/>
        </w:rPr>
        <w:t>(c)</w:t>
        <w:tab/>
      </w:r>
      <w:r>
        <w:rPr/>
        <w:t>按组合计提坏账准备的其他应收款中，采用账龄分析法的组合分析如下：</w:t>
      </w:r>
    </w:p>
    <w:p>
      <w:pPr>
        <w:spacing w:line="240" w:lineRule="auto" w:before="6"/>
        <w:rPr>
          <w:rFonts w:ascii="宋体" w:hAnsi="宋体" w:cs="宋体" w:eastAsia="宋体" w:hint="default"/>
          <w:sz w:val="28"/>
          <w:szCs w:val="28"/>
        </w:rPr>
      </w:pPr>
    </w:p>
    <w:p>
      <w:pPr>
        <w:tabs>
          <w:tab w:pos="5339" w:val="left" w:leader="none"/>
        </w:tabs>
        <w:spacing w:before="0"/>
        <w:ind w:left="1426" w:right="0" w:firstLine="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tab/>
      </w: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spacing w:line="240" w:lineRule="auto" w:before="3"/>
        <w:rPr>
          <w:rFonts w:ascii="宋体" w:hAnsi="宋体" w:cs="宋体" w:eastAsia="宋体" w:hint="default"/>
          <w:sz w:val="4"/>
          <w:szCs w:val="4"/>
        </w:rPr>
      </w:pPr>
    </w:p>
    <w:p>
      <w:pPr>
        <w:spacing w:line="20" w:lineRule="exact"/>
        <w:ind w:left="2060" w:right="0" w:firstLine="0"/>
        <w:rPr>
          <w:rFonts w:ascii="宋体" w:hAnsi="宋体" w:cs="宋体" w:eastAsia="宋体" w:hint="default"/>
          <w:sz w:val="2"/>
          <w:szCs w:val="2"/>
        </w:rPr>
      </w:pPr>
      <w:r>
        <w:rPr>
          <w:rFonts w:ascii="宋体"/>
          <w:sz w:val="2"/>
        </w:rPr>
        <w:pict>
          <v:group style="width:194.5pt;height:.5pt;mso-position-horizontal-relative:char;mso-position-vertical-relative:line" coordorigin="0,0" coordsize="3890,10">
            <v:group style="position:absolute;left:5;top:5;width:1844;height:2" coordorigin="5,5" coordsize="1844,2">
              <v:shape style="position:absolute;left:5;top:5;width:1844;height:2" coordorigin="5,5" coordsize="1844,0" path="m5,5l1848,5e" filled="false" stroked="true" strokeweight=".48pt" strokecolor="#000000">
                <v:path arrowok="t"/>
              </v:shape>
            </v:group>
            <v:group style="position:absolute;left:1849;top:5;width:10;height:2" coordorigin="1849,5" coordsize="10,2">
              <v:shape style="position:absolute;left:1849;top:5;width:10;height:2" coordorigin="1849,5" coordsize="10,0" path="m1849,5l1858,5e" filled="false" stroked="true" strokeweight=".48pt" strokecolor="#000000">
                <v:path arrowok="t"/>
              </v:shape>
            </v:group>
            <v:group style="position:absolute;left:1858;top:5;width:231;height:2" coordorigin="1858,5" coordsize="231,2">
              <v:shape style="position:absolute;left:1858;top:5;width:231;height:2" coordorigin="1858,5" coordsize="231,0" path="m1858,5l2089,5e" filled="false" stroked="true" strokeweight=".48pt" strokecolor="#000000">
                <v:path arrowok="t"/>
              </v:shape>
            </v:group>
            <v:group style="position:absolute;left:2089;top:5;width:10;height:2" coordorigin="2089,5" coordsize="10,2">
              <v:shape style="position:absolute;left:2089;top:5;width:10;height:2" coordorigin="2089,5" coordsize="10,0" path="m2089,5l2098,5e" filled="false" stroked="true" strokeweight=".48pt" strokecolor="#000000">
                <v:path arrowok="t"/>
              </v:shape>
            </v:group>
            <v:group style="position:absolute;left:2098;top:5;width:1787;height:2" coordorigin="2098,5" coordsize="1787,2">
              <v:shape style="position:absolute;left:2098;top:5;width:1787;height:2" coordorigin="2098,5" coordsize="1787,0" path="m2098,5l3884,5e" filled="false" stroked="true" strokeweight=".48pt" strokecolor="#000000">
                <v:path arrowok="t"/>
              </v:shape>
            </v:group>
          </v:group>
        </w:pict>
      </w:r>
      <w:r>
        <w:rPr>
          <w:rFonts w:ascii="宋体"/>
          <w:sz w:val="2"/>
        </w:rPr>
      </w:r>
      <w:r>
        <w:rPr>
          <w:rFonts w:ascii="Times New Roman"/>
          <w:spacing w:val="118"/>
          <w:sz w:val="2"/>
        </w:rPr>
        <w:t> </w:t>
      </w:r>
      <w:r>
        <w:rPr>
          <w:rFonts w:ascii="宋体"/>
          <w:spacing w:val="118"/>
          <w:sz w:val="2"/>
        </w:rPr>
        <w:pict>
          <v:group style="width:183.4pt;height:.5pt;mso-position-horizontal-relative:char;mso-position-vertical-relative:line" coordorigin="0,0" coordsize="3668,10">
            <v:group style="position:absolute;left:5;top:5;width:1916;height:2" coordorigin="5,5" coordsize="1916,2">
              <v:shape style="position:absolute;left:5;top:5;width:1916;height:2" coordorigin="5,5" coordsize="1916,0" path="m5,5l1920,5e" filled="false" stroked="true" strokeweight=".48pt" strokecolor="#000000">
                <v:path arrowok="t"/>
              </v:shape>
            </v:group>
            <v:group style="position:absolute;left:1921;top:5;width:10;height:2" coordorigin="1921,5" coordsize="10,2">
              <v:shape style="position:absolute;left:1921;top:5;width:10;height:2" coordorigin="1921,5" coordsize="10,0" path="m1921,5l1930,5e" filled="false" stroked="true" strokeweight=".48pt" strokecolor="#000000">
                <v:path arrowok="t"/>
              </v:shape>
            </v:group>
            <v:group style="position:absolute;left:1930;top:5;width:125;height:2" coordorigin="1930,5" coordsize="125,2">
              <v:shape style="position:absolute;left:1930;top:5;width:125;height:2" coordorigin="1930,5" coordsize="125,0" path="m1930,5l2055,5e" filled="false" stroked="true" strokeweight=".48pt" strokecolor="#000000">
                <v:path arrowok="t"/>
              </v:shape>
            </v:group>
            <v:group style="position:absolute;left:2055;top:5;width:10;height:2" coordorigin="2055,5" coordsize="10,2">
              <v:shape style="position:absolute;left:2055;top:5;width:10;height:2" coordorigin="2055,5" coordsize="10,0" path="m2055,5l2065,5e" filled="false" stroked="true" strokeweight=".48pt" strokecolor="#000000">
                <v:path arrowok="t"/>
              </v:shape>
            </v:group>
            <v:group style="position:absolute;left:2065;top:5;width:1599;height:2" coordorigin="2065,5" coordsize="1599,2">
              <v:shape style="position:absolute;left:2065;top:5;width:1599;height:2" coordorigin="2065,5" coordsize="1599,0" path="m2065,5l3663,5e" filled="false" stroked="true" strokeweight=".48pt" strokecolor="#000000">
                <v:path arrowok="t"/>
              </v:shape>
            </v:group>
          </v:group>
        </w:pict>
      </w:r>
      <w:r>
        <w:rPr>
          <w:rFonts w:ascii="宋体"/>
          <w:spacing w:val="118"/>
          <w:sz w:val="2"/>
        </w:rPr>
      </w:r>
    </w:p>
    <w:p>
      <w:pPr>
        <w:tabs>
          <w:tab w:pos="3500" w:val="left" w:leader="none"/>
          <w:tab w:pos="5495" w:val="left" w:leader="none"/>
          <w:tab w:pos="7394" w:val="left" w:leader="none"/>
        </w:tabs>
        <w:spacing w:before="0"/>
        <w:ind w:left="1441" w:right="0" w:firstLine="0"/>
        <w:jc w:val="center"/>
        <w:rPr>
          <w:rFonts w:ascii="宋体" w:hAnsi="宋体" w:cs="宋体" w:eastAsia="宋体" w:hint="default"/>
          <w:sz w:val="18"/>
          <w:szCs w:val="18"/>
        </w:rPr>
      </w:pPr>
      <w:r>
        <w:rPr/>
        <w:pict>
          <v:group style="position:absolute;margin-left:174.020004pt;margin-top:15.221699pt;width:92.7pt;height:.5pt;mso-position-horizontal-relative:page;mso-position-vertical-relative:paragraph;z-index:4672" coordorigin="3480,304" coordsize="1854,10">
            <v:group style="position:absolute;left:3485;top:309;width:1033;height:2" coordorigin="3485,309" coordsize="1033,2">
              <v:shape style="position:absolute;left:3485;top:309;width:1033;height:2" coordorigin="3485,309" coordsize="1033,0" path="m3485,309l4518,309e" filled="false" stroked="true" strokeweight=".48pt" strokecolor="#000000">
                <v:path arrowok="t"/>
              </v:shape>
            </v:group>
            <v:group style="position:absolute;left:4518;top:309;width:10;height:2" coordorigin="4518,309" coordsize="10,2">
              <v:shape style="position:absolute;left:4518;top:309;width:10;height:2" coordorigin="4518,309" coordsize="10,0" path="m4518,309l4527,309e" filled="false" stroked="true" strokeweight=".48pt" strokecolor="#000000">
                <v:path arrowok="t"/>
              </v:shape>
            </v:group>
            <v:group style="position:absolute;left:4527;top:309;width:802;height:2" coordorigin="4527,309" coordsize="802,2">
              <v:shape style="position:absolute;left:4527;top:309;width:802;height:2" coordorigin="4527,309" coordsize="802,0" path="m4527,309l5329,309e" filled="false" stroked="true" strokeweight=".48pt" strokecolor="#000000">
                <v:path arrowok="t"/>
              </v:shape>
            </v:group>
            <w10:wrap type="none"/>
          </v:group>
        </w:pict>
      </w:r>
      <w:r>
        <w:rPr/>
        <w:pict>
          <v:group style="position:absolute;margin-left:278.209991pt;margin-top:15.221699pt;width:90.3pt;height:.5pt;mso-position-horizontal-relative:page;mso-position-vertical-relative:paragraph;z-index:4696" coordorigin="5564,304" coordsize="1806,10">
            <v:group style="position:absolute;left:5569;top:309;width:968;height:2" coordorigin="5569,309" coordsize="968,2">
              <v:shape style="position:absolute;left:5569;top:309;width:968;height:2" coordorigin="5569,309" coordsize="968,0" path="m5569,309l6537,309e" filled="false" stroked="true" strokeweight=".48pt" strokecolor="#000000">
                <v:path arrowok="t"/>
              </v:shape>
            </v:group>
            <v:group style="position:absolute;left:6537;top:309;width:10;height:2" coordorigin="6537,309" coordsize="10,2">
              <v:shape style="position:absolute;left:6537;top:309;width:10;height:2" coordorigin="6537,309" coordsize="10,0" path="m6537,309l6546,309e" filled="false" stroked="true" strokeweight=".48pt" strokecolor="#000000">
                <v:path arrowok="t"/>
              </v:shape>
            </v:group>
            <v:group style="position:absolute;left:6546;top:309;width:819;height:2" coordorigin="6546,309" coordsize="819,2">
              <v:shape style="position:absolute;left:6546;top:309;width:819;height:2" coordorigin="6546,309" coordsize="819,0" path="m6546,309l7365,309e" filled="false" stroked="true" strokeweight=".48pt" strokecolor="#000000">
                <v:path arrowok="t"/>
              </v:shape>
            </v:group>
            <w10:wrap type="none"/>
          </v:group>
        </w:pict>
      </w:r>
      <w:r>
        <w:rPr/>
        <w:pict>
          <v:group style="position:absolute;margin-left:374.950012pt;margin-top:15.221699pt;width:96.3pt;height:.5pt;mso-position-horizontal-relative:page;mso-position-vertical-relative:paragraph;z-index:4720" coordorigin="7499,304" coordsize="1926,10">
            <v:group style="position:absolute;left:7504;top:309;width:1088;height:2" coordorigin="7504,309" coordsize="1088,2">
              <v:shape style="position:absolute;left:7504;top:309;width:1088;height:2" coordorigin="7504,309" coordsize="1088,0" path="m7504,309l8591,309e" filled="false" stroked="true" strokeweight=".48pt" strokecolor="#000000">
                <v:path arrowok="t"/>
              </v:shape>
            </v:group>
            <v:group style="position:absolute;left:8591;top:309;width:10;height:2" coordorigin="8591,309" coordsize="10,2">
              <v:shape style="position:absolute;left:8591;top:309;width:10;height:2" coordorigin="8591,309" coordsize="10,0" path="m8591,309l8601,309e" filled="false" stroked="true" strokeweight=".48pt" strokecolor="#000000">
                <v:path arrowok="t"/>
              </v:shape>
            </v:group>
            <v:group style="position:absolute;left:8601;top:309;width:819;height:2" coordorigin="8601,309" coordsize="819,2">
              <v:shape style="position:absolute;left:8601;top:309;width:819;height:2" coordorigin="8601,309" coordsize="819,0" path="m8601,309l9419,309e" filled="false" stroked="true" strokeweight=".48pt" strokecolor="#000000">
                <v:path arrowok="t"/>
              </v:shape>
            </v:group>
            <w10:wrap type="none"/>
          </v:group>
        </w:pict>
      </w:r>
      <w:r>
        <w:rPr>
          <w:rFonts w:ascii="宋体" w:hAnsi="宋体" w:cs="宋体" w:eastAsia="宋体" w:hint="default"/>
          <w:sz w:val="18"/>
          <w:szCs w:val="18"/>
        </w:rPr>
        <w:t>账面余额</w:t>
        <w:tab/>
        <w:t>坏账准备</w:t>
        <w:tab/>
        <w:t>账面余额</w:t>
        <w:tab/>
        <w:t>坏账准备</w:t>
      </w:r>
    </w:p>
    <w:p>
      <w:pPr>
        <w:spacing w:after="0"/>
        <w:jc w:val="center"/>
        <w:rPr>
          <w:rFonts w:ascii="宋体" w:hAnsi="宋体" w:cs="宋体" w:eastAsia="宋体" w:hint="default"/>
          <w:sz w:val="18"/>
          <w:szCs w:val="18"/>
        </w:rPr>
        <w:sectPr>
          <w:pgSz w:w="11910" w:h="16850"/>
          <w:pgMar w:header="795" w:footer="1340" w:top="2020" w:bottom="1540" w:left="1420" w:right="0"/>
        </w:sectPr>
      </w:pPr>
    </w:p>
    <w:p>
      <w:pPr>
        <w:tabs>
          <w:tab w:pos="3234" w:val="left" w:leader="none"/>
        </w:tabs>
        <w:spacing w:line="232" w:lineRule="exact" w:before="111"/>
        <w:ind w:left="3323" w:right="0" w:hanging="922"/>
        <w:jc w:val="left"/>
        <w:rPr>
          <w:rFonts w:ascii="宋体" w:hAnsi="宋体" w:cs="宋体" w:eastAsia="宋体" w:hint="default"/>
          <w:sz w:val="18"/>
          <w:szCs w:val="18"/>
        </w:rPr>
      </w:pPr>
      <w:r>
        <w:rPr>
          <w:rFonts w:ascii="宋体" w:hAnsi="宋体" w:cs="宋体" w:eastAsia="宋体" w:hint="default"/>
          <w:sz w:val="18"/>
          <w:szCs w:val="18"/>
        </w:rPr>
        <w:t>金额</w:t>
        <w:tab/>
        <w:t>占总额 比例</w:t>
      </w:r>
    </w:p>
    <w:p>
      <w:pPr>
        <w:tabs>
          <w:tab w:pos="1534" w:val="left" w:leader="none"/>
        </w:tabs>
        <w:spacing w:line="278" w:lineRule="auto" w:before="86"/>
        <w:ind w:left="1534" w:right="0" w:hanging="896"/>
        <w:jc w:val="right"/>
        <w:rPr>
          <w:rFonts w:ascii="宋体" w:hAnsi="宋体" w:cs="宋体" w:eastAsia="宋体" w:hint="default"/>
          <w:sz w:val="18"/>
          <w:szCs w:val="18"/>
        </w:rPr>
      </w:pPr>
      <w:r>
        <w:rPr/>
        <w:br w:type="column"/>
      </w:r>
      <w:r>
        <w:rPr>
          <w:rFonts w:ascii="宋体" w:hAnsi="宋体" w:cs="宋体" w:eastAsia="宋体" w:hint="default"/>
          <w:sz w:val="18"/>
          <w:szCs w:val="18"/>
        </w:rPr>
        <w:t>金额</w:t>
        <w:tab/>
        <w:t>计提 比例</w:t>
      </w:r>
    </w:p>
    <w:p>
      <w:pPr>
        <w:tabs>
          <w:tab w:pos="1565" w:val="left" w:leader="none"/>
        </w:tabs>
        <w:spacing w:line="232" w:lineRule="exact" w:before="111"/>
        <w:ind w:left="1654" w:right="0" w:hanging="956"/>
        <w:jc w:val="left"/>
        <w:rPr>
          <w:rFonts w:ascii="宋体" w:hAnsi="宋体" w:cs="宋体" w:eastAsia="宋体" w:hint="default"/>
          <w:sz w:val="18"/>
          <w:szCs w:val="18"/>
        </w:rPr>
      </w:pPr>
      <w:r>
        <w:rPr/>
        <w:br w:type="column"/>
      </w:r>
      <w:r>
        <w:rPr>
          <w:rFonts w:ascii="宋体" w:hAnsi="宋体" w:cs="宋体" w:eastAsia="宋体" w:hint="default"/>
          <w:sz w:val="18"/>
          <w:szCs w:val="18"/>
        </w:rPr>
        <w:t>金额</w:t>
        <w:tab/>
        <w:t>占总额 比例</w:t>
      </w:r>
    </w:p>
    <w:p>
      <w:pPr>
        <w:spacing w:line="240" w:lineRule="auto" w:before="3"/>
        <w:rPr>
          <w:rFonts w:ascii="宋体" w:hAnsi="宋体" w:cs="宋体" w:eastAsia="宋体" w:hint="default"/>
          <w:sz w:val="5"/>
          <w:szCs w:val="5"/>
        </w:rPr>
      </w:pPr>
      <w:r>
        <w:rPr/>
        <w:br w:type="column"/>
      </w:r>
      <w:r>
        <w:rPr>
          <w:rFonts w:ascii="宋体"/>
          <w:sz w:val="5"/>
        </w:rPr>
      </w:r>
    </w:p>
    <w:p>
      <w:pPr>
        <w:spacing w:line="20" w:lineRule="exact"/>
        <w:ind w:left="234" w:right="0" w:firstLine="0"/>
        <w:rPr>
          <w:rFonts w:ascii="宋体" w:hAnsi="宋体" w:cs="宋体" w:eastAsia="宋体" w:hint="default"/>
          <w:sz w:val="2"/>
          <w:szCs w:val="2"/>
        </w:rPr>
      </w:pPr>
      <w:r>
        <w:rPr>
          <w:rFonts w:ascii="宋体" w:hAnsi="宋体" w:cs="宋体" w:eastAsia="宋体" w:hint="default"/>
          <w:sz w:val="2"/>
          <w:szCs w:val="2"/>
        </w:rPr>
        <w:pict>
          <v:group style="width:80.9pt;height:.5pt;mso-position-horizontal-relative:char;mso-position-vertical-relative:line" coordorigin="0,0" coordsize="1618,10">
            <v:group style="position:absolute;left:5;top:5;width:963;height:2" coordorigin="5,5" coordsize="963,2">
              <v:shape style="position:absolute;left:5;top:5;width:963;height:2" coordorigin="5,5" coordsize="963,0" path="m5,5l967,5e" filled="false" stroked="true" strokeweight=".48pt" strokecolor="#000000">
                <v:path arrowok="t"/>
              </v:shape>
            </v:group>
            <v:group style="position:absolute;left:967;top:5;width:10;height:2" coordorigin="967,5" coordsize="10,2">
              <v:shape style="position:absolute;left:967;top:5;width:10;height:2" coordorigin="967,5" coordsize="10,0" path="m967,5l977,5e" filled="false" stroked="true" strokeweight=".48pt" strokecolor="#000000">
                <v:path arrowok="t"/>
              </v:shape>
            </v:group>
            <v:group style="position:absolute;left:977;top:5;width:636;height:2" coordorigin="977,5" coordsize="636,2">
              <v:shape style="position:absolute;left:977;top:5;width:636;height:2" coordorigin="977,5" coordsize="636,0" path="m977,5l1613,5e" filled="false" stroked="true" strokeweight=".48pt" strokecolor="#000000">
                <v:path arrowok="t"/>
              </v:shape>
            </v:group>
          </v:group>
        </w:pict>
      </w:r>
      <w:r>
        <w:rPr>
          <w:rFonts w:ascii="宋体" w:hAnsi="宋体" w:cs="宋体" w:eastAsia="宋体" w:hint="default"/>
          <w:sz w:val="2"/>
          <w:szCs w:val="2"/>
        </w:rPr>
      </w:r>
    </w:p>
    <w:p>
      <w:pPr>
        <w:tabs>
          <w:tab w:pos="1342" w:val="left" w:leader="none"/>
        </w:tabs>
        <w:spacing w:line="278" w:lineRule="auto" w:before="0"/>
        <w:ind w:left="1342" w:right="886" w:hanging="802"/>
        <w:jc w:val="left"/>
        <w:rPr>
          <w:rFonts w:ascii="宋体" w:hAnsi="宋体" w:cs="宋体" w:eastAsia="宋体" w:hint="default"/>
          <w:sz w:val="18"/>
          <w:szCs w:val="18"/>
        </w:rPr>
      </w:pPr>
      <w:r>
        <w:rPr>
          <w:rFonts w:ascii="宋体" w:hAnsi="宋体" w:cs="宋体" w:eastAsia="宋体" w:hint="default"/>
          <w:sz w:val="18"/>
          <w:szCs w:val="18"/>
        </w:rPr>
        <w:t>金额</w:t>
        <w:tab/>
        <w:t>计提 比例</w:t>
      </w:r>
    </w:p>
    <w:p>
      <w:pPr>
        <w:spacing w:after="0" w:line="278" w:lineRule="auto"/>
        <w:jc w:val="left"/>
        <w:rPr>
          <w:rFonts w:ascii="宋体" w:hAnsi="宋体" w:cs="宋体" w:eastAsia="宋体" w:hint="default"/>
          <w:sz w:val="18"/>
          <w:szCs w:val="18"/>
        </w:rPr>
        <w:sectPr>
          <w:type w:val="continuous"/>
          <w:pgSz w:w="11910" w:h="16850"/>
          <w:pgMar w:top="1060" w:bottom="1540" w:left="1420" w:right="0"/>
          <w:cols w:num="4" w:equalWidth="0">
            <w:col w:w="3775" w:space="40"/>
            <w:col w:w="1895" w:space="40"/>
            <w:col w:w="2106" w:space="40"/>
            <w:col w:w="2594"/>
          </w:cols>
        </w:sectPr>
      </w:pPr>
    </w:p>
    <w:p>
      <w:pPr>
        <w:spacing w:line="240" w:lineRule="auto" w:before="3"/>
        <w:rPr>
          <w:rFonts w:ascii="宋体" w:hAnsi="宋体" w:cs="宋体" w:eastAsia="宋体" w:hint="default"/>
          <w:sz w:val="22"/>
          <w:szCs w:val="22"/>
        </w:rPr>
      </w:pPr>
    </w:p>
    <w:p>
      <w:pPr>
        <w:tabs>
          <w:tab w:pos="2490" w:val="left" w:leader="none"/>
          <w:tab w:pos="3342" w:val="left" w:leader="none"/>
          <w:tab w:pos="4489" w:val="left" w:leader="none"/>
          <w:tab w:pos="5627" w:val="left" w:leader="none"/>
          <w:tab w:pos="6314" w:val="left" w:leader="none"/>
          <w:tab w:pos="7430" w:val="left" w:leader="none"/>
          <w:tab w:pos="8469" w:val="left" w:leader="none"/>
          <w:tab w:pos="9273" w:val="left" w:leader="none"/>
        </w:tabs>
        <w:spacing w:before="49"/>
        <w:ind w:left="1035" w:right="0" w:firstLine="0"/>
        <w:jc w:val="left"/>
        <w:rPr>
          <w:rFonts w:ascii="Arial" w:hAnsi="Arial" w:cs="Arial" w:eastAsia="Arial" w:hint="default"/>
          <w:sz w:val="18"/>
          <w:szCs w:val="18"/>
        </w:rPr>
      </w:pPr>
      <w:r>
        <w:rPr>
          <w:rFonts w:ascii="宋体" w:hAnsi="宋体" w:cs="宋体" w:eastAsia="宋体" w:hint="default"/>
          <w:position w:val="1"/>
          <w:sz w:val="18"/>
          <w:szCs w:val="18"/>
        </w:rPr>
        <w:t>一年以内</w:t>
        <w:tab/>
      </w:r>
      <w:r>
        <w:rPr>
          <w:rFonts w:ascii="Arial" w:hAnsi="Arial" w:cs="Arial" w:eastAsia="Arial" w:hint="default"/>
          <w:spacing w:val="-1"/>
          <w:sz w:val="18"/>
          <w:szCs w:val="18"/>
        </w:rPr>
        <w:t>88,834</w:t>
        <w:tab/>
      </w:r>
      <w:r>
        <w:rPr>
          <w:rFonts w:ascii="Arial" w:hAnsi="Arial" w:cs="Arial" w:eastAsia="Arial" w:hint="default"/>
          <w:w w:val="95"/>
          <w:sz w:val="18"/>
          <w:szCs w:val="18"/>
        </w:rPr>
        <w:t>68.1%</w:t>
        <w:tab/>
        <w:t>(2,060)</w:t>
        <w:tab/>
        <w:t>2%</w:t>
        <w:tab/>
      </w:r>
      <w:r>
        <w:rPr>
          <w:rFonts w:ascii="Arial" w:hAnsi="Arial" w:cs="Arial" w:eastAsia="Arial" w:hint="default"/>
          <w:spacing w:val="-1"/>
          <w:sz w:val="18"/>
          <w:szCs w:val="18"/>
        </w:rPr>
        <w:t>2,165,221</w:t>
        <w:tab/>
      </w:r>
      <w:r>
        <w:rPr>
          <w:rFonts w:ascii="Arial" w:hAnsi="Arial" w:cs="Arial" w:eastAsia="Arial" w:hint="default"/>
          <w:w w:val="95"/>
          <w:sz w:val="18"/>
          <w:szCs w:val="18"/>
        </w:rPr>
        <w:t>97.7%</w:t>
        <w:tab/>
      </w:r>
      <w:r>
        <w:rPr>
          <w:rFonts w:ascii="Arial" w:hAnsi="Arial" w:cs="Arial" w:eastAsia="Arial" w:hint="default"/>
          <w:sz w:val="18"/>
          <w:szCs w:val="18"/>
        </w:rPr>
        <w:t>(4,659)</w:t>
        <w:tab/>
        <w:t>0.2%</w:t>
      </w:r>
    </w:p>
    <w:p>
      <w:pPr>
        <w:tabs>
          <w:tab w:pos="2490" w:val="left" w:leader="none"/>
          <w:tab w:pos="3342" w:val="left" w:leader="none"/>
          <w:tab w:pos="4489" w:val="left" w:leader="none"/>
          <w:tab w:pos="5526" w:val="left" w:leader="none"/>
          <w:tab w:pos="6563" w:val="left" w:leader="none"/>
          <w:tab w:pos="7531" w:val="left" w:leader="none"/>
          <w:tab w:pos="8469" w:val="left" w:leader="none"/>
          <w:tab w:pos="9324" w:val="left" w:leader="none"/>
        </w:tabs>
        <w:spacing w:before="56"/>
        <w:ind w:left="1035" w:right="0" w:firstLine="0"/>
        <w:jc w:val="left"/>
        <w:rPr>
          <w:rFonts w:ascii="Arial" w:hAnsi="Arial" w:cs="Arial" w:eastAsia="Arial" w:hint="default"/>
          <w:sz w:val="18"/>
          <w:szCs w:val="18"/>
        </w:rPr>
      </w:pPr>
      <w:r>
        <w:rPr>
          <w:rFonts w:ascii="宋体" w:hAnsi="宋体" w:cs="宋体" w:eastAsia="宋体" w:hint="default"/>
          <w:position w:val="1"/>
          <w:sz w:val="18"/>
          <w:szCs w:val="18"/>
        </w:rPr>
        <w:t>一到二年</w:t>
        <w:tab/>
      </w:r>
      <w:r>
        <w:rPr>
          <w:rFonts w:ascii="Arial" w:hAnsi="Arial" w:cs="Arial" w:eastAsia="Arial" w:hint="default"/>
          <w:spacing w:val="-1"/>
          <w:sz w:val="18"/>
          <w:szCs w:val="18"/>
        </w:rPr>
        <w:t>30,254</w:t>
        <w:tab/>
      </w:r>
      <w:r>
        <w:rPr>
          <w:rFonts w:ascii="Arial" w:hAnsi="Arial" w:cs="Arial" w:eastAsia="Arial" w:hint="default"/>
          <w:w w:val="95"/>
          <w:sz w:val="18"/>
          <w:szCs w:val="18"/>
        </w:rPr>
        <w:t>23.2%</w:t>
        <w:tab/>
        <w:t>(3,025)</w:t>
        <w:tab/>
        <w:t>10%</w:t>
        <w:tab/>
      </w:r>
      <w:r>
        <w:rPr>
          <w:rFonts w:ascii="Arial" w:hAnsi="Arial" w:cs="Arial" w:eastAsia="Arial" w:hint="default"/>
          <w:spacing w:val="-1"/>
          <w:sz w:val="18"/>
          <w:szCs w:val="18"/>
        </w:rPr>
        <w:t>27,170</w:t>
        <w:tab/>
      </w:r>
      <w:r>
        <w:rPr>
          <w:rFonts w:ascii="Arial" w:hAnsi="Arial" w:cs="Arial" w:eastAsia="Arial" w:hint="default"/>
          <w:w w:val="95"/>
          <w:sz w:val="18"/>
          <w:szCs w:val="18"/>
        </w:rPr>
        <w:t>1.2%</w:t>
        <w:tab/>
        <w:t>(2,717)</w:t>
        <w:tab/>
      </w:r>
      <w:r>
        <w:rPr>
          <w:rFonts w:ascii="Arial" w:hAnsi="Arial" w:cs="Arial" w:eastAsia="Arial" w:hint="default"/>
          <w:sz w:val="18"/>
          <w:szCs w:val="18"/>
        </w:rPr>
        <w:t>10%</w:t>
      </w:r>
    </w:p>
    <w:p>
      <w:pPr>
        <w:tabs>
          <w:tab w:pos="2588" w:val="left" w:leader="none"/>
          <w:tab w:pos="3443" w:val="left" w:leader="none"/>
          <w:tab w:pos="4489" w:val="left" w:leader="none"/>
          <w:tab w:pos="5526" w:val="left" w:leader="none"/>
          <w:tab w:pos="6563" w:val="left" w:leader="none"/>
          <w:tab w:pos="7531" w:val="left" w:leader="none"/>
          <w:tab w:pos="8481" w:val="left" w:leader="none"/>
          <w:tab w:pos="9324" w:val="left" w:leader="none"/>
        </w:tabs>
        <w:spacing w:before="56"/>
        <w:ind w:left="1035" w:right="0" w:firstLine="0"/>
        <w:jc w:val="left"/>
        <w:rPr>
          <w:rFonts w:ascii="Arial" w:hAnsi="Arial" w:cs="Arial" w:eastAsia="Arial" w:hint="default"/>
          <w:sz w:val="18"/>
          <w:szCs w:val="18"/>
        </w:rPr>
      </w:pPr>
      <w:r>
        <w:rPr>
          <w:rFonts w:ascii="宋体" w:hAnsi="宋体" w:cs="宋体" w:eastAsia="宋体" w:hint="default"/>
          <w:position w:val="1"/>
          <w:sz w:val="18"/>
          <w:szCs w:val="18"/>
        </w:rPr>
        <w:t>二到三年</w:t>
        <w:tab/>
      </w:r>
      <w:r>
        <w:rPr>
          <w:rFonts w:ascii="Arial" w:hAnsi="Arial" w:cs="Arial" w:eastAsia="Arial" w:hint="default"/>
          <w:w w:val="95"/>
          <w:sz w:val="18"/>
          <w:szCs w:val="18"/>
        </w:rPr>
        <w:t>8,692</w:t>
        <w:tab/>
        <w:t>6.7%</w:t>
        <w:tab/>
        <w:t>(1,738)</w:t>
        <w:tab/>
        <w:t>20%</w:t>
        <w:tab/>
      </w:r>
      <w:r>
        <w:rPr>
          <w:rFonts w:ascii="Arial" w:hAnsi="Arial" w:cs="Arial" w:eastAsia="Arial" w:hint="default"/>
          <w:spacing w:val="-1"/>
          <w:sz w:val="18"/>
          <w:szCs w:val="18"/>
        </w:rPr>
        <w:t>20,586</w:t>
        <w:tab/>
      </w:r>
      <w:r>
        <w:rPr>
          <w:rFonts w:ascii="Arial" w:hAnsi="Arial" w:cs="Arial" w:eastAsia="Arial" w:hint="default"/>
          <w:w w:val="95"/>
          <w:sz w:val="18"/>
          <w:szCs w:val="18"/>
        </w:rPr>
        <w:t>0.9%</w:t>
        <w:tab/>
      </w:r>
      <w:r>
        <w:rPr>
          <w:rFonts w:ascii="Arial" w:hAnsi="Arial" w:cs="Arial" w:eastAsia="Arial" w:hint="default"/>
          <w:spacing w:val="-2"/>
          <w:w w:val="95"/>
          <w:sz w:val="18"/>
          <w:szCs w:val="18"/>
        </w:rPr>
        <w:t>(4,117)</w:t>
        <w:tab/>
      </w:r>
      <w:r>
        <w:rPr>
          <w:rFonts w:ascii="Arial" w:hAnsi="Arial" w:cs="Arial" w:eastAsia="Arial" w:hint="default"/>
          <w:sz w:val="18"/>
          <w:szCs w:val="18"/>
        </w:rPr>
        <w:t>20%</w:t>
      </w:r>
    </w:p>
    <w:p>
      <w:pPr>
        <w:tabs>
          <w:tab w:pos="2588" w:val="left" w:leader="none"/>
          <w:tab w:pos="3443" w:val="left" w:leader="none"/>
          <w:tab w:pos="4640" w:val="left" w:leader="none"/>
          <w:tab w:pos="5526" w:val="left" w:leader="none"/>
          <w:tab w:pos="6664" w:val="left" w:leader="none"/>
          <w:tab w:pos="7531" w:val="left" w:leader="none"/>
          <w:tab w:pos="8618" w:val="left" w:leader="none"/>
          <w:tab w:pos="9324" w:val="left" w:leader="none"/>
        </w:tabs>
        <w:spacing w:before="53"/>
        <w:ind w:left="1035" w:right="0" w:firstLine="0"/>
        <w:jc w:val="left"/>
        <w:rPr>
          <w:rFonts w:ascii="Arial" w:hAnsi="Arial" w:cs="Arial" w:eastAsia="Arial" w:hint="default"/>
          <w:sz w:val="18"/>
          <w:szCs w:val="18"/>
        </w:rPr>
      </w:pPr>
      <w:r>
        <w:rPr>
          <w:rFonts w:ascii="宋体" w:hAnsi="宋体" w:cs="宋体" w:eastAsia="宋体" w:hint="default"/>
          <w:position w:val="1"/>
          <w:sz w:val="18"/>
          <w:szCs w:val="18"/>
        </w:rPr>
        <w:t>三到四年</w:t>
        <w:tab/>
      </w:r>
      <w:r>
        <w:rPr>
          <w:rFonts w:ascii="Arial" w:hAnsi="Arial" w:cs="Arial" w:eastAsia="Arial" w:hint="default"/>
          <w:w w:val="95"/>
          <w:sz w:val="18"/>
          <w:szCs w:val="18"/>
        </w:rPr>
        <w:t>1,503</w:t>
        <w:tab/>
        <w:t>1.2%</w:t>
        <w:tab/>
        <w:t>(451)</w:t>
        <w:tab/>
        <w:t>30%</w:t>
        <w:tab/>
        <w:t>1,506</w:t>
        <w:tab/>
        <w:t>0.1%</w:t>
        <w:tab/>
        <w:t>(452)</w:t>
        <w:tab/>
      </w:r>
      <w:r>
        <w:rPr>
          <w:rFonts w:ascii="Arial" w:hAnsi="Arial" w:cs="Arial" w:eastAsia="Arial" w:hint="default"/>
          <w:sz w:val="18"/>
          <w:szCs w:val="18"/>
        </w:rPr>
        <w:t>30%</w:t>
      </w:r>
    </w:p>
    <w:p>
      <w:pPr>
        <w:tabs>
          <w:tab w:pos="2740" w:val="left" w:leader="none"/>
          <w:tab w:pos="3443" w:val="left" w:leader="none"/>
          <w:tab w:pos="4640" w:val="left" w:leader="none"/>
          <w:tab w:pos="5526" w:val="left" w:leader="none"/>
          <w:tab w:pos="6664" w:val="left" w:leader="none"/>
          <w:tab w:pos="7531" w:val="left" w:leader="none"/>
          <w:tab w:pos="8621" w:val="left" w:leader="none"/>
          <w:tab w:pos="9324" w:val="left" w:leader="none"/>
        </w:tabs>
        <w:spacing w:before="56"/>
        <w:ind w:left="1035" w:right="0" w:firstLine="0"/>
        <w:jc w:val="left"/>
        <w:rPr>
          <w:rFonts w:ascii="Arial" w:hAnsi="Arial" w:cs="Arial" w:eastAsia="Arial" w:hint="default"/>
          <w:sz w:val="18"/>
          <w:szCs w:val="18"/>
        </w:rPr>
      </w:pPr>
      <w:r>
        <w:rPr>
          <w:rFonts w:ascii="宋体" w:hAnsi="宋体" w:cs="宋体" w:eastAsia="宋体" w:hint="default"/>
          <w:position w:val="1"/>
          <w:sz w:val="18"/>
          <w:szCs w:val="18"/>
        </w:rPr>
        <w:t>四到五年</w:t>
        <w:tab/>
      </w:r>
      <w:r>
        <w:rPr>
          <w:rFonts w:ascii="Arial" w:hAnsi="Arial" w:cs="Arial" w:eastAsia="Arial" w:hint="default"/>
          <w:w w:val="95"/>
          <w:sz w:val="18"/>
          <w:szCs w:val="18"/>
        </w:rPr>
        <w:t>536</w:t>
        <w:tab/>
        <w:t>0.4%</w:t>
        <w:tab/>
        <w:t>(321)</w:t>
        <w:tab/>
        <w:t>60%</w:t>
        <w:tab/>
        <w:t>1,443</w:t>
        <w:tab/>
        <w:t>0.1%</w:t>
        <w:tab/>
        <w:t>(866)</w:t>
        <w:tab/>
      </w:r>
      <w:r>
        <w:rPr>
          <w:rFonts w:ascii="Arial" w:hAnsi="Arial" w:cs="Arial" w:eastAsia="Arial" w:hint="default"/>
          <w:sz w:val="18"/>
          <w:szCs w:val="18"/>
        </w:rPr>
        <w:t>60%</w:t>
      </w:r>
    </w:p>
    <w:p>
      <w:pPr>
        <w:tabs>
          <w:tab w:pos="2740" w:val="left" w:leader="none"/>
          <w:tab w:pos="3443" w:val="left" w:leader="none"/>
          <w:tab w:pos="4640" w:val="left" w:leader="none"/>
          <w:tab w:pos="5426" w:val="left" w:leader="none"/>
          <w:tab w:pos="7014" w:val="left" w:leader="none"/>
          <w:tab w:pos="7531" w:val="left" w:leader="none"/>
          <w:tab w:pos="8820" w:val="left" w:leader="none"/>
        </w:tabs>
        <w:spacing w:before="53"/>
        <w:ind w:left="1035" w:right="0" w:firstLine="0"/>
        <w:jc w:val="left"/>
        <w:rPr>
          <w:rFonts w:ascii="Arial" w:hAnsi="Arial" w:cs="Arial" w:eastAsia="Arial" w:hint="default"/>
          <w:sz w:val="18"/>
          <w:szCs w:val="18"/>
        </w:rPr>
      </w:pPr>
      <w:r>
        <w:rPr>
          <w:rFonts w:ascii="宋体" w:hAnsi="宋体" w:cs="宋体" w:eastAsia="宋体" w:hint="default"/>
          <w:position w:val="1"/>
          <w:sz w:val="18"/>
          <w:szCs w:val="18"/>
        </w:rPr>
        <w:t>五年以上</w:t>
        <w:tab/>
      </w:r>
      <w:r>
        <w:rPr>
          <w:rFonts w:ascii="Arial" w:hAnsi="Arial" w:cs="Arial" w:eastAsia="Arial" w:hint="default"/>
          <w:w w:val="95"/>
          <w:sz w:val="18"/>
          <w:szCs w:val="18"/>
        </w:rPr>
        <w:t>470</w:t>
        <w:tab/>
        <w:t>0.4%</w:t>
        <w:tab/>
        <w:t>(470)</w:t>
        <w:tab/>
        <w:t>100%</w:t>
        <w:tab/>
        <w:t>8</w:t>
        <w:tab/>
        <w:t>0.0%</w:t>
        <w:tab/>
      </w:r>
      <w:r>
        <w:rPr>
          <w:rFonts w:ascii="Arial" w:hAnsi="Arial" w:cs="Arial" w:eastAsia="Arial" w:hint="default"/>
          <w:sz w:val="18"/>
          <w:szCs w:val="18"/>
        </w:rPr>
        <w:t>(8)  </w:t>
      </w:r>
      <w:r>
        <w:rPr>
          <w:rFonts w:ascii="Arial" w:hAnsi="Arial" w:cs="Arial" w:eastAsia="Arial" w:hint="default"/>
          <w:spacing w:val="31"/>
          <w:sz w:val="18"/>
          <w:szCs w:val="18"/>
        </w:rPr>
        <w:t> </w:t>
      </w:r>
      <w:r>
        <w:rPr>
          <w:rFonts w:ascii="Arial" w:hAnsi="Arial" w:cs="Arial" w:eastAsia="Arial" w:hint="default"/>
          <w:sz w:val="18"/>
          <w:szCs w:val="18"/>
        </w:rPr>
        <w:t>100%</w:t>
      </w:r>
    </w:p>
    <w:p>
      <w:pPr>
        <w:spacing w:line="240" w:lineRule="auto" w:before="9"/>
        <w:rPr>
          <w:rFonts w:ascii="Arial" w:hAnsi="Arial" w:cs="Arial" w:eastAsia="Arial" w:hint="default"/>
          <w:sz w:val="3"/>
          <w:szCs w:val="3"/>
        </w:rPr>
      </w:pPr>
    </w:p>
    <w:p>
      <w:pPr>
        <w:tabs>
          <w:tab w:pos="4144" w:val="left" w:leader="none"/>
          <w:tab w:pos="6079" w:val="left" w:leader="none"/>
        </w:tabs>
        <w:spacing w:line="20" w:lineRule="exact"/>
        <w:ind w:left="2060" w:right="0" w:firstLine="0"/>
        <w:rPr>
          <w:rFonts w:ascii="Arial" w:hAnsi="Arial" w:cs="Arial" w:eastAsia="Arial" w:hint="default"/>
          <w:sz w:val="2"/>
          <w:szCs w:val="2"/>
        </w:rPr>
      </w:pPr>
      <w:r>
        <w:rPr>
          <w:rFonts w:ascii="Arial"/>
          <w:sz w:val="2"/>
        </w:rPr>
        <w:pict>
          <v:group style="width:92.7pt;height:.5pt;mso-position-horizontal-relative:char;mso-position-vertical-relative:line" coordorigin="0,0" coordsize="1854,10">
            <v:group style="position:absolute;left:5;top:5;width:1033;height:2" coordorigin="5,5" coordsize="1033,2">
              <v:shape style="position:absolute;left:5;top:5;width:1033;height:2" coordorigin="5,5" coordsize="1033,0" path="m5,5l1037,5e" filled="false" stroked="true" strokeweight=".48pt" strokecolor="#000000">
                <v:path arrowok="t"/>
              </v:shape>
            </v:group>
            <v:group style="position:absolute;left:1037;top:5;width:10;height:2" coordorigin="1037,5" coordsize="10,2">
              <v:shape style="position:absolute;left:1037;top:5;width:10;height:2" coordorigin="1037,5" coordsize="10,0" path="m1037,5l1047,5e" filled="false" stroked="true" strokeweight=".48pt" strokecolor="#000000">
                <v:path arrowok="t"/>
              </v:shape>
            </v:group>
            <v:group style="position:absolute;left:1047;top:5;width:802;height:2" coordorigin="1047,5" coordsize="802,2">
              <v:shape style="position:absolute;left:1047;top:5;width:802;height:2" coordorigin="1047,5" coordsize="802,0" path="m1047,5l1849,5e" filled="false" stroked="true" strokeweight=".48pt" strokecolor="#000000">
                <v:path arrowok="t"/>
              </v:shape>
            </v:group>
          </v:group>
        </w:pict>
      </w:r>
      <w:r>
        <w:rPr>
          <w:rFonts w:ascii="Arial"/>
          <w:sz w:val="2"/>
        </w:rPr>
      </w:r>
      <w:r>
        <w:rPr>
          <w:rFonts w:ascii="Arial"/>
          <w:sz w:val="2"/>
        </w:rPr>
        <w:tab/>
      </w:r>
      <w:r>
        <w:rPr>
          <w:rFonts w:ascii="Arial"/>
          <w:sz w:val="2"/>
        </w:rPr>
        <w:pict>
          <v:group style="width:48.9pt;height:.5pt;mso-position-horizontal-relative:char;mso-position-vertical-relative:line" coordorigin="0,0" coordsize="978,10">
            <v:group style="position:absolute;left:5;top:5;width:968;height:2" coordorigin="5,5" coordsize="968,2">
              <v:shape style="position:absolute;left:5;top:5;width:968;height:2" coordorigin="5,5" coordsize="968,0" path="m5,5l972,5e" filled="false" stroked="true" strokeweight=".48pt" strokecolor="#000000">
                <v:path arrowok="t"/>
              </v:shape>
            </v:group>
          </v:group>
        </w:pict>
      </w:r>
      <w:r>
        <w:rPr>
          <w:rFonts w:ascii="Arial"/>
          <w:sz w:val="2"/>
        </w:rPr>
      </w:r>
      <w:r>
        <w:rPr>
          <w:rFonts w:ascii="Arial"/>
          <w:sz w:val="2"/>
        </w:rPr>
        <w:tab/>
      </w:r>
      <w:r>
        <w:rPr>
          <w:rFonts w:ascii="Arial"/>
          <w:sz w:val="2"/>
        </w:rPr>
        <w:pict>
          <v:group style="width:96.3pt;height:.5pt;mso-position-horizontal-relative:char;mso-position-vertical-relative:line" coordorigin="0,0" coordsize="1926,10">
            <v:group style="position:absolute;left:5;top:5;width:1088;height:2" coordorigin="5,5" coordsize="1088,2">
              <v:shape style="position:absolute;left:5;top:5;width:1088;height:2" coordorigin="5,5" coordsize="1088,0" path="m5,5l1092,5e" filled="false" stroked="true" strokeweight=".48pt" strokecolor="#000000">
                <v:path arrowok="t"/>
              </v:shape>
            </v:group>
            <v:group style="position:absolute;left:1092;top:5;width:10;height:2" coordorigin="1092,5" coordsize="10,2">
              <v:shape style="position:absolute;left:1092;top:5;width:10;height:2" coordorigin="1092,5" coordsize="10,0" path="m1092,5l1102,5e" filled="false" stroked="true" strokeweight=".48pt" strokecolor="#000000">
                <v:path arrowok="t"/>
              </v:shape>
            </v:group>
            <v:group style="position:absolute;left:1102;top:5;width:819;height:2" coordorigin="1102,5" coordsize="819,2">
              <v:shape style="position:absolute;left:1102;top:5;width:819;height:2" coordorigin="1102,5" coordsize="819,0" path="m1102,5l1920,5e" filled="false" stroked="true" strokeweight=".48pt" strokecolor="#000000">
                <v:path arrowok="t"/>
              </v:shape>
            </v:group>
          </v:group>
        </w:pict>
      </w:r>
      <w:r>
        <w:rPr>
          <w:rFonts w:ascii="Arial"/>
          <w:sz w:val="2"/>
        </w:rPr>
      </w:r>
      <w:r>
        <w:rPr>
          <w:rFonts w:ascii="Times New Roman"/>
          <w:spacing w:val="114"/>
          <w:sz w:val="2"/>
        </w:rPr>
        <w:t> </w:t>
      </w:r>
      <w:r>
        <w:rPr>
          <w:rFonts w:ascii="Arial"/>
          <w:spacing w:val="114"/>
          <w:sz w:val="2"/>
        </w:rPr>
        <w:pict>
          <v:group style="width:48.6pt;height:.5pt;mso-position-horizontal-relative:char;mso-position-vertical-relative:line" coordorigin="0,0" coordsize="972,10">
            <v:group style="position:absolute;left:5;top:5;width:963;height:2" coordorigin="5,5" coordsize="963,2">
              <v:shape style="position:absolute;left:5;top:5;width:963;height:2" coordorigin="5,5" coordsize="963,0" path="m5,5l967,5e" filled="false" stroked="true" strokeweight=".48pt" strokecolor="#000000">
                <v:path arrowok="t"/>
              </v:shape>
            </v:group>
          </v:group>
        </w:pict>
      </w:r>
      <w:r>
        <w:rPr>
          <w:rFonts w:ascii="Arial"/>
          <w:spacing w:val="114"/>
          <w:sz w:val="2"/>
        </w:rPr>
      </w:r>
    </w:p>
    <w:p>
      <w:pPr>
        <w:tabs>
          <w:tab w:pos="3244" w:val="left" w:leader="none"/>
          <w:tab w:pos="4489" w:val="left" w:leader="none"/>
          <w:tab w:pos="6314" w:val="left" w:leader="none"/>
          <w:tab w:pos="7331" w:val="left" w:leader="none"/>
          <w:tab w:pos="8369" w:val="left" w:leader="none"/>
        </w:tabs>
        <w:spacing w:before="27"/>
        <w:ind w:left="2389" w:right="846" w:firstLine="0"/>
        <w:jc w:val="left"/>
        <w:rPr>
          <w:rFonts w:ascii="Arial" w:hAnsi="Arial" w:cs="Arial" w:eastAsia="Arial" w:hint="default"/>
          <w:sz w:val="18"/>
          <w:szCs w:val="18"/>
        </w:rPr>
      </w:pPr>
      <w:r>
        <w:rPr>
          <w:rFonts w:ascii="Arial"/>
          <w:spacing w:val="-1"/>
          <w:sz w:val="18"/>
        </w:rPr>
        <w:t>130,289</w:t>
        <w:tab/>
        <w:t>100.0%</w:t>
        <w:tab/>
      </w:r>
      <w:r>
        <w:rPr>
          <w:rFonts w:ascii="Arial"/>
          <w:sz w:val="18"/>
        </w:rPr>
        <w:t>(8,065)</w:t>
        <w:tab/>
      </w:r>
      <w:r>
        <w:rPr>
          <w:rFonts w:ascii="Arial"/>
          <w:spacing w:val="-1"/>
          <w:sz w:val="18"/>
        </w:rPr>
        <w:t>2,215,934</w:t>
        <w:tab/>
        <w:t>100.0%</w:t>
        <w:tab/>
        <w:t>(12,819)</w:t>
      </w:r>
    </w:p>
    <w:p>
      <w:pPr>
        <w:spacing w:line="240" w:lineRule="auto" w:before="7"/>
        <w:rPr>
          <w:rFonts w:ascii="Arial" w:hAnsi="Arial" w:cs="Arial" w:eastAsia="Arial" w:hint="default"/>
          <w:sz w:val="3"/>
          <w:szCs w:val="3"/>
        </w:rPr>
      </w:pPr>
    </w:p>
    <w:p>
      <w:pPr>
        <w:spacing w:line="31" w:lineRule="exact"/>
        <w:ind w:left="249" w:right="0" w:firstLine="0"/>
        <w:rPr>
          <w:rFonts w:ascii="Arial" w:hAnsi="Arial" w:cs="Arial" w:eastAsia="Arial" w:hint="default"/>
          <w:sz w:val="3"/>
          <w:szCs w:val="3"/>
        </w:rPr>
      </w:pPr>
      <w:r>
        <w:rPr>
          <w:rFonts w:ascii="Arial" w:hAnsi="Arial" w:cs="Arial" w:eastAsia="Arial" w:hint="default"/>
          <w:position w:val="0"/>
          <w:sz w:val="3"/>
          <w:szCs w:val="3"/>
        </w:rPr>
        <w:pict>
          <v:group style="width:474.7pt;height:1.6pt;mso-position-horizontal-relative:char;mso-position-vertical-relative:line" coordorigin="0,0" coordsize="9494,32">
            <v:group style="position:absolute;left:1;top:1;width:728;height:2" coordorigin="1,1" coordsize="728,2">
              <v:shape style="position:absolute;left:1;top:1;width:728;height:2" coordorigin="1,1" coordsize="728,0" path="m1,1l728,1e" filled="false" stroked="true" strokeweight=".12pt" strokecolor="#ffff99">
                <v:path arrowok="t"/>
              </v:shape>
            </v:group>
            <v:group style="position:absolute;left:728;top:1;width:1088;height:2" coordorigin="728,1" coordsize="1088,2">
              <v:shape style="position:absolute;left:728;top:1;width:1088;height:2" coordorigin="728,1" coordsize="1088,0" path="m728,1l1816,1e" filled="false" stroked="true" strokeweight=".12pt" strokecolor="#ffff99">
                <v:path arrowok="t"/>
              </v:shape>
            </v:group>
            <v:group style="position:absolute;left:1816;top:1;width:1033;height:2" coordorigin="1816,1" coordsize="1033,2">
              <v:shape style="position:absolute;left:1816;top:1;width:1033;height:2" coordorigin="1816,1" coordsize="1033,0" path="m1816,1l2848,1e" filled="false" stroked="true" strokeweight=".12pt" strokecolor="#ffff99">
                <v:path arrowok="t"/>
              </v:shape>
            </v:group>
            <v:group style="position:absolute;left:2848;top:1;width:812;height:2" coordorigin="2848,1" coordsize="812,2">
              <v:shape style="position:absolute;left:2848;top:1;width:812;height:2" coordorigin="2848,1" coordsize="812,0" path="m2848,1l3659,1e" filled="false" stroked="true" strokeweight=".12pt" strokecolor="#ffff99">
                <v:path arrowok="t"/>
              </v:shape>
            </v:group>
            <v:group style="position:absolute;left:3659;top:1;width:240;height:2" coordorigin="3659,1" coordsize="240,2">
              <v:shape style="position:absolute;left:3659;top:1;width:240;height:2" coordorigin="3659,1" coordsize="240,0" path="m3659,1l3899,1e" filled="false" stroked="true" strokeweight=".12pt" strokecolor="#ffff99">
                <v:path arrowok="t"/>
              </v:shape>
            </v:group>
            <v:group style="position:absolute;left:3899;top:1;width:968;height:2" coordorigin="3899,1" coordsize="968,2">
              <v:shape style="position:absolute;left:3899;top:1;width:968;height:2" coordorigin="3899,1" coordsize="968,0" path="m3899,1l4867,1e" filled="false" stroked="true" strokeweight=".12pt" strokecolor="#ffff99">
                <v:path arrowok="t"/>
              </v:shape>
            </v:group>
            <v:group style="position:absolute;left:4867;top:1;width:828;height:2" coordorigin="4867,1" coordsize="828,2">
              <v:shape style="position:absolute;left:4867;top:1;width:828;height:2" coordorigin="4867,1" coordsize="828,0" path="m4867,1l5695,1e" filled="false" stroked="true" strokeweight=".12pt" strokecolor="#ffff99">
                <v:path arrowok="t"/>
              </v:shape>
            </v:group>
            <v:group style="position:absolute;left:5695;top:1;width:140;height:2" coordorigin="5695,1" coordsize="140,2">
              <v:shape style="position:absolute;left:5695;top:1;width:140;height:2" coordorigin="5695,1" coordsize="140,0" path="m5695,1l5834,1e" filled="false" stroked="true" strokeweight=".12pt" strokecolor="#ffff99">
                <v:path arrowok="t"/>
              </v:shape>
            </v:group>
            <v:group style="position:absolute;left:5834;top:1;width:1088;height:2" coordorigin="5834,1" coordsize="1088,2">
              <v:shape style="position:absolute;left:5834;top:1;width:1088;height:2" coordorigin="5834,1" coordsize="1088,0" path="m5834,1l6921,1e" filled="false" stroked="true" strokeweight=".12pt" strokecolor="#ffff99">
                <v:path arrowok="t"/>
              </v:shape>
            </v:group>
            <v:group style="position:absolute;left:6921;top:1;width:829;height:2" coordorigin="6921,1" coordsize="829,2">
              <v:shape style="position:absolute;left:6921;top:1;width:829;height:2" coordorigin="6921,1" coordsize="829,0" path="m6921,1l7750,1e" filled="false" stroked="true" strokeweight=".12pt" strokecolor="#ffff99">
                <v:path arrowok="t"/>
              </v:shape>
            </v:group>
            <v:group style="position:absolute;left:7750;top:1;width:135;height:2" coordorigin="7750,1" coordsize="135,2">
              <v:shape style="position:absolute;left:7750;top:1;width:135;height:2" coordorigin="7750,1" coordsize="135,0" path="m7750,1l7884,1e" filled="false" stroked="true" strokeweight=".12pt" strokecolor="#ffff99">
                <v:path arrowok="t"/>
              </v:shape>
            </v:group>
            <v:group style="position:absolute;left:7884;top:1;width:963;height:2" coordorigin="7884,1" coordsize="963,2">
              <v:shape style="position:absolute;left:7884;top:1;width:963;height:2" coordorigin="7884,1" coordsize="963,0" path="m7884,1l8847,1e" filled="false" stroked="true" strokeweight=".12pt" strokecolor="#ffff99">
                <v:path arrowok="t"/>
              </v:shape>
            </v:group>
            <v:group style="position:absolute;left:8847;top:1;width:646;height:2" coordorigin="8847,1" coordsize="646,2">
              <v:shape style="position:absolute;left:8847;top:1;width:646;height:2" coordorigin="8847,1" coordsize="646,0" path="m8847,1l9492,1e" filled="false" stroked="true" strokeweight=".12pt" strokecolor="#ffff99">
                <v:path arrowok="t"/>
              </v:shape>
            </v:group>
            <v:group style="position:absolute;left:1816;top:17;width:1033;height:2" coordorigin="1816,17" coordsize="1033,2">
              <v:shape style="position:absolute;left:1816;top:17;width:1033;height:2" coordorigin="1816,17" coordsize="1033,0" path="m1816,17l2848,17e" filled="false" stroked="true" strokeweight="1.44pt" strokecolor="#000000">
                <v:path arrowok="t"/>
              </v:shape>
            </v:group>
            <v:group style="position:absolute;left:2848;top:17;width:29;height:2" coordorigin="2848,17" coordsize="29,2">
              <v:shape style="position:absolute;left:2848;top:17;width:29;height:2" coordorigin="2848,17" coordsize="29,0" path="m2848,17l2877,17e" filled="false" stroked="true" strokeweight="1.44pt" strokecolor="#000000">
                <v:path arrowok="t"/>
              </v:shape>
            </v:group>
            <v:group style="position:absolute;left:2877;top:17;width:783;height:2" coordorigin="2877,17" coordsize="783,2">
              <v:shape style="position:absolute;left:2877;top:17;width:783;height:2" coordorigin="2877,17" coordsize="783,0" path="m2877,17l3659,17e" filled="false" stroked="true" strokeweight="1.44pt" strokecolor="#000000">
                <v:path arrowok="t"/>
              </v:shape>
            </v:group>
            <v:group style="position:absolute;left:3899;top:17;width:968;height:2" coordorigin="3899,17" coordsize="968,2">
              <v:shape style="position:absolute;left:3899;top:17;width:968;height:2" coordorigin="3899,17" coordsize="968,0" path="m3899,17l4867,17e" filled="false" stroked="true" strokeweight="1.44pt" strokecolor="#000000">
                <v:path arrowok="t"/>
              </v:shape>
            </v:group>
            <v:group style="position:absolute;left:5834;top:17;width:1088;height:2" coordorigin="5834,17" coordsize="1088,2">
              <v:shape style="position:absolute;left:5834;top:17;width:1088;height:2" coordorigin="5834,17" coordsize="1088,0" path="m5834,17l6921,17e" filled="false" stroked="true" strokeweight="1.44pt" strokecolor="#000000">
                <v:path arrowok="t"/>
              </v:shape>
            </v:group>
            <v:group style="position:absolute;left:6921;top:17;width:29;height:2" coordorigin="6921,17" coordsize="29,2">
              <v:shape style="position:absolute;left:6921;top:17;width:29;height:2" coordorigin="6921,17" coordsize="29,0" path="m6921,17l6950,17e" filled="false" stroked="true" strokeweight="1.44pt" strokecolor="#000000">
                <v:path arrowok="t"/>
              </v:shape>
            </v:group>
            <v:group style="position:absolute;left:6950;top:17;width:800;height:2" coordorigin="6950,17" coordsize="800,2">
              <v:shape style="position:absolute;left:6950;top:17;width:800;height:2" coordorigin="6950,17" coordsize="800,0" path="m6950,17l7750,17e" filled="false" stroked="true" strokeweight="1.44pt" strokecolor="#000000">
                <v:path arrowok="t"/>
              </v:shape>
            </v:group>
            <v:group style="position:absolute;left:7884;top:17;width:963;height:2" coordorigin="7884,17" coordsize="963,2">
              <v:shape style="position:absolute;left:7884;top:17;width:963;height:2" coordorigin="7884,17" coordsize="963,0" path="m7884,17l8847,17e" filled="false" stroked="true" strokeweight="1.44pt" strokecolor="#000000">
                <v:path arrowok="t"/>
              </v:shape>
            </v:group>
          </v:group>
        </w:pict>
      </w:r>
      <w:r>
        <w:rPr>
          <w:rFonts w:ascii="Arial" w:hAnsi="Arial" w:cs="Arial" w:eastAsia="Arial" w:hint="default"/>
          <w:position w:val="0"/>
          <w:sz w:val="3"/>
          <w:szCs w:val="3"/>
        </w:rPr>
      </w:r>
    </w:p>
    <w:p>
      <w:pPr>
        <w:spacing w:line="240" w:lineRule="auto" w:before="3"/>
        <w:rPr>
          <w:rFonts w:ascii="Arial" w:hAnsi="Arial" w:cs="Arial" w:eastAsia="Arial" w:hint="default"/>
          <w:sz w:val="28"/>
          <w:szCs w:val="28"/>
        </w:rPr>
      </w:pPr>
    </w:p>
    <w:p>
      <w:pPr>
        <w:pStyle w:val="Heading3"/>
        <w:tabs>
          <w:tab w:pos="1035" w:val="left" w:leader="none"/>
        </w:tabs>
        <w:spacing w:line="240" w:lineRule="auto" w:before="33"/>
        <w:ind w:left="308" w:right="846"/>
        <w:jc w:val="left"/>
      </w:pPr>
      <w:r>
        <w:rPr>
          <w:rFonts w:ascii="Arial" w:hAnsi="Arial" w:cs="Arial" w:eastAsia="Arial" w:hint="default"/>
          <w:spacing w:val="-1"/>
          <w:position w:val="2"/>
        </w:rPr>
        <w:t>(d)</w:t>
        <w:tab/>
      </w:r>
      <w:r>
        <w:rPr/>
        <w:t>本年度实际核销的其他应收款分析如下：</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50"/>
          <w:pgMar w:top="1060" w:bottom="1540" w:left="1420" w:right="0"/>
        </w:sectPr>
      </w:pPr>
    </w:p>
    <w:p>
      <w:pPr>
        <w:pStyle w:val="Heading3"/>
        <w:spacing w:line="313" w:lineRule="exact" w:before="170"/>
        <w:ind w:left="3502" w:right="3223"/>
        <w:jc w:val="center"/>
      </w:pPr>
      <w:r>
        <w:rPr/>
        <w:t>其他应收</w:t>
      </w:r>
    </w:p>
    <w:p>
      <w:pPr>
        <w:pStyle w:val="Heading3"/>
        <w:tabs>
          <w:tab w:pos="6765" w:val="left" w:leader="none"/>
        </w:tabs>
        <w:spacing w:line="313" w:lineRule="exact"/>
        <w:ind w:left="3762" w:right="-20"/>
        <w:jc w:val="left"/>
      </w:pPr>
      <w:r>
        <w:rPr/>
        <w:t>款性质</w:t>
      </w:r>
      <w:r>
        <w:rPr>
          <w:spacing w:val="64"/>
        </w:rPr>
        <w:t> </w:t>
      </w:r>
      <w:r>
        <w:rPr/>
        <w:t>核销金额</w:t>
        <w:tab/>
        <w:t>核销原因</w:t>
      </w:r>
    </w:p>
    <w:p>
      <w:pPr>
        <w:pStyle w:val="Heading3"/>
        <w:spacing w:line="310" w:lineRule="exact" w:before="203"/>
        <w:ind w:left="438" w:right="1303" w:hanging="240"/>
        <w:jc w:val="left"/>
      </w:pPr>
      <w:r>
        <w:rPr/>
        <w:br w:type="column"/>
      </w:r>
      <w:r>
        <w:rPr/>
        <w:t>是否因关联 交易产生</w:t>
      </w:r>
    </w:p>
    <w:p>
      <w:pPr>
        <w:spacing w:after="0" w:line="310" w:lineRule="exact"/>
        <w:jc w:val="left"/>
        <w:sectPr>
          <w:type w:val="continuous"/>
          <w:pgSz w:w="11910" w:h="16850"/>
          <w:pgMar w:top="1060" w:bottom="1540" w:left="1420" w:right="0"/>
          <w:cols w:num="2" w:equalWidth="0">
            <w:col w:w="7726" w:space="40"/>
            <w:col w:w="2724"/>
          </w:cols>
        </w:sectPr>
      </w:pPr>
    </w:p>
    <w:p>
      <w:pPr>
        <w:spacing w:line="240" w:lineRule="auto" w:before="1"/>
        <w:rPr>
          <w:rFonts w:ascii="宋体" w:hAnsi="宋体" w:cs="宋体" w:eastAsia="宋体" w:hint="default"/>
          <w:sz w:val="29"/>
          <w:szCs w:val="29"/>
        </w:rPr>
      </w:pPr>
    </w:p>
    <w:p>
      <w:pPr>
        <w:pStyle w:val="Heading3"/>
        <w:spacing w:line="310" w:lineRule="exact" w:before="26"/>
        <w:ind w:left="1033" w:right="6562"/>
        <w:jc w:val="left"/>
      </w:pPr>
      <w:r>
        <w:rPr>
          <w:spacing w:val="21"/>
        </w:rPr>
        <w:t>南京市创尔特商贸有</w:t>
      </w:r>
      <w:r>
        <w:rPr>
          <w:spacing w:val="-96"/>
        </w:rPr>
        <w:t> </w:t>
      </w:r>
      <w:r>
        <w:rPr/>
      </w:r>
    </w:p>
    <w:p>
      <w:pPr>
        <w:pStyle w:val="Heading3"/>
        <w:tabs>
          <w:tab w:pos="4002" w:val="left" w:leader="none"/>
          <w:tab w:pos="5361" w:val="left" w:leader="none"/>
          <w:tab w:pos="8923" w:val="left" w:leader="none"/>
        </w:tabs>
        <w:spacing w:line="273" w:lineRule="auto"/>
        <w:ind w:left="1035" w:right="1320" w:firstLine="204"/>
        <w:jc w:val="left"/>
      </w:pPr>
      <w:r>
        <w:rPr>
          <w:position w:val="2"/>
        </w:rPr>
        <w:t>限公司</w:t>
        <w:tab/>
      </w:r>
      <w:r>
        <w:rPr>
          <w:position w:val="1"/>
        </w:rPr>
        <w:t>货款</w:t>
        <w:tab/>
      </w:r>
      <w:r>
        <w:rPr>
          <w:rFonts w:ascii="Arial" w:hAnsi="Arial" w:cs="Arial" w:eastAsia="Arial" w:hint="default"/>
        </w:rPr>
        <w:t>48 </w:t>
      </w:r>
      <w:r>
        <w:rPr>
          <w:rFonts w:ascii="Arial" w:hAnsi="Arial" w:cs="Arial" w:eastAsia="Arial" w:hint="default"/>
          <w:spacing w:val="42"/>
        </w:rPr>
        <w:t> </w:t>
      </w:r>
      <w:r>
        <w:rPr>
          <w:position w:val="1"/>
        </w:rPr>
        <w:t>长时间催讨无结果</w:t>
        <w:tab/>
        <w:t>否 </w:t>
      </w:r>
      <w:r>
        <w:rPr>
          <w:spacing w:val="-1"/>
          <w:position w:val="1"/>
        </w:rPr>
        <w:t>其他</w:t>
      </w:r>
      <w:r>
        <w:rPr>
          <w:rFonts w:ascii="Arial" w:hAnsi="Arial" w:cs="Arial" w:eastAsia="Arial" w:hint="default"/>
          <w:spacing w:val="-1"/>
          <w:position w:val="1"/>
        </w:rPr>
        <w:t>(</w:t>
      </w:r>
      <w:r>
        <w:rPr>
          <w:spacing w:val="-1"/>
          <w:position w:val="1"/>
        </w:rPr>
        <w:t>单笔金额较小</w:t>
      </w:r>
      <w:r>
        <w:rPr>
          <w:rFonts w:ascii="Arial" w:hAnsi="Arial" w:cs="Arial" w:eastAsia="Arial" w:hint="default"/>
          <w:spacing w:val="-1"/>
          <w:position w:val="1"/>
        </w:rPr>
        <w:t>)</w:t>
        <w:tab/>
        <w:tab/>
      </w:r>
      <w:r>
        <w:rPr>
          <w:rFonts w:ascii="Arial" w:hAnsi="Arial" w:cs="Arial" w:eastAsia="Arial" w:hint="default"/>
        </w:rPr>
        <w:t>46 </w:t>
      </w:r>
      <w:r>
        <w:rPr>
          <w:rFonts w:ascii="Arial" w:hAnsi="Arial" w:cs="Arial" w:eastAsia="Arial" w:hint="default"/>
          <w:spacing w:val="42"/>
        </w:rPr>
        <w:t> </w:t>
      </w:r>
      <w:r>
        <w:rPr>
          <w:position w:val="1"/>
        </w:rPr>
        <w:t>长时间催讨无结果</w:t>
        <w:tab/>
        <w:t>否</w:t>
      </w:r>
      <w:r>
        <w:rPr/>
      </w:r>
    </w:p>
    <w:p>
      <w:pPr>
        <w:spacing w:line="20" w:lineRule="exact"/>
        <w:ind w:left="4535" w:right="0" w:firstLine="0"/>
        <w:rPr>
          <w:rFonts w:ascii="宋体" w:hAnsi="宋体" w:cs="宋体" w:eastAsia="宋体" w:hint="default"/>
          <w:sz w:val="2"/>
          <w:szCs w:val="2"/>
        </w:rPr>
      </w:pPr>
      <w:r>
        <w:rPr>
          <w:rFonts w:ascii="宋体" w:hAnsi="宋体" w:cs="宋体" w:eastAsia="宋体" w:hint="default"/>
          <w:sz w:val="2"/>
          <w:szCs w:val="2"/>
        </w:rPr>
        <w:pict>
          <v:group style="width:57.65pt;height:.5pt;mso-position-horizontal-relative:char;mso-position-vertical-relative:line" coordorigin="0,0" coordsize="1153,10">
            <v:group style="position:absolute;left:5;top:5;width:1143;height:2" coordorigin="5,5" coordsize="1143,2">
              <v:shape style="position:absolute;left:5;top:5;width:1143;height:2" coordorigin="5,5" coordsize="1143,0" path="m5,5l1148,5e" filled="false" stroked="true" strokeweight=".48pt" strokecolor="#000000">
                <v:path arrowok="t"/>
              </v:shape>
            </v:group>
          </v:group>
        </w:pict>
      </w:r>
      <w:r>
        <w:rPr>
          <w:rFonts w:ascii="宋体" w:hAnsi="宋体" w:cs="宋体" w:eastAsia="宋体" w:hint="default"/>
          <w:sz w:val="2"/>
          <w:szCs w:val="2"/>
        </w:rPr>
      </w:r>
    </w:p>
    <w:p>
      <w:pPr>
        <w:pStyle w:val="Heading3"/>
        <w:spacing w:line="240" w:lineRule="auto" w:before="32"/>
        <w:ind w:left="1426" w:right="921"/>
        <w:jc w:val="center"/>
        <w:rPr>
          <w:rFonts w:ascii="Arial" w:hAnsi="Arial" w:cs="Arial" w:eastAsia="Arial" w:hint="default"/>
        </w:rPr>
      </w:pPr>
      <w:r>
        <w:rPr>
          <w:rFonts w:ascii="Arial"/>
        </w:rPr>
        <w:t>94</w:t>
      </w:r>
    </w:p>
    <w:p>
      <w:pPr>
        <w:spacing w:line="240" w:lineRule="auto" w:before="9"/>
        <w:rPr>
          <w:rFonts w:ascii="Arial" w:hAnsi="Arial" w:cs="Arial" w:eastAsia="Arial" w:hint="default"/>
          <w:sz w:val="3"/>
          <w:szCs w:val="3"/>
        </w:rPr>
      </w:pPr>
    </w:p>
    <w:p>
      <w:pPr>
        <w:spacing w:line="28" w:lineRule="exact"/>
        <w:ind w:left="4525" w:right="0" w:firstLine="0"/>
        <w:rPr>
          <w:rFonts w:ascii="Arial" w:hAnsi="Arial" w:cs="Arial" w:eastAsia="Arial" w:hint="default"/>
          <w:sz w:val="2"/>
          <w:szCs w:val="2"/>
        </w:rPr>
      </w:pPr>
      <w:r>
        <w:rPr>
          <w:rFonts w:ascii="Arial" w:hAnsi="Arial" w:cs="Arial" w:eastAsia="Arial" w:hint="default"/>
          <w:position w:val="0"/>
          <w:sz w:val="2"/>
          <w:szCs w:val="2"/>
        </w:rPr>
        <w:pict>
          <v:group style="width:58.6pt;height:1.45pt;mso-position-horizontal-relative:char;mso-position-vertical-relative:line" coordorigin="0,0" coordsize="1172,29">
            <v:group style="position:absolute;left:14;top:14;width:1143;height:2" coordorigin="14,14" coordsize="1143,2">
              <v:shape style="position:absolute;left:14;top:14;width:1143;height:2" coordorigin="14,14" coordsize="1143,0" path="m14,14l1157,14e" filled="false" stroked="true" strokeweight="1.44pt" strokecolor="#000000">
                <v:path arrowok="t"/>
              </v:shape>
            </v:group>
          </v:group>
        </w:pict>
      </w:r>
      <w:r>
        <w:rPr>
          <w:rFonts w:ascii="Arial" w:hAnsi="Arial" w:cs="Arial" w:eastAsia="Arial" w:hint="default"/>
          <w:position w:val="0"/>
          <w:sz w:val="2"/>
          <w:szCs w:val="2"/>
        </w:rPr>
      </w:r>
    </w:p>
    <w:p>
      <w:pPr>
        <w:spacing w:after="0" w:line="28" w:lineRule="exact"/>
        <w:rPr>
          <w:rFonts w:ascii="Arial" w:hAnsi="Arial" w:cs="Arial" w:eastAsia="Arial" w:hint="default"/>
          <w:sz w:val="2"/>
          <w:szCs w:val="2"/>
        </w:rPr>
        <w:sectPr>
          <w:type w:val="continuous"/>
          <w:pgSz w:w="11910" w:h="16850"/>
          <w:pgMar w:top="1060" w:bottom="1540" w:left="1420" w:right="0"/>
        </w:sectPr>
      </w:pPr>
    </w:p>
    <w:p>
      <w:pPr>
        <w:spacing w:line="240" w:lineRule="auto" w:before="5"/>
        <w:rPr>
          <w:rFonts w:ascii="Arial" w:hAnsi="Arial" w:cs="Arial" w:eastAsia="Arial" w:hint="default"/>
          <w:sz w:val="24"/>
          <w:szCs w:val="24"/>
        </w:rPr>
      </w:pPr>
    </w:p>
    <w:p>
      <w:pPr>
        <w:pStyle w:val="Heading3"/>
        <w:tabs>
          <w:tab w:pos="870" w:val="left" w:leader="none"/>
        </w:tabs>
        <w:spacing w:line="427" w:lineRule="auto" w:before="26"/>
        <w:ind w:left="148" w:right="7133"/>
        <w:jc w:val="left"/>
        <w:rPr>
          <w:rFonts w:ascii="Arial" w:hAnsi="Arial" w:cs="Arial" w:eastAsia="Arial" w:hint="default"/>
        </w:rPr>
      </w:pPr>
      <w:r>
        <w:rPr>
          <w:rFonts w:ascii="黑体" w:hAnsi="黑体" w:cs="黑体" w:eastAsia="黑体" w:hint="default"/>
        </w:rPr>
        <w:t>十五</w:t>
        <w:tab/>
        <w:t>公司财务报表附注</w:t>
      </w:r>
      <w:r>
        <w:rPr>
          <w:rFonts w:ascii="Arial" w:hAnsi="Arial" w:cs="Arial" w:eastAsia="Arial" w:hint="default"/>
        </w:rPr>
        <w:t>(</w:t>
      </w:r>
      <w:r>
        <w:rPr>
          <w:rFonts w:ascii="黑体" w:hAnsi="黑体" w:cs="黑体" w:eastAsia="黑体" w:hint="default"/>
        </w:rPr>
        <w:t>续</w:t>
      </w:r>
      <w:r>
        <w:rPr>
          <w:rFonts w:ascii="Arial" w:hAnsi="Arial" w:cs="Arial" w:eastAsia="Arial" w:hint="default"/>
        </w:rPr>
        <w:t>) </w:t>
      </w:r>
      <w:r>
        <w:rPr>
          <w:rFonts w:ascii="Arial" w:hAnsi="Arial" w:cs="Arial" w:eastAsia="Arial" w:hint="default"/>
          <w:w w:val="95"/>
          <w:position w:val="2"/>
        </w:rPr>
        <w:t>(2)</w:t>
        <w:tab/>
      </w:r>
      <w:r>
        <w:rPr>
          <w:rFonts w:ascii="黑体" w:hAnsi="黑体" w:cs="黑体" w:eastAsia="黑体" w:hint="default"/>
        </w:rPr>
        <w:t>其他应收款</w:t>
      </w:r>
      <w:r>
        <w:rPr>
          <w:rFonts w:ascii="黑体" w:hAnsi="黑体" w:cs="黑体" w:eastAsia="黑体" w:hint="default"/>
          <w:spacing w:val="-1"/>
        </w:rPr>
        <w:t> </w:t>
      </w:r>
      <w:r>
        <w:rPr>
          <w:rFonts w:ascii="Arial" w:hAnsi="Arial" w:cs="Arial" w:eastAsia="Arial" w:hint="default"/>
        </w:rPr>
        <w:t>(</w:t>
      </w:r>
      <w:r>
        <w:rPr>
          <w:rFonts w:ascii="黑体" w:hAnsi="黑体" w:cs="黑体" w:eastAsia="黑体" w:hint="default"/>
        </w:rPr>
        <w:t>续</w:t>
      </w:r>
      <w:r>
        <w:rPr>
          <w:rFonts w:ascii="Arial" w:hAnsi="Arial" w:cs="Arial" w:eastAsia="Arial" w:hint="default"/>
        </w:rPr>
        <w:t>)</w:t>
      </w:r>
    </w:p>
    <w:p>
      <w:pPr>
        <w:pStyle w:val="Heading3"/>
        <w:tabs>
          <w:tab w:pos="870" w:val="left" w:leader="none"/>
        </w:tabs>
        <w:spacing w:line="310" w:lineRule="exact" w:before="64"/>
        <w:ind w:left="870" w:right="1398" w:hanging="723"/>
        <w:jc w:val="left"/>
      </w:pPr>
      <w:r>
        <w:rPr>
          <w:rFonts w:ascii="Arial" w:hAnsi="Arial" w:cs="Arial" w:eastAsia="Arial" w:hint="default"/>
          <w:spacing w:val="-1"/>
          <w:position w:val="2"/>
        </w:rPr>
        <w:t>(e)</w:t>
        <w:tab/>
      </w:r>
      <w:r>
        <w:rPr/>
        <w:t>于</w:t>
      </w:r>
      <w:r>
        <w:rPr>
          <w:spacing w:val="-60"/>
        </w:rPr>
        <w:t> </w:t>
      </w:r>
      <w:r>
        <w:rPr>
          <w:rFonts w:ascii="Arial" w:hAnsi="Arial" w:cs="Arial" w:eastAsia="Arial" w:hint="default"/>
          <w:spacing w:val="-1"/>
        </w:rPr>
        <w:t>2012</w:t>
      </w:r>
      <w:r>
        <w:rPr>
          <w:rFonts w:ascii="Arial" w:hAnsi="Arial" w:cs="Arial" w:eastAsia="Arial" w:hint="default"/>
          <w:spacing w:val="-6"/>
        </w:rPr>
        <w:t> </w:t>
      </w:r>
      <w:r>
        <w:rPr/>
        <w:t>年</w:t>
      </w:r>
      <w:r>
        <w:rPr>
          <w:spacing w:val="-60"/>
        </w:rPr>
        <w:t> </w:t>
      </w:r>
      <w:r>
        <w:rPr>
          <w:rFonts w:ascii="Arial" w:hAnsi="Arial" w:cs="Arial" w:eastAsia="Arial" w:hint="default"/>
        </w:rPr>
        <w:t>12</w:t>
      </w:r>
      <w:r>
        <w:rPr>
          <w:rFonts w:ascii="Arial" w:hAnsi="Arial" w:cs="Arial" w:eastAsia="Arial" w:hint="default"/>
          <w:spacing w:val="-6"/>
        </w:rPr>
        <w:t> </w:t>
      </w:r>
      <w:r>
        <w:rPr/>
        <w:t>月</w:t>
      </w:r>
      <w:r>
        <w:rPr>
          <w:spacing w:val="-63"/>
        </w:rPr>
        <w:t> </w:t>
      </w:r>
      <w:r>
        <w:rPr>
          <w:rFonts w:ascii="Arial" w:hAnsi="Arial" w:cs="Arial" w:eastAsia="Arial" w:hint="default"/>
        </w:rPr>
        <w:t>31</w:t>
      </w:r>
      <w:r>
        <w:rPr>
          <w:rFonts w:ascii="Arial" w:hAnsi="Arial" w:cs="Arial" w:eastAsia="Arial" w:hint="default"/>
          <w:spacing w:val="-6"/>
        </w:rPr>
        <w:t> </w:t>
      </w:r>
      <w:r>
        <w:rPr>
          <w:spacing w:val="-2"/>
        </w:rPr>
        <w:t>日及</w:t>
      </w:r>
      <w:r>
        <w:rPr>
          <w:spacing w:val="-60"/>
        </w:rPr>
        <w:t> </w:t>
      </w:r>
      <w:r>
        <w:rPr>
          <w:rFonts w:ascii="Arial" w:hAnsi="Arial" w:cs="Arial" w:eastAsia="Arial" w:hint="default"/>
          <w:spacing w:val="-5"/>
        </w:rPr>
        <w:t>2011</w:t>
      </w:r>
      <w:r>
        <w:rPr>
          <w:rFonts w:ascii="Arial" w:hAnsi="Arial" w:cs="Arial" w:eastAsia="Arial" w:hint="default"/>
          <w:spacing w:val="-6"/>
        </w:rPr>
        <w:t> </w:t>
      </w:r>
      <w:r>
        <w:rPr/>
        <w:t>年</w:t>
      </w:r>
      <w:r>
        <w:rPr>
          <w:spacing w:val="-60"/>
        </w:rPr>
        <w:t> </w:t>
      </w:r>
      <w:r>
        <w:rPr>
          <w:rFonts w:ascii="Arial" w:hAnsi="Arial" w:cs="Arial" w:eastAsia="Arial" w:hint="default"/>
          <w:spacing w:val="-1"/>
        </w:rPr>
        <w:t>12</w:t>
      </w:r>
      <w:r>
        <w:rPr>
          <w:rFonts w:ascii="Arial" w:hAnsi="Arial" w:cs="Arial" w:eastAsia="Arial" w:hint="default"/>
          <w:spacing w:val="-6"/>
        </w:rPr>
        <w:t> </w:t>
      </w:r>
      <w:r>
        <w:rPr/>
        <w:t>月</w:t>
      </w:r>
      <w:r>
        <w:rPr>
          <w:spacing w:val="-60"/>
        </w:rPr>
        <w:t> </w:t>
      </w:r>
      <w:r>
        <w:rPr>
          <w:rFonts w:ascii="Arial" w:hAnsi="Arial" w:cs="Arial" w:eastAsia="Arial" w:hint="default"/>
        </w:rPr>
        <w:t>31</w:t>
      </w:r>
      <w:r>
        <w:rPr>
          <w:rFonts w:ascii="Arial" w:hAnsi="Arial" w:cs="Arial" w:eastAsia="Arial" w:hint="default"/>
          <w:spacing w:val="-6"/>
        </w:rPr>
        <w:t> </w:t>
      </w:r>
      <w:r>
        <w:rPr>
          <w:spacing w:val="-5"/>
        </w:rPr>
        <w:t>日，其他应收款中无应收持有本公</w:t>
      </w:r>
      <w:r>
        <w:rPr/>
        <w:t> 司</w:t>
      </w:r>
      <w:r>
        <w:rPr>
          <w:spacing w:val="-61"/>
        </w:rPr>
        <w:t> </w:t>
      </w:r>
      <w:r>
        <w:rPr>
          <w:rFonts w:ascii="Arial" w:hAnsi="Arial" w:cs="Arial" w:eastAsia="Arial" w:hint="default"/>
        </w:rPr>
        <w:t>5%(</w:t>
      </w:r>
      <w:r>
        <w:rPr/>
        <w:t>含</w:t>
      </w:r>
      <w:r>
        <w:rPr>
          <w:spacing w:val="-61"/>
        </w:rPr>
        <w:t> </w:t>
      </w:r>
      <w:r>
        <w:rPr>
          <w:rFonts w:ascii="Arial" w:hAnsi="Arial" w:cs="Arial" w:eastAsia="Arial" w:hint="default"/>
        </w:rPr>
        <w:t>5%)</w:t>
      </w:r>
      <w:r>
        <w:rPr/>
        <w:t>以上表决权股份的股东的款项。</w:t>
      </w:r>
    </w:p>
    <w:p>
      <w:pPr>
        <w:spacing w:line="240" w:lineRule="auto" w:before="10"/>
        <w:rPr>
          <w:rFonts w:ascii="宋体" w:hAnsi="宋体" w:cs="宋体" w:eastAsia="宋体" w:hint="default"/>
          <w:sz w:val="18"/>
          <w:szCs w:val="18"/>
        </w:rPr>
      </w:pPr>
    </w:p>
    <w:p>
      <w:pPr>
        <w:pStyle w:val="Heading3"/>
        <w:tabs>
          <w:tab w:pos="870" w:val="left" w:leader="none"/>
        </w:tabs>
        <w:spacing w:line="240" w:lineRule="auto"/>
        <w:ind w:left="148" w:right="0"/>
        <w:jc w:val="left"/>
      </w:pPr>
      <w:r>
        <w:rPr>
          <w:rFonts w:ascii="Arial" w:hAnsi="Arial" w:cs="Arial" w:eastAsia="Arial" w:hint="default"/>
          <w:position w:val="2"/>
        </w:rPr>
        <w:t>(f)</w:t>
        <w:tab/>
      </w:r>
      <w:r>
        <w:rPr/>
        <w:t>于</w:t>
      </w:r>
      <w:r>
        <w:rPr>
          <w:spacing w:val="-61"/>
        </w:rPr>
        <w:t> </w:t>
      </w:r>
      <w:r>
        <w:rPr>
          <w:rFonts w:ascii="Arial" w:hAnsi="Arial" w:cs="Arial" w:eastAsia="Arial" w:hint="default"/>
        </w:rPr>
        <w:t>2012</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7"/>
        </w:rPr>
        <w:t> </w:t>
      </w:r>
      <w:r>
        <w:rPr/>
        <w:t>日，余额前五名的其他应收款分析如下：</w:t>
      </w:r>
    </w:p>
    <w:p>
      <w:pPr>
        <w:spacing w:line="240" w:lineRule="auto" w:before="5"/>
        <w:rPr>
          <w:rFonts w:ascii="宋体" w:hAnsi="宋体" w:cs="宋体" w:eastAsia="宋体" w:hint="default"/>
          <w:sz w:val="12"/>
          <w:szCs w:val="12"/>
        </w:rPr>
      </w:pPr>
    </w:p>
    <w:tbl>
      <w:tblPr>
        <w:tblW w:w="0" w:type="auto"/>
        <w:jc w:val="left"/>
        <w:tblInd w:w="835" w:type="dxa"/>
        <w:tblLayout w:type="fixed"/>
        <w:tblCellMar>
          <w:top w:w="0" w:type="dxa"/>
          <w:left w:w="0" w:type="dxa"/>
          <w:bottom w:w="0" w:type="dxa"/>
          <w:right w:w="0" w:type="dxa"/>
        </w:tblCellMar>
        <w:tblLook w:val="01E0"/>
      </w:tblPr>
      <w:tblGrid>
        <w:gridCol w:w="3005"/>
        <w:gridCol w:w="1546"/>
        <w:gridCol w:w="1123"/>
        <w:gridCol w:w="1079"/>
        <w:gridCol w:w="1437"/>
      </w:tblGrid>
      <w:tr>
        <w:trPr>
          <w:trHeight w:val="825" w:hRule="exact"/>
        </w:trPr>
        <w:tc>
          <w:tcPr>
            <w:tcW w:w="3005"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8"/>
              <w:jc w:val="right"/>
              <w:rPr>
                <w:rFonts w:ascii="宋体" w:hAnsi="宋体" w:cs="宋体" w:eastAsia="宋体" w:hint="default"/>
                <w:sz w:val="24"/>
                <w:szCs w:val="24"/>
              </w:rPr>
            </w:pPr>
            <w:r>
              <w:rPr>
                <w:rFonts w:ascii="宋体" w:hAnsi="宋体" w:cs="宋体" w:eastAsia="宋体" w:hint="default"/>
                <w:sz w:val="24"/>
                <w:szCs w:val="24"/>
              </w:rPr>
              <w:t>与本公司关系</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53"/>
              <w:jc w:val="right"/>
              <w:rPr>
                <w:rFonts w:ascii="宋体" w:hAnsi="宋体" w:cs="宋体" w:eastAsia="宋体" w:hint="default"/>
                <w:sz w:val="24"/>
                <w:szCs w:val="24"/>
              </w:rPr>
            </w:pPr>
            <w:r>
              <w:rPr>
                <w:rFonts w:ascii="宋体" w:hAnsi="宋体" w:cs="宋体" w:eastAsia="宋体" w:hint="default"/>
                <w:sz w:val="24"/>
                <w:szCs w:val="24"/>
              </w:rPr>
              <w:t>金额</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5"/>
              <w:jc w:val="right"/>
              <w:rPr>
                <w:rFonts w:ascii="宋体" w:hAnsi="宋体" w:cs="宋体" w:eastAsia="宋体" w:hint="default"/>
                <w:sz w:val="24"/>
                <w:szCs w:val="24"/>
              </w:rPr>
            </w:pPr>
            <w:r>
              <w:rPr>
                <w:rFonts w:ascii="宋体" w:hAnsi="宋体" w:cs="宋体" w:eastAsia="宋体" w:hint="default"/>
                <w:sz w:val="24"/>
                <w:szCs w:val="24"/>
              </w:rPr>
              <w:t>年限</w:t>
            </w:r>
          </w:p>
        </w:tc>
        <w:tc>
          <w:tcPr>
            <w:tcW w:w="1437"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159" w:right="74"/>
              <w:jc w:val="left"/>
              <w:rPr>
                <w:rFonts w:ascii="宋体" w:hAnsi="宋体" w:cs="宋体" w:eastAsia="宋体" w:hint="default"/>
                <w:sz w:val="24"/>
                <w:szCs w:val="24"/>
              </w:rPr>
            </w:pPr>
            <w:r>
              <w:rPr>
                <w:rFonts w:ascii="宋体" w:hAnsi="宋体" w:cs="宋体" w:eastAsia="宋体" w:hint="default"/>
                <w:sz w:val="24"/>
                <w:szCs w:val="24"/>
              </w:rPr>
              <w:t>占其他应收 款总额比例</w:t>
            </w:r>
          </w:p>
        </w:tc>
      </w:tr>
      <w:tr>
        <w:trPr>
          <w:trHeight w:val="449" w:hRule="exact"/>
        </w:trPr>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4"/>
                <w:szCs w:val="24"/>
              </w:rPr>
            </w:pPr>
            <w:r>
              <w:rPr>
                <w:rFonts w:ascii="宋体" w:hAnsi="宋体" w:cs="宋体" w:eastAsia="宋体" w:hint="default"/>
                <w:sz w:val="24"/>
                <w:szCs w:val="24"/>
              </w:rPr>
              <w:t>南京苏宁易付宝网络科技有</w:t>
            </w:r>
          </w:p>
        </w:tc>
        <w:tc>
          <w:tcPr>
            <w:tcW w:w="154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
        </w:tc>
      </w:tr>
      <w:tr>
        <w:trPr>
          <w:trHeight w:val="326" w:hRule="exact"/>
        </w:trPr>
        <w:tc>
          <w:tcPr>
            <w:tcW w:w="3005" w:type="dxa"/>
            <w:tcBorders>
              <w:top w:val="nil" w:sz="6" w:space="0" w:color="auto"/>
              <w:left w:val="nil" w:sz="6" w:space="0" w:color="auto"/>
              <w:bottom w:val="nil" w:sz="6" w:space="0" w:color="auto"/>
              <w:right w:val="nil" w:sz="6" w:space="0" w:color="auto"/>
            </w:tcBorders>
          </w:tcPr>
          <w:p>
            <w:pPr>
              <w:pStyle w:val="TableParagraph"/>
              <w:spacing w:line="276" w:lineRule="exact"/>
              <w:ind w:left="258"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546" w:type="dxa"/>
            <w:tcBorders>
              <w:top w:val="nil" w:sz="6" w:space="0" w:color="auto"/>
              <w:left w:val="nil" w:sz="6" w:space="0" w:color="auto"/>
              <w:bottom w:val="nil" w:sz="6" w:space="0" w:color="auto"/>
              <w:right w:val="nil" w:sz="6" w:space="0" w:color="auto"/>
            </w:tcBorders>
          </w:tcPr>
          <w:p>
            <w:pPr>
              <w:pStyle w:val="TableParagraph"/>
              <w:spacing w:line="276" w:lineRule="exact"/>
              <w:ind w:right="28"/>
              <w:jc w:val="right"/>
              <w:rPr>
                <w:rFonts w:ascii="宋体" w:hAnsi="宋体" w:cs="宋体" w:eastAsia="宋体" w:hint="default"/>
                <w:sz w:val="24"/>
                <w:szCs w:val="24"/>
              </w:rPr>
            </w:pPr>
            <w:r>
              <w:rPr>
                <w:rFonts w:ascii="宋体" w:hAnsi="宋体" w:cs="宋体" w:eastAsia="宋体" w:hint="default"/>
                <w:sz w:val="24"/>
                <w:szCs w:val="24"/>
              </w:rPr>
              <w:t>子公司</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
              <w:jc w:val="right"/>
              <w:rPr>
                <w:rFonts w:ascii="Arial" w:hAnsi="Arial" w:cs="Arial" w:eastAsia="Arial" w:hint="default"/>
                <w:sz w:val="24"/>
                <w:szCs w:val="24"/>
              </w:rPr>
            </w:pPr>
            <w:r>
              <w:rPr>
                <w:rFonts w:ascii="Arial"/>
                <w:spacing w:val="-1"/>
                <w:sz w:val="24"/>
              </w:rPr>
              <w:t>9,507</w:t>
            </w:r>
          </w:p>
        </w:tc>
        <w:tc>
          <w:tcPr>
            <w:tcW w:w="1079" w:type="dxa"/>
            <w:tcBorders>
              <w:top w:val="nil" w:sz="6" w:space="0" w:color="auto"/>
              <w:left w:val="nil" w:sz="6" w:space="0" w:color="auto"/>
              <w:bottom w:val="nil" w:sz="6" w:space="0" w:color="auto"/>
              <w:right w:val="nil" w:sz="6" w:space="0" w:color="auto"/>
            </w:tcBorders>
          </w:tcPr>
          <w:p>
            <w:pPr>
              <w:pStyle w:val="TableParagraph"/>
              <w:spacing w:line="276" w:lineRule="exact"/>
              <w:ind w:right="25"/>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3"/>
              <w:jc w:val="right"/>
              <w:rPr>
                <w:rFonts w:ascii="Arial" w:hAnsi="Arial" w:cs="Arial" w:eastAsia="Arial" w:hint="default"/>
                <w:sz w:val="24"/>
                <w:szCs w:val="24"/>
              </w:rPr>
            </w:pPr>
            <w:r>
              <w:rPr>
                <w:rFonts w:ascii="Arial"/>
                <w:sz w:val="24"/>
              </w:rPr>
              <w:t>7.3%</w:t>
            </w:r>
          </w:p>
        </w:tc>
      </w:tr>
      <w:tr>
        <w:trPr>
          <w:trHeight w:val="310" w:hRule="exact"/>
        </w:trPr>
        <w:tc>
          <w:tcPr>
            <w:tcW w:w="3005"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4"/>
                <w:szCs w:val="24"/>
              </w:rPr>
            </w:pPr>
            <w:r>
              <w:rPr>
                <w:rFonts w:ascii="宋体" w:hAnsi="宋体" w:cs="宋体" w:eastAsia="宋体" w:hint="default"/>
                <w:sz w:val="24"/>
                <w:szCs w:val="24"/>
              </w:rPr>
              <w:t>昌荣传媒有限公司</w:t>
            </w:r>
          </w:p>
        </w:tc>
        <w:tc>
          <w:tcPr>
            <w:tcW w:w="1546" w:type="dxa"/>
            <w:tcBorders>
              <w:top w:val="nil" w:sz="6" w:space="0" w:color="auto"/>
              <w:left w:val="nil" w:sz="6" w:space="0" w:color="auto"/>
              <w:bottom w:val="nil" w:sz="6" w:space="0" w:color="auto"/>
              <w:right w:val="nil" w:sz="6" w:space="0" w:color="auto"/>
            </w:tcBorders>
          </w:tcPr>
          <w:p>
            <w:pPr>
              <w:pStyle w:val="TableParagraph"/>
              <w:spacing w:line="262" w:lineRule="exact"/>
              <w:ind w:right="28"/>
              <w:jc w:val="right"/>
              <w:rPr>
                <w:rFonts w:ascii="宋体" w:hAnsi="宋体" w:cs="宋体" w:eastAsia="宋体" w:hint="default"/>
                <w:sz w:val="24"/>
                <w:szCs w:val="24"/>
              </w:rPr>
            </w:pPr>
            <w:r>
              <w:rPr>
                <w:rFonts w:ascii="宋体" w:hAnsi="宋体" w:cs="宋体" w:eastAsia="宋体" w:hint="default"/>
                <w:sz w:val="24"/>
                <w:szCs w:val="24"/>
              </w:rPr>
              <w:t>第三方</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2"/>
              <w:jc w:val="right"/>
              <w:rPr>
                <w:rFonts w:ascii="Arial" w:hAnsi="Arial" w:cs="Arial" w:eastAsia="Arial" w:hint="default"/>
                <w:sz w:val="24"/>
                <w:szCs w:val="24"/>
              </w:rPr>
            </w:pPr>
            <w:r>
              <w:rPr>
                <w:rFonts w:ascii="Arial"/>
                <w:spacing w:val="-1"/>
                <w:sz w:val="24"/>
              </w:rPr>
              <w:t>4,680</w:t>
            </w:r>
          </w:p>
        </w:tc>
        <w:tc>
          <w:tcPr>
            <w:tcW w:w="1079" w:type="dxa"/>
            <w:tcBorders>
              <w:top w:val="nil" w:sz="6" w:space="0" w:color="auto"/>
              <w:left w:val="nil" w:sz="6" w:space="0" w:color="auto"/>
              <w:bottom w:val="nil" w:sz="6" w:space="0" w:color="auto"/>
              <w:right w:val="nil" w:sz="6" w:space="0" w:color="auto"/>
            </w:tcBorders>
          </w:tcPr>
          <w:p>
            <w:pPr>
              <w:pStyle w:val="TableParagraph"/>
              <w:spacing w:line="262" w:lineRule="exact"/>
              <w:ind w:right="25"/>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2"/>
              <w:jc w:val="right"/>
              <w:rPr>
                <w:rFonts w:ascii="Arial" w:hAnsi="Arial" w:cs="Arial" w:eastAsia="Arial" w:hint="default"/>
                <w:sz w:val="24"/>
                <w:szCs w:val="24"/>
              </w:rPr>
            </w:pPr>
            <w:r>
              <w:rPr>
                <w:rFonts w:ascii="Arial"/>
                <w:w w:val="95"/>
                <w:sz w:val="24"/>
              </w:rPr>
              <w:t>3.6%</w:t>
            </w:r>
            <w:r>
              <w:rPr>
                <w:rFonts w:ascii="Arial"/>
                <w:sz w:val="24"/>
              </w:rPr>
            </w:r>
          </w:p>
        </w:tc>
      </w:tr>
      <w:tr>
        <w:trPr>
          <w:trHeight w:val="610" w:hRule="exact"/>
        </w:trPr>
        <w:tc>
          <w:tcPr>
            <w:tcW w:w="3005"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南京市财政局</w:t>
            </w:r>
          </w:p>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中国移动通信集团江苏有限</w:t>
            </w:r>
          </w:p>
        </w:tc>
        <w:tc>
          <w:tcPr>
            <w:tcW w:w="1546" w:type="dxa"/>
            <w:tcBorders>
              <w:top w:val="nil" w:sz="6" w:space="0" w:color="auto"/>
              <w:left w:val="nil" w:sz="6" w:space="0" w:color="auto"/>
              <w:bottom w:val="nil" w:sz="6" w:space="0" w:color="auto"/>
              <w:right w:val="nil" w:sz="6" w:space="0" w:color="auto"/>
            </w:tcBorders>
          </w:tcPr>
          <w:p>
            <w:pPr>
              <w:pStyle w:val="TableParagraph"/>
              <w:spacing w:line="262" w:lineRule="exact"/>
              <w:ind w:right="28"/>
              <w:jc w:val="right"/>
              <w:rPr>
                <w:rFonts w:ascii="宋体" w:hAnsi="宋体" w:cs="宋体" w:eastAsia="宋体" w:hint="default"/>
                <w:sz w:val="24"/>
                <w:szCs w:val="24"/>
              </w:rPr>
            </w:pPr>
            <w:r>
              <w:rPr>
                <w:rFonts w:ascii="宋体" w:hAnsi="宋体" w:cs="宋体" w:eastAsia="宋体" w:hint="default"/>
                <w:sz w:val="24"/>
                <w:szCs w:val="24"/>
              </w:rPr>
              <w:t>第三方</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1"/>
              <w:jc w:val="right"/>
              <w:rPr>
                <w:rFonts w:ascii="Arial" w:hAnsi="Arial" w:cs="Arial" w:eastAsia="Arial" w:hint="default"/>
                <w:sz w:val="24"/>
                <w:szCs w:val="24"/>
              </w:rPr>
            </w:pPr>
            <w:r>
              <w:rPr>
                <w:rFonts w:ascii="Arial"/>
                <w:w w:val="95"/>
                <w:sz w:val="24"/>
              </w:rPr>
              <w:t>4,523</w:t>
            </w:r>
            <w:r>
              <w:rPr>
                <w:rFonts w:ascii="Arial"/>
                <w:sz w:val="24"/>
              </w:rPr>
            </w:r>
          </w:p>
        </w:tc>
        <w:tc>
          <w:tcPr>
            <w:tcW w:w="1079" w:type="dxa"/>
            <w:tcBorders>
              <w:top w:val="nil" w:sz="6" w:space="0" w:color="auto"/>
              <w:left w:val="nil" w:sz="6" w:space="0" w:color="auto"/>
              <w:bottom w:val="nil" w:sz="6" w:space="0" w:color="auto"/>
              <w:right w:val="nil" w:sz="6" w:space="0" w:color="auto"/>
            </w:tcBorders>
          </w:tcPr>
          <w:p>
            <w:pPr>
              <w:pStyle w:val="TableParagraph"/>
              <w:spacing w:line="262" w:lineRule="exact"/>
              <w:ind w:right="25"/>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2"/>
              <w:jc w:val="right"/>
              <w:rPr>
                <w:rFonts w:ascii="Arial" w:hAnsi="Arial" w:cs="Arial" w:eastAsia="Arial" w:hint="default"/>
                <w:sz w:val="24"/>
                <w:szCs w:val="24"/>
              </w:rPr>
            </w:pPr>
            <w:r>
              <w:rPr>
                <w:rFonts w:ascii="Arial"/>
                <w:w w:val="95"/>
                <w:sz w:val="24"/>
              </w:rPr>
              <w:t>3.5%</w:t>
            </w:r>
            <w:r>
              <w:rPr>
                <w:rFonts w:ascii="Arial"/>
                <w:sz w:val="24"/>
              </w:rPr>
            </w:r>
          </w:p>
        </w:tc>
      </w:tr>
      <w:tr>
        <w:trPr>
          <w:trHeight w:val="324" w:hRule="exact"/>
        </w:trPr>
        <w:tc>
          <w:tcPr>
            <w:tcW w:w="3005" w:type="dxa"/>
            <w:tcBorders>
              <w:top w:val="nil" w:sz="6" w:space="0" w:color="auto"/>
              <w:left w:val="nil" w:sz="6" w:space="0" w:color="auto"/>
              <w:bottom w:val="nil" w:sz="6" w:space="0" w:color="auto"/>
              <w:right w:val="nil" w:sz="6" w:space="0" w:color="auto"/>
            </w:tcBorders>
          </w:tcPr>
          <w:p>
            <w:pPr>
              <w:pStyle w:val="TableParagraph"/>
              <w:spacing w:line="276" w:lineRule="exact"/>
              <w:ind w:left="286" w:right="0"/>
              <w:jc w:val="left"/>
              <w:rPr>
                <w:rFonts w:ascii="宋体" w:hAnsi="宋体" w:cs="宋体" w:eastAsia="宋体" w:hint="default"/>
                <w:sz w:val="24"/>
                <w:szCs w:val="24"/>
              </w:rPr>
            </w:pPr>
            <w:r>
              <w:rPr>
                <w:rFonts w:ascii="宋体" w:hAnsi="宋体" w:cs="宋体" w:eastAsia="宋体" w:hint="default"/>
                <w:sz w:val="24"/>
                <w:szCs w:val="24"/>
              </w:rPr>
              <w:t>公司南京分公司</w:t>
            </w:r>
          </w:p>
        </w:tc>
        <w:tc>
          <w:tcPr>
            <w:tcW w:w="1546" w:type="dxa"/>
            <w:tcBorders>
              <w:top w:val="nil" w:sz="6" w:space="0" w:color="auto"/>
              <w:left w:val="nil" w:sz="6" w:space="0" w:color="auto"/>
              <w:bottom w:val="nil" w:sz="6" w:space="0" w:color="auto"/>
              <w:right w:val="nil" w:sz="6" w:space="0" w:color="auto"/>
            </w:tcBorders>
          </w:tcPr>
          <w:p>
            <w:pPr>
              <w:pStyle w:val="TableParagraph"/>
              <w:spacing w:line="276" w:lineRule="exact"/>
              <w:ind w:right="28"/>
              <w:jc w:val="right"/>
              <w:rPr>
                <w:rFonts w:ascii="宋体" w:hAnsi="宋体" w:cs="宋体" w:eastAsia="宋体" w:hint="default"/>
                <w:sz w:val="24"/>
                <w:szCs w:val="24"/>
              </w:rPr>
            </w:pPr>
            <w:r>
              <w:rPr>
                <w:rFonts w:ascii="宋体" w:hAnsi="宋体" w:cs="宋体" w:eastAsia="宋体" w:hint="default"/>
                <w:sz w:val="24"/>
                <w:szCs w:val="24"/>
              </w:rPr>
              <w:t>第三方</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3"/>
              <w:jc w:val="right"/>
              <w:rPr>
                <w:rFonts w:ascii="Arial" w:hAnsi="Arial" w:cs="Arial" w:eastAsia="Arial" w:hint="default"/>
                <w:sz w:val="24"/>
                <w:szCs w:val="24"/>
              </w:rPr>
            </w:pPr>
            <w:r>
              <w:rPr>
                <w:rFonts w:ascii="Arial"/>
                <w:spacing w:val="-1"/>
                <w:sz w:val="24"/>
              </w:rPr>
              <w:t>3,071</w:t>
            </w:r>
          </w:p>
        </w:tc>
        <w:tc>
          <w:tcPr>
            <w:tcW w:w="1079" w:type="dxa"/>
            <w:tcBorders>
              <w:top w:val="nil" w:sz="6" w:space="0" w:color="auto"/>
              <w:left w:val="nil" w:sz="6" w:space="0" w:color="auto"/>
              <w:bottom w:val="nil" w:sz="6" w:space="0" w:color="auto"/>
              <w:right w:val="nil" w:sz="6" w:space="0" w:color="auto"/>
            </w:tcBorders>
          </w:tcPr>
          <w:p>
            <w:pPr>
              <w:pStyle w:val="TableParagraph"/>
              <w:spacing w:line="276" w:lineRule="exact"/>
              <w:ind w:right="25"/>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72"/>
              <w:jc w:val="right"/>
              <w:rPr>
                <w:rFonts w:ascii="Arial" w:hAnsi="Arial" w:cs="Arial" w:eastAsia="Arial" w:hint="default"/>
                <w:sz w:val="24"/>
                <w:szCs w:val="24"/>
              </w:rPr>
            </w:pPr>
            <w:r>
              <w:rPr>
                <w:rFonts w:ascii="Arial"/>
                <w:w w:val="95"/>
                <w:sz w:val="24"/>
              </w:rPr>
              <w:t>2.4%</w:t>
            </w:r>
            <w:r>
              <w:rPr>
                <w:rFonts w:ascii="Arial"/>
                <w:sz w:val="24"/>
              </w:rPr>
            </w:r>
          </w:p>
        </w:tc>
      </w:tr>
      <w:tr>
        <w:trPr>
          <w:trHeight w:val="313" w:hRule="exact"/>
        </w:trPr>
        <w:tc>
          <w:tcPr>
            <w:tcW w:w="3005"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4"/>
                <w:szCs w:val="24"/>
              </w:rPr>
            </w:pPr>
            <w:r>
              <w:rPr>
                <w:rFonts w:ascii="宋体" w:hAnsi="宋体" w:cs="宋体" w:eastAsia="宋体" w:hint="default"/>
                <w:sz w:val="24"/>
                <w:szCs w:val="24"/>
              </w:rPr>
              <w:t>万福企业有限公司</w:t>
            </w:r>
          </w:p>
        </w:tc>
        <w:tc>
          <w:tcPr>
            <w:tcW w:w="1546" w:type="dxa"/>
            <w:tcBorders>
              <w:top w:val="nil" w:sz="6" w:space="0" w:color="auto"/>
              <w:left w:val="nil" w:sz="6" w:space="0" w:color="auto"/>
              <w:bottom w:val="nil" w:sz="6" w:space="0" w:color="auto"/>
              <w:right w:val="nil" w:sz="6" w:space="0" w:color="auto"/>
            </w:tcBorders>
          </w:tcPr>
          <w:p>
            <w:pPr>
              <w:pStyle w:val="TableParagraph"/>
              <w:spacing w:line="262" w:lineRule="exact"/>
              <w:ind w:right="28"/>
              <w:jc w:val="right"/>
              <w:rPr>
                <w:rFonts w:ascii="宋体" w:hAnsi="宋体" w:cs="宋体" w:eastAsia="宋体" w:hint="default"/>
                <w:sz w:val="24"/>
                <w:szCs w:val="24"/>
              </w:rPr>
            </w:pPr>
            <w:r>
              <w:rPr>
                <w:rFonts w:ascii="宋体" w:hAnsi="宋体" w:cs="宋体" w:eastAsia="宋体" w:hint="default"/>
                <w:sz w:val="24"/>
                <w:szCs w:val="24"/>
              </w:rPr>
              <w:t>第三方</w:t>
            </w:r>
          </w:p>
        </w:tc>
        <w:tc>
          <w:tcPr>
            <w:tcW w:w="1123" w:type="dxa"/>
            <w:tcBorders>
              <w:top w:val="nil" w:sz="6" w:space="0" w:color="auto"/>
              <w:left w:val="nil" w:sz="6" w:space="0" w:color="auto"/>
              <w:bottom w:val="nil" w:sz="6" w:space="0" w:color="auto"/>
              <w:right w:val="nil" w:sz="6" w:space="0" w:color="auto"/>
            </w:tcBorders>
          </w:tcPr>
          <w:p>
            <w:pPr>
              <w:pStyle w:val="TableParagraph"/>
              <w:tabs>
                <w:tab w:pos="439" w:val="left" w:leader="none"/>
              </w:tabs>
              <w:spacing w:line="240" w:lineRule="auto" w:before="19"/>
              <w:ind w:right="5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2,597</w:t>
            </w:r>
            <w:r>
              <w:rPr>
                <w:rFonts w:ascii="Arial"/>
                <w:spacing w:val="-1"/>
                <w:sz w:val="24"/>
              </w:rPr>
            </w:r>
            <w:r>
              <w:rPr>
                <w:rFonts w:ascii="Arial"/>
                <w:sz w:val="24"/>
              </w:rPr>
            </w:r>
          </w:p>
        </w:tc>
        <w:tc>
          <w:tcPr>
            <w:tcW w:w="1079" w:type="dxa"/>
            <w:tcBorders>
              <w:top w:val="nil" w:sz="6" w:space="0" w:color="auto"/>
              <w:left w:val="nil" w:sz="6" w:space="0" w:color="auto"/>
              <w:bottom w:val="nil" w:sz="6" w:space="0" w:color="auto"/>
              <w:right w:val="nil" w:sz="6" w:space="0" w:color="auto"/>
            </w:tcBorders>
          </w:tcPr>
          <w:p>
            <w:pPr>
              <w:pStyle w:val="TableParagraph"/>
              <w:spacing w:line="262" w:lineRule="exact"/>
              <w:ind w:right="25"/>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437" w:type="dxa"/>
            <w:tcBorders>
              <w:top w:val="nil" w:sz="6" w:space="0" w:color="auto"/>
              <w:left w:val="nil" w:sz="6" w:space="0" w:color="auto"/>
              <w:bottom w:val="nil" w:sz="6" w:space="0" w:color="auto"/>
              <w:right w:val="nil" w:sz="6" w:space="0" w:color="auto"/>
            </w:tcBorders>
          </w:tcPr>
          <w:p>
            <w:pPr>
              <w:pStyle w:val="TableParagraph"/>
              <w:tabs>
                <w:tab w:pos="784" w:val="left" w:leader="none"/>
              </w:tabs>
              <w:spacing w:line="240" w:lineRule="auto" w:before="19"/>
              <w:ind w:right="72"/>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2.0%</w:t>
            </w:r>
            <w:r>
              <w:rPr>
                <w:rFonts w:ascii="Arial"/>
                <w:sz w:val="24"/>
              </w:rPr>
            </w:r>
          </w:p>
        </w:tc>
      </w:tr>
      <w:tr>
        <w:trPr>
          <w:trHeight w:val="287" w:hRule="exact"/>
        </w:trPr>
        <w:tc>
          <w:tcPr>
            <w:tcW w:w="3005"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12" w:space="0" w:color="000000"/>
              <w:right w:val="nil" w:sz="6" w:space="0" w:color="auto"/>
            </w:tcBorders>
          </w:tcPr>
          <w:p>
            <w:pPr>
              <w:pStyle w:val="TableParagraph"/>
              <w:spacing w:line="268" w:lineRule="exact"/>
              <w:ind w:right="52"/>
              <w:jc w:val="right"/>
              <w:rPr>
                <w:rFonts w:ascii="Arial" w:hAnsi="Arial" w:cs="Arial" w:eastAsia="Arial" w:hint="default"/>
                <w:sz w:val="24"/>
                <w:szCs w:val="24"/>
              </w:rPr>
            </w:pPr>
            <w:r>
              <w:rPr>
                <w:rFonts w:ascii="Arial"/>
                <w:spacing w:val="-1"/>
                <w:sz w:val="24"/>
              </w:rPr>
              <w:t>24,378</w:t>
            </w:r>
          </w:p>
        </w:tc>
        <w:tc>
          <w:tcPr>
            <w:tcW w:w="1079"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single" w:sz="12" w:space="0" w:color="000000"/>
              <w:right w:val="nil" w:sz="6" w:space="0" w:color="auto"/>
            </w:tcBorders>
          </w:tcPr>
          <w:p>
            <w:pPr>
              <w:pStyle w:val="TableParagraph"/>
              <w:spacing w:line="268" w:lineRule="exact"/>
              <w:ind w:right="72"/>
              <w:jc w:val="right"/>
              <w:rPr>
                <w:rFonts w:ascii="Arial" w:hAnsi="Arial" w:cs="Arial" w:eastAsia="Arial" w:hint="default"/>
                <w:sz w:val="24"/>
                <w:szCs w:val="24"/>
              </w:rPr>
            </w:pPr>
            <w:r>
              <w:rPr>
                <w:rFonts w:ascii="Arial"/>
                <w:sz w:val="24"/>
              </w:rPr>
              <w:t>18.8%</w:t>
            </w:r>
          </w:p>
        </w:tc>
      </w:tr>
    </w:tbl>
    <w:p>
      <w:pPr>
        <w:spacing w:line="240" w:lineRule="auto" w:before="3"/>
        <w:rPr>
          <w:rFonts w:ascii="宋体" w:hAnsi="宋体" w:cs="宋体" w:eastAsia="宋体" w:hint="default"/>
          <w:sz w:val="9"/>
          <w:szCs w:val="9"/>
        </w:rPr>
      </w:pPr>
    </w:p>
    <w:p>
      <w:pPr>
        <w:pStyle w:val="Heading3"/>
        <w:tabs>
          <w:tab w:pos="870" w:val="left" w:leader="none"/>
        </w:tabs>
        <w:spacing w:line="240" w:lineRule="auto" w:before="33"/>
        <w:ind w:left="239" w:right="0"/>
        <w:jc w:val="left"/>
      </w:pPr>
      <w:r>
        <w:rPr>
          <w:rFonts w:ascii="Arial" w:hAnsi="Arial" w:cs="Arial" w:eastAsia="Arial" w:hint="default"/>
          <w:spacing w:val="-1"/>
          <w:w w:val="95"/>
          <w:position w:val="2"/>
        </w:rPr>
        <w:t>(g)</w:t>
        <w:tab/>
      </w:r>
      <w:r>
        <w:rPr/>
        <w:t>应收关联方的其他应收款分析如下：</w:t>
      </w:r>
    </w:p>
    <w:p>
      <w:pPr>
        <w:spacing w:line="240" w:lineRule="auto" w:before="4"/>
        <w:rPr>
          <w:rFonts w:ascii="宋体" w:hAnsi="宋体" w:cs="宋体" w:eastAsia="宋体" w:hint="default"/>
          <w:sz w:val="24"/>
          <w:szCs w:val="24"/>
        </w:rPr>
      </w:pPr>
    </w:p>
    <w:p>
      <w:pPr>
        <w:tabs>
          <w:tab w:pos="4147" w:val="left" w:leader="none"/>
          <w:tab w:pos="6895" w:val="left" w:leader="none"/>
        </w:tabs>
        <w:spacing w:before="0"/>
        <w:ind w:left="2450" w:right="0" w:firstLine="0"/>
        <w:jc w:val="left"/>
        <w:rPr>
          <w:rFonts w:ascii="宋体" w:hAnsi="宋体" w:cs="宋体" w:eastAsia="宋体" w:hint="default"/>
          <w:sz w:val="18"/>
          <w:szCs w:val="18"/>
        </w:rPr>
      </w:pPr>
      <w:r>
        <w:rPr/>
        <w:pict>
          <v:group style="position:absolute;margin-left:258.170013pt;margin-top:13.271704pt;width:134.550pt;height:.5pt;mso-position-horizontal-relative:page;mso-position-vertical-relative:paragraph;z-index:-1594432" coordorigin="5163,265" coordsize="2691,10">
            <v:group style="position:absolute;left:5168;top:270;width:881;height:2" coordorigin="5168,270" coordsize="881,2">
              <v:shape style="position:absolute;left:5168;top:270;width:881;height:2" coordorigin="5168,270" coordsize="881,0" path="m5168,270l6049,270e" filled="false" stroked="true" strokeweight=".48pt" strokecolor="#000000">
                <v:path arrowok="t"/>
              </v:shape>
            </v:group>
            <v:group style="position:absolute;left:6049;top:270;width:10;height:2" coordorigin="6049,270" coordsize="10,2">
              <v:shape style="position:absolute;left:6049;top:270;width:10;height:2" coordorigin="6049,270" coordsize="10,0" path="m6049,270l6059,270e" filled="false" stroked="true" strokeweight=".48pt" strokecolor="#000000">
                <v:path arrowok="t"/>
              </v:shape>
            </v:group>
            <v:group style="position:absolute;left:6059;top:270;width:1028;height:2" coordorigin="6059,270" coordsize="1028,2">
              <v:shape style="position:absolute;left:6059;top:270;width:1028;height:2" coordorigin="6059,270" coordsize="1028,0" path="m6059,270l7086,270e" filled="false" stroked="true" strokeweight=".48pt" strokecolor="#000000">
                <v:path arrowok="t"/>
              </v:shape>
            </v:group>
            <v:group style="position:absolute;left:7086;top:270;width:10;height:2" coordorigin="7086,270" coordsize="10,2">
              <v:shape style="position:absolute;left:7086;top:270;width:10;height:2" coordorigin="7086,270" coordsize="10,0" path="m7086,270l7096,270e" filled="false" stroked="true" strokeweight=".48pt" strokecolor="#000000">
                <v:path arrowok="t"/>
              </v:shape>
            </v:group>
            <v:group style="position:absolute;left:7096;top:270;width:125;height:2" coordorigin="7096,270" coordsize="125,2">
              <v:shape style="position:absolute;left:7096;top:270;width:125;height:2" coordorigin="7096,270" coordsize="125,0" path="m7096,270l7221,270e" filled="false" stroked="true" strokeweight=".48pt" strokecolor="#000000">
                <v:path arrowok="t"/>
              </v:shape>
            </v:group>
            <v:group style="position:absolute;left:7221;top:270;width:10;height:2" coordorigin="7221,270" coordsize="10,2">
              <v:shape style="position:absolute;left:7221;top:270;width:10;height:2" coordorigin="7221,270" coordsize="10,0" path="m7221,270l7230,270e" filled="false" stroked="true" strokeweight=".48pt" strokecolor="#000000">
                <v:path arrowok="t"/>
              </v:shape>
            </v:group>
            <v:group style="position:absolute;left:7230;top:270;width:620;height:2" coordorigin="7230,270" coordsize="620,2">
              <v:shape style="position:absolute;left:7230;top:270;width:620;height:2" coordorigin="7230,270" coordsize="620,0" path="m7230,270l7849,270e" filled="false" stroked="true" strokeweight=".48pt" strokecolor="#000000">
                <v:path arrowok="t"/>
              </v:shape>
            </v:group>
            <w10:wrap type="none"/>
          </v:group>
        </w:pict>
      </w:r>
      <w:r>
        <w:rPr/>
        <w:pict>
          <v:group style="position:absolute;margin-left:400.390015pt;margin-top:13.271704pt;width:128.7pt;height:.5pt;mso-position-horizontal-relative:page;mso-position-vertical-relative:paragraph;z-index:-1594408" coordorigin="8008,265" coordsize="2574,10">
            <v:group style="position:absolute;left:8013;top:270;width:658;height:2" coordorigin="8013,270" coordsize="658,2">
              <v:shape style="position:absolute;left:8013;top:270;width:658;height:2" coordorigin="8013,270" coordsize="658,0" path="m8013,270l8670,270e" filled="false" stroked="true" strokeweight=".48pt" strokecolor="#000000">
                <v:path arrowok="t"/>
              </v:shape>
            </v:group>
            <v:group style="position:absolute;left:8670;top:270;width:10;height:2" coordorigin="8670,270" coordsize="10,2">
              <v:shape style="position:absolute;left:8670;top:270;width:10;height:2" coordorigin="8670,270" coordsize="10,0" path="m8670,270l8680,270e" filled="false" stroked="true" strokeweight=".48pt" strokecolor="#000000">
                <v:path arrowok="t"/>
              </v:shape>
            </v:group>
            <v:group style="position:absolute;left:8680;top:270;width:1043;height:2" coordorigin="8680,270" coordsize="1043,2">
              <v:shape style="position:absolute;left:8680;top:270;width:1043;height:2" coordorigin="8680,270" coordsize="1043,0" path="m8680,270l9722,270e" filled="false" stroked="true" strokeweight=".48pt" strokecolor="#000000">
                <v:path arrowok="t"/>
              </v:shape>
            </v:group>
            <v:group style="position:absolute;left:9722;top:270;width:10;height:2" coordorigin="9722,270" coordsize="10,2">
              <v:shape style="position:absolute;left:9722;top:270;width:10;height:2" coordorigin="9722,270" coordsize="10,0" path="m9722,270l9732,270e" filled="false" stroked="true" strokeweight=".48pt" strokecolor="#000000">
                <v:path arrowok="t"/>
              </v:shape>
            </v:group>
            <v:group style="position:absolute;left:9732;top:270;width:231;height:2" coordorigin="9732,270" coordsize="231,2">
              <v:shape style="position:absolute;left:9732;top:270;width:231;height:2" coordorigin="9732,270" coordsize="231,0" path="m9732,270l9962,270e" filled="false" stroked="true" strokeweight=".48pt" strokecolor="#000000">
                <v:path arrowok="t"/>
              </v:shape>
            </v:group>
            <v:group style="position:absolute;left:9962;top:270;width:10;height:2" coordorigin="9962,270" coordsize="10,2">
              <v:shape style="position:absolute;left:9962;top:270;width:10;height:2" coordorigin="9962,270" coordsize="10,0" path="m9962,270l9972,270e" filled="false" stroked="true" strokeweight=".48pt" strokecolor="#000000">
                <v:path arrowok="t"/>
              </v:shape>
            </v:group>
            <v:group style="position:absolute;left:9972;top:270;width:605;height:2" coordorigin="9972,270" coordsize="605,2">
              <v:shape style="position:absolute;left:9972;top:270;width:605;height:2" coordorigin="9972,270" coordsize="605,0" path="m9972,270l10576,270e" filled="false" stroked="true" strokeweight=".48pt" strokecolor="#000000">
                <v:path arrowok="t"/>
              </v:shape>
            </v:group>
            <w10:wrap type="none"/>
          </v:group>
        </w:pict>
      </w:r>
      <w:r>
        <w:rPr>
          <w:rFonts w:ascii="宋体" w:hAnsi="宋体" w:cs="宋体" w:eastAsia="宋体" w:hint="default"/>
          <w:sz w:val="18"/>
          <w:szCs w:val="18"/>
        </w:rPr>
        <w:t>与本公司关系</w:t>
        <w:tab/>
      </w: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tab/>
      </w: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spacing w:after="0"/>
        <w:jc w:val="left"/>
        <w:rPr>
          <w:rFonts w:ascii="宋体" w:hAnsi="宋体" w:cs="宋体" w:eastAsia="宋体" w:hint="default"/>
          <w:sz w:val="18"/>
          <w:szCs w:val="18"/>
        </w:rPr>
        <w:sectPr>
          <w:pgSz w:w="11910" w:h="16850"/>
          <w:pgMar w:header="795" w:footer="1340" w:top="2020" w:bottom="1540" w:left="1580" w:right="0"/>
        </w:sectPr>
      </w:pPr>
    </w:p>
    <w:p>
      <w:pPr>
        <w:tabs>
          <w:tab w:pos="4576" w:val="left" w:leader="none"/>
          <w:tab w:pos="5774" w:val="left" w:leader="none"/>
        </w:tabs>
        <w:spacing w:line="231" w:lineRule="exact" w:before="0"/>
        <w:ind w:left="3849" w:right="-19" w:firstLine="0"/>
        <w:jc w:val="left"/>
        <w:rPr>
          <w:rFonts w:ascii="宋体" w:hAnsi="宋体" w:cs="宋体" w:eastAsia="宋体" w:hint="default"/>
          <w:sz w:val="18"/>
          <w:szCs w:val="18"/>
        </w:rPr>
      </w:pPr>
      <w:r>
        <w:rPr>
          <w:rFonts w:ascii="宋体" w:hAnsi="宋体" w:cs="宋体" w:eastAsia="宋体" w:hint="default"/>
          <w:sz w:val="18"/>
          <w:szCs w:val="18"/>
        </w:rPr>
        <w:t>金额</w:t>
        <w:tab/>
        <w:t>占其他应收</w:t>
        <w:tab/>
        <w:t>坏账</w:t>
      </w:r>
    </w:p>
    <w:p>
      <w:pPr>
        <w:tabs>
          <w:tab w:pos="5774" w:val="left" w:leader="none"/>
        </w:tabs>
        <w:spacing w:line="232" w:lineRule="exact" w:before="23"/>
        <w:ind w:left="4927" w:right="0" w:hanging="351"/>
        <w:jc w:val="left"/>
        <w:rPr>
          <w:rFonts w:ascii="Arial" w:hAnsi="Arial" w:cs="Arial" w:eastAsia="Arial" w:hint="default"/>
          <w:sz w:val="18"/>
          <w:szCs w:val="18"/>
        </w:rPr>
      </w:pPr>
      <w:r>
        <w:rPr>
          <w:rFonts w:ascii="宋体" w:hAnsi="宋体" w:cs="宋体" w:eastAsia="宋体" w:hint="default"/>
          <w:sz w:val="18"/>
          <w:szCs w:val="18"/>
        </w:rPr>
        <w:t>款总额的比</w:t>
        <w:tab/>
        <w:t>准备 例 </w:t>
      </w:r>
      <w:r>
        <w:rPr>
          <w:rFonts w:ascii="Arial" w:hAnsi="Arial" w:cs="Arial" w:eastAsia="Arial" w:hint="default"/>
          <w:sz w:val="18"/>
          <w:szCs w:val="18"/>
        </w:rPr>
        <w:t>(%)</w:t>
      </w:r>
    </w:p>
    <w:p>
      <w:pPr>
        <w:tabs>
          <w:tab w:pos="970" w:val="left" w:leader="none"/>
        </w:tabs>
        <w:spacing w:line="231" w:lineRule="exact" w:before="0"/>
        <w:ind w:left="36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金额</w:t>
        <w:tab/>
        <w:t>占其他应收</w:t>
      </w:r>
    </w:p>
    <w:p>
      <w:pPr>
        <w:spacing w:line="232" w:lineRule="exact" w:before="23"/>
        <w:ind w:left="1146" w:right="-20" w:hanging="176"/>
        <w:jc w:val="left"/>
        <w:rPr>
          <w:rFonts w:ascii="Arial" w:hAnsi="Arial" w:cs="Arial" w:eastAsia="Arial" w:hint="default"/>
          <w:sz w:val="18"/>
          <w:szCs w:val="18"/>
        </w:rPr>
      </w:pPr>
      <w:r>
        <w:rPr>
          <w:rFonts w:ascii="宋体" w:hAnsi="宋体" w:cs="宋体" w:eastAsia="宋体" w:hint="default"/>
          <w:sz w:val="18"/>
          <w:szCs w:val="18"/>
        </w:rPr>
        <w:t>款总额的比 例 </w:t>
      </w:r>
      <w:r>
        <w:rPr>
          <w:rFonts w:ascii="Arial" w:hAnsi="Arial" w:cs="Arial" w:eastAsia="Arial" w:hint="default"/>
          <w:sz w:val="18"/>
          <w:szCs w:val="18"/>
        </w:rPr>
        <w:t>(%)</w:t>
      </w:r>
    </w:p>
    <w:p>
      <w:pPr>
        <w:spacing w:line="232" w:lineRule="exact" w:before="21"/>
        <w:ind w:left="471" w:right="1390" w:hanging="180"/>
        <w:jc w:val="left"/>
        <w:rPr>
          <w:rFonts w:ascii="宋体" w:hAnsi="宋体" w:cs="宋体" w:eastAsia="宋体" w:hint="default"/>
          <w:sz w:val="18"/>
          <w:szCs w:val="18"/>
        </w:rPr>
      </w:pPr>
      <w:r>
        <w:rPr/>
        <w:br w:type="column"/>
      </w:r>
      <w:r>
        <w:rPr>
          <w:rFonts w:ascii="宋体" w:hAnsi="宋体" w:cs="宋体" w:eastAsia="宋体" w:hint="default"/>
          <w:sz w:val="18"/>
          <w:szCs w:val="18"/>
        </w:rPr>
        <w:t>坏账准 备</w:t>
      </w:r>
    </w:p>
    <w:p>
      <w:pPr>
        <w:spacing w:after="0" w:line="232" w:lineRule="exact"/>
        <w:jc w:val="left"/>
        <w:rPr>
          <w:rFonts w:ascii="宋体" w:hAnsi="宋体" w:cs="宋体" w:eastAsia="宋体" w:hint="default"/>
          <w:sz w:val="18"/>
          <w:szCs w:val="18"/>
        </w:rPr>
        <w:sectPr>
          <w:type w:val="continuous"/>
          <w:pgSz w:w="11910" w:h="16850"/>
          <w:pgMar w:top="1060" w:bottom="1540" w:left="1580" w:right="0"/>
          <w:cols w:num="3" w:equalWidth="0">
            <w:col w:w="6136" w:space="40"/>
            <w:col w:w="1871" w:space="40"/>
            <w:col w:w="2243"/>
          </w:cols>
        </w:sectPr>
      </w:pP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50"/>
          <w:pgMar w:top="1060" w:bottom="1540" w:left="1580" w:right="0"/>
        </w:sectPr>
      </w:pPr>
    </w:p>
    <w:p>
      <w:pPr>
        <w:spacing w:line="232" w:lineRule="exact" w:before="69"/>
        <w:ind w:left="1021" w:right="-17" w:hanging="152"/>
        <w:jc w:val="left"/>
        <w:rPr>
          <w:rFonts w:ascii="宋体" w:hAnsi="宋体" w:cs="宋体" w:eastAsia="宋体" w:hint="default"/>
          <w:sz w:val="18"/>
          <w:szCs w:val="18"/>
        </w:rPr>
      </w:pPr>
      <w:r>
        <w:rPr>
          <w:rFonts w:ascii="宋体" w:hAnsi="宋体" w:cs="宋体" w:eastAsia="宋体" w:hint="default"/>
          <w:sz w:val="18"/>
          <w:szCs w:val="18"/>
        </w:rPr>
        <w:t>银</w:t>
      </w:r>
      <w:r>
        <w:rPr>
          <w:rFonts w:ascii="宋体" w:hAnsi="宋体" w:cs="宋体" w:eastAsia="宋体" w:hint="default"/>
          <w:spacing w:val="-52"/>
          <w:sz w:val="18"/>
          <w:szCs w:val="18"/>
        </w:rPr>
        <w:t> </w:t>
      </w:r>
      <w:r>
        <w:rPr>
          <w:rFonts w:ascii="宋体" w:hAnsi="宋体" w:cs="宋体" w:eastAsia="宋体" w:hint="default"/>
          <w:sz w:val="18"/>
          <w:szCs w:val="18"/>
        </w:rPr>
        <w:t>河</w:t>
      </w:r>
      <w:r>
        <w:rPr>
          <w:rFonts w:ascii="宋体" w:hAnsi="宋体" w:cs="宋体" w:eastAsia="宋体" w:hint="default"/>
          <w:spacing w:val="-52"/>
          <w:sz w:val="18"/>
          <w:szCs w:val="18"/>
        </w:rPr>
        <w:t> </w:t>
      </w:r>
      <w:r>
        <w:rPr>
          <w:rFonts w:ascii="宋体" w:hAnsi="宋体" w:cs="宋体" w:eastAsia="宋体" w:hint="default"/>
          <w:sz w:val="18"/>
          <w:szCs w:val="18"/>
        </w:rPr>
        <w:t>诺</w:t>
      </w:r>
      <w:r>
        <w:rPr>
          <w:rFonts w:ascii="宋体" w:hAnsi="宋体" w:cs="宋体" w:eastAsia="宋体" w:hint="default"/>
          <w:spacing w:val="-55"/>
          <w:sz w:val="18"/>
          <w:szCs w:val="18"/>
        </w:rPr>
        <w:t> </w:t>
      </w:r>
      <w:r>
        <w:rPr>
          <w:rFonts w:ascii="宋体" w:hAnsi="宋体" w:cs="宋体" w:eastAsia="宋体" w:hint="default"/>
          <w:sz w:val="18"/>
          <w:szCs w:val="18"/>
        </w:rPr>
        <w:t>富</w:t>
      </w:r>
      <w:r>
        <w:rPr>
          <w:rFonts w:ascii="宋体" w:hAnsi="宋体" w:cs="宋体" w:eastAsia="宋体" w:hint="default"/>
          <w:spacing w:val="-52"/>
          <w:sz w:val="18"/>
          <w:szCs w:val="18"/>
        </w:rPr>
        <w:t> </w:t>
      </w:r>
      <w:r>
        <w:rPr>
          <w:rFonts w:ascii="宋体" w:hAnsi="宋体" w:cs="宋体" w:eastAsia="宋体" w:hint="default"/>
          <w:sz w:val="18"/>
          <w:szCs w:val="18"/>
        </w:rPr>
        <w:t>特</w:t>
      </w:r>
      <w:r>
        <w:rPr>
          <w:rFonts w:ascii="宋体" w:hAnsi="宋体" w:cs="宋体" w:eastAsia="宋体" w:hint="default"/>
          <w:sz w:val="18"/>
          <w:szCs w:val="18"/>
        </w:rPr>
        <w:t> 大酒店</w:t>
      </w:r>
    </w:p>
    <w:p>
      <w:pPr>
        <w:spacing w:line="243" w:lineRule="exact" w:before="44"/>
        <w:ind w:left="429" w:right="0" w:firstLine="0"/>
        <w:jc w:val="left"/>
        <w:rPr>
          <w:rFonts w:ascii="Arial" w:hAnsi="Arial" w:cs="Arial" w:eastAsia="Arial" w:hint="default"/>
          <w:sz w:val="18"/>
          <w:szCs w:val="18"/>
        </w:rPr>
      </w:pPr>
      <w:r>
        <w:rPr/>
        <w:br w:type="column"/>
      </w:r>
      <w:r>
        <w:rPr>
          <w:rFonts w:ascii="宋体" w:hAnsi="宋体" w:cs="宋体" w:eastAsia="宋体" w:hint="default"/>
          <w:sz w:val="18"/>
          <w:szCs w:val="18"/>
        </w:rPr>
        <w:t>本公司关联方</w:t>
      </w:r>
      <w:r>
        <w:rPr>
          <w:rFonts w:ascii="Arial" w:hAnsi="Arial" w:cs="Arial" w:eastAsia="Arial" w:hint="default"/>
          <w:sz w:val="18"/>
          <w:szCs w:val="18"/>
        </w:rPr>
        <w:t>-</w:t>
      </w:r>
    </w:p>
    <w:p>
      <w:pPr>
        <w:tabs>
          <w:tab w:pos="2152" w:val="left" w:leader="none"/>
          <w:tab w:pos="2976" w:val="left" w:leader="none"/>
          <w:tab w:pos="4193" w:val="left" w:leader="none"/>
          <w:tab w:pos="5013" w:val="left" w:leader="none"/>
          <w:tab w:pos="6065" w:val="left" w:leader="none"/>
          <w:tab w:pos="6420" w:val="left" w:leader="none"/>
          <w:tab w:pos="6920" w:val="left" w:leader="none"/>
          <w:tab w:pos="7035" w:val="left" w:leader="none"/>
        </w:tabs>
        <w:spacing w:line="253" w:lineRule="exact" w:before="0"/>
        <w:ind w:left="167" w:right="0" w:firstLine="0"/>
        <w:jc w:val="left"/>
        <w:rPr>
          <w:rFonts w:ascii="Arial" w:hAnsi="Arial" w:cs="Arial" w:eastAsia="Arial" w:hint="default"/>
          <w:sz w:val="18"/>
          <w:szCs w:val="18"/>
        </w:rPr>
      </w:pPr>
      <w:r>
        <w:rPr>
          <w:rFonts w:ascii="宋体" w:hAnsi="宋体" w:cs="宋体" w:eastAsia="宋体" w:hint="default"/>
          <w:position w:val="1"/>
          <w:sz w:val="18"/>
          <w:szCs w:val="18"/>
        </w:rPr>
        <w:t>苏宁置业之子公司</w:t>
      </w:r>
      <w:r>
        <w:rPr>
          <w:rFonts w:ascii="Arial" w:hAnsi="Arial" w:cs="Arial" w:eastAsia="Arial" w:hint="default"/>
          <w:sz w:val="18"/>
          <w:szCs w:val="18"/>
        </w:rPr>
      </w:r>
      <w:r>
        <w:rPr>
          <w:rFonts w:ascii="Arial" w:hAnsi="Arial" w:cs="Arial" w:eastAsia="Arial" w:hint="default"/>
          <w:sz w:val="18"/>
          <w:szCs w:val="18"/>
          <w:u w:val="thick" w:color="000000"/>
        </w:rPr>
        <w:t> </w:t>
        <w:tab/>
      </w:r>
      <w:r>
        <w:rPr>
          <w:rFonts w:ascii="Arial" w:hAnsi="Arial" w:cs="Arial" w:eastAsia="Arial" w:hint="default"/>
          <w:w w:val="95"/>
          <w:sz w:val="18"/>
          <w:szCs w:val="18"/>
          <w:u w:val="thick" w:color="000000"/>
        </w:rPr>
        <w:t>507</w:t>
        <w:tab/>
        <w:t>0.39%</w:t>
      </w:r>
      <w:r>
        <w:rPr>
          <w:rFonts w:ascii="Arial" w:hAnsi="Arial" w:cs="Arial" w:eastAsia="Arial" w:hint="default"/>
          <w:w w:val="95"/>
          <w:sz w:val="18"/>
          <w:szCs w:val="18"/>
        </w:rPr>
      </w:r>
      <w:r>
        <w:rPr>
          <w:rFonts w:ascii="Arial" w:hAnsi="Arial" w:cs="Arial" w:eastAsia="Arial" w:hint="default"/>
          <w:w w:val="95"/>
          <w:sz w:val="18"/>
          <w:szCs w:val="18"/>
          <w:u w:val="thick" w:color="000000"/>
        </w:rPr>
        <w:t> </w:t>
        <w:tab/>
      </w:r>
      <w:r>
        <w:rPr>
          <w:rFonts w:ascii="Arial" w:hAnsi="Arial" w:cs="Arial" w:eastAsia="Arial" w:hint="default"/>
          <w:sz w:val="18"/>
          <w:szCs w:val="18"/>
          <w:u w:val="thick" w:color="000000"/>
        </w:rPr>
        <w:t>-</w:t>
      </w:r>
      <w:r>
        <w:rPr>
          <w:rFonts w:ascii="Arial" w:hAnsi="Arial" w:cs="Arial" w:eastAsia="Arial" w:hint="default"/>
          <w:sz w:val="18"/>
          <w:szCs w:val="18"/>
        </w:rPr>
      </w:r>
      <w:r>
        <w:rPr>
          <w:rFonts w:ascii="Arial" w:hAnsi="Arial" w:cs="Arial" w:eastAsia="Arial" w:hint="default"/>
          <w:sz w:val="18"/>
          <w:szCs w:val="18"/>
          <w:u w:val="thick" w:color="000000"/>
        </w:rPr>
        <w:t> </w:t>
        <w:tab/>
        <w:t>-</w:t>
        <w:tab/>
        <w:t>-</w:t>
      </w:r>
      <w:r>
        <w:rPr>
          <w:rFonts w:ascii="Arial" w:hAnsi="Arial" w:cs="Arial" w:eastAsia="Arial" w:hint="default"/>
          <w:sz w:val="18"/>
          <w:szCs w:val="18"/>
        </w:rPr>
        <w:tab/>
      </w:r>
      <w:r>
        <w:rPr>
          <w:rFonts w:ascii="Arial" w:hAnsi="Arial" w:cs="Arial" w:eastAsia="Arial" w:hint="default"/>
          <w:sz w:val="18"/>
          <w:szCs w:val="18"/>
          <w:u w:val="thick" w:color="000000"/>
        </w:rPr>
        <w:t> </w:t>
        <w:tab/>
        <w:t>-</w:t>
        <w:tab/>
      </w:r>
      <w:r>
        <w:rPr>
          <w:rFonts w:ascii="Arial" w:hAnsi="Arial" w:cs="Arial" w:eastAsia="Arial" w:hint="default"/>
          <w:sz w:val="18"/>
          <w:szCs w:val="18"/>
        </w:rPr>
      </w:r>
    </w:p>
    <w:p>
      <w:pPr>
        <w:spacing w:after="0" w:line="253" w:lineRule="exact"/>
        <w:jc w:val="left"/>
        <w:rPr>
          <w:rFonts w:ascii="Arial" w:hAnsi="Arial" w:cs="Arial" w:eastAsia="Arial" w:hint="default"/>
          <w:sz w:val="18"/>
          <w:szCs w:val="18"/>
        </w:rPr>
        <w:sectPr>
          <w:type w:val="continuous"/>
          <w:pgSz w:w="11910" w:h="16850"/>
          <w:pgMar w:top="1060" w:bottom="1540" w:left="1580" w:right="0"/>
          <w:cols w:num="2" w:equalWidth="0">
            <w:col w:w="1922" w:space="40"/>
            <w:col w:w="8368"/>
          </w:cols>
        </w:sectPr>
      </w:pPr>
    </w:p>
    <w:p>
      <w:pPr>
        <w:spacing w:line="240" w:lineRule="auto" w:before="3"/>
        <w:rPr>
          <w:rFonts w:ascii="Arial" w:hAnsi="Arial" w:cs="Arial" w:eastAsia="Arial"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536"/>
        <w:gridCol w:w="3534"/>
        <w:gridCol w:w="2271"/>
        <w:gridCol w:w="139"/>
        <w:gridCol w:w="2403"/>
      </w:tblGrid>
      <w:tr>
        <w:trPr>
          <w:trHeight w:val="838" w:hRule="exact"/>
        </w:trPr>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Arial" w:hAnsi="Arial" w:cs="Arial" w:eastAsia="Arial" w:hint="default"/>
                <w:sz w:val="24"/>
                <w:szCs w:val="24"/>
              </w:rPr>
            </w:pPr>
            <w:r>
              <w:rPr>
                <w:rFonts w:ascii="Arial"/>
                <w:sz w:val="24"/>
              </w:rPr>
              <w:t>(3)</w:t>
            </w:r>
          </w:p>
        </w:tc>
        <w:tc>
          <w:tcPr>
            <w:tcW w:w="353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07" w:right="0"/>
              <w:jc w:val="left"/>
              <w:rPr>
                <w:rFonts w:ascii="黑体" w:hAnsi="黑体" w:cs="黑体" w:eastAsia="黑体" w:hint="default"/>
                <w:sz w:val="24"/>
                <w:szCs w:val="24"/>
              </w:rPr>
            </w:pPr>
            <w:r>
              <w:rPr>
                <w:rFonts w:ascii="黑体" w:hAnsi="黑体" w:cs="黑体" w:eastAsia="黑体" w:hint="default"/>
                <w:sz w:val="24"/>
                <w:szCs w:val="24"/>
              </w:rPr>
              <w:t>长期股权投资</w:t>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Arial" w:hAnsi="Arial" w:cs="Arial" w:eastAsia="Arial" w:hint="default"/>
                <w:sz w:val="30"/>
                <w:szCs w:val="30"/>
              </w:rPr>
            </w:pPr>
          </w:p>
          <w:p>
            <w:pPr>
              <w:pStyle w:val="TableParagraph"/>
              <w:spacing w:line="240" w:lineRule="auto"/>
              <w:ind w:right="53"/>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39"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Arial" w:hAnsi="Arial" w:cs="Arial" w:eastAsia="Arial" w:hint="default"/>
                <w:sz w:val="30"/>
                <w:szCs w:val="30"/>
              </w:rPr>
            </w:pPr>
          </w:p>
          <w:p>
            <w:pPr>
              <w:pStyle w:val="TableParagraph"/>
              <w:spacing w:line="240" w:lineRule="auto"/>
              <w:ind w:right="50"/>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58" w:hRule="exact"/>
        </w:trPr>
        <w:tc>
          <w:tcPr>
            <w:tcW w:w="536" w:type="dxa"/>
            <w:tcBorders>
              <w:top w:val="nil" w:sz="6" w:space="0" w:color="auto"/>
              <w:left w:val="nil" w:sz="6" w:space="0" w:color="auto"/>
              <w:bottom w:val="nil" w:sz="6" w:space="0" w:color="auto"/>
              <w:right w:val="nil" w:sz="6" w:space="0" w:color="auto"/>
            </w:tcBorders>
          </w:tcPr>
          <w:p>
            <w:pPr/>
          </w:p>
        </w:tc>
        <w:tc>
          <w:tcPr>
            <w:tcW w:w="353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7"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(a)</w:t>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55"/>
              <w:jc w:val="right"/>
              <w:rPr>
                <w:rFonts w:ascii="Arial" w:hAnsi="Arial" w:cs="Arial" w:eastAsia="Arial" w:hint="default"/>
                <w:sz w:val="24"/>
                <w:szCs w:val="24"/>
              </w:rPr>
            </w:pPr>
            <w:r>
              <w:rPr>
                <w:rFonts w:ascii="Arial"/>
                <w:spacing w:val="-3"/>
                <w:sz w:val="24"/>
              </w:rPr>
              <w:t>11,767,805</w:t>
            </w:r>
          </w:p>
        </w:tc>
        <w:tc>
          <w:tcPr>
            <w:tcW w:w="139"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52"/>
              <w:jc w:val="right"/>
              <w:rPr>
                <w:rFonts w:ascii="Arial" w:hAnsi="Arial" w:cs="Arial" w:eastAsia="Arial" w:hint="default"/>
                <w:sz w:val="24"/>
                <w:szCs w:val="24"/>
              </w:rPr>
            </w:pPr>
            <w:r>
              <w:rPr>
                <w:rFonts w:ascii="Arial"/>
                <w:spacing w:val="-1"/>
                <w:sz w:val="24"/>
              </w:rPr>
              <w:t>8,174,732</w:t>
            </w:r>
          </w:p>
        </w:tc>
      </w:tr>
      <w:tr>
        <w:trPr>
          <w:trHeight w:val="313" w:hRule="exact"/>
        </w:trPr>
        <w:tc>
          <w:tcPr>
            <w:tcW w:w="536" w:type="dxa"/>
            <w:tcBorders>
              <w:top w:val="nil" w:sz="6" w:space="0" w:color="auto"/>
              <w:left w:val="nil" w:sz="6" w:space="0" w:color="auto"/>
              <w:bottom w:val="nil" w:sz="6" w:space="0" w:color="auto"/>
              <w:right w:val="nil" w:sz="6" w:space="0" w:color="auto"/>
            </w:tcBorders>
          </w:tcPr>
          <w:p>
            <w:pPr/>
          </w:p>
        </w:tc>
        <w:tc>
          <w:tcPr>
            <w:tcW w:w="3534" w:type="dxa"/>
            <w:tcBorders>
              <w:top w:val="nil" w:sz="6" w:space="0" w:color="auto"/>
              <w:left w:val="nil" w:sz="6" w:space="0" w:color="auto"/>
              <w:bottom w:val="nil" w:sz="6" w:space="0" w:color="auto"/>
              <w:right w:val="nil" w:sz="6" w:space="0" w:color="auto"/>
            </w:tcBorders>
          </w:tcPr>
          <w:p>
            <w:pPr>
              <w:pStyle w:val="TableParagraph"/>
              <w:spacing w:line="279" w:lineRule="exact"/>
              <w:ind w:left="207" w:right="0"/>
              <w:jc w:val="left"/>
              <w:rPr>
                <w:rFonts w:ascii="Arial" w:hAnsi="Arial" w:cs="Arial" w:eastAsia="Arial" w:hint="default"/>
                <w:sz w:val="24"/>
                <w:szCs w:val="24"/>
              </w:rPr>
            </w:pPr>
            <w:r>
              <w:rPr>
                <w:rFonts w:ascii="宋体" w:hAnsi="宋体" w:cs="宋体" w:eastAsia="宋体" w:hint="default"/>
                <w:sz w:val="24"/>
                <w:szCs w:val="24"/>
              </w:rPr>
              <w:t>其他长期股权投资</w:t>
            </w:r>
            <w:r>
              <w:rPr>
                <w:rFonts w:ascii="Arial" w:hAnsi="Arial" w:cs="Arial" w:eastAsia="Arial" w:hint="default"/>
                <w:sz w:val="24"/>
                <w:szCs w:val="24"/>
              </w:rPr>
              <w:t>(b)</w:t>
            </w:r>
          </w:p>
        </w:tc>
        <w:tc>
          <w:tcPr>
            <w:tcW w:w="2271" w:type="dxa"/>
            <w:tcBorders>
              <w:top w:val="nil" w:sz="6" w:space="0" w:color="auto"/>
              <w:left w:val="nil" w:sz="6" w:space="0" w:color="auto"/>
              <w:bottom w:val="nil" w:sz="6" w:space="0" w:color="auto"/>
              <w:right w:val="nil" w:sz="6" w:space="0" w:color="auto"/>
            </w:tcBorders>
          </w:tcPr>
          <w:p>
            <w:pPr>
              <w:pStyle w:val="TableParagraph"/>
              <w:tabs>
                <w:tab w:pos="1344" w:val="left" w:leader="none"/>
              </w:tabs>
              <w:spacing w:line="240" w:lineRule="auto" w:before="19"/>
              <w:ind w:right="55"/>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545,793</w:t>
            </w:r>
            <w:r>
              <w:rPr>
                <w:rFonts w:ascii="Arial"/>
                <w:spacing w:val="-1"/>
                <w:sz w:val="24"/>
              </w:rPr>
            </w:r>
          </w:p>
        </w:tc>
        <w:tc>
          <w:tcPr>
            <w:tcW w:w="139"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tabs>
                <w:tab w:pos="1478" w:val="left" w:leader="none"/>
              </w:tabs>
              <w:spacing w:line="240" w:lineRule="auto" w:before="19"/>
              <w:ind w:right="52"/>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545,793</w:t>
            </w:r>
            <w:r>
              <w:rPr>
                <w:rFonts w:ascii="Arial"/>
                <w:spacing w:val="-1"/>
                <w:sz w:val="24"/>
              </w:rPr>
            </w:r>
          </w:p>
        </w:tc>
      </w:tr>
      <w:tr>
        <w:trPr>
          <w:trHeight w:val="287" w:hRule="exact"/>
        </w:trPr>
        <w:tc>
          <w:tcPr>
            <w:tcW w:w="536" w:type="dxa"/>
            <w:tcBorders>
              <w:top w:val="nil" w:sz="6" w:space="0" w:color="auto"/>
              <w:left w:val="nil" w:sz="6" w:space="0" w:color="auto"/>
              <w:bottom w:val="nil" w:sz="6" w:space="0" w:color="auto"/>
              <w:right w:val="nil" w:sz="6" w:space="0" w:color="auto"/>
            </w:tcBorders>
          </w:tcPr>
          <w:p>
            <w:pPr/>
          </w:p>
        </w:tc>
        <w:tc>
          <w:tcPr>
            <w:tcW w:w="3534" w:type="dxa"/>
            <w:tcBorders>
              <w:top w:val="nil" w:sz="6" w:space="0" w:color="auto"/>
              <w:left w:val="nil" w:sz="6" w:space="0" w:color="auto"/>
              <w:bottom w:val="nil" w:sz="6" w:space="0" w:color="auto"/>
              <w:right w:val="nil" w:sz="6" w:space="0" w:color="auto"/>
            </w:tcBorders>
          </w:tcPr>
          <w:p>
            <w:pPr/>
          </w:p>
        </w:tc>
        <w:tc>
          <w:tcPr>
            <w:tcW w:w="2271" w:type="dxa"/>
            <w:tcBorders>
              <w:top w:val="nil" w:sz="6" w:space="0" w:color="auto"/>
              <w:left w:val="nil" w:sz="6" w:space="0" w:color="auto"/>
              <w:bottom w:val="single" w:sz="12" w:space="0" w:color="000000"/>
              <w:right w:val="nil" w:sz="6" w:space="0" w:color="auto"/>
            </w:tcBorders>
          </w:tcPr>
          <w:p>
            <w:pPr>
              <w:pStyle w:val="TableParagraph"/>
              <w:spacing w:line="268" w:lineRule="exact"/>
              <w:ind w:right="55"/>
              <w:jc w:val="right"/>
              <w:rPr>
                <w:rFonts w:ascii="Arial" w:hAnsi="Arial" w:cs="Arial" w:eastAsia="Arial" w:hint="default"/>
                <w:sz w:val="24"/>
                <w:szCs w:val="24"/>
              </w:rPr>
            </w:pPr>
            <w:r>
              <w:rPr>
                <w:rFonts w:ascii="Arial"/>
                <w:spacing w:val="-1"/>
                <w:sz w:val="24"/>
              </w:rPr>
              <w:t>12,313,598</w:t>
            </w:r>
          </w:p>
        </w:tc>
        <w:tc>
          <w:tcPr>
            <w:tcW w:w="139"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single" w:sz="12" w:space="0" w:color="000000"/>
              <w:right w:val="nil" w:sz="6" w:space="0" w:color="auto"/>
            </w:tcBorders>
          </w:tcPr>
          <w:p>
            <w:pPr>
              <w:pStyle w:val="TableParagraph"/>
              <w:spacing w:line="268" w:lineRule="exact"/>
              <w:ind w:right="51"/>
              <w:jc w:val="right"/>
              <w:rPr>
                <w:rFonts w:ascii="Arial" w:hAnsi="Arial" w:cs="Arial" w:eastAsia="Arial" w:hint="default"/>
                <w:sz w:val="24"/>
                <w:szCs w:val="24"/>
              </w:rPr>
            </w:pPr>
            <w:r>
              <w:rPr>
                <w:rFonts w:ascii="Arial"/>
                <w:spacing w:val="-1"/>
                <w:sz w:val="24"/>
              </w:rPr>
              <w:t>8,720,525</w:t>
            </w:r>
          </w:p>
        </w:tc>
      </w:tr>
    </w:tbl>
    <w:p>
      <w:pPr>
        <w:spacing w:line="240" w:lineRule="auto" w:before="11"/>
        <w:rPr>
          <w:rFonts w:ascii="Arial" w:hAnsi="Arial" w:cs="Arial" w:eastAsia="Arial" w:hint="default"/>
          <w:sz w:val="16"/>
          <w:szCs w:val="16"/>
        </w:rPr>
      </w:pPr>
    </w:p>
    <w:p>
      <w:pPr>
        <w:pStyle w:val="Heading3"/>
        <w:spacing w:line="240" w:lineRule="auto" w:before="26"/>
        <w:ind w:left="856" w:right="0"/>
        <w:jc w:val="left"/>
      </w:pPr>
      <w:r>
        <w:rPr/>
        <w:t>本公司不存在长期投资变现的重大限制。</w:t>
      </w:r>
    </w:p>
    <w:p>
      <w:pPr>
        <w:spacing w:after="0" w:line="240" w:lineRule="auto"/>
        <w:jc w:val="left"/>
        <w:sectPr>
          <w:type w:val="continuous"/>
          <w:pgSz w:w="11910" w:h="16850"/>
          <w:pgMar w:top="1060" w:bottom="1540" w:left="1580" w:right="0"/>
        </w:sectPr>
      </w:pPr>
    </w:p>
    <w:p>
      <w:pPr>
        <w:spacing w:line="240" w:lineRule="auto" w:before="9"/>
        <w:rPr>
          <w:rFonts w:ascii="Times New Roman" w:hAnsi="Times New Roman" w:cs="Times New Roman" w:eastAsia="Times New Roman" w:hint="default"/>
          <w:sz w:val="29"/>
          <w:szCs w:val="29"/>
        </w:rPr>
      </w:pPr>
      <w:r>
        <w:rPr/>
        <w:pict>
          <v:shape style="position:absolute;margin-left:707.039978pt;margin-top:518.320007pt;width:135pt;height:77pt;mso-position-horizontal-relative:page;mso-position-vertical-relative:page;z-index:4792" type="#_x0000_t75" stroked="false">
            <v:imagedata r:id="rId10" o:title=""/>
          </v:shape>
        </w:pict>
      </w:r>
    </w:p>
    <w:tbl>
      <w:tblPr>
        <w:tblW w:w="0" w:type="auto"/>
        <w:jc w:val="left"/>
        <w:tblInd w:w="103" w:type="dxa"/>
        <w:tblLayout w:type="fixed"/>
        <w:tblCellMar>
          <w:top w:w="0" w:type="dxa"/>
          <w:left w:w="0" w:type="dxa"/>
          <w:bottom w:w="0" w:type="dxa"/>
          <w:right w:w="0" w:type="dxa"/>
        </w:tblCellMar>
        <w:tblLook w:val="01E0"/>
      </w:tblPr>
      <w:tblGrid>
        <w:gridCol w:w="753"/>
        <w:gridCol w:w="2554"/>
        <w:gridCol w:w="1131"/>
        <w:gridCol w:w="1171"/>
        <w:gridCol w:w="1166"/>
        <w:gridCol w:w="1374"/>
        <w:gridCol w:w="1132"/>
        <w:gridCol w:w="856"/>
        <w:gridCol w:w="978"/>
        <w:gridCol w:w="1520"/>
        <w:gridCol w:w="846"/>
        <w:gridCol w:w="930"/>
        <w:gridCol w:w="1407"/>
      </w:tblGrid>
      <w:tr>
        <w:trPr>
          <w:trHeight w:val="415"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十五</w:t>
            </w:r>
          </w:p>
        </w:tc>
        <w:tc>
          <w:tcPr>
            <w:tcW w:w="2554" w:type="dxa"/>
            <w:tcBorders>
              <w:top w:val="nil" w:sz="6" w:space="0" w:color="auto"/>
              <w:left w:val="nil" w:sz="6" w:space="0" w:color="auto"/>
              <w:bottom w:val="nil" w:sz="6" w:space="0" w:color="auto"/>
              <w:right w:val="nil" w:sz="6" w:space="0" w:color="auto"/>
            </w:tcBorders>
          </w:tcPr>
          <w:p>
            <w:pPr>
              <w:pStyle w:val="TableParagraph"/>
              <w:spacing w:line="257" w:lineRule="exact"/>
              <w:ind w:left="73"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31"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r>
      <w:tr>
        <w:trPr>
          <w:trHeight w:val="587"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00" w:right="0"/>
              <w:jc w:val="left"/>
              <w:rPr>
                <w:rFonts w:ascii="Arial" w:hAnsi="Arial" w:cs="Arial" w:eastAsia="Arial" w:hint="default"/>
                <w:sz w:val="24"/>
                <w:szCs w:val="24"/>
              </w:rPr>
            </w:pPr>
            <w:r>
              <w:rPr>
                <w:rFonts w:ascii="Arial"/>
                <w:sz w:val="24"/>
              </w:rPr>
              <w:t>(3)</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73"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31"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r>
      <w:tr>
        <w:trPr>
          <w:trHeight w:val="582"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3"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1131"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r>
      <w:tr>
        <w:trPr>
          <w:trHeight w:val="773" w:hRule="exact"/>
        </w:trPr>
        <w:tc>
          <w:tcPr>
            <w:tcW w:w="75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268"/>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78"/>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1166" w:type="dxa"/>
            <w:tcBorders>
              <w:top w:val="nil" w:sz="6" w:space="0" w:color="auto"/>
              <w:left w:val="nil" w:sz="6" w:space="0" w:color="auto"/>
              <w:bottom w:val="nil" w:sz="6" w:space="0" w:color="auto"/>
              <w:right w:val="nil" w:sz="6" w:space="0" w:color="auto"/>
            </w:tcBorders>
          </w:tcPr>
          <w:p>
            <w:pPr>
              <w:pStyle w:val="TableParagraph"/>
              <w:spacing w:line="241" w:lineRule="exact" w:before="114"/>
              <w:ind w:left="462"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1" w:lineRule="exact"/>
              <w:ind w:left="17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202"/>
              <w:jc w:val="right"/>
              <w:rPr>
                <w:rFonts w:ascii="宋体" w:hAnsi="宋体" w:cs="宋体" w:eastAsia="宋体" w:hint="default"/>
                <w:sz w:val="18"/>
                <w:szCs w:val="18"/>
              </w:rPr>
            </w:pPr>
            <w:r>
              <w:rPr>
                <w:rFonts w:ascii="宋体" w:hAnsi="宋体" w:cs="宋体" w:eastAsia="宋体" w:hint="default"/>
                <w:sz w:val="18"/>
                <w:szCs w:val="18"/>
              </w:rPr>
              <w:t>本年增减变动</w:t>
            </w:r>
          </w:p>
        </w:tc>
        <w:tc>
          <w:tcPr>
            <w:tcW w:w="1132" w:type="dxa"/>
            <w:tcBorders>
              <w:top w:val="nil" w:sz="6" w:space="0" w:color="auto"/>
              <w:left w:val="nil" w:sz="6" w:space="0" w:color="auto"/>
              <w:bottom w:val="nil" w:sz="6" w:space="0" w:color="auto"/>
              <w:right w:val="nil" w:sz="6" w:space="0" w:color="auto"/>
            </w:tcBorders>
          </w:tcPr>
          <w:p>
            <w:pPr>
              <w:pStyle w:val="TableParagraph"/>
              <w:spacing w:line="241" w:lineRule="exact" w:before="114"/>
              <w:ind w:left="410"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1" w:lineRule="exact"/>
              <w:ind w:left="141"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856" w:type="dxa"/>
            <w:tcBorders>
              <w:top w:val="nil" w:sz="6" w:space="0" w:color="auto"/>
              <w:left w:val="nil" w:sz="6" w:space="0" w:color="auto"/>
              <w:bottom w:val="nil" w:sz="6" w:space="0" w:color="auto"/>
              <w:right w:val="nil" w:sz="6" w:space="0" w:color="auto"/>
            </w:tcBorders>
          </w:tcPr>
          <w:p>
            <w:pPr>
              <w:pStyle w:val="TableParagraph"/>
              <w:spacing w:line="234" w:lineRule="exact" w:before="114"/>
              <w:ind w:left="93" w:right="0"/>
              <w:jc w:val="left"/>
              <w:rPr>
                <w:rFonts w:ascii="宋体" w:hAnsi="宋体" w:cs="宋体" w:eastAsia="宋体" w:hint="default"/>
                <w:sz w:val="18"/>
                <w:szCs w:val="18"/>
              </w:rPr>
            </w:pPr>
            <w:r>
              <w:rPr>
                <w:rFonts w:ascii="宋体" w:hAnsi="宋体" w:cs="宋体" w:eastAsia="宋体" w:hint="default"/>
                <w:sz w:val="18"/>
                <w:szCs w:val="18"/>
              </w:rPr>
              <w:t>直接持股</w:t>
            </w:r>
          </w:p>
          <w:p>
            <w:pPr>
              <w:pStyle w:val="TableParagraph"/>
              <w:spacing w:line="234" w:lineRule="exact"/>
              <w:ind w:left="45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78" w:type="dxa"/>
            <w:tcBorders>
              <w:top w:val="nil" w:sz="6" w:space="0" w:color="auto"/>
              <w:left w:val="nil" w:sz="6" w:space="0" w:color="auto"/>
              <w:bottom w:val="nil" w:sz="6" w:space="0" w:color="auto"/>
              <w:right w:val="nil" w:sz="6" w:space="0" w:color="auto"/>
            </w:tcBorders>
          </w:tcPr>
          <w:p>
            <w:pPr>
              <w:pStyle w:val="TableParagraph"/>
              <w:spacing w:line="234" w:lineRule="exact" w:before="114"/>
              <w:ind w:left="39" w:right="0"/>
              <w:jc w:val="left"/>
              <w:rPr>
                <w:rFonts w:ascii="宋体" w:hAnsi="宋体" w:cs="宋体" w:eastAsia="宋体" w:hint="default"/>
                <w:sz w:val="18"/>
                <w:szCs w:val="18"/>
              </w:rPr>
            </w:pPr>
            <w:r>
              <w:rPr>
                <w:rFonts w:ascii="宋体" w:hAnsi="宋体" w:cs="宋体" w:eastAsia="宋体" w:hint="default"/>
                <w:sz w:val="18"/>
                <w:szCs w:val="18"/>
              </w:rPr>
              <w:t>直接表决权</w:t>
            </w:r>
          </w:p>
          <w:p>
            <w:pPr>
              <w:pStyle w:val="TableParagraph"/>
              <w:spacing w:line="234" w:lineRule="exact"/>
              <w:ind w:left="57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20" w:type="dxa"/>
            <w:tcBorders>
              <w:top w:val="nil" w:sz="6" w:space="0" w:color="auto"/>
              <w:left w:val="nil" w:sz="6" w:space="0" w:color="auto"/>
              <w:bottom w:val="nil" w:sz="6" w:space="0" w:color="auto"/>
              <w:right w:val="nil" w:sz="6" w:space="0" w:color="auto"/>
            </w:tcBorders>
          </w:tcPr>
          <w:p>
            <w:pPr>
              <w:pStyle w:val="TableParagraph"/>
              <w:spacing w:line="232" w:lineRule="exact" w:before="139"/>
              <w:ind w:left="36" w:right="41"/>
              <w:jc w:val="left"/>
              <w:rPr>
                <w:rFonts w:ascii="宋体" w:hAnsi="宋体" w:cs="宋体" w:eastAsia="宋体" w:hint="default"/>
                <w:sz w:val="18"/>
                <w:szCs w:val="18"/>
              </w:rPr>
            </w:pPr>
            <w:r>
              <w:rPr>
                <w:rFonts w:ascii="宋体" w:hAnsi="宋体" w:cs="宋体" w:eastAsia="宋体" w:hint="default"/>
                <w:sz w:val="18"/>
                <w:szCs w:val="18"/>
              </w:rPr>
              <w:t>持股比例与表决权 比例不一致的说明</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80"/>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930" w:type="dxa"/>
            <w:tcBorders>
              <w:top w:val="nil" w:sz="6" w:space="0" w:color="auto"/>
              <w:left w:val="nil" w:sz="6" w:space="0" w:color="auto"/>
              <w:bottom w:val="nil" w:sz="6" w:space="0" w:color="auto"/>
              <w:right w:val="nil" w:sz="6" w:space="0" w:color="auto"/>
            </w:tcBorders>
          </w:tcPr>
          <w:p>
            <w:pPr>
              <w:pStyle w:val="TableParagraph"/>
              <w:spacing w:line="232" w:lineRule="exact" w:before="139"/>
              <w:ind w:left="82" w:right="125"/>
              <w:jc w:val="left"/>
              <w:rPr>
                <w:rFonts w:ascii="宋体" w:hAnsi="宋体" w:cs="宋体" w:eastAsia="宋体" w:hint="default"/>
                <w:sz w:val="18"/>
                <w:szCs w:val="18"/>
              </w:rPr>
            </w:pPr>
            <w:r>
              <w:rPr>
                <w:rFonts w:ascii="宋体" w:hAnsi="宋体" w:cs="宋体" w:eastAsia="宋体" w:hint="default"/>
                <w:sz w:val="18"/>
                <w:szCs w:val="18"/>
              </w:rPr>
              <w:t>本年计提 减值准备</w:t>
            </w:r>
          </w:p>
        </w:tc>
        <w:tc>
          <w:tcPr>
            <w:tcW w:w="1407" w:type="dxa"/>
            <w:tcBorders>
              <w:top w:val="nil" w:sz="6" w:space="0" w:color="auto"/>
              <w:left w:val="nil" w:sz="6" w:space="0" w:color="auto"/>
              <w:bottom w:val="nil" w:sz="6" w:space="0" w:color="auto"/>
              <w:right w:val="nil" w:sz="6" w:space="0" w:color="auto"/>
            </w:tcBorders>
          </w:tcPr>
          <w:p>
            <w:pPr>
              <w:pStyle w:val="TableParagraph"/>
              <w:spacing w:line="232" w:lineRule="exact" w:before="139"/>
              <w:ind w:left="307" w:right="198" w:hanging="180"/>
              <w:jc w:val="left"/>
              <w:rPr>
                <w:rFonts w:ascii="宋体" w:hAnsi="宋体" w:cs="宋体" w:eastAsia="宋体" w:hint="default"/>
                <w:sz w:val="18"/>
                <w:szCs w:val="18"/>
              </w:rPr>
            </w:pPr>
            <w:r>
              <w:rPr>
                <w:rFonts w:ascii="宋体" w:hAnsi="宋体" w:cs="宋体" w:eastAsia="宋体" w:hint="default"/>
                <w:sz w:val="18"/>
                <w:szCs w:val="18"/>
              </w:rPr>
              <w:t>本年宣告分派 的现金股利</w:t>
            </w:r>
          </w:p>
        </w:tc>
      </w:tr>
      <w:tr>
        <w:trPr>
          <w:trHeight w:val="421" w:hRule="exact"/>
        </w:trPr>
        <w:tc>
          <w:tcPr>
            <w:tcW w:w="75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73" w:right="0"/>
              <w:jc w:val="left"/>
              <w:rPr>
                <w:rFonts w:ascii="宋体" w:hAnsi="宋体" w:cs="宋体" w:eastAsia="宋体" w:hint="default"/>
                <w:sz w:val="18"/>
                <w:szCs w:val="18"/>
              </w:rPr>
            </w:pPr>
            <w:r>
              <w:rPr>
                <w:rFonts w:ascii="宋体" w:hAnsi="宋体" w:cs="宋体" w:eastAsia="宋体" w:hint="default"/>
                <w:sz w:val="18"/>
                <w:szCs w:val="18"/>
              </w:rPr>
              <w:t>上海苏宁电器有限公司</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77"/>
              <w:jc w:val="right"/>
              <w:rPr>
                <w:rFonts w:ascii="Arial" w:hAnsi="Arial" w:cs="Arial" w:eastAsia="Arial" w:hint="default"/>
                <w:sz w:val="18"/>
                <w:szCs w:val="18"/>
              </w:rPr>
            </w:pPr>
            <w:r>
              <w:rPr>
                <w:rFonts w:ascii="Arial"/>
                <w:spacing w:val="-1"/>
                <w:sz w:val="18"/>
              </w:rPr>
              <w:t>671,444</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90"/>
              <w:jc w:val="right"/>
              <w:rPr>
                <w:rFonts w:ascii="Arial" w:hAnsi="Arial" w:cs="Arial" w:eastAsia="Arial" w:hint="default"/>
                <w:sz w:val="18"/>
                <w:szCs w:val="18"/>
              </w:rPr>
            </w:pPr>
            <w:r>
              <w:rPr>
                <w:rFonts w:ascii="Arial"/>
                <w:spacing w:val="-1"/>
                <w:sz w:val="18"/>
              </w:rPr>
              <w:t>607,524</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39"/>
              <w:jc w:val="right"/>
              <w:rPr>
                <w:rFonts w:ascii="Arial" w:hAnsi="Arial" w:cs="Arial" w:eastAsia="Arial" w:hint="default"/>
                <w:sz w:val="18"/>
                <w:szCs w:val="18"/>
              </w:rPr>
            </w:pPr>
            <w:r>
              <w:rPr>
                <w:rFonts w:ascii="Arial"/>
                <w:spacing w:val="-1"/>
                <w:sz w:val="18"/>
              </w:rPr>
              <w:t>63,920</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92"/>
              <w:jc w:val="right"/>
              <w:rPr>
                <w:rFonts w:ascii="Arial" w:hAnsi="Arial" w:cs="Arial" w:eastAsia="Arial" w:hint="default"/>
                <w:sz w:val="18"/>
                <w:szCs w:val="18"/>
              </w:rPr>
            </w:pPr>
            <w:r>
              <w:rPr>
                <w:rFonts w:ascii="Arial"/>
                <w:spacing w:val="-1"/>
                <w:sz w:val="18"/>
              </w:rPr>
              <w:t>671,444</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7"/>
              <w:jc w:val="right"/>
              <w:rPr>
                <w:rFonts w:ascii="Arial" w:hAnsi="Arial" w:cs="Arial" w:eastAsia="Arial" w:hint="default"/>
                <w:sz w:val="18"/>
                <w:szCs w:val="18"/>
              </w:rPr>
            </w:pPr>
            <w:r>
              <w:rPr>
                <w:rFonts w:ascii="Arial"/>
                <w:w w:val="95"/>
                <w:sz w:val="18"/>
              </w:rPr>
              <w:t>100%</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4"/>
              <w:jc w:val="right"/>
              <w:rPr>
                <w:rFonts w:ascii="Arial" w:hAnsi="Arial" w:cs="Arial" w:eastAsia="Arial" w:hint="default"/>
                <w:sz w:val="18"/>
                <w:szCs w:val="18"/>
              </w:rPr>
            </w:pPr>
            <w:r>
              <w:rPr>
                <w:rFonts w:ascii="Arial"/>
                <w:w w:val="95"/>
                <w:sz w:val="18"/>
              </w:rPr>
              <w:t>100%</w:t>
            </w:r>
            <w:r>
              <w:rPr>
                <w:rFonts w:ascii="Arial"/>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90"/>
              <w:jc w:val="right"/>
              <w:rPr>
                <w:rFonts w:ascii="Arial" w:hAnsi="Arial" w:cs="Arial" w:eastAsia="Arial" w:hint="default"/>
                <w:sz w:val="18"/>
                <w:szCs w:val="18"/>
              </w:rPr>
            </w:pPr>
            <w:r>
              <w:rPr>
                <w:rFonts w:ascii="Arial"/>
                <w:w w:val="99"/>
                <w:sz w:val="18"/>
              </w:rPr>
              <w:t>-</w:t>
            </w:r>
            <w:r>
              <w:rPr>
                <w:rFonts w:ascii="Arial"/>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8"/>
              <w:jc w:val="right"/>
              <w:rPr>
                <w:rFonts w:ascii="Arial" w:hAnsi="Arial" w:cs="Arial" w:eastAsia="Arial" w:hint="default"/>
                <w:sz w:val="16"/>
                <w:szCs w:val="16"/>
              </w:rPr>
            </w:pPr>
            <w:r>
              <w:rPr>
                <w:rFonts w:ascii="Arial"/>
                <w:w w:val="100"/>
                <w:sz w:val="16"/>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95"/>
              <w:jc w:val="right"/>
              <w:rPr>
                <w:rFonts w:ascii="Arial" w:hAnsi="Arial" w:cs="Arial" w:eastAsia="Arial" w:hint="default"/>
                <w:sz w:val="16"/>
                <w:szCs w:val="16"/>
              </w:rPr>
            </w:pPr>
            <w:r>
              <w:rPr>
                <w:rFonts w:ascii="Arial"/>
                <w:w w:val="100"/>
                <w:sz w:val="16"/>
              </w:rPr>
              <w:t>-</w:t>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上海长宁苏宁电器有限公司</w:t>
            </w:r>
          </w:p>
        </w:tc>
        <w:tc>
          <w:tcPr>
            <w:tcW w:w="1131"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Arial" w:hAnsi="Arial" w:cs="Arial" w:eastAsia="Arial" w:hint="default"/>
                <w:sz w:val="18"/>
                <w:szCs w:val="18"/>
              </w:rPr>
            </w:pPr>
            <w:r>
              <w:rPr>
                <w:rFonts w:ascii="Arial"/>
                <w:spacing w:val="-1"/>
                <w:sz w:val="18"/>
              </w:rPr>
              <w:t>502,367</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spacing w:val="-1"/>
                <w:sz w:val="18"/>
              </w:rPr>
              <w:t>502,367</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spacing w:val="-1"/>
                <w:sz w:val="18"/>
              </w:rPr>
              <w:t>502,367</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
              <w:jc w:val="right"/>
              <w:rPr>
                <w:rFonts w:ascii="Arial" w:hAnsi="Arial" w:cs="Arial" w:eastAsia="Arial" w:hint="default"/>
                <w:sz w:val="18"/>
                <w:szCs w:val="18"/>
              </w:rPr>
            </w:pPr>
            <w:r>
              <w:rPr>
                <w:rFonts w:ascii="Arial"/>
                <w:w w:val="95"/>
                <w:sz w:val="18"/>
              </w:rPr>
              <w:t>90%</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w w:val="99"/>
                <w:sz w:val="18"/>
              </w:rPr>
              <w:t>-</w:t>
            </w:r>
            <w:r>
              <w:rPr>
                <w:rFonts w:ascii="Arial"/>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Arial" w:hAnsi="Arial" w:cs="Arial" w:eastAsia="Arial" w:hint="default"/>
                <w:sz w:val="18"/>
                <w:szCs w:val="18"/>
              </w:rPr>
            </w:pPr>
            <w:r>
              <w:rPr>
                <w:rFonts w:ascii="Arial"/>
                <w:w w:val="99"/>
                <w:sz w:val="18"/>
              </w:rPr>
              <w:t>-</w:t>
            </w:r>
            <w:r>
              <w:rPr>
                <w:rFonts w:ascii="Arial"/>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5"/>
              <w:jc w:val="right"/>
              <w:rPr>
                <w:rFonts w:ascii="Arial" w:hAnsi="Arial" w:cs="Arial" w:eastAsia="Arial" w:hint="default"/>
                <w:sz w:val="16"/>
                <w:szCs w:val="16"/>
              </w:rPr>
            </w:pPr>
            <w:r>
              <w:rPr>
                <w:rFonts w:ascii="Arial"/>
                <w:w w:val="100"/>
                <w:sz w:val="16"/>
              </w:rPr>
              <w:t>-</w:t>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重庆渝宁苏宁电器有限公司</w:t>
            </w:r>
          </w:p>
        </w:tc>
        <w:tc>
          <w:tcPr>
            <w:tcW w:w="1131"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spacing w:val="-1"/>
                <w:sz w:val="18"/>
              </w:rPr>
              <w:t>471,507</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spacing w:val="-1"/>
                <w:sz w:val="18"/>
              </w:rPr>
              <w:t>381,450</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spacing w:val="-1"/>
                <w:sz w:val="18"/>
              </w:rPr>
              <w:t>90,057</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spacing w:val="-1"/>
                <w:sz w:val="18"/>
              </w:rPr>
              <w:t>471,507</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
              <w:jc w:val="right"/>
              <w:rPr>
                <w:rFonts w:ascii="Arial" w:hAnsi="Arial" w:cs="Arial" w:eastAsia="Arial" w:hint="default"/>
                <w:sz w:val="18"/>
                <w:szCs w:val="18"/>
              </w:rPr>
            </w:pPr>
            <w:r>
              <w:rPr>
                <w:rFonts w:ascii="Arial"/>
                <w:w w:val="95"/>
                <w:sz w:val="18"/>
              </w:rPr>
              <w:t>100%</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100%</w:t>
            </w:r>
            <w:r>
              <w:rPr>
                <w:rFonts w:ascii="Arial"/>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w w:val="99"/>
                <w:sz w:val="18"/>
              </w:rPr>
              <w:t>-</w:t>
            </w:r>
            <w:r>
              <w:rPr>
                <w:rFonts w:ascii="Arial"/>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Arial" w:hAnsi="Arial" w:cs="Arial" w:eastAsia="Arial" w:hint="default"/>
                <w:sz w:val="18"/>
                <w:szCs w:val="18"/>
              </w:rPr>
            </w:pPr>
            <w:r>
              <w:rPr>
                <w:rFonts w:ascii="Arial"/>
                <w:w w:val="99"/>
                <w:sz w:val="18"/>
              </w:rPr>
              <w:t>-</w:t>
            </w:r>
            <w:r>
              <w:rPr>
                <w:rFonts w:ascii="Arial"/>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5"/>
              <w:jc w:val="right"/>
              <w:rPr>
                <w:rFonts w:ascii="Arial" w:hAnsi="Arial" w:cs="Arial" w:eastAsia="Arial" w:hint="default"/>
                <w:sz w:val="16"/>
                <w:szCs w:val="16"/>
              </w:rPr>
            </w:pPr>
            <w:r>
              <w:rPr>
                <w:rFonts w:ascii="Arial"/>
                <w:w w:val="100"/>
                <w:sz w:val="16"/>
              </w:rPr>
              <w:t>-</w:t>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北京苏宁电器有限公司</w:t>
            </w:r>
          </w:p>
        </w:tc>
        <w:tc>
          <w:tcPr>
            <w:tcW w:w="1131"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Arial" w:hAnsi="Arial" w:cs="Arial" w:eastAsia="Arial" w:hint="default"/>
                <w:sz w:val="18"/>
                <w:szCs w:val="18"/>
              </w:rPr>
            </w:pPr>
            <w:r>
              <w:rPr>
                <w:rFonts w:ascii="Arial"/>
                <w:spacing w:val="-1"/>
                <w:sz w:val="18"/>
              </w:rPr>
              <w:t>426,401</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spacing w:val="-1"/>
                <w:sz w:val="18"/>
              </w:rPr>
              <w:t>400,069</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spacing w:val="-1"/>
                <w:sz w:val="18"/>
              </w:rPr>
              <w:t>26,332</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spacing w:val="-1"/>
                <w:sz w:val="18"/>
              </w:rPr>
              <w:t>426,401</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
              <w:jc w:val="right"/>
              <w:rPr>
                <w:rFonts w:ascii="Arial" w:hAnsi="Arial" w:cs="Arial" w:eastAsia="Arial" w:hint="default"/>
                <w:sz w:val="18"/>
                <w:szCs w:val="18"/>
              </w:rPr>
            </w:pPr>
            <w:r>
              <w:rPr>
                <w:rFonts w:ascii="Arial"/>
                <w:w w:val="95"/>
                <w:sz w:val="18"/>
              </w:rPr>
              <w:t>89%</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89%</w:t>
            </w:r>
            <w:r>
              <w:rPr>
                <w:rFonts w:ascii="Arial"/>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w w:val="99"/>
                <w:sz w:val="18"/>
              </w:rPr>
              <w:t>-</w:t>
            </w:r>
            <w:r>
              <w:rPr>
                <w:rFonts w:ascii="Arial"/>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Arial" w:hAnsi="Arial" w:cs="Arial" w:eastAsia="Arial" w:hint="default"/>
                <w:sz w:val="18"/>
                <w:szCs w:val="18"/>
              </w:rPr>
            </w:pPr>
            <w:r>
              <w:rPr>
                <w:rFonts w:ascii="Arial"/>
                <w:w w:val="99"/>
                <w:sz w:val="18"/>
              </w:rPr>
              <w:t>-</w:t>
            </w:r>
            <w:r>
              <w:rPr>
                <w:rFonts w:ascii="Arial"/>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5"/>
              <w:jc w:val="right"/>
              <w:rPr>
                <w:rFonts w:ascii="Arial" w:hAnsi="Arial" w:cs="Arial" w:eastAsia="Arial" w:hint="default"/>
                <w:sz w:val="16"/>
                <w:szCs w:val="16"/>
              </w:rPr>
            </w:pPr>
            <w:r>
              <w:rPr>
                <w:rFonts w:ascii="Arial"/>
                <w:w w:val="100"/>
                <w:sz w:val="16"/>
              </w:rPr>
              <w:t>-</w:t>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香港苏宁电器有限公司</w:t>
            </w:r>
          </w:p>
        </w:tc>
        <w:tc>
          <w:tcPr>
            <w:tcW w:w="1131"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spacing w:val="-1"/>
                <w:sz w:val="18"/>
              </w:rPr>
              <w:t>416,504</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spacing w:val="-1"/>
                <w:sz w:val="18"/>
              </w:rPr>
              <w:t>233,329</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spacing w:val="-1"/>
                <w:sz w:val="18"/>
              </w:rPr>
              <w:t>183,175</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spacing w:val="-1"/>
                <w:sz w:val="18"/>
              </w:rPr>
              <w:t>416,504</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
              <w:jc w:val="right"/>
              <w:rPr>
                <w:rFonts w:ascii="Arial" w:hAnsi="Arial" w:cs="Arial" w:eastAsia="Arial" w:hint="default"/>
                <w:sz w:val="18"/>
                <w:szCs w:val="18"/>
              </w:rPr>
            </w:pPr>
            <w:r>
              <w:rPr>
                <w:rFonts w:ascii="Arial"/>
                <w:w w:val="95"/>
                <w:sz w:val="18"/>
              </w:rPr>
              <w:t>100%</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100%</w:t>
            </w:r>
            <w:r>
              <w:rPr>
                <w:rFonts w:ascii="Arial"/>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w w:val="99"/>
                <w:sz w:val="18"/>
              </w:rPr>
              <w:t>-</w:t>
            </w:r>
            <w:r>
              <w:rPr>
                <w:rFonts w:ascii="Arial"/>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Arial" w:hAnsi="Arial" w:cs="Arial" w:eastAsia="Arial" w:hint="default"/>
                <w:sz w:val="18"/>
                <w:szCs w:val="18"/>
              </w:rPr>
            </w:pPr>
            <w:r>
              <w:rPr>
                <w:rFonts w:ascii="Arial"/>
                <w:w w:val="99"/>
                <w:sz w:val="18"/>
              </w:rPr>
              <w:t>-</w:t>
            </w:r>
            <w:r>
              <w:rPr>
                <w:rFonts w:ascii="Arial"/>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5"/>
              <w:jc w:val="right"/>
              <w:rPr>
                <w:rFonts w:ascii="Arial" w:hAnsi="Arial" w:cs="Arial" w:eastAsia="Arial" w:hint="default"/>
                <w:sz w:val="16"/>
                <w:szCs w:val="16"/>
              </w:rPr>
            </w:pPr>
            <w:r>
              <w:rPr>
                <w:rFonts w:ascii="Arial"/>
                <w:w w:val="100"/>
                <w:sz w:val="16"/>
              </w:rPr>
              <w:t>-</w:t>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福建苏宁电器有限公司</w:t>
            </w:r>
          </w:p>
        </w:tc>
        <w:tc>
          <w:tcPr>
            <w:tcW w:w="1131" w:type="dxa"/>
            <w:tcBorders>
              <w:top w:val="nil" w:sz="6" w:space="0" w:color="auto"/>
              <w:left w:val="nil" w:sz="6" w:space="0" w:color="auto"/>
              <w:bottom w:val="nil" w:sz="6" w:space="0" w:color="auto"/>
              <w:right w:val="nil" w:sz="6" w:space="0" w:color="auto"/>
            </w:tcBorders>
          </w:tcPr>
          <w:p>
            <w:pPr>
              <w:pStyle w:val="TableParagraph"/>
              <w:spacing w:line="217"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91"/>
              <w:jc w:val="right"/>
              <w:rPr>
                <w:rFonts w:ascii="Arial" w:hAnsi="Arial" w:cs="Arial" w:eastAsia="Arial" w:hint="default"/>
                <w:sz w:val="18"/>
                <w:szCs w:val="18"/>
              </w:rPr>
            </w:pPr>
            <w:r>
              <w:rPr>
                <w:rFonts w:ascii="Arial"/>
                <w:spacing w:val="-1"/>
                <w:sz w:val="18"/>
              </w:rPr>
              <w:t>399,297</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0"/>
              <w:jc w:val="right"/>
              <w:rPr>
                <w:rFonts w:ascii="Arial" w:hAnsi="Arial" w:cs="Arial" w:eastAsia="Arial" w:hint="default"/>
                <w:sz w:val="18"/>
                <w:szCs w:val="18"/>
              </w:rPr>
            </w:pPr>
            <w:r>
              <w:rPr>
                <w:rFonts w:ascii="Arial"/>
                <w:spacing w:val="-1"/>
                <w:sz w:val="18"/>
              </w:rPr>
              <w:t>171,765</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9"/>
              <w:jc w:val="right"/>
              <w:rPr>
                <w:rFonts w:ascii="Arial" w:hAnsi="Arial" w:cs="Arial" w:eastAsia="Arial" w:hint="default"/>
                <w:sz w:val="18"/>
                <w:szCs w:val="18"/>
              </w:rPr>
            </w:pPr>
            <w:r>
              <w:rPr>
                <w:rFonts w:ascii="Arial"/>
                <w:spacing w:val="-1"/>
                <w:sz w:val="18"/>
              </w:rPr>
              <w:t>227,532</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2"/>
              <w:jc w:val="right"/>
              <w:rPr>
                <w:rFonts w:ascii="Arial" w:hAnsi="Arial" w:cs="Arial" w:eastAsia="Arial" w:hint="default"/>
                <w:sz w:val="18"/>
                <w:szCs w:val="18"/>
              </w:rPr>
            </w:pPr>
            <w:r>
              <w:rPr>
                <w:rFonts w:ascii="Arial"/>
                <w:spacing w:val="-1"/>
                <w:sz w:val="18"/>
              </w:rPr>
              <w:t>399,297</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7"/>
              <w:jc w:val="right"/>
              <w:rPr>
                <w:rFonts w:ascii="Arial" w:hAnsi="Arial" w:cs="Arial" w:eastAsia="Arial" w:hint="default"/>
                <w:sz w:val="18"/>
                <w:szCs w:val="18"/>
              </w:rPr>
            </w:pPr>
            <w:r>
              <w:rPr>
                <w:rFonts w:ascii="Arial"/>
                <w:w w:val="95"/>
                <w:sz w:val="18"/>
              </w:rPr>
              <w:t>90%</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4"/>
              <w:jc w:val="right"/>
              <w:rPr>
                <w:rFonts w:ascii="Arial" w:hAnsi="Arial" w:cs="Arial" w:eastAsia="Arial" w:hint="default"/>
                <w:sz w:val="18"/>
                <w:szCs w:val="18"/>
              </w:rPr>
            </w:pPr>
            <w:r>
              <w:rPr>
                <w:rFonts w:ascii="Arial"/>
                <w:w w:val="95"/>
                <w:sz w:val="18"/>
              </w:rPr>
              <w:t>90%</w:t>
            </w:r>
            <w:r>
              <w:rPr>
                <w:rFonts w:ascii="Arial"/>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0"/>
              <w:jc w:val="right"/>
              <w:rPr>
                <w:rFonts w:ascii="Arial" w:hAnsi="Arial" w:cs="Arial" w:eastAsia="Arial" w:hint="default"/>
                <w:sz w:val="18"/>
                <w:szCs w:val="18"/>
              </w:rPr>
            </w:pPr>
            <w:r>
              <w:rPr>
                <w:rFonts w:ascii="Arial"/>
                <w:w w:val="99"/>
                <w:sz w:val="18"/>
              </w:rPr>
              <w:t>-</w:t>
            </w:r>
            <w:r>
              <w:rPr>
                <w:rFonts w:ascii="Arial"/>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49"/>
              <w:jc w:val="right"/>
              <w:rPr>
                <w:rFonts w:ascii="Arial" w:hAnsi="Arial" w:cs="Arial" w:eastAsia="Arial" w:hint="default"/>
                <w:sz w:val="18"/>
                <w:szCs w:val="18"/>
              </w:rPr>
            </w:pPr>
            <w:r>
              <w:rPr>
                <w:rFonts w:ascii="Arial"/>
                <w:w w:val="99"/>
                <w:sz w:val="18"/>
              </w:rPr>
              <w:t>-</w:t>
            </w:r>
            <w:r>
              <w:rPr>
                <w:rFonts w:ascii="Arial"/>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5"/>
              <w:jc w:val="right"/>
              <w:rPr>
                <w:rFonts w:ascii="Arial" w:hAnsi="Arial" w:cs="Arial" w:eastAsia="Arial" w:hint="default"/>
                <w:sz w:val="16"/>
                <w:szCs w:val="16"/>
              </w:rPr>
            </w:pPr>
            <w:r>
              <w:rPr>
                <w:rFonts w:ascii="Arial"/>
                <w:w w:val="100"/>
                <w:sz w:val="16"/>
              </w:rPr>
              <w:t>-</w:t>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广州苏宁电器有限公司</w:t>
            </w:r>
          </w:p>
        </w:tc>
        <w:tc>
          <w:tcPr>
            <w:tcW w:w="1131"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spacing w:val="-1"/>
                <w:sz w:val="18"/>
              </w:rPr>
              <w:t>360,000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spacing w:val="-1"/>
                <w:sz w:val="18"/>
              </w:rPr>
              <w:t>135,000</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spacing w:val="-1"/>
                <w:sz w:val="18"/>
              </w:rPr>
              <w:t>225,000</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spacing w:val="-1"/>
                <w:sz w:val="18"/>
              </w:rPr>
              <w:t>360,000</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
              <w:jc w:val="right"/>
              <w:rPr>
                <w:rFonts w:ascii="Arial" w:hAnsi="Arial" w:cs="Arial" w:eastAsia="Arial" w:hint="default"/>
                <w:sz w:val="18"/>
                <w:szCs w:val="18"/>
              </w:rPr>
            </w:pPr>
            <w:r>
              <w:rPr>
                <w:rFonts w:ascii="Arial"/>
                <w:w w:val="95"/>
                <w:sz w:val="18"/>
              </w:rPr>
              <w:t>90%</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w w:val="99"/>
                <w:sz w:val="18"/>
              </w:rPr>
              <w:t>-</w:t>
            </w:r>
            <w:r>
              <w:rPr>
                <w:rFonts w:ascii="Arial"/>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Arial" w:hAnsi="Arial" w:cs="Arial" w:eastAsia="Arial" w:hint="default"/>
                <w:sz w:val="18"/>
                <w:szCs w:val="18"/>
              </w:rPr>
            </w:pPr>
            <w:r>
              <w:rPr>
                <w:rFonts w:ascii="Arial"/>
                <w:w w:val="99"/>
                <w:sz w:val="18"/>
              </w:rPr>
              <w:t>-</w:t>
            </w:r>
            <w:r>
              <w:rPr>
                <w:rFonts w:ascii="Arial"/>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5"/>
              <w:jc w:val="right"/>
              <w:rPr>
                <w:rFonts w:ascii="Arial" w:hAnsi="Arial" w:cs="Arial" w:eastAsia="Arial" w:hint="default"/>
                <w:sz w:val="16"/>
                <w:szCs w:val="16"/>
              </w:rPr>
            </w:pPr>
            <w:r>
              <w:rPr>
                <w:rFonts w:ascii="Arial"/>
                <w:w w:val="100"/>
                <w:sz w:val="16"/>
              </w:rPr>
              <w:t>-</w:t>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武汉苏宁电器有限公司</w:t>
            </w:r>
          </w:p>
        </w:tc>
        <w:tc>
          <w:tcPr>
            <w:tcW w:w="1131"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spacing w:val="-1"/>
                <w:sz w:val="18"/>
              </w:rPr>
              <w:t>343,854</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2"/>
                <w:w w:val="95"/>
                <w:sz w:val="18"/>
              </w:rPr>
              <w:t>322,911</w:t>
            </w:r>
            <w:r>
              <w:rPr>
                <w:rFonts w:ascii="Arial"/>
                <w:spacing w:val="-2"/>
                <w:sz w:val="18"/>
              </w:rPr>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spacing w:val="-1"/>
                <w:sz w:val="18"/>
              </w:rPr>
              <w:t>20,943</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spacing w:val="-1"/>
                <w:sz w:val="18"/>
              </w:rPr>
              <w:t>343,854</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
              <w:jc w:val="right"/>
              <w:rPr>
                <w:rFonts w:ascii="Arial" w:hAnsi="Arial" w:cs="Arial" w:eastAsia="Arial" w:hint="default"/>
                <w:sz w:val="18"/>
                <w:szCs w:val="18"/>
              </w:rPr>
            </w:pPr>
            <w:r>
              <w:rPr>
                <w:rFonts w:ascii="Arial"/>
                <w:w w:val="95"/>
                <w:sz w:val="18"/>
              </w:rPr>
              <w:t>90%</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w w:val="99"/>
                <w:sz w:val="18"/>
              </w:rPr>
              <w:t>-</w:t>
            </w:r>
            <w:r>
              <w:rPr>
                <w:rFonts w:ascii="Arial"/>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Arial" w:hAnsi="Arial" w:cs="Arial" w:eastAsia="Arial" w:hint="default"/>
                <w:sz w:val="18"/>
                <w:szCs w:val="18"/>
              </w:rPr>
            </w:pPr>
            <w:r>
              <w:rPr>
                <w:rFonts w:ascii="Arial"/>
                <w:w w:val="99"/>
                <w:sz w:val="18"/>
              </w:rPr>
              <w:t>-</w:t>
            </w:r>
            <w:r>
              <w:rPr>
                <w:rFonts w:ascii="Arial"/>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5"/>
              <w:jc w:val="right"/>
              <w:rPr>
                <w:rFonts w:ascii="Arial" w:hAnsi="Arial" w:cs="Arial" w:eastAsia="Arial" w:hint="default"/>
                <w:sz w:val="16"/>
                <w:szCs w:val="16"/>
              </w:rPr>
            </w:pPr>
            <w:r>
              <w:rPr>
                <w:rFonts w:ascii="Arial"/>
                <w:w w:val="100"/>
                <w:sz w:val="16"/>
              </w:rPr>
              <w:t>-</w:t>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沈阳苏宁电器有限公司</w:t>
            </w:r>
          </w:p>
        </w:tc>
        <w:tc>
          <w:tcPr>
            <w:tcW w:w="1131"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spacing w:val="-1"/>
                <w:sz w:val="18"/>
              </w:rPr>
              <w:t>319,230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spacing w:val="-1"/>
                <w:sz w:val="18"/>
              </w:rPr>
              <w:t>286,740</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spacing w:val="-1"/>
                <w:sz w:val="18"/>
              </w:rPr>
              <w:t>32,490</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spacing w:val="-1"/>
                <w:sz w:val="18"/>
              </w:rPr>
              <w:t>319,230</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
              <w:jc w:val="right"/>
              <w:rPr>
                <w:rFonts w:ascii="Arial" w:hAnsi="Arial" w:cs="Arial" w:eastAsia="Arial" w:hint="default"/>
                <w:sz w:val="18"/>
                <w:szCs w:val="18"/>
              </w:rPr>
            </w:pPr>
            <w:r>
              <w:rPr>
                <w:rFonts w:ascii="Arial"/>
                <w:w w:val="95"/>
                <w:sz w:val="18"/>
              </w:rPr>
              <w:t>90%</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w w:val="99"/>
                <w:sz w:val="18"/>
              </w:rPr>
              <w:t>-</w:t>
            </w:r>
            <w:r>
              <w:rPr>
                <w:rFonts w:ascii="Arial"/>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Arial" w:hAnsi="Arial" w:cs="Arial" w:eastAsia="Arial" w:hint="default"/>
                <w:sz w:val="18"/>
                <w:szCs w:val="18"/>
              </w:rPr>
            </w:pPr>
            <w:r>
              <w:rPr>
                <w:rFonts w:ascii="Arial"/>
                <w:w w:val="99"/>
                <w:sz w:val="18"/>
              </w:rPr>
              <w:t>-</w:t>
            </w:r>
            <w:r>
              <w:rPr>
                <w:rFonts w:ascii="Arial"/>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5"/>
              <w:jc w:val="right"/>
              <w:rPr>
                <w:rFonts w:ascii="Arial" w:hAnsi="Arial" w:cs="Arial" w:eastAsia="Arial" w:hint="default"/>
                <w:sz w:val="16"/>
                <w:szCs w:val="16"/>
              </w:rPr>
            </w:pPr>
            <w:r>
              <w:rPr>
                <w:rFonts w:ascii="Arial"/>
                <w:w w:val="100"/>
                <w:sz w:val="16"/>
              </w:rPr>
              <w:t>-</w:t>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浙江苏宁电器有限公司</w:t>
            </w:r>
          </w:p>
        </w:tc>
        <w:tc>
          <w:tcPr>
            <w:tcW w:w="1131"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spacing w:val="-1"/>
                <w:sz w:val="18"/>
              </w:rPr>
              <w:t>305,818</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spacing w:val="-1"/>
                <w:sz w:val="18"/>
              </w:rPr>
              <w:t>273,699</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1"/>
              <w:jc w:val="right"/>
              <w:rPr>
                <w:rFonts w:ascii="Arial" w:hAnsi="Arial" w:cs="Arial" w:eastAsia="Arial" w:hint="default"/>
                <w:sz w:val="18"/>
                <w:szCs w:val="18"/>
              </w:rPr>
            </w:pPr>
            <w:r>
              <w:rPr>
                <w:rFonts w:ascii="Arial"/>
                <w:spacing w:val="-3"/>
                <w:sz w:val="18"/>
              </w:rPr>
              <w:t>32,119</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spacing w:val="-1"/>
                <w:sz w:val="18"/>
              </w:rPr>
              <w:t>305,818</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
              <w:jc w:val="right"/>
              <w:rPr>
                <w:rFonts w:ascii="Arial" w:hAnsi="Arial" w:cs="Arial" w:eastAsia="Arial" w:hint="default"/>
                <w:sz w:val="18"/>
                <w:szCs w:val="18"/>
              </w:rPr>
            </w:pPr>
            <w:r>
              <w:rPr>
                <w:rFonts w:ascii="Arial"/>
                <w:w w:val="95"/>
                <w:sz w:val="18"/>
              </w:rPr>
              <w:t>89%</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89%</w:t>
            </w:r>
            <w:r>
              <w:rPr>
                <w:rFonts w:ascii="Arial"/>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w w:val="99"/>
                <w:sz w:val="18"/>
              </w:rPr>
              <w:t>-</w:t>
            </w:r>
            <w:r>
              <w:rPr>
                <w:rFonts w:ascii="Arial"/>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Arial" w:hAnsi="Arial" w:cs="Arial" w:eastAsia="Arial" w:hint="default"/>
                <w:sz w:val="18"/>
                <w:szCs w:val="18"/>
              </w:rPr>
            </w:pPr>
            <w:r>
              <w:rPr>
                <w:rFonts w:ascii="Arial"/>
                <w:w w:val="99"/>
                <w:sz w:val="18"/>
              </w:rPr>
              <w:t>-</w:t>
            </w:r>
            <w:r>
              <w:rPr>
                <w:rFonts w:ascii="Arial"/>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5"/>
              <w:jc w:val="right"/>
              <w:rPr>
                <w:rFonts w:ascii="Arial" w:hAnsi="Arial" w:cs="Arial" w:eastAsia="Arial" w:hint="default"/>
                <w:sz w:val="16"/>
                <w:szCs w:val="16"/>
              </w:rPr>
            </w:pPr>
            <w:r>
              <w:rPr>
                <w:rFonts w:ascii="Arial"/>
                <w:w w:val="100"/>
                <w:sz w:val="16"/>
              </w:rPr>
              <w:t>-</w:t>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广东苏宁电器有限公司</w:t>
            </w:r>
          </w:p>
        </w:tc>
        <w:tc>
          <w:tcPr>
            <w:tcW w:w="1131"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spacing w:val="-1"/>
                <w:sz w:val="18"/>
              </w:rPr>
              <w:t>286,135</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271,582</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spacing w:val="-1"/>
                <w:sz w:val="18"/>
              </w:rPr>
              <w:t>14,553</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spacing w:val="-1"/>
                <w:sz w:val="18"/>
              </w:rPr>
              <w:t>286,135</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
              <w:jc w:val="right"/>
              <w:rPr>
                <w:rFonts w:ascii="Arial" w:hAnsi="Arial" w:cs="Arial" w:eastAsia="Arial" w:hint="default"/>
                <w:sz w:val="18"/>
                <w:szCs w:val="18"/>
              </w:rPr>
            </w:pPr>
            <w:r>
              <w:rPr>
                <w:rFonts w:ascii="Arial"/>
                <w:w w:val="95"/>
                <w:sz w:val="18"/>
              </w:rPr>
              <w:t>90%</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w w:val="99"/>
                <w:sz w:val="18"/>
              </w:rPr>
              <w:t>-</w:t>
            </w:r>
            <w:r>
              <w:rPr>
                <w:rFonts w:ascii="Arial"/>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Arial" w:hAnsi="Arial" w:cs="Arial" w:eastAsia="Arial" w:hint="default"/>
                <w:sz w:val="18"/>
                <w:szCs w:val="18"/>
              </w:rPr>
            </w:pPr>
            <w:r>
              <w:rPr>
                <w:rFonts w:ascii="Arial"/>
                <w:w w:val="99"/>
                <w:sz w:val="18"/>
              </w:rPr>
              <w:t>-</w:t>
            </w:r>
            <w:r>
              <w:rPr>
                <w:rFonts w:ascii="Arial"/>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5"/>
              <w:jc w:val="right"/>
              <w:rPr>
                <w:rFonts w:ascii="Arial" w:hAnsi="Arial" w:cs="Arial" w:eastAsia="Arial" w:hint="default"/>
                <w:sz w:val="16"/>
                <w:szCs w:val="16"/>
              </w:rPr>
            </w:pPr>
            <w:r>
              <w:rPr>
                <w:rFonts w:ascii="Arial"/>
                <w:w w:val="100"/>
                <w:sz w:val="16"/>
              </w:rPr>
              <w:t>-</w:t>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江苏苏宁商业管理有限公司</w:t>
            </w:r>
          </w:p>
        </w:tc>
        <w:tc>
          <w:tcPr>
            <w:tcW w:w="1131"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spacing w:val="-1"/>
                <w:sz w:val="18"/>
              </w:rPr>
              <w:t>281,853</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spacing w:val="-1"/>
                <w:sz w:val="18"/>
              </w:rPr>
              <w:t>120,319</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spacing w:val="-1"/>
                <w:sz w:val="18"/>
              </w:rPr>
              <w:t>161,534</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spacing w:val="-1"/>
                <w:sz w:val="18"/>
              </w:rPr>
              <w:t>281,853</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8"/>
              <w:jc w:val="right"/>
              <w:rPr>
                <w:rFonts w:ascii="Arial" w:hAnsi="Arial" w:cs="Arial" w:eastAsia="Arial" w:hint="default"/>
                <w:sz w:val="18"/>
                <w:szCs w:val="18"/>
              </w:rPr>
            </w:pPr>
            <w:r>
              <w:rPr>
                <w:rFonts w:ascii="Arial"/>
                <w:w w:val="95"/>
                <w:sz w:val="18"/>
              </w:rPr>
              <w:t>90%</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w w:val="99"/>
                <w:sz w:val="18"/>
              </w:rPr>
              <w:t>-</w:t>
            </w:r>
            <w:r>
              <w:rPr>
                <w:rFonts w:ascii="Arial"/>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Arial" w:hAnsi="Arial" w:cs="Arial" w:eastAsia="Arial" w:hint="default"/>
                <w:sz w:val="18"/>
                <w:szCs w:val="18"/>
              </w:rPr>
            </w:pPr>
            <w:r>
              <w:rPr>
                <w:rFonts w:ascii="Arial"/>
                <w:w w:val="99"/>
                <w:sz w:val="18"/>
              </w:rPr>
              <w:t>-</w:t>
            </w:r>
            <w:r>
              <w:rPr>
                <w:rFonts w:ascii="Arial"/>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5"/>
              <w:jc w:val="right"/>
              <w:rPr>
                <w:rFonts w:ascii="Arial" w:hAnsi="Arial" w:cs="Arial" w:eastAsia="Arial" w:hint="default"/>
                <w:sz w:val="16"/>
                <w:szCs w:val="16"/>
              </w:rPr>
            </w:pPr>
            <w:r>
              <w:rPr>
                <w:rFonts w:ascii="Arial"/>
                <w:w w:val="100"/>
                <w:sz w:val="16"/>
              </w:rPr>
              <w:t>-</w:t>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杭州苏宁电器有限公司</w:t>
            </w:r>
          </w:p>
        </w:tc>
        <w:tc>
          <w:tcPr>
            <w:tcW w:w="1131"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spacing w:val="-1"/>
                <w:sz w:val="18"/>
              </w:rPr>
              <w:t>268,379</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spacing w:val="-1"/>
                <w:sz w:val="18"/>
              </w:rPr>
              <w:t>131,850</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spacing w:val="-1"/>
                <w:sz w:val="18"/>
              </w:rPr>
              <w:t>136,529</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spacing w:val="-1"/>
                <w:sz w:val="18"/>
              </w:rPr>
              <w:t>268,379</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8"/>
              <w:jc w:val="right"/>
              <w:rPr>
                <w:rFonts w:ascii="Arial" w:hAnsi="Arial" w:cs="Arial" w:eastAsia="Arial" w:hint="default"/>
                <w:sz w:val="18"/>
                <w:szCs w:val="18"/>
              </w:rPr>
            </w:pPr>
            <w:r>
              <w:rPr>
                <w:rFonts w:ascii="Arial"/>
                <w:w w:val="95"/>
                <w:sz w:val="18"/>
              </w:rPr>
              <w:t>90%</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w w:val="99"/>
                <w:sz w:val="18"/>
              </w:rPr>
              <w:t>-</w:t>
            </w:r>
            <w:r>
              <w:rPr>
                <w:rFonts w:ascii="Arial"/>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Arial" w:hAnsi="Arial" w:cs="Arial" w:eastAsia="Arial" w:hint="default"/>
                <w:sz w:val="18"/>
                <w:szCs w:val="18"/>
              </w:rPr>
            </w:pPr>
            <w:r>
              <w:rPr>
                <w:rFonts w:ascii="Arial"/>
                <w:w w:val="99"/>
                <w:sz w:val="18"/>
              </w:rPr>
              <w:t>-</w:t>
            </w:r>
            <w:r>
              <w:rPr>
                <w:rFonts w:ascii="Arial"/>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5"/>
              <w:jc w:val="right"/>
              <w:rPr>
                <w:rFonts w:ascii="Arial" w:hAnsi="Arial" w:cs="Arial" w:eastAsia="Arial" w:hint="default"/>
                <w:sz w:val="16"/>
                <w:szCs w:val="16"/>
              </w:rPr>
            </w:pPr>
            <w:r>
              <w:rPr>
                <w:rFonts w:ascii="Arial"/>
                <w:w w:val="100"/>
                <w:sz w:val="16"/>
              </w:rPr>
              <w:t>-</w:t>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四川苏宁电器有限公司</w:t>
            </w:r>
          </w:p>
        </w:tc>
        <w:tc>
          <w:tcPr>
            <w:tcW w:w="1131"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spacing w:val="-1"/>
                <w:sz w:val="18"/>
              </w:rPr>
              <w:t>263,144</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spacing w:val="-1"/>
                <w:sz w:val="18"/>
              </w:rPr>
              <w:t>247,424</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spacing w:val="-1"/>
                <w:sz w:val="18"/>
              </w:rPr>
              <w:t>15,720</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spacing w:val="-1"/>
                <w:sz w:val="18"/>
              </w:rPr>
              <w:t>263,144</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8"/>
              <w:jc w:val="right"/>
              <w:rPr>
                <w:rFonts w:ascii="Arial" w:hAnsi="Arial" w:cs="Arial" w:eastAsia="Arial" w:hint="default"/>
                <w:sz w:val="18"/>
                <w:szCs w:val="18"/>
              </w:rPr>
            </w:pPr>
            <w:r>
              <w:rPr>
                <w:rFonts w:ascii="Arial"/>
                <w:w w:val="95"/>
                <w:sz w:val="18"/>
              </w:rPr>
              <w:t>100%</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sz w:val="18"/>
              </w:rPr>
              <w:t>100%</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w w:val="99"/>
                <w:sz w:val="18"/>
              </w:rPr>
              <w:t>-</w:t>
            </w:r>
            <w:r>
              <w:rPr>
                <w:rFonts w:ascii="Arial"/>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Arial" w:hAnsi="Arial" w:cs="Arial" w:eastAsia="Arial" w:hint="default"/>
                <w:sz w:val="18"/>
                <w:szCs w:val="18"/>
              </w:rPr>
            </w:pPr>
            <w:r>
              <w:rPr>
                <w:rFonts w:ascii="Arial"/>
                <w:w w:val="99"/>
                <w:sz w:val="18"/>
              </w:rPr>
              <w:t>-</w:t>
            </w:r>
            <w:r>
              <w:rPr>
                <w:rFonts w:ascii="Arial"/>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5"/>
              <w:jc w:val="right"/>
              <w:rPr>
                <w:rFonts w:ascii="Arial" w:hAnsi="Arial" w:cs="Arial" w:eastAsia="Arial" w:hint="default"/>
                <w:sz w:val="16"/>
                <w:szCs w:val="16"/>
              </w:rPr>
            </w:pPr>
            <w:r>
              <w:rPr>
                <w:rFonts w:ascii="Arial"/>
                <w:w w:val="100"/>
                <w:sz w:val="16"/>
              </w:rPr>
              <w:t>-</w:t>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苏宁电器江苏苏南有限公司</w:t>
            </w:r>
          </w:p>
        </w:tc>
        <w:tc>
          <w:tcPr>
            <w:tcW w:w="1131" w:type="dxa"/>
            <w:tcBorders>
              <w:top w:val="nil" w:sz="6" w:space="0" w:color="auto"/>
              <w:left w:val="nil" w:sz="6" w:space="0" w:color="auto"/>
              <w:bottom w:val="nil" w:sz="6" w:space="0" w:color="auto"/>
              <w:right w:val="nil" w:sz="6" w:space="0" w:color="auto"/>
            </w:tcBorders>
          </w:tcPr>
          <w:p>
            <w:pPr>
              <w:pStyle w:val="TableParagraph"/>
              <w:spacing w:line="217"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91"/>
              <w:jc w:val="right"/>
              <w:rPr>
                <w:rFonts w:ascii="Arial" w:hAnsi="Arial" w:cs="Arial" w:eastAsia="Arial" w:hint="default"/>
                <w:sz w:val="18"/>
                <w:szCs w:val="18"/>
              </w:rPr>
            </w:pPr>
            <w:r>
              <w:rPr>
                <w:rFonts w:ascii="Arial"/>
                <w:spacing w:val="-1"/>
                <w:sz w:val="18"/>
              </w:rPr>
              <w:t>252,000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0"/>
              <w:jc w:val="right"/>
              <w:rPr>
                <w:rFonts w:ascii="Arial" w:hAnsi="Arial" w:cs="Arial" w:eastAsia="Arial" w:hint="default"/>
                <w:sz w:val="18"/>
                <w:szCs w:val="18"/>
              </w:rPr>
            </w:pPr>
            <w:r>
              <w:rPr>
                <w:rFonts w:ascii="Arial"/>
                <w:spacing w:val="-1"/>
                <w:sz w:val="18"/>
              </w:rPr>
              <w:t>252,000</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9"/>
              <w:jc w:val="right"/>
              <w:rPr>
                <w:rFonts w:ascii="Arial" w:hAnsi="Arial" w:cs="Arial" w:eastAsia="Arial" w:hint="default"/>
                <w:sz w:val="18"/>
                <w:szCs w:val="18"/>
              </w:rPr>
            </w:pPr>
            <w:r>
              <w:rPr>
                <w:rFonts w:ascii="Arial"/>
                <w:w w:val="99"/>
                <w:sz w:val="18"/>
              </w:rPr>
              <w:t>-</w:t>
            </w:r>
            <w:r>
              <w:rPr>
                <w:rFonts w:ascii="Arial"/>
                <w:sz w:val="18"/>
              </w:rPr>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2"/>
              <w:jc w:val="right"/>
              <w:rPr>
                <w:rFonts w:ascii="Arial" w:hAnsi="Arial" w:cs="Arial" w:eastAsia="Arial" w:hint="default"/>
                <w:sz w:val="18"/>
                <w:szCs w:val="18"/>
              </w:rPr>
            </w:pPr>
            <w:r>
              <w:rPr>
                <w:rFonts w:ascii="Arial"/>
                <w:spacing w:val="-1"/>
                <w:sz w:val="18"/>
              </w:rPr>
              <w:t>252,000</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7"/>
              <w:jc w:val="right"/>
              <w:rPr>
                <w:rFonts w:ascii="Arial" w:hAnsi="Arial" w:cs="Arial" w:eastAsia="Arial" w:hint="default"/>
                <w:sz w:val="18"/>
                <w:szCs w:val="18"/>
              </w:rPr>
            </w:pPr>
            <w:r>
              <w:rPr>
                <w:rFonts w:ascii="Arial"/>
                <w:w w:val="95"/>
                <w:sz w:val="18"/>
              </w:rPr>
              <w:t>90%</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4"/>
              <w:jc w:val="right"/>
              <w:rPr>
                <w:rFonts w:ascii="Arial" w:hAnsi="Arial" w:cs="Arial" w:eastAsia="Arial" w:hint="default"/>
                <w:sz w:val="18"/>
                <w:szCs w:val="18"/>
              </w:rPr>
            </w:pPr>
            <w:r>
              <w:rPr>
                <w:rFonts w:ascii="Arial"/>
                <w:w w:val="95"/>
                <w:sz w:val="18"/>
              </w:rPr>
              <w:t>90%</w:t>
            </w:r>
            <w:r>
              <w:rPr>
                <w:rFonts w:ascii="Arial"/>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0"/>
              <w:jc w:val="right"/>
              <w:rPr>
                <w:rFonts w:ascii="Arial" w:hAnsi="Arial" w:cs="Arial" w:eastAsia="Arial" w:hint="default"/>
                <w:sz w:val="18"/>
                <w:szCs w:val="18"/>
              </w:rPr>
            </w:pPr>
            <w:r>
              <w:rPr>
                <w:rFonts w:ascii="Arial"/>
                <w:w w:val="99"/>
                <w:sz w:val="18"/>
              </w:rPr>
              <w:t>-</w:t>
            </w:r>
            <w:r>
              <w:rPr>
                <w:rFonts w:ascii="Arial"/>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49"/>
              <w:jc w:val="right"/>
              <w:rPr>
                <w:rFonts w:ascii="Arial" w:hAnsi="Arial" w:cs="Arial" w:eastAsia="Arial" w:hint="default"/>
                <w:sz w:val="18"/>
                <w:szCs w:val="18"/>
              </w:rPr>
            </w:pPr>
            <w:r>
              <w:rPr>
                <w:rFonts w:ascii="Arial"/>
                <w:w w:val="99"/>
                <w:sz w:val="18"/>
              </w:rPr>
              <w:t>-</w:t>
            </w:r>
            <w:r>
              <w:rPr>
                <w:rFonts w:ascii="Arial"/>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5"/>
              <w:jc w:val="right"/>
              <w:rPr>
                <w:rFonts w:ascii="Arial" w:hAnsi="Arial" w:cs="Arial" w:eastAsia="Arial" w:hint="default"/>
                <w:sz w:val="16"/>
                <w:szCs w:val="16"/>
              </w:rPr>
            </w:pPr>
            <w:r>
              <w:rPr>
                <w:rFonts w:ascii="Arial"/>
                <w:w w:val="100"/>
                <w:sz w:val="16"/>
              </w:rPr>
              <w:t>-</w:t>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青岛胶宁苏宁电器有限公司</w:t>
            </w:r>
          </w:p>
        </w:tc>
        <w:tc>
          <w:tcPr>
            <w:tcW w:w="1131"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spacing w:val="-1"/>
                <w:sz w:val="18"/>
              </w:rPr>
              <w:t>205,391</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spacing w:val="-1"/>
                <w:sz w:val="18"/>
              </w:rPr>
              <w:t>45,000</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spacing w:val="-1"/>
                <w:sz w:val="18"/>
              </w:rPr>
              <w:t>160,391</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spacing w:val="-1"/>
                <w:sz w:val="18"/>
              </w:rPr>
              <w:t>205,391</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
              <w:jc w:val="right"/>
              <w:rPr>
                <w:rFonts w:ascii="Arial" w:hAnsi="Arial" w:cs="Arial" w:eastAsia="Arial" w:hint="default"/>
                <w:sz w:val="18"/>
                <w:szCs w:val="18"/>
              </w:rPr>
            </w:pPr>
            <w:r>
              <w:rPr>
                <w:rFonts w:ascii="Arial"/>
                <w:w w:val="95"/>
                <w:sz w:val="18"/>
              </w:rPr>
              <w:t>90%</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4"/>
              <w:jc w:val="right"/>
              <w:rPr>
                <w:rFonts w:ascii="Arial" w:hAnsi="Arial" w:cs="Arial" w:eastAsia="Arial" w:hint="default"/>
                <w:sz w:val="18"/>
                <w:szCs w:val="18"/>
              </w:rPr>
            </w:pPr>
            <w:r>
              <w:rPr>
                <w:rFonts w:ascii="Arial"/>
                <w:w w:val="99"/>
                <w:sz w:val="18"/>
              </w:rPr>
              <w:t>-</w:t>
            </w:r>
            <w:r>
              <w:rPr>
                <w:rFonts w:ascii="Arial"/>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5"/>
              <w:jc w:val="right"/>
              <w:rPr>
                <w:rFonts w:ascii="Arial" w:hAnsi="Arial" w:cs="Arial" w:eastAsia="Arial" w:hint="default"/>
                <w:sz w:val="16"/>
                <w:szCs w:val="16"/>
              </w:rPr>
            </w:pPr>
            <w:r>
              <w:rPr>
                <w:rFonts w:ascii="Arial"/>
                <w:w w:val="100"/>
                <w:sz w:val="16"/>
              </w:rPr>
              <w:t>-</w:t>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重庆巴渝苏宁电器有限公司</w:t>
            </w:r>
          </w:p>
        </w:tc>
        <w:tc>
          <w:tcPr>
            <w:tcW w:w="1131"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spacing w:val="-1"/>
                <w:sz w:val="18"/>
              </w:rPr>
              <w:t>195,027</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spacing w:val="-1"/>
                <w:sz w:val="18"/>
              </w:rPr>
              <w:t>149,940</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spacing w:val="-1"/>
                <w:sz w:val="18"/>
              </w:rPr>
              <w:t>45,087</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spacing w:val="-1"/>
                <w:sz w:val="18"/>
              </w:rPr>
              <w:t>195,027</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
              <w:jc w:val="right"/>
              <w:rPr>
                <w:rFonts w:ascii="Arial" w:hAnsi="Arial" w:cs="Arial" w:eastAsia="Arial" w:hint="default"/>
                <w:sz w:val="18"/>
                <w:szCs w:val="18"/>
              </w:rPr>
            </w:pPr>
            <w:r>
              <w:rPr>
                <w:rFonts w:ascii="Arial"/>
                <w:w w:val="95"/>
                <w:sz w:val="18"/>
              </w:rPr>
              <w:t>90%</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w w:val="99"/>
                <w:sz w:val="18"/>
              </w:rPr>
              <w:t>-</w:t>
            </w:r>
            <w:r>
              <w:rPr>
                <w:rFonts w:ascii="Arial"/>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Arial" w:hAnsi="Arial" w:cs="Arial" w:eastAsia="Arial" w:hint="default"/>
                <w:sz w:val="18"/>
                <w:szCs w:val="18"/>
              </w:rPr>
            </w:pPr>
            <w:r>
              <w:rPr>
                <w:rFonts w:ascii="Arial"/>
                <w:w w:val="99"/>
                <w:sz w:val="18"/>
              </w:rPr>
              <w:t>-</w:t>
            </w:r>
            <w:r>
              <w:rPr>
                <w:rFonts w:ascii="Arial"/>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5"/>
              <w:jc w:val="right"/>
              <w:rPr>
                <w:rFonts w:ascii="Arial" w:hAnsi="Arial" w:cs="Arial" w:eastAsia="Arial" w:hint="default"/>
                <w:sz w:val="16"/>
                <w:szCs w:val="16"/>
              </w:rPr>
            </w:pPr>
            <w:r>
              <w:rPr>
                <w:rFonts w:ascii="Arial"/>
                <w:w w:val="100"/>
                <w:sz w:val="16"/>
              </w:rPr>
              <w:t>-</w:t>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长春苏宁电器有限公司</w:t>
            </w:r>
          </w:p>
        </w:tc>
        <w:tc>
          <w:tcPr>
            <w:tcW w:w="1131"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spacing w:val="-1"/>
                <w:sz w:val="18"/>
              </w:rPr>
              <w:t>172,906</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9"/>
              <w:jc w:val="right"/>
              <w:rPr>
                <w:rFonts w:ascii="Arial" w:hAnsi="Arial" w:cs="Arial" w:eastAsia="Arial" w:hint="default"/>
                <w:sz w:val="18"/>
                <w:szCs w:val="18"/>
              </w:rPr>
            </w:pPr>
            <w:r>
              <w:rPr>
                <w:rFonts w:ascii="Arial"/>
                <w:spacing w:val="-1"/>
                <w:sz w:val="18"/>
              </w:rPr>
              <w:t>26,521</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spacing w:val="-1"/>
                <w:sz w:val="18"/>
              </w:rPr>
              <w:t>146,385</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spacing w:val="-1"/>
                <w:sz w:val="18"/>
              </w:rPr>
              <w:t>172,906</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
              <w:jc w:val="right"/>
              <w:rPr>
                <w:rFonts w:ascii="Arial" w:hAnsi="Arial" w:cs="Arial" w:eastAsia="Arial" w:hint="default"/>
                <w:sz w:val="18"/>
                <w:szCs w:val="18"/>
              </w:rPr>
            </w:pPr>
            <w:r>
              <w:rPr>
                <w:rFonts w:ascii="Arial"/>
                <w:w w:val="95"/>
                <w:sz w:val="18"/>
              </w:rPr>
              <w:t>90%</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w w:val="99"/>
                <w:sz w:val="18"/>
              </w:rPr>
              <w:t>-</w:t>
            </w:r>
            <w:r>
              <w:rPr>
                <w:rFonts w:ascii="Arial"/>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Arial" w:hAnsi="Arial" w:cs="Arial" w:eastAsia="Arial" w:hint="default"/>
                <w:sz w:val="18"/>
                <w:szCs w:val="18"/>
              </w:rPr>
            </w:pPr>
            <w:r>
              <w:rPr>
                <w:rFonts w:ascii="Arial"/>
                <w:w w:val="99"/>
                <w:sz w:val="18"/>
              </w:rPr>
              <w:t>-</w:t>
            </w:r>
            <w:r>
              <w:rPr>
                <w:rFonts w:ascii="Arial"/>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5"/>
              <w:jc w:val="right"/>
              <w:rPr>
                <w:rFonts w:ascii="Arial" w:hAnsi="Arial" w:cs="Arial" w:eastAsia="Arial" w:hint="default"/>
                <w:sz w:val="16"/>
                <w:szCs w:val="16"/>
              </w:rPr>
            </w:pPr>
            <w:r>
              <w:rPr>
                <w:rFonts w:ascii="Arial"/>
                <w:w w:val="100"/>
                <w:sz w:val="16"/>
              </w:rPr>
              <w:t>-</w:t>
            </w:r>
          </w:p>
        </w:tc>
      </w:tr>
      <w:tr>
        <w:trPr>
          <w:trHeight w:val="240" w:hRule="exact"/>
        </w:trPr>
        <w:tc>
          <w:tcPr>
            <w:tcW w:w="753"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16" w:lineRule="exact"/>
              <w:ind w:left="68" w:right="0"/>
              <w:jc w:val="left"/>
              <w:rPr>
                <w:rFonts w:ascii="宋体" w:hAnsi="宋体" w:cs="宋体" w:eastAsia="宋体" w:hint="default"/>
                <w:sz w:val="18"/>
                <w:szCs w:val="18"/>
              </w:rPr>
            </w:pPr>
            <w:r>
              <w:rPr>
                <w:rFonts w:ascii="宋体" w:hAnsi="宋体" w:cs="宋体" w:eastAsia="宋体" w:hint="default"/>
                <w:sz w:val="18"/>
                <w:szCs w:val="18"/>
              </w:rPr>
              <w:t>福州苏宁电器有限公司</w:t>
            </w:r>
          </w:p>
        </w:tc>
        <w:tc>
          <w:tcPr>
            <w:tcW w:w="1131"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spacing w:val="-1"/>
                <w:sz w:val="18"/>
              </w:rPr>
              <w:t>162,000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spacing w:val="-1"/>
                <w:sz w:val="18"/>
              </w:rPr>
              <w:t>90,000</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spacing w:val="-1"/>
                <w:sz w:val="18"/>
              </w:rPr>
              <w:t>72,000</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spacing w:val="-1"/>
                <w:sz w:val="18"/>
              </w:rPr>
              <w:t>162,000</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
              <w:jc w:val="right"/>
              <w:rPr>
                <w:rFonts w:ascii="Arial" w:hAnsi="Arial" w:cs="Arial" w:eastAsia="Arial" w:hint="default"/>
                <w:sz w:val="18"/>
                <w:szCs w:val="18"/>
              </w:rPr>
            </w:pPr>
            <w:r>
              <w:rPr>
                <w:rFonts w:ascii="Arial"/>
                <w:w w:val="95"/>
                <w:sz w:val="18"/>
              </w:rPr>
              <w:t>90%</w:t>
            </w:r>
            <w:r>
              <w:rPr>
                <w:rFonts w:ascii="Arial"/>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w w:val="99"/>
                <w:sz w:val="18"/>
              </w:rPr>
              <w:t>-</w:t>
            </w:r>
            <w:r>
              <w:rPr>
                <w:rFonts w:ascii="Arial"/>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Arial" w:hAnsi="Arial" w:cs="Arial" w:eastAsia="Arial" w:hint="default"/>
                <w:sz w:val="18"/>
                <w:szCs w:val="18"/>
              </w:rPr>
            </w:pPr>
            <w:r>
              <w:rPr>
                <w:rFonts w:ascii="Arial"/>
                <w:w w:val="99"/>
                <w:sz w:val="18"/>
              </w:rPr>
              <w:t>-</w:t>
            </w:r>
            <w:r>
              <w:rPr>
                <w:rFonts w:ascii="Arial"/>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5"/>
              <w:jc w:val="right"/>
              <w:rPr>
                <w:rFonts w:ascii="Arial" w:hAnsi="Arial" w:cs="Arial" w:eastAsia="Arial" w:hint="default"/>
                <w:sz w:val="16"/>
                <w:szCs w:val="16"/>
              </w:rPr>
            </w:pPr>
            <w:r>
              <w:rPr>
                <w:rFonts w:ascii="Arial"/>
                <w:w w:val="100"/>
                <w:sz w:val="16"/>
              </w:rPr>
              <w:t>-</w:t>
            </w:r>
          </w:p>
        </w:tc>
      </w:tr>
    </w:tbl>
    <w:p>
      <w:pPr>
        <w:spacing w:after="0" w:line="240" w:lineRule="auto"/>
        <w:jc w:val="right"/>
        <w:rPr>
          <w:rFonts w:ascii="Arial" w:hAnsi="Arial" w:cs="Arial" w:eastAsia="Arial" w:hint="default"/>
          <w:sz w:val="16"/>
          <w:szCs w:val="16"/>
        </w:rPr>
        <w:sectPr>
          <w:headerReference w:type="default" r:id="rId111"/>
          <w:footerReference w:type="default" r:id="rId112"/>
          <w:pgSz w:w="16850" w:h="11910" w:orient="landscape"/>
          <w:pgMar w:header="795" w:footer="706" w:top="2020" w:bottom="900" w:left="800" w:right="0"/>
          <w:pgNumType w:start="225"/>
        </w:sectPr>
      </w:pPr>
    </w:p>
    <w:p>
      <w:pPr>
        <w:spacing w:line="240" w:lineRule="auto" w:before="0"/>
        <w:rPr>
          <w:rFonts w:ascii="Times New Roman" w:hAnsi="Times New Roman" w:cs="Times New Roman" w:eastAsia="Times New Roman" w:hint="default"/>
          <w:sz w:val="20"/>
          <w:szCs w:val="20"/>
        </w:rPr>
      </w:pPr>
      <w:r>
        <w:rPr/>
        <w:pict>
          <v:shape style="position:absolute;margin-left:707.039978pt;margin-top:518.320007pt;width:135pt;height:77pt;mso-position-horizontal-relative:page;mso-position-vertical-relative:page;z-index:-1594360" type="#_x0000_t75" stroked="false">
            <v:imagedata r:id="rId10" o:title=""/>
          </v:shape>
        </w:pict>
      </w: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759"/>
        <w:gridCol w:w="2598"/>
      </w:tblGrid>
      <w:tr>
        <w:trPr>
          <w:trHeight w:val="416"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十五</w:t>
            </w:r>
          </w:p>
        </w:tc>
        <w:tc>
          <w:tcPr>
            <w:tcW w:w="2598" w:type="dxa"/>
            <w:tcBorders>
              <w:top w:val="nil" w:sz="6" w:space="0" w:color="auto"/>
              <w:left w:val="nil" w:sz="6" w:space="0" w:color="auto"/>
              <w:bottom w:val="nil" w:sz="6" w:space="0" w:color="auto"/>
              <w:right w:val="nil" w:sz="6" w:space="0" w:color="auto"/>
            </w:tcBorders>
          </w:tcPr>
          <w:p>
            <w:pPr>
              <w:pStyle w:val="TableParagraph"/>
              <w:spacing w:line="257" w:lineRule="exact"/>
              <w:ind w:left="79"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(3)</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9"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24"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9"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4"/>
        <w:rPr>
          <w:rFonts w:ascii="Times New Roman" w:hAnsi="Times New Roman" w:cs="Times New Roman" w:eastAsia="Times New Roman" w:hint="default"/>
          <w:sz w:val="29"/>
          <w:szCs w:val="29"/>
        </w:rPr>
      </w:pPr>
    </w:p>
    <w:tbl>
      <w:tblPr>
        <w:tblW w:w="0" w:type="auto"/>
        <w:jc w:val="left"/>
        <w:tblInd w:w="742" w:type="dxa"/>
        <w:tblLayout w:type="fixed"/>
        <w:tblCellMar>
          <w:top w:w="0" w:type="dxa"/>
          <w:left w:w="0" w:type="dxa"/>
          <w:bottom w:w="0" w:type="dxa"/>
          <w:right w:w="0" w:type="dxa"/>
        </w:tblCellMar>
        <w:tblLook w:val="01E0"/>
      </w:tblPr>
      <w:tblGrid>
        <w:gridCol w:w="2738"/>
        <w:gridCol w:w="1008"/>
        <w:gridCol w:w="1074"/>
        <w:gridCol w:w="1132"/>
        <w:gridCol w:w="1357"/>
        <w:gridCol w:w="1110"/>
        <w:gridCol w:w="835"/>
        <w:gridCol w:w="995"/>
        <w:gridCol w:w="1522"/>
        <w:gridCol w:w="851"/>
        <w:gridCol w:w="876"/>
        <w:gridCol w:w="1531"/>
      </w:tblGrid>
      <w:tr>
        <w:trPr>
          <w:trHeight w:val="603" w:hRule="exact"/>
        </w:trPr>
        <w:tc>
          <w:tcPr>
            <w:tcW w:w="2738"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08"/>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41"/>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1132" w:type="dxa"/>
            <w:tcBorders>
              <w:top w:val="nil" w:sz="6" w:space="0" w:color="auto"/>
              <w:left w:val="nil" w:sz="6" w:space="0" w:color="auto"/>
              <w:bottom w:val="nil" w:sz="6" w:space="0" w:color="auto"/>
              <w:right w:val="nil" w:sz="6" w:space="0" w:color="auto"/>
            </w:tcBorders>
          </w:tcPr>
          <w:p>
            <w:pPr>
              <w:pStyle w:val="TableParagraph"/>
              <w:spacing w:line="185" w:lineRule="exact"/>
              <w:ind w:left="396"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1" w:lineRule="exact"/>
              <w:ind w:left="11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54"/>
              <w:jc w:val="right"/>
              <w:rPr>
                <w:rFonts w:ascii="宋体" w:hAnsi="宋体" w:cs="宋体" w:eastAsia="宋体" w:hint="default"/>
                <w:sz w:val="18"/>
                <w:szCs w:val="18"/>
              </w:rPr>
            </w:pPr>
            <w:r>
              <w:rPr>
                <w:rFonts w:ascii="宋体" w:hAnsi="宋体" w:cs="宋体" w:eastAsia="宋体" w:hint="default"/>
                <w:sz w:val="18"/>
                <w:szCs w:val="18"/>
              </w:rPr>
              <w:t>本年增减变动</w:t>
            </w:r>
          </w:p>
        </w:tc>
        <w:tc>
          <w:tcPr>
            <w:tcW w:w="1110" w:type="dxa"/>
            <w:tcBorders>
              <w:top w:val="nil" w:sz="6" w:space="0" w:color="auto"/>
              <w:left w:val="nil" w:sz="6" w:space="0" w:color="auto"/>
              <w:bottom w:val="nil" w:sz="6" w:space="0" w:color="auto"/>
              <w:right w:val="nil" w:sz="6" w:space="0" w:color="auto"/>
            </w:tcBorders>
          </w:tcPr>
          <w:p>
            <w:pPr>
              <w:pStyle w:val="TableParagraph"/>
              <w:spacing w:line="185" w:lineRule="exact"/>
              <w:ind w:left="424"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1" w:lineRule="exact"/>
              <w:ind w:left="156"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835" w:type="dxa"/>
            <w:tcBorders>
              <w:top w:val="nil" w:sz="6" w:space="0" w:color="auto"/>
              <w:left w:val="nil" w:sz="6" w:space="0" w:color="auto"/>
              <w:bottom w:val="nil" w:sz="6" w:space="0" w:color="auto"/>
              <w:right w:val="nil" w:sz="6" w:space="0" w:color="auto"/>
            </w:tcBorders>
          </w:tcPr>
          <w:p>
            <w:pPr>
              <w:pStyle w:val="TableParagraph"/>
              <w:spacing w:line="179" w:lineRule="exact"/>
              <w:ind w:left="56" w:right="0"/>
              <w:jc w:val="left"/>
              <w:rPr>
                <w:rFonts w:ascii="宋体" w:hAnsi="宋体" w:cs="宋体" w:eastAsia="宋体" w:hint="default"/>
                <w:sz w:val="18"/>
                <w:szCs w:val="18"/>
              </w:rPr>
            </w:pPr>
            <w:r>
              <w:rPr>
                <w:rFonts w:ascii="宋体" w:hAnsi="宋体" w:cs="宋体" w:eastAsia="宋体" w:hint="default"/>
                <w:sz w:val="18"/>
                <w:szCs w:val="18"/>
              </w:rPr>
              <w:t>直接持股</w:t>
            </w:r>
          </w:p>
          <w:p>
            <w:pPr>
              <w:pStyle w:val="TableParagraph"/>
              <w:spacing w:line="234" w:lineRule="exact"/>
              <w:ind w:left="41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5" w:type="dxa"/>
            <w:tcBorders>
              <w:top w:val="nil" w:sz="6" w:space="0" w:color="auto"/>
              <w:left w:val="nil" w:sz="6" w:space="0" w:color="auto"/>
              <w:bottom w:val="nil" w:sz="6" w:space="0" w:color="auto"/>
              <w:right w:val="nil" w:sz="6" w:space="0" w:color="auto"/>
            </w:tcBorders>
          </w:tcPr>
          <w:p>
            <w:pPr>
              <w:pStyle w:val="TableParagraph"/>
              <w:spacing w:line="179" w:lineRule="exact"/>
              <w:ind w:left="56" w:right="0"/>
              <w:jc w:val="left"/>
              <w:rPr>
                <w:rFonts w:ascii="宋体" w:hAnsi="宋体" w:cs="宋体" w:eastAsia="宋体" w:hint="default"/>
                <w:sz w:val="18"/>
                <w:szCs w:val="18"/>
              </w:rPr>
            </w:pPr>
            <w:r>
              <w:rPr>
                <w:rFonts w:ascii="宋体" w:hAnsi="宋体" w:cs="宋体" w:eastAsia="宋体" w:hint="default"/>
                <w:sz w:val="18"/>
                <w:szCs w:val="18"/>
              </w:rPr>
              <w:t>直接表决权</w:t>
            </w:r>
          </w:p>
          <w:p>
            <w:pPr>
              <w:pStyle w:val="TableParagraph"/>
              <w:spacing w:line="234" w:lineRule="exact"/>
              <w:ind w:left="5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22" w:type="dxa"/>
            <w:tcBorders>
              <w:top w:val="nil" w:sz="6" w:space="0" w:color="auto"/>
              <w:left w:val="nil" w:sz="6" w:space="0" w:color="auto"/>
              <w:bottom w:val="nil" w:sz="6" w:space="0" w:color="auto"/>
              <w:right w:val="nil" w:sz="6" w:space="0" w:color="auto"/>
            </w:tcBorders>
          </w:tcPr>
          <w:p>
            <w:pPr>
              <w:pStyle w:val="TableParagraph"/>
              <w:spacing w:line="179" w:lineRule="exact"/>
              <w:ind w:left="36" w:right="0"/>
              <w:jc w:val="left"/>
              <w:rPr>
                <w:rFonts w:ascii="宋体" w:hAnsi="宋体" w:cs="宋体" w:eastAsia="宋体" w:hint="default"/>
                <w:sz w:val="18"/>
                <w:szCs w:val="18"/>
              </w:rPr>
            </w:pPr>
            <w:r>
              <w:rPr>
                <w:rFonts w:ascii="宋体" w:hAnsi="宋体" w:cs="宋体" w:eastAsia="宋体" w:hint="default"/>
                <w:sz w:val="18"/>
                <w:szCs w:val="18"/>
              </w:rPr>
              <w:t>持股比例与表决权</w:t>
            </w:r>
          </w:p>
          <w:p>
            <w:pPr>
              <w:pStyle w:val="TableParagraph"/>
              <w:spacing w:line="234" w:lineRule="exact"/>
              <w:ind w:left="36" w:right="0"/>
              <w:jc w:val="left"/>
              <w:rPr>
                <w:rFonts w:ascii="宋体" w:hAnsi="宋体" w:cs="宋体" w:eastAsia="宋体" w:hint="default"/>
                <w:sz w:val="18"/>
                <w:szCs w:val="18"/>
              </w:rPr>
            </w:pPr>
            <w:r>
              <w:rPr>
                <w:rFonts w:ascii="宋体" w:hAnsi="宋体" w:cs="宋体" w:eastAsia="宋体" w:hint="default"/>
                <w:sz w:val="18"/>
                <w:szCs w:val="18"/>
              </w:rPr>
              <w:t>比例不一致的说明</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876" w:type="dxa"/>
            <w:tcBorders>
              <w:top w:val="nil" w:sz="6" w:space="0" w:color="auto"/>
              <w:left w:val="nil" w:sz="6" w:space="0" w:color="auto"/>
              <w:bottom w:val="nil" w:sz="6" w:space="0" w:color="auto"/>
              <w:right w:val="nil" w:sz="6" w:space="0" w:color="auto"/>
            </w:tcBorders>
          </w:tcPr>
          <w:p>
            <w:pPr>
              <w:pStyle w:val="TableParagraph"/>
              <w:spacing w:line="179" w:lineRule="exact"/>
              <w:ind w:left="85" w:right="0"/>
              <w:jc w:val="left"/>
              <w:rPr>
                <w:rFonts w:ascii="宋体" w:hAnsi="宋体" w:cs="宋体" w:eastAsia="宋体" w:hint="default"/>
                <w:sz w:val="18"/>
                <w:szCs w:val="18"/>
              </w:rPr>
            </w:pPr>
            <w:r>
              <w:rPr>
                <w:rFonts w:ascii="宋体" w:hAnsi="宋体" w:cs="宋体" w:eastAsia="宋体" w:hint="default"/>
                <w:sz w:val="18"/>
                <w:szCs w:val="18"/>
              </w:rPr>
              <w:t>本年计提</w:t>
            </w:r>
          </w:p>
          <w:p>
            <w:pPr>
              <w:pStyle w:val="TableParagraph"/>
              <w:spacing w:line="234" w:lineRule="exact"/>
              <w:ind w:left="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31" w:type="dxa"/>
            <w:tcBorders>
              <w:top w:val="nil" w:sz="6" w:space="0" w:color="auto"/>
              <w:left w:val="nil" w:sz="6" w:space="0" w:color="auto"/>
              <w:bottom w:val="nil" w:sz="6" w:space="0" w:color="auto"/>
              <w:right w:val="nil" w:sz="6" w:space="0" w:color="auto"/>
            </w:tcBorders>
          </w:tcPr>
          <w:p>
            <w:pPr>
              <w:pStyle w:val="TableParagraph"/>
              <w:spacing w:line="179" w:lineRule="exact"/>
              <w:ind w:left="70" w:right="0"/>
              <w:jc w:val="left"/>
              <w:rPr>
                <w:rFonts w:ascii="宋体" w:hAnsi="宋体" w:cs="宋体" w:eastAsia="宋体" w:hint="default"/>
                <w:sz w:val="18"/>
                <w:szCs w:val="18"/>
              </w:rPr>
            </w:pPr>
            <w:r>
              <w:rPr>
                <w:rFonts w:ascii="宋体" w:hAnsi="宋体" w:cs="宋体" w:eastAsia="宋体" w:hint="default"/>
                <w:sz w:val="18"/>
                <w:szCs w:val="18"/>
              </w:rPr>
              <w:t>本年宣告分派的</w:t>
            </w:r>
          </w:p>
          <w:p>
            <w:pPr>
              <w:pStyle w:val="TableParagraph"/>
              <w:spacing w:line="234" w:lineRule="exact"/>
              <w:ind w:left="611" w:right="0"/>
              <w:jc w:val="left"/>
              <w:rPr>
                <w:rFonts w:ascii="宋体" w:hAnsi="宋体" w:cs="宋体" w:eastAsia="宋体" w:hint="default"/>
                <w:sz w:val="18"/>
                <w:szCs w:val="18"/>
              </w:rPr>
            </w:pPr>
            <w:r>
              <w:rPr>
                <w:rFonts w:ascii="宋体" w:hAnsi="宋体" w:cs="宋体" w:eastAsia="宋体" w:hint="default"/>
                <w:sz w:val="18"/>
                <w:szCs w:val="18"/>
              </w:rPr>
              <w:t>现金股利</w:t>
            </w:r>
          </w:p>
        </w:tc>
      </w:tr>
      <w:tr>
        <w:trPr>
          <w:trHeight w:val="421"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00" w:right="0"/>
              <w:jc w:val="left"/>
              <w:rPr>
                <w:rFonts w:ascii="宋体" w:hAnsi="宋体" w:cs="宋体" w:eastAsia="宋体" w:hint="default"/>
                <w:sz w:val="18"/>
                <w:szCs w:val="18"/>
              </w:rPr>
            </w:pPr>
            <w:r>
              <w:rPr>
                <w:rFonts w:ascii="宋体" w:hAnsi="宋体" w:cs="宋体" w:eastAsia="宋体" w:hint="default"/>
                <w:sz w:val="18"/>
                <w:szCs w:val="18"/>
              </w:rPr>
              <w:t>天津渤海苏宁电器有限公司</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0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1"/>
              <w:jc w:val="right"/>
              <w:rPr>
                <w:rFonts w:ascii="Arial" w:hAnsi="Arial" w:cs="Arial" w:eastAsia="Arial" w:hint="default"/>
                <w:sz w:val="18"/>
                <w:szCs w:val="18"/>
              </w:rPr>
            </w:pPr>
            <w:r>
              <w:rPr>
                <w:rFonts w:ascii="Arial"/>
                <w:spacing w:val="-1"/>
                <w:sz w:val="18"/>
              </w:rPr>
              <w:t>160,207</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22"/>
              <w:jc w:val="right"/>
              <w:rPr>
                <w:rFonts w:ascii="Arial" w:hAnsi="Arial" w:cs="Arial" w:eastAsia="Arial" w:hint="default"/>
                <w:sz w:val="18"/>
                <w:szCs w:val="18"/>
              </w:rPr>
            </w:pPr>
            <w:r>
              <w:rPr>
                <w:rFonts w:ascii="Arial"/>
                <w:spacing w:val="-1"/>
                <w:sz w:val="18"/>
              </w:rPr>
              <w:t>160,207</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63"/>
              <w:jc w:val="right"/>
              <w:rPr>
                <w:rFonts w:ascii="Arial" w:hAnsi="Arial" w:cs="Arial" w:eastAsia="Arial" w:hint="default"/>
                <w:sz w:val="18"/>
                <w:szCs w:val="18"/>
              </w:rPr>
            </w:pPr>
            <w:r>
              <w:rPr>
                <w:rFonts w:ascii="Arial"/>
                <w:w w:val="99"/>
                <w:sz w:val="18"/>
              </w:rPr>
              <w:t>-</w:t>
            </w:r>
            <w:r>
              <w:rPr>
                <w:rFonts w:ascii="Arial"/>
                <w:sz w:val="18"/>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5"/>
              <w:jc w:val="right"/>
              <w:rPr>
                <w:rFonts w:ascii="Arial" w:hAnsi="Arial" w:cs="Arial" w:eastAsia="Arial" w:hint="default"/>
                <w:sz w:val="18"/>
                <w:szCs w:val="18"/>
              </w:rPr>
            </w:pPr>
            <w:r>
              <w:rPr>
                <w:rFonts w:ascii="Arial"/>
                <w:spacing w:val="-1"/>
                <w:sz w:val="18"/>
              </w:rPr>
              <w:t>160,207</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4"/>
              <w:jc w:val="right"/>
              <w:rPr>
                <w:rFonts w:ascii="Arial" w:hAnsi="Arial" w:cs="Arial" w:eastAsia="Arial" w:hint="default"/>
                <w:sz w:val="18"/>
                <w:szCs w:val="18"/>
              </w:rPr>
            </w:pPr>
            <w:r>
              <w:rPr>
                <w:rFonts w:ascii="Arial"/>
                <w:w w:val="95"/>
                <w:sz w:val="18"/>
              </w:rPr>
              <w:t>90%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4"/>
              <w:jc w:val="right"/>
              <w:rPr>
                <w:rFonts w:ascii="Arial" w:hAnsi="Arial" w:cs="Arial" w:eastAsia="Arial" w:hint="default"/>
                <w:sz w:val="18"/>
                <w:szCs w:val="18"/>
              </w:rPr>
            </w:pPr>
            <w:r>
              <w:rPr>
                <w:rFonts w:ascii="Arial"/>
                <w:w w:val="95"/>
                <w:sz w:val="18"/>
              </w:rPr>
              <w:t>90%</w:t>
            </w:r>
            <w:r>
              <w:rPr>
                <w:rFonts w:ascii="Arial"/>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8"/>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w:hAnsi="Arial" w:cs="Arial" w:eastAsia="Arial" w:hint="default"/>
                <w:sz w:val="16"/>
                <w:szCs w:val="16"/>
              </w:rPr>
            </w:pPr>
            <w:r>
              <w:rPr>
                <w:rFonts w:ascii="Arial"/>
                <w:w w:val="100"/>
                <w:sz w:val="16"/>
              </w:rPr>
              <w:t>-</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09"/>
              <w:jc w:val="right"/>
              <w:rPr>
                <w:rFonts w:ascii="Arial" w:hAnsi="Arial" w:cs="Arial" w:eastAsia="Arial" w:hint="default"/>
                <w:sz w:val="16"/>
                <w:szCs w:val="16"/>
              </w:rPr>
            </w:pPr>
            <w:r>
              <w:rPr>
                <w:rFonts w:ascii="Arial"/>
                <w:w w:val="100"/>
                <w:sz w:val="16"/>
              </w:rPr>
              <w:t>-</w:t>
            </w:r>
          </w:p>
        </w:tc>
      </w:tr>
      <w:tr>
        <w:trPr>
          <w:trHeight w:val="254"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湖北苏宁电器有限公司</w:t>
            </w:r>
          </w:p>
        </w:tc>
        <w:tc>
          <w:tcPr>
            <w:tcW w:w="1008" w:type="dxa"/>
            <w:tcBorders>
              <w:top w:val="nil" w:sz="6" w:space="0" w:color="auto"/>
              <w:left w:val="nil" w:sz="6" w:space="0" w:color="auto"/>
              <w:bottom w:val="nil" w:sz="6" w:space="0" w:color="auto"/>
              <w:right w:val="nil" w:sz="6" w:space="0" w:color="auto"/>
            </w:tcBorders>
          </w:tcPr>
          <w:p>
            <w:pPr>
              <w:pStyle w:val="TableParagraph"/>
              <w:spacing w:line="216" w:lineRule="exact"/>
              <w:ind w:right="20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153,000</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0"/>
              <w:jc w:val="right"/>
              <w:rPr>
                <w:rFonts w:ascii="Arial" w:hAnsi="Arial" w:cs="Arial" w:eastAsia="Arial" w:hint="default"/>
                <w:sz w:val="18"/>
                <w:szCs w:val="18"/>
              </w:rPr>
            </w:pPr>
            <w:r>
              <w:rPr>
                <w:rFonts w:ascii="Arial"/>
                <w:spacing w:val="-1"/>
                <w:sz w:val="18"/>
              </w:rPr>
              <w:t>18,000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spacing w:val="-1"/>
                <w:sz w:val="18"/>
              </w:rPr>
              <w:t>135,000</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153,000</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w w:val="95"/>
                <w:sz w:val="18"/>
              </w:rPr>
              <w:t>90%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w:hAnsi="Arial" w:cs="Arial" w:eastAsia="Arial" w:hint="default"/>
                <w:sz w:val="16"/>
                <w:szCs w:val="16"/>
              </w:rPr>
            </w:pPr>
            <w:r>
              <w:rPr>
                <w:rFonts w:ascii="Arial"/>
                <w:w w:val="100"/>
                <w:sz w:val="16"/>
              </w:rPr>
              <w:t>-</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9"/>
              <w:jc w:val="right"/>
              <w:rPr>
                <w:rFonts w:ascii="Arial" w:hAnsi="Arial" w:cs="Arial" w:eastAsia="Arial" w:hint="default"/>
                <w:sz w:val="16"/>
                <w:szCs w:val="16"/>
              </w:rPr>
            </w:pPr>
            <w:r>
              <w:rPr>
                <w:rFonts w:ascii="Arial"/>
                <w:w w:val="100"/>
                <w:sz w:val="16"/>
              </w:rPr>
              <w:t>-</w:t>
            </w:r>
          </w:p>
        </w:tc>
      </w:tr>
      <w:tr>
        <w:trPr>
          <w:trHeight w:val="490"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哈尔滨苏宁电器采购中心</w:t>
            </w: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0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1"/>
              <w:jc w:val="right"/>
              <w:rPr>
                <w:rFonts w:ascii="Arial" w:hAnsi="Arial" w:cs="Arial" w:eastAsia="Arial" w:hint="default"/>
                <w:sz w:val="18"/>
                <w:szCs w:val="18"/>
              </w:rPr>
            </w:pPr>
            <w:r>
              <w:rPr>
                <w:rFonts w:ascii="Arial"/>
                <w:spacing w:val="-1"/>
                <w:sz w:val="18"/>
              </w:rPr>
              <w:t>153,000</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0"/>
              <w:jc w:val="right"/>
              <w:rPr>
                <w:rFonts w:ascii="Arial" w:hAnsi="Arial" w:cs="Arial" w:eastAsia="Arial" w:hint="default"/>
                <w:sz w:val="18"/>
                <w:szCs w:val="18"/>
              </w:rPr>
            </w:pPr>
            <w:r>
              <w:rPr>
                <w:rFonts w:ascii="Arial"/>
                <w:spacing w:val="-1"/>
                <w:sz w:val="18"/>
              </w:rPr>
              <w:t>18,000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2"/>
              <w:jc w:val="right"/>
              <w:rPr>
                <w:rFonts w:ascii="Arial" w:hAnsi="Arial" w:cs="Arial" w:eastAsia="Arial" w:hint="default"/>
                <w:sz w:val="18"/>
                <w:szCs w:val="18"/>
              </w:rPr>
            </w:pPr>
            <w:r>
              <w:rPr>
                <w:rFonts w:ascii="Arial"/>
                <w:spacing w:val="-1"/>
                <w:sz w:val="18"/>
              </w:rPr>
              <w:t>135,000</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spacing w:val="-1"/>
                <w:sz w:val="18"/>
              </w:rPr>
              <w:t>153,000</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w w:val="95"/>
                <w:sz w:val="18"/>
              </w:rPr>
              <w:t>90%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4"/>
              <w:jc w:val="right"/>
              <w:rPr>
                <w:rFonts w:ascii="Arial" w:hAnsi="Arial" w:cs="Arial" w:eastAsia="Arial" w:hint="default"/>
                <w:sz w:val="18"/>
                <w:szCs w:val="18"/>
              </w:rPr>
            </w:pPr>
            <w:r>
              <w:rPr>
                <w:rFonts w:ascii="Arial"/>
                <w:w w:val="95"/>
                <w:sz w:val="18"/>
              </w:rPr>
              <w:t>90%</w:t>
            </w:r>
            <w:r>
              <w:rPr>
                <w:rFonts w:ascii="Arial"/>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8"/>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Arial" w:hAnsi="Arial" w:cs="Arial" w:eastAsia="Arial" w:hint="default"/>
                <w:sz w:val="16"/>
                <w:szCs w:val="16"/>
              </w:rPr>
            </w:pPr>
            <w:r>
              <w:rPr>
                <w:rFonts w:ascii="Arial"/>
                <w:w w:val="100"/>
                <w:sz w:val="16"/>
              </w:rPr>
              <w:t>-</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9"/>
              <w:jc w:val="right"/>
              <w:rPr>
                <w:rFonts w:ascii="Arial" w:hAnsi="Arial" w:cs="Arial" w:eastAsia="Arial" w:hint="default"/>
                <w:sz w:val="16"/>
                <w:szCs w:val="16"/>
              </w:rPr>
            </w:pPr>
            <w:r>
              <w:rPr>
                <w:rFonts w:ascii="Arial"/>
                <w:w w:val="100"/>
                <w:sz w:val="16"/>
              </w:rPr>
              <w:t>-</w:t>
            </w:r>
          </w:p>
        </w:tc>
      </w:tr>
      <w:tr>
        <w:trPr>
          <w:trHeight w:val="255"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山东渤宁苏宁电器有限公司</w:t>
            </w:r>
          </w:p>
        </w:tc>
        <w:tc>
          <w:tcPr>
            <w:tcW w:w="1008" w:type="dxa"/>
            <w:tcBorders>
              <w:top w:val="nil" w:sz="6" w:space="0" w:color="auto"/>
              <w:left w:val="nil" w:sz="6" w:space="0" w:color="auto"/>
              <w:bottom w:val="nil" w:sz="6" w:space="0" w:color="auto"/>
              <w:right w:val="nil" w:sz="6" w:space="0" w:color="auto"/>
            </w:tcBorders>
          </w:tcPr>
          <w:p>
            <w:pPr>
              <w:pStyle w:val="TableParagraph"/>
              <w:spacing w:line="216" w:lineRule="exact"/>
              <w:ind w:right="20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151,668</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0"/>
              <w:jc w:val="right"/>
              <w:rPr>
                <w:rFonts w:ascii="Arial" w:hAnsi="Arial" w:cs="Arial" w:eastAsia="Arial" w:hint="default"/>
                <w:sz w:val="18"/>
                <w:szCs w:val="18"/>
              </w:rPr>
            </w:pPr>
            <w:r>
              <w:rPr>
                <w:rFonts w:ascii="Arial"/>
                <w:spacing w:val="-1"/>
                <w:sz w:val="18"/>
              </w:rPr>
              <w:t>18,000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spacing w:val="-1"/>
                <w:sz w:val="18"/>
              </w:rPr>
              <w:t>133,668</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151,668</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w w:val="95"/>
                <w:sz w:val="18"/>
              </w:rPr>
              <w:t>90%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w:hAnsi="Arial" w:cs="Arial" w:eastAsia="Arial" w:hint="default"/>
                <w:sz w:val="16"/>
                <w:szCs w:val="16"/>
              </w:rPr>
            </w:pPr>
            <w:r>
              <w:rPr>
                <w:rFonts w:ascii="Arial"/>
                <w:w w:val="100"/>
                <w:sz w:val="16"/>
              </w:rPr>
              <w:t>-</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9"/>
              <w:jc w:val="right"/>
              <w:rPr>
                <w:rFonts w:ascii="Arial" w:hAnsi="Arial" w:cs="Arial" w:eastAsia="Arial" w:hint="default"/>
                <w:sz w:val="16"/>
                <w:szCs w:val="16"/>
              </w:rPr>
            </w:pPr>
            <w:r>
              <w:rPr>
                <w:rFonts w:ascii="Arial"/>
                <w:w w:val="100"/>
                <w:sz w:val="16"/>
              </w:rPr>
              <w:t>-</w:t>
            </w:r>
          </w:p>
        </w:tc>
      </w:tr>
      <w:tr>
        <w:trPr>
          <w:trHeight w:val="487"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宋体" w:hAnsi="宋体" w:cs="宋体" w:eastAsia="宋体" w:hint="default"/>
                <w:sz w:val="18"/>
                <w:szCs w:val="18"/>
              </w:rPr>
            </w:pPr>
            <w:r>
              <w:rPr>
                <w:rFonts w:ascii="宋体" w:hAnsi="宋体" w:cs="宋体" w:eastAsia="宋体" w:hint="default"/>
                <w:sz w:val="18"/>
                <w:szCs w:val="18"/>
              </w:rPr>
              <w:t>江苏苏宁易购电子商务</w:t>
            </w:r>
          </w:p>
          <w:p>
            <w:pPr>
              <w:pStyle w:val="TableParagraph"/>
              <w:spacing w:line="234" w:lineRule="exact"/>
              <w:ind w:left="35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0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11"/>
              <w:jc w:val="right"/>
              <w:rPr>
                <w:rFonts w:ascii="Arial" w:hAnsi="Arial" w:cs="Arial" w:eastAsia="Arial" w:hint="default"/>
                <w:sz w:val="18"/>
                <w:szCs w:val="18"/>
              </w:rPr>
            </w:pPr>
            <w:r>
              <w:rPr>
                <w:rFonts w:ascii="Arial"/>
                <w:spacing w:val="-1"/>
                <w:sz w:val="18"/>
              </w:rPr>
              <w:t>140,000</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20"/>
              <w:jc w:val="right"/>
              <w:rPr>
                <w:rFonts w:ascii="Arial" w:hAnsi="Arial" w:cs="Arial" w:eastAsia="Arial" w:hint="default"/>
                <w:sz w:val="18"/>
                <w:szCs w:val="18"/>
              </w:rPr>
            </w:pPr>
            <w:r>
              <w:rPr>
                <w:rFonts w:ascii="Arial"/>
                <w:spacing w:val="-1"/>
                <w:sz w:val="18"/>
              </w:rPr>
              <w:t>30,000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2"/>
              <w:jc w:val="right"/>
              <w:rPr>
                <w:rFonts w:ascii="Arial" w:hAnsi="Arial" w:cs="Arial" w:eastAsia="Arial" w:hint="default"/>
                <w:sz w:val="18"/>
                <w:szCs w:val="18"/>
              </w:rPr>
            </w:pPr>
            <w:r>
              <w:rPr>
                <w:rFonts w:ascii="Arial"/>
                <w:spacing w:val="-2"/>
                <w:w w:val="95"/>
                <w:sz w:val="18"/>
              </w:rPr>
              <w:t>110,000</w:t>
            </w:r>
            <w:r>
              <w:rPr>
                <w:rFonts w:ascii="Arial"/>
                <w:spacing w:val="-2"/>
                <w:sz w:val="18"/>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spacing w:val="-1"/>
                <w:sz w:val="18"/>
              </w:rPr>
              <w:t>140,000</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w w:val="95"/>
                <w:sz w:val="18"/>
              </w:rPr>
              <w:t>70%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34"/>
              <w:jc w:val="right"/>
              <w:rPr>
                <w:rFonts w:ascii="Arial" w:hAnsi="Arial" w:cs="Arial" w:eastAsia="Arial" w:hint="default"/>
                <w:sz w:val="18"/>
                <w:szCs w:val="18"/>
              </w:rPr>
            </w:pPr>
            <w:r>
              <w:rPr>
                <w:rFonts w:ascii="Arial"/>
                <w:w w:val="95"/>
                <w:sz w:val="18"/>
              </w:rPr>
              <w:t>70%</w:t>
            </w:r>
            <w:r>
              <w:rPr>
                <w:rFonts w:ascii="Arial"/>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8"/>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盐城盐宁苏宁电器有限公司</w:t>
            </w:r>
          </w:p>
        </w:tc>
        <w:tc>
          <w:tcPr>
            <w:tcW w:w="1008" w:type="dxa"/>
            <w:tcBorders>
              <w:top w:val="nil" w:sz="6" w:space="0" w:color="auto"/>
              <w:left w:val="nil" w:sz="6" w:space="0" w:color="auto"/>
              <w:bottom w:val="nil" w:sz="6" w:space="0" w:color="auto"/>
              <w:right w:val="nil" w:sz="6" w:space="0" w:color="auto"/>
            </w:tcBorders>
          </w:tcPr>
          <w:p>
            <w:pPr>
              <w:pStyle w:val="TableParagraph"/>
              <w:spacing w:line="216" w:lineRule="exact"/>
              <w:ind w:right="20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129,245</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0"/>
              <w:jc w:val="right"/>
              <w:rPr>
                <w:rFonts w:ascii="Arial" w:hAnsi="Arial" w:cs="Arial" w:eastAsia="Arial" w:hint="default"/>
                <w:sz w:val="18"/>
                <w:szCs w:val="18"/>
              </w:rPr>
            </w:pPr>
            <w:r>
              <w:rPr>
                <w:rFonts w:ascii="Arial"/>
                <w:w w:val="95"/>
                <w:sz w:val="18"/>
              </w:rPr>
              <w:t>4,500</w:t>
            </w:r>
            <w:r>
              <w:rPr>
                <w:rFonts w:ascii="Arial"/>
                <w:sz w:val="18"/>
              </w:rPr>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spacing w:val="-1"/>
                <w:sz w:val="18"/>
              </w:rPr>
              <w:t>124,745</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129,245</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w w:val="95"/>
                <w:sz w:val="18"/>
              </w:rPr>
              <w:t>90%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w:hAnsi="Arial" w:cs="Arial" w:eastAsia="Arial" w:hint="default"/>
                <w:sz w:val="16"/>
                <w:szCs w:val="16"/>
              </w:rPr>
            </w:pPr>
            <w:r>
              <w:rPr>
                <w:rFonts w:ascii="Arial"/>
                <w:w w:val="100"/>
                <w:sz w:val="16"/>
              </w:rPr>
              <w:t>-</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9"/>
              <w:jc w:val="right"/>
              <w:rPr>
                <w:rFonts w:ascii="Arial" w:hAnsi="Arial" w:cs="Arial" w:eastAsia="Arial" w:hint="default"/>
                <w:sz w:val="16"/>
                <w:szCs w:val="16"/>
              </w:rPr>
            </w:pPr>
            <w:r>
              <w:rPr>
                <w:rFonts w:ascii="Arial"/>
                <w:w w:val="100"/>
                <w:sz w:val="16"/>
              </w:rPr>
              <w:t>-</w:t>
            </w:r>
          </w:p>
        </w:tc>
      </w:tr>
      <w:tr>
        <w:trPr>
          <w:trHeight w:val="276"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中山苏宁物流有限公司</w:t>
            </w:r>
          </w:p>
        </w:tc>
        <w:tc>
          <w:tcPr>
            <w:tcW w:w="1008" w:type="dxa"/>
            <w:tcBorders>
              <w:top w:val="nil" w:sz="6" w:space="0" w:color="auto"/>
              <w:left w:val="nil" w:sz="6" w:space="0" w:color="auto"/>
              <w:bottom w:val="nil" w:sz="6" w:space="0" w:color="auto"/>
              <w:right w:val="nil" w:sz="6" w:space="0" w:color="auto"/>
            </w:tcBorders>
          </w:tcPr>
          <w:p>
            <w:pPr>
              <w:pStyle w:val="TableParagraph"/>
              <w:spacing w:line="216" w:lineRule="exact"/>
              <w:ind w:right="20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126,000</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0"/>
              <w:jc w:val="right"/>
              <w:rPr>
                <w:rFonts w:ascii="Arial" w:hAnsi="Arial" w:cs="Arial" w:eastAsia="Arial" w:hint="default"/>
                <w:sz w:val="18"/>
                <w:szCs w:val="18"/>
              </w:rPr>
            </w:pPr>
            <w:r>
              <w:rPr>
                <w:rFonts w:ascii="Arial"/>
                <w:spacing w:val="-1"/>
                <w:sz w:val="18"/>
              </w:rPr>
              <w:t>36,000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spacing w:val="-1"/>
                <w:sz w:val="18"/>
              </w:rPr>
              <w:t>90,000</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126,000</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w w:val="95"/>
                <w:sz w:val="18"/>
              </w:rPr>
              <w:t>90%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江西苏宁物流有限公司</w:t>
            </w:r>
          </w:p>
        </w:tc>
        <w:tc>
          <w:tcPr>
            <w:tcW w:w="1008" w:type="dxa"/>
            <w:tcBorders>
              <w:top w:val="nil" w:sz="6" w:space="0" w:color="auto"/>
              <w:left w:val="nil" w:sz="6" w:space="0" w:color="auto"/>
              <w:bottom w:val="nil" w:sz="6" w:space="0" w:color="auto"/>
              <w:right w:val="nil" w:sz="6" w:space="0" w:color="auto"/>
            </w:tcBorders>
          </w:tcPr>
          <w:p>
            <w:pPr>
              <w:pStyle w:val="TableParagraph"/>
              <w:spacing w:line="216" w:lineRule="exact"/>
              <w:ind w:right="20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126,000</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0"/>
              <w:jc w:val="right"/>
              <w:rPr>
                <w:rFonts w:ascii="Arial" w:hAnsi="Arial" w:cs="Arial" w:eastAsia="Arial" w:hint="default"/>
                <w:sz w:val="18"/>
                <w:szCs w:val="18"/>
              </w:rPr>
            </w:pPr>
            <w:r>
              <w:rPr>
                <w:rFonts w:ascii="Arial"/>
                <w:spacing w:val="-1"/>
                <w:sz w:val="18"/>
              </w:rPr>
              <w:t>36,000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spacing w:val="-1"/>
                <w:sz w:val="18"/>
              </w:rPr>
              <w:t>90,000</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126,000</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w w:val="95"/>
                <w:sz w:val="18"/>
              </w:rPr>
              <w:t>90%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徐州苏宁电器有限公司</w:t>
            </w:r>
          </w:p>
        </w:tc>
        <w:tc>
          <w:tcPr>
            <w:tcW w:w="1008" w:type="dxa"/>
            <w:tcBorders>
              <w:top w:val="nil" w:sz="6" w:space="0" w:color="auto"/>
              <w:left w:val="nil" w:sz="6" w:space="0" w:color="auto"/>
              <w:bottom w:val="nil" w:sz="6" w:space="0" w:color="auto"/>
              <w:right w:val="nil" w:sz="6" w:space="0" w:color="auto"/>
            </w:tcBorders>
          </w:tcPr>
          <w:p>
            <w:pPr>
              <w:pStyle w:val="TableParagraph"/>
              <w:spacing w:line="216" w:lineRule="exact"/>
              <w:ind w:right="20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125,660</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2"/>
              <w:jc w:val="right"/>
              <w:rPr>
                <w:rFonts w:ascii="Arial" w:hAnsi="Arial" w:cs="Arial" w:eastAsia="Arial" w:hint="default"/>
                <w:sz w:val="18"/>
                <w:szCs w:val="18"/>
              </w:rPr>
            </w:pPr>
            <w:r>
              <w:rPr>
                <w:rFonts w:ascii="Arial"/>
                <w:spacing w:val="-1"/>
                <w:sz w:val="18"/>
              </w:rPr>
              <w:t>73,181</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spacing w:val="-1"/>
                <w:sz w:val="18"/>
              </w:rPr>
              <w:t>52,479</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125,660</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w w:val="95"/>
                <w:sz w:val="18"/>
              </w:rPr>
              <w:t>90%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内江百大商贸有限公司</w:t>
            </w:r>
          </w:p>
        </w:tc>
        <w:tc>
          <w:tcPr>
            <w:tcW w:w="1008" w:type="dxa"/>
            <w:tcBorders>
              <w:top w:val="nil" w:sz="6" w:space="0" w:color="auto"/>
              <w:left w:val="nil" w:sz="6" w:space="0" w:color="auto"/>
              <w:bottom w:val="nil" w:sz="6" w:space="0" w:color="auto"/>
              <w:right w:val="nil" w:sz="6" w:space="0" w:color="auto"/>
            </w:tcBorders>
          </w:tcPr>
          <w:p>
            <w:pPr>
              <w:pStyle w:val="TableParagraph"/>
              <w:spacing w:line="216" w:lineRule="exact"/>
              <w:ind w:right="20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4"/>
                <w:w w:val="95"/>
                <w:sz w:val="18"/>
              </w:rPr>
              <w:t>111,430</w:t>
            </w:r>
            <w:r>
              <w:rPr>
                <w:rFonts w:ascii="Arial"/>
                <w:spacing w:val="-4"/>
                <w:sz w:val="18"/>
              </w:rPr>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1"/>
              <w:jc w:val="right"/>
              <w:rPr>
                <w:rFonts w:ascii="Arial" w:hAnsi="Arial" w:cs="Arial" w:eastAsia="Arial" w:hint="default"/>
                <w:sz w:val="18"/>
                <w:szCs w:val="18"/>
              </w:rPr>
            </w:pPr>
            <w:r>
              <w:rPr>
                <w:rFonts w:ascii="Arial"/>
                <w:w w:val="99"/>
                <w:sz w:val="18"/>
              </w:rPr>
              <w:t>-</w:t>
            </w:r>
            <w:r>
              <w:rPr>
                <w:rFonts w:ascii="Arial"/>
                <w:sz w:val="18"/>
              </w:rPr>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spacing w:val="-4"/>
                <w:w w:val="95"/>
                <w:sz w:val="18"/>
              </w:rPr>
              <w:t>111,430</w:t>
            </w:r>
            <w:r>
              <w:rPr>
                <w:rFonts w:ascii="Arial"/>
                <w:spacing w:val="-4"/>
                <w:sz w:val="18"/>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4"/>
                <w:w w:val="95"/>
                <w:sz w:val="18"/>
              </w:rPr>
              <w:t>111,430</w:t>
            </w:r>
            <w:r>
              <w:rPr>
                <w:rFonts w:ascii="Arial"/>
                <w:spacing w:val="-4"/>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w w:val="95"/>
                <w:sz w:val="18"/>
              </w:rPr>
              <w:t>100%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100%</w:t>
            </w:r>
            <w:r>
              <w:rPr>
                <w:rFonts w:ascii="Arial"/>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深圳市苏宁电器有限公司</w:t>
            </w:r>
          </w:p>
        </w:tc>
        <w:tc>
          <w:tcPr>
            <w:tcW w:w="1008" w:type="dxa"/>
            <w:tcBorders>
              <w:top w:val="nil" w:sz="6" w:space="0" w:color="auto"/>
              <w:left w:val="nil" w:sz="6" w:space="0" w:color="auto"/>
              <w:bottom w:val="nil" w:sz="6" w:space="0" w:color="auto"/>
              <w:right w:val="nil" w:sz="6" w:space="0" w:color="auto"/>
            </w:tcBorders>
          </w:tcPr>
          <w:p>
            <w:pPr>
              <w:pStyle w:val="TableParagraph"/>
              <w:spacing w:line="216" w:lineRule="exact"/>
              <w:ind w:right="20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2"/>
                <w:w w:val="95"/>
                <w:sz w:val="18"/>
              </w:rPr>
              <w:t>110,799</w:t>
            </w:r>
            <w:r>
              <w:rPr>
                <w:rFonts w:ascii="Arial"/>
                <w:spacing w:val="-2"/>
                <w:sz w:val="18"/>
              </w:rPr>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2"/>
              <w:jc w:val="right"/>
              <w:rPr>
                <w:rFonts w:ascii="Arial" w:hAnsi="Arial" w:cs="Arial" w:eastAsia="Arial" w:hint="default"/>
                <w:sz w:val="18"/>
                <w:szCs w:val="18"/>
              </w:rPr>
            </w:pPr>
            <w:r>
              <w:rPr>
                <w:rFonts w:ascii="Arial"/>
                <w:spacing w:val="-1"/>
                <w:sz w:val="18"/>
              </w:rPr>
              <w:t>99,576</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spacing w:val="-3"/>
                <w:sz w:val="18"/>
              </w:rPr>
              <w:t>11,223</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2"/>
                <w:w w:val="95"/>
                <w:sz w:val="18"/>
              </w:rPr>
              <w:t>110,799</w:t>
            </w:r>
            <w:r>
              <w:rPr>
                <w:rFonts w:ascii="Arial"/>
                <w:spacing w:val="-2"/>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w w:val="95"/>
                <w:sz w:val="18"/>
              </w:rPr>
              <w:t>90%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陕西苏宁电器有限公司</w:t>
            </w:r>
          </w:p>
        </w:tc>
        <w:tc>
          <w:tcPr>
            <w:tcW w:w="1008" w:type="dxa"/>
            <w:tcBorders>
              <w:top w:val="nil" w:sz="6" w:space="0" w:color="auto"/>
              <w:left w:val="nil" w:sz="6" w:space="0" w:color="auto"/>
              <w:bottom w:val="nil" w:sz="6" w:space="0" w:color="auto"/>
              <w:right w:val="nil" w:sz="6" w:space="0" w:color="auto"/>
            </w:tcBorders>
          </w:tcPr>
          <w:p>
            <w:pPr>
              <w:pStyle w:val="TableParagraph"/>
              <w:spacing w:line="216" w:lineRule="exact"/>
              <w:ind w:right="20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105,514</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2"/>
              <w:jc w:val="right"/>
              <w:rPr>
                <w:rFonts w:ascii="Arial" w:hAnsi="Arial" w:cs="Arial" w:eastAsia="Arial" w:hint="default"/>
                <w:sz w:val="18"/>
                <w:szCs w:val="18"/>
              </w:rPr>
            </w:pPr>
            <w:r>
              <w:rPr>
                <w:rFonts w:ascii="Arial"/>
                <w:spacing w:val="-1"/>
                <w:sz w:val="18"/>
              </w:rPr>
              <w:t>72,889</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spacing w:val="-1"/>
                <w:sz w:val="18"/>
              </w:rPr>
              <w:t>32,625</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105,514</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w w:val="95"/>
                <w:sz w:val="18"/>
              </w:rPr>
              <w:t>90%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0"/>
              <w:jc w:val="right"/>
              <w:rPr>
                <w:rFonts w:ascii="Arial" w:hAnsi="Arial" w:cs="Arial" w:eastAsia="Arial" w:hint="default"/>
                <w:sz w:val="18"/>
                <w:szCs w:val="18"/>
              </w:rPr>
            </w:pPr>
            <w:r>
              <w:rPr>
                <w:rFonts w:ascii="Arial"/>
                <w:w w:val="99"/>
                <w:sz w:val="18"/>
              </w:rPr>
              <w:t>-</w:t>
            </w:r>
            <w:r>
              <w:rPr>
                <w:rFonts w:ascii="Arial"/>
                <w:sz w:val="18"/>
              </w:rPr>
            </w:r>
          </w:p>
        </w:tc>
      </w:tr>
      <w:tr>
        <w:trPr>
          <w:trHeight w:val="277"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安徽苏宁电器有限公司</w:t>
            </w:r>
          </w:p>
        </w:tc>
        <w:tc>
          <w:tcPr>
            <w:tcW w:w="1008" w:type="dxa"/>
            <w:tcBorders>
              <w:top w:val="nil" w:sz="6" w:space="0" w:color="auto"/>
              <w:left w:val="nil" w:sz="6" w:space="0" w:color="auto"/>
              <w:bottom w:val="nil" w:sz="6" w:space="0" w:color="auto"/>
              <w:right w:val="nil" w:sz="6" w:space="0" w:color="auto"/>
            </w:tcBorders>
          </w:tcPr>
          <w:p>
            <w:pPr>
              <w:pStyle w:val="TableParagraph"/>
              <w:spacing w:line="216" w:lineRule="exact"/>
              <w:ind w:right="20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1"/>
              <w:jc w:val="right"/>
              <w:rPr>
                <w:rFonts w:ascii="Arial" w:hAnsi="Arial" w:cs="Arial" w:eastAsia="Arial" w:hint="default"/>
                <w:sz w:val="18"/>
                <w:szCs w:val="18"/>
              </w:rPr>
            </w:pPr>
            <w:r>
              <w:rPr>
                <w:rFonts w:ascii="Arial"/>
                <w:spacing w:val="-1"/>
                <w:sz w:val="18"/>
              </w:rPr>
              <w:t>104,168</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22"/>
              <w:jc w:val="right"/>
              <w:rPr>
                <w:rFonts w:ascii="Arial" w:hAnsi="Arial" w:cs="Arial" w:eastAsia="Arial" w:hint="default"/>
                <w:sz w:val="18"/>
                <w:szCs w:val="18"/>
              </w:rPr>
            </w:pPr>
            <w:r>
              <w:rPr>
                <w:rFonts w:ascii="Arial"/>
                <w:spacing w:val="-1"/>
                <w:sz w:val="18"/>
              </w:rPr>
              <w:t>87,203</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62"/>
              <w:jc w:val="right"/>
              <w:rPr>
                <w:rFonts w:ascii="Arial" w:hAnsi="Arial" w:cs="Arial" w:eastAsia="Arial" w:hint="default"/>
                <w:sz w:val="18"/>
                <w:szCs w:val="18"/>
              </w:rPr>
            </w:pPr>
            <w:r>
              <w:rPr>
                <w:rFonts w:ascii="Arial"/>
                <w:spacing w:val="-1"/>
                <w:sz w:val="18"/>
              </w:rPr>
              <w:t>16,965</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5"/>
              <w:jc w:val="right"/>
              <w:rPr>
                <w:rFonts w:ascii="Arial" w:hAnsi="Arial" w:cs="Arial" w:eastAsia="Arial" w:hint="default"/>
                <w:sz w:val="18"/>
                <w:szCs w:val="18"/>
              </w:rPr>
            </w:pPr>
            <w:r>
              <w:rPr>
                <w:rFonts w:ascii="Arial"/>
                <w:spacing w:val="-1"/>
                <w:sz w:val="18"/>
              </w:rPr>
              <w:t>104,168</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4"/>
              <w:jc w:val="right"/>
              <w:rPr>
                <w:rFonts w:ascii="Arial" w:hAnsi="Arial" w:cs="Arial" w:eastAsia="Arial" w:hint="default"/>
                <w:sz w:val="18"/>
                <w:szCs w:val="18"/>
              </w:rPr>
            </w:pPr>
            <w:r>
              <w:rPr>
                <w:rFonts w:ascii="Arial"/>
                <w:w w:val="95"/>
                <w:sz w:val="18"/>
              </w:rPr>
              <w:t>90%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4"/>
              <w:jc w:val="right"/>
              <w:rPr>
                <w:rFonts w:ascii="Arial" w:hAnsi="Arial" w:cs="Arial" w:eastAsia="Arial" w:hint="default"/>
                <w:sz w:val="18"/>
                <w:szCs w:val="18"/>
              </w:rPr>
            </w:pPr>
            <w:r>
              <w:rPr>
                <w:rFonts w:ascii="Arial"/>
                <w:w w:val="95"/>
                <w:sz w:val="18"/>
              </w:rPr>
              <w:t>90%</w:t>
            </w:r>
            <w:r>
              <w:rPr>
                <w:rFonts w:ascii="Arial"/>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8"/>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湖南苏宁电器有限公司</w:t>
            </w:r>
          </w:p>
        </w:tc>
        <w:tc>
          <w:tcPr>
            <w:tcW w:w="1008" w:type="dxa"/>
            <w:tcBorders>
              <w:top w:val="nil" w:sz="6" w:space="0" w:color="auto"/>
              <w:left w:val="nil" w:sz="6" w:space="0" w:color="auto"/>
              <w:bottom w:val="nil" w:sz="6" w:space="0" w:color="auto"/>
              <w:right w:val="nil" w:sz="6" w:space="0" w:color="auto"/>
            </w:tcBorders>
          </w:tcPr>
          <w:p>
            <w:pPr>
              <w:pStyle w:val="TableParagraph"/>
              <w:spacing w:line="216" w:lineRule="exact"/>
              <w:ind w:right="20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103,266</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2"/>
              <w:jc w:val="right"/>
              <w:rPr>
                <w:rFonts w:ascii="Arial" w:hAnsi="Arial" w:cs="Arial" w:eastAsia="Arial" w:hint="default"/>
                <w:sz w:val="18"/>
                <w:szCs w:val="18"/>
              </w:rPr>
            </w:pPr>
            <w:r>
              <w:rPr>
                <w:rFonts w:ascii="Arial"/>
                <w:spacing w:val="-1"/>
                <w:sz w:val="18"/>
              </w:rPr>
              <w:t>86,625</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spacing w:val="-1"/>
                <w:sz w:val="18"/>
              </w:rPr>
              <w:t>16,641</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103,266</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5"/>
                <w:sz w:val="18"/>
              </w:rPr>
              <w:t>90%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Arial" w:hAnsi="Arial" w:cs="Arial" w:eastAsia="Arial" w:hint="default"/>
                <w:sz w:val="18"/>
                <w:szCs w:val="18"/>
              </w:rPr>
            </w:pPr>
            <w:r>
              <w:rPr>
                <w:rFonts w:ascii="Arial"/>
                <w:w w:val="95"/>
                <w:sz w:val="18"/>
              </w:rPr>
              <w:t>90%</w:t>
            </w:r>
            <w:r>
              <w:rPr>
                <w:rFonts w:ascii="Arial"/>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0"/>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宋体" w:hAnsi="宋体" w:cs="宋体" w:eastAsia="宋体" w:hint="default"/>
                <w:sz w:val="18"/>
                <w:szCs w:val="18"/>
              </w:rPr>
            </w:pPr>
            <w:r>
              <w:rPr>
                <w:rFonts w:ascii="宋体" w:hAnsi="宋体" w:cs="宋体" w:eastAsia="宋体" w:hint="default"/>
                <w:sz w:val="18"/>
                <w:szCs w:val="18"/>
              </w:rPr>
              <w:t>苏宁</w:t>
            </w:r>
            <w:r>
              <w:rPr>
                <w:rFonts w:ascii="Arial" w:hAnsi="Arial" w:cs="Arial" w:eastAsia="Arial" w:hint="default"/>
                <w:sz w:val="18"/>
                <w:szCs w:val="18"/>
              </w:rPr>
              <w:t>(</w:t>
            </w:r>
            <w:r>
              <w:rPr>
                <w:rFonts w:ascii="宋体" w:hAnsi="宋体" w:cs="宋体" w:eastAsia="宋体" w:hint="default"/>
                <w:sz w:val="18"/>
                <w:szCs w:val="18"/>
              </w:rPr>
              <w:t>天津</w:t>
            </w:r>
            <w:r>
              <w:rPr>
                <w:rFonts w:ascii="Arial" w:hAnsi="Arial" w:cs="Arial" w:eastAsia="Arial" w:hint="default"/>
                <w:sz w:val="18"/>
                <w:szCs w:val="18"/>
              </w:rPr>
              <w:t>)</w:t>
            </w:r>
            <w:r>
              <w:rPr>
                <w:rFonts w:ascii="宋体" w:hAnsi="宋体" w:cs="宋体" w:eastAsia="宋体" w:hint="default"/>
                <w:sz w:val="18"/>
                <w:szCs w:val="18"/>
              </w:rPr>
              <w:t>电器采购有限公司</w:t>
            </w:r>
          </w:p>
        </w:tc>
        <w:tc>
          <w:tcPr>
            <w:tcW w:w="1008" w:type="dxa"/>
            <w:tcBorders>
              <w:top w:val="nil" w:sz="6" w:space="0" w:color="auto"/>
              <w:left w:val="nil" w:sz="6" w:space="0" w:color="auto"/>
              <w:bottom w:val="nil" w:sz="6" w:space="0" w:color="auto"/>
              <w:right w:val="nil" w:sz="6" w:space="0" w:color="auto"/>
            </w:tcBorders>
          </w:tcPr>
          <w:p>
            <w:pPr>
              <w:pStyle w:val="TableParagraph"/>
              <w:spacing w:line="216" w:lineRule="exact"/>
              <w:ind w:right="20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100,000</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2"/>
              <w:jc w:val="right"/>
              <w:rPr>
                <w:rFonts w:ascii="Arial" w:hAnsi="Arial" w:cs="Arial" w:eastAsia="Arial" w:hint="default"/>
                <w:sz w:val="18"/>
                <w:szCs w:val="18"/>
              </w:rPr>
            </w:pPr>
            <w:r>
              <w:rPr>
                <w:rFonts w:ascii="Arial"/>
                <w:spacing w:val="-1"/>
                <w:sz w:val="18"/>
              </w:rPr>
              <w:t>100,000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100,000</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5"/>
                <w:sz w:val="18"/>
              </w:rPr>
              <w:t>100%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100%</w:t>
            </w:r>
            <w:r>
              <w:rPr>
                <w:rFonts w:ascii="Arial"/>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w:hAnsi="Arial" w:cs="Arial" w:eastAsia="Arial" w:hint="default"/>
                <w:sz w:val="16"/>
                <w:szCs w:val="16"/>
              </w:rPr>
            </w:pPr>
            <w:r>
              <w:rPr>
                <w:rFonts w:ascii="Arial"/>
                <w:w w:val="100"/>
                <w:sz w:val="16"/>
              </w:rPr>
              <w:t>-</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9"/>
              <w:jc w:val="right"/>
              <w:rPr>
                <w:rFonts w:ascii="Arial" w:hAnsi="Arial" w:cs="Arial" w:eastAsia="Arial" w:hint="default"/>
                <w:sz w:val="16"/>
                <w:szCs w:val="16"/>
              </w:rPr>
            </w:pPr>
            <w:r>
              <w:rPr>
                <w:rFonts w:ascii="Arial"/>
                <w:w w:val="100"/>
                <w:sz w:val="16"/>
              </w:rPr>
              <w:t>-</w:t>
            </w:r>
          </w:p>
        </w:tc>
      </w:tr>
      <w:tr>
        <w:trPr>
          <w:trHeight w:val="490"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南京苏宁易付宝网络科技</w:t>
            </w: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0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3"/>
              <w:jc w:val="right"/>
              <w:rPr>
                <w:rFonts w:ascii="Arial" w:hAnsi="Arial" w:cs="Arial" w:eastAsia="Arial" w:hint="default"/>
                <w:sz w:val="18"/>
                <w:szCs w:val="18"/>
              </w:rPr>
            </w:pPr>
            <w:r>
              <w:rPr>
                <w:rFonts w:ascii="Arial"/>
                <w:spacing w:val="-1"/>
                <w:sz w:val="18"/>
              </w:rPr>
              <w:t>100,000</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2"/>
              <w:jc w:val="right"/>
              <w:rPr>
                <w:rFonts w:ascii="Arial" w:hAnsi="Arial" w:cs="Arial" w:eastAsia="Arial" w:hint="default"/>
                <w:sz w:val="18"/>
                <w:szCs w:val="18"/>
              </w:rPr>
            </w:pPr>
            <w:r>
              <w:rPr>
                <w:rFonts w:ascii="Arial"/>
                <w:spacing w:val="-1"/>
                <w:sz w:val="18"/>
              </w:rPr>
              <w:t>100,000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3"/>
              <w:jc w:val="right"/>
              <w:rPr>
                <w:rFonts w:ascii="Arial" w:hAnsi="Arial" w:cs="Arial" w:eastAsia="Arial" w:hint="default"/>
                <w:sz w:val="18"/>
                <w:szCs w:val="18"/>
              </w:rPr>
            </w:pPr>
            <w:r>
              <w:rPr>
                <w:rFonts w:ascii="Arial"/>
                <w:w w:val="99"/>
                <w:sz w:val="18"/>
              </w:rPr>
              <w:t>-</w:t>
            </w:r>
            <w:r>
              <w:rPr>
                <w:rFonts w:ascii="Arial"/>
                <w:sz w:val="18"/>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8"/>
              <w:jc w:val="right"/>
              <w:rPr>
                <w:rFonts w:ascii="Arial" w:hAnsi="Arial" w:cs="Arial" w:eastAsia="Arial" w:hint="default"/>
                <w:sz w:val="18"/>
                <w:szCs w:val="18"/>
              </w:rPr>
            </w:pPr>
            <w:r>
              <w:rPr>
                <w:rFonts w:ascii="Arial"/>
                <w:spacing w:val="-1"/>
                <w:sz w:val="18"/>
              </w:rPr>
              <w:t>100,000</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w w:val="95"/>
                <w:sz w:val="18"/>
              </w:rPr>
              <w:t>100%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4"/>
              <w:jc w:val="right"/>
              <w:rPr>
                <w:rFonts w:ascii="Arial" w:hAnsi="Arial" w:cs="Arial" w:eastAsia="Arial" w:hint="default"/>
                <w:sz w:val="18"/>
                <w:szCs w:val="18"/>
              </w:rPr>
            </w:pPr>
            <w:r>
              <w:rPr>
                <w:rFonts w:ascii="Arial"/>
                <w:w w:val="95"/>
                <w:sz w:val="18"/>
              </w:rPr>
              <w:t>100%</w:t>
            </w:r>
            <w:r>
              <w:rPr>
                <w:rFonts w:ascii="Arial"/>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8"/>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Arial" w:hAnsi="Arial" w:cs="Arial" w:eastAsia="Arial" w:hint="default"/>
                <w:sz w:val="16"/>
                <w:szCs w:val="16"/>
              </w:rPr>
            </w:pPr>
            <w:r>
              <w:rPr>
                <w:rFonts w:ascii="Arial"/>
                <w:w w:val="100"/>
                <w:sz w:val="16"/>
              </w:rPr>
              <w:t>-</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9"/>
              <w:jc w:val="right"/>
              <w:rPr>
                <w:rFonts w:ascii="Arial" w:hAnsi="Arial" w:cs="Arial" w:eastAsia="Arial" w:hint="default"/>
                <w:sz w:val="16"/>
                <w:szCs w:val="16"/>
              </w:rPr>
            </w:pPr>
            <w:r>
              <w:rPr>
                <w:rFonts w:ascii="Arial"/>
                <w:w w:val="100"/>
                <w:sz w:val="16"/>
              </w:rPr>
              <w:t>-</w:t>
            </w:r>
          </w:p>
        </w:tc>
      </w:tr>
      <w:tr>
        <w:trPr>
          <w:trHeight w:val="276"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滨河苏宁电器有限公司</w:t>
            </w:r>
          </w:p>
        </w:tc>
        <w:tc>
          <w:tcPr>
            <w:tcW w:w="1008" w:type="dxa"/>
            <w:tcBorders>
              <w:top w:val="nil" w:sz="6" w:space="0" w:color="auto"/>
              <w:left w:val="nil" w:sz="6" w:space="0" w:color="auto"/>
              <w:bottom w:val="nil" w:sz="6" w:space="0" w:color="auto"/>
              <w:right w:val="nil" w:sz="6" w:space="0" w:color="auto"/>
            </w:tcBorders>
          </w:tcPr>
          <w:p>
            <w:pPr>
              <w:pStyle w:val="TableParagraph"/>
              <w:spacing w:line="216" w:lineRule="exact"/>
              <w:ind w:right="20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99,000</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0"/>
              <w:jc w:val="right"/>
              <w:rPr>
                <w:rFonts w:ascii="Arial" w:hAnsi="Arial" w:cs="Arial" w:eastAsia="Arial" w:hint="default"/>
                <w:sz w:val="18"/>
                <w:szCs w:val="18"/>
              </w:rPr>
            </w:pPr>
            <w:r>
              <w:rPr>
                <w:rFonts w:ascii="Arial"/>
                <w:w w:val="95"/>
                <w:sz w:val="18"/>
              </w:rPr>
              <w:t>9,000</w:t>
            </w:r>
            <w:r>
              <w:rPr>
                <w:rFonts w:ascii="Arial"/>
                <w:sz w:val="18"/>
              </w:rPr>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spacing w:val="-1"/>
                <w:sz w:val="18"/>
              </w:rPr>
              <w:t>90,000</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99,000</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w w:val="95"/>
                <w:sz w:val="18"/>
              </w:rPr>
              <w:t>90%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天津天宁苏宁电器有限公司</w:t>
            </w:r>
          </w:p>
        </w:tc>
        <w:tc>
          <w:tcPr>
            <w:tcW w:w="1008" w:type="dxa"/>
            <w:tcBorders>
              <w:top w:val="nil" w:sz="6" w:space="0" w:color="auto"/>
              <w:left w:val="nil" w:sz="6" w:space="0" w:color="auto"/>
              <w:bottom w:val="nil" w:sz="6" w:space="0" w:color="auto"/>
              <w:right w:val="nil" w:sz="6" w:space="0" w:color="auto"/>
            </w:tcBorders>
          </w:tcPr>
          <w:p>
            <w:pPr>
              <w:pStyle w:val="TableParagraph"/>
              <w:spacing w:line="216" w:lineRule="exact"/>
              <w:ind w:right="20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98,901</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2"/>
              <w:jc w:val="right"/>
              <w:rPr>
                <w:rFonts w:ascii="Arial" w:hAnsi="Arial" w:cs="Arial" w:eastAsia="Arial" w:hint="default"/>
                <w:sz w:val="18"/>
                <w:szCs w:val="18"/>
              </w:rPr>
            </w:pPr>
            <w:r>
              <w:rPr>
                <w:rFonts w:ascii="Arial"/>
                <w:spacing w:val="-1"/>
                <w:sz w:val="18"/>
              </w:rPr>
              <w:t>92,901</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spacing w:val="-1"/>
                <w:sz w:val="18"/>
              </w:rPr>
              <w:t>6,000</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98,901</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w w:val="95"/>
                <w:sz w:val="18"/>
              </w:rPr>
              <w:t>100%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100%</w:t>
            </w:r>
            <w:r>
              <w:rPr>
                <w:rFonts w:ascii="Arial"/>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0"/>
              <w:jc w:val="right"/>
              <w:rPr>
                <w:rFonts w:ascii="Arial" w:hAnsi="Arial" w:cs="Arial" w:eastAsia="Arial" w:hint="default"/>
                <w:sz w:val="18"/>
                <w:szCs w:val="18"/>
              </w:rPr>
            </w:pPr>
            <w:r>
              <w:rPr>
                <w:rFonts w:ascii="Arial"/>
                <w:w w:val="99"/>
                <w:sz w:val="18"/>
              </w:rPr>
              <w:t>-</w:t>
            </w:r>
            <w:r>
              <w:rPr>
                <w:rFonts w:ascii="Arial"/>
                <w:sz w:val="18"/>
              </w:rPr>
            </w:r>
          </w:p>
        </w:tc>
      </w:tr>
      <w:tr>
        <w:trPr>
          <w:trHeight w:val="240"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芜湖苏宁电器有限公司</w:t>
            </w:r>
          </w:p>
        </w:tc>
        <w:tc>
          <w:tcPr>
            <w:tcW w:w="1008" w:type="dxa"/>
            <w:tcBorders>
              <w:top w:val="nil" w:sz="6" w:space="0" w:color="auto"/>
              <w:left w:val="nil" w:sz="6" w:space="0" w:color="auto"/>
              <w:bottom w:val="nil" w:sz="6" w:space="0" w:color="auto"/>
              <w:right w:val="nil" w:sz="6" w:space="0" w:color="auto"/>
            </w:tcBorders>
          </w:tcPr>
          <w:p>
            <w:pPr>
              <w:pStyle w:val="TableParagraph"/>
              <w:spacing w:line="216" w:lineRule="exact"/>
              <w:ind w:right="20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93,898</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2"/>
              <w:jc w:val="right"/>
              <w:rPr>
                <w:rFonts w:ascii="Arial" w:hAnsi="Arial" w:cs="Arial" w:eastAsia="Arial" w:hint="default"/>
                <w:sz w:val="18"/>
                <w:szCs w:val="18"/>
              </w:rPr>
            </w:pPr>
            <w:r>
              <w:rPr>
                <w:rFonts w:ascii="Arial"/>
                <w:spacing w:val="-1"/>
                <w:sz w:val="18"/>
              </w:rPr>
              <w:t>93,898</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93,898</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w w:val="95"/>
                <w:sz w:val="18"/>
              </w:rPr>
              <w:t>90%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w w:val="95"/>
                <w:sz w:val="18"/>
              </w:rPr>
              <w:t>90%</w:t>
            </w:r>
            <w:r>
              <w:rPr>
                <w:rFonts w:ascii="Arial"/>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0"/>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795" w:footer="706" w:top="2020" w:bottom="900" w:left="800" w:right="0"/>
        </w:sectPr>
      </w:pPr>
    </w:p>
    <w:p>
      <w:pPr>
        <w:spacing w:line="240" w:lineRule="auto" w:before="0"/>
        <w:rPr>
          <w:rFonts w:ascii="Times New Roman" w:hAnsi="Times New Roman" w:cs="Times New Roman" w:eastAsia="Times New Roman" w:hint="default"/>
          <w:sz w:val="20"/>
          <w:szCs w:val="20"/>
        </w:rPr>
      </w:pPr>
      <w:r>
        <w:rPr/>
        <w:pict>
          <v:shape style="position:absolute;margin-left:707.039978pt;margin-top:518.320007pt;width:135pt;height:77pt;mso-position-horizontal-relative:page;mso-position-vertical-relative:page;z-index:4840" type="#_x0000_t75" stroked="false">
            <v:imagedata r:id="rId10" o:title=""/>
          </v:shape>
        </w:pict>
      </w:r>
    </w:p>
    <w:p>
      <w:pPr>
        <w:spacing w:line="240" w:lineRule="auto" w:before="11"/>
        <w:rPr>
          <w:rFonts w:ascii="Times New Roman" w:hAnsi="Times New Roman" w:cs="Times New Roman" w:eastAsia="Times New Roman"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753"/>
        <w:gridCol w:w="2737"/>
        <w:gridCol w:w="947"/>
        <w:gridCol w:w="1159"/>
        <w:gridCol w:w="1178"/>
        <w:gridCol w:w="1320"/>
        <w:gridCol w:w="1066"/>
        <w:gridCol w:w="808"/>
        <w:gridCol w:w="967"/>
        <w:gridCol w:w="1512"/>
        <w:gridCol w:w="836"/>
        <w:gridCol w:w="953"/>
        <w:gridCol w:w="1587"/>
      </w:tblGrid>
      <w:tr>
        <w:trPr>
          <w:trHeight w:val="420"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十五</w:t>
            </w:r>
          </w:p>
        </w:tc>
        <w:tc>
          <w:tcPr>
            <w:tcW w:w="2737" w:type="dxa"/>
            <w:tcBorders>
              <w:top w:val="nil" w:sz="6" w:space="0" w:color="auto"/>
              <w:left w:val="nil" w:sz="6" w:space="0" w:color="auto"/>
              <w:bottom w:val="nil" w:sz="6" w:space="0" w:color="auto"/>
              <w:right w:val="nil" w:sz="6" w:space="0" w:color="auto"/>
            </w:tcBorders>
          </w:tcPr>
          <w:p>
            <w:pPr>
              <w:pStyle w:val="TableParagraph"/>
              <w:spacing w:line="257" w:lineRule="exact"/>
              <w:ind w:left="73"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947"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
        </w:tc>
      </w:tr>
      <w:tr>
        <w:trPr>
          <w:trHeight w:val="593"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200" w:right="0"/>
              <w:jc w:val="left"/>
              <w:rPr>
                <w:rFonts w:ascii="Arial" w:hAnsi="Arial" w:cs="Arial" w:eastAsia="Arial" w:hint="default"/>
                <w:sz w:val="24"/>
                <w:szCs w:val="24"/>
              </w:rPr>
            </w:pPr>
            <w:r>
              <w:rPr>
                <w:rFonts w:ascii="Arial"/>
                <w:sz w:val="24"/>
              </w:rPr>
              <w:t>(3)</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73"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947"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
        </w:tc>
      </w:tr>
      <w:tr>
        <w:trPr>
          <w:trHeight w:val="451"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(a)</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73"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947"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
        </w:tc>
      </w:tr>
      <w:tr>
        <w:trPr>
          <w:trHeight w:val="629"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37" w:right="261"/>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1178" w:type="dxa"/>
            <w:tcBorders>
              <w:top w:val="nil" w:sz="6" w:space="0" w:color="auto"/>
              <w:left w:val="nil" w:sz="6" w:space="0" w:color="auto"/>
              <w:bottom w:val="nil" w:sz="6" w:space="0" w:color="auto"/>
              <w:right w:val="nil" w:sz="6" w:space="0" w:color="auto"/>
            </w:tcBorders>
          </w:tcPr>
          <w:p>
            <w:pPr>
              <w:pStyle w:val="TableParagraph"/>
              <w:spacing w:line="211" w:lineRule="exact"/>
              <w:ind w:left="445"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1" w:lineRule="exact"/>
              <w:ind w:left="16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本年增减变动</w:t>
            </w:r>
          </w:p>
        </w:tc>
        <w:tc>
          <w:tcPr>
            <w:tcW w:w="1066" w:type="dxa"/>
            <w:tcBorders>
              <w:top w:val="nil" w:sz="6" w:space="0" w:color="auto"/>
              <w:left w:val="nil" w:sz="6" w:space="0" w:color="auto"/>
              <w:bottom w:val="nil" w:sz="6" w:space="0" w:color="auto"/>
              <w:right w:val="nil" w:sz="6" w:space="0" w:color="auto"/>
            </w:tcBorders>
          </w:tcPr>
          <w:p>
            <w:pPr>
              <w:pStyle w:val="TableParagraph"/>
              <w:spacing w:line="211" w:lineRule="exact"/>
              <w:ind w:left="388"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1" w:lineRule="exact"/>
              <w:ind w:left="11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808" w:type="dxa"/>
            <w:tcBorders>
              <w:top w:val="nil" w:sz="6" w:space="0" w:color="auto"/>
              <w:left w:val="nil" w:sz="6" w:space="0" w:color="auto"/>
              <w:bottom w:val="nil" w:sz="6" w:space="0" w:color="auto"/>
              <w:right w:val="nil" w:sz="6" w:space="0" w:color="auto"/>
            </w:tcBorders>
          </w:tcPr>
          <w:p>
            <w:pPr>
              <w:pStyle w:val="TableParagraph"/>
              <w:spacing w:line="205" w:lineRule="exact"/>
              <w:ind w:left="47" w:right="0"/>
              <w:jc w:val="left"/>
              <w:rPr>
                <w:rFonts w:ascii="宋体" w:hAnsi="宋体" w:cs="宋体" w:eastAsia="宋体" w:hint="default"/>
                <w:sz w:val="18"/>
                <w:szCs w:val="18"/>
              </w:rPr>
            </w:pPr>
            <w:r>
              <w:rPr>
                <w:rFonts w:ascii="宋体" w:hAnsi="宋体" w:cs="宋体" w:eastAsia="宋体" w:hint="default"/>
                <w:sz w:val="18"/>
                <w:szCs w:val="18"/>
              </w:rPr>
              <w:t>直接持股</w:t>
            </w:r>
          </w:p>
          <w:p>
            <w:pPr>
              <w:pStyle w:val="TableParagraph"/>
              <w:spacing w:line="234" w:lineRule="exact"/>
              <w:ind w:left="40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67" w:type="dxa"/>
            <w:tcBorders>
              <w:top w:val="nil" w:sz="6" w:space="0" w:color="auto"/>
              <w:left w:val="nil" w:sz="6" w:space="0" w:color="auto"/>
              <w:bottom w:val="nil" w:sz="6" w:space="0" w:color="auto"/>
              <w:right w:val="nil" w:sz="6" w:space="0" w:color="auto"/>
            </w:tcBorders>
          </w:tcPr>
          <w:p>
            <w:pPr>
              <w:pStyle w:val="TableParagraph"/>
              <w:spacing w:line="205" w:lineRule="exact"/>
              <w:ind w:left="37" w:right="0"/>
              <w:jc w:val="left"/>
              <w:rPr>
                <w:rFonts w:ascii="宋体" w:hAnsi="宋体" w:cs="宋体" w:eastAsia="宋体" w:hint="default"/>
                <w:sz w:val="18"/>
                <w:szCs w:val="18"/>
              </w:rPr>
            </w:pPr>
            <w:r>
              <w:rPr>
                <w:rFonts w:ascii="宋体" w:hAnsi="宋体" w:cs="宋体" w:eastAsia="宋体" w:hint="default"/>
                <w:sz w:val="18"/>
                <w:szCs w:val="18"/>
              </w:rPr>
              <w:t>直接表决权</w:t>
            </w:r>
          </w:p>
          <w:p>
            <w:pPr>
              <w:pStyle w:val="TableParagraph"/>
              <w:spacing w:line="234" w:lineRule="exact"/>
              <w:ind w:left="57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12" w:type="dxa"/>
            <w:tcBorders>
              <w:top w:val="nil" w:sz="6" w:space="0" w:color="auto"/>
              <w:left w:val="nil" w:sz="6" w:space="0" w:color="auto"/>
              <w:bottom w:val="nil" w:sz="6" w:space="0" w:color="auto"/>
              <w:right w:val="nil" w:sz="6" w:space="0" w:color="auto"/>
            </w:tcBorders>
          </w:tcPr>
          <w:p>
            <w:pPr>
              <w:pStyle w:val="TableParagraph"/>
              <w:spacing w:line="205" w:lineRule="exact"/>
              <w:ind w:left="27" w:right="0" w:firstLine="12"/>
              <w:jc w:val="left"/>
              <w:rPr>
                <w:rFonts w:ascii="宋体" w:hAnsi="宋体" w:cs="宋体" w:eastAsia="宋体" w:hint="default"/>
                <w:sz w:val="18"/>
                <w:szCs w:val="18"/>
              </w:rPr>
            </w:pPr>
            <w:r>
              <w:rPr>
                <w:rFonts w:ascii="宋体" w:hAnsi="宋体" w:cs="宋体" w:eastAsia="宋体" w:hint="default"/>
                <w:sz w:val="18"/>
                <w:szCs w:val="18"/>
              </w:rPr>
              <w:t>持股比例与表决权</w:t>
            </w:r>
          </w:p>
          <w:p>
            <w:pPr>
              <w:pStyle w:val="TableParagraph"/>
              <w:spacing w:line="234" w:lineRule="exact"/>
              <w:ind w:left="27" w:right="0"/>
              <w:jc w:val="left"/>
              <w:rPr>
                <w:rFonts w:ascii="宋体" w:hAnsi="宋体" w:cs="宋体" w:eastAsia="宋体" w:hint="default"/>
                <w:sz w:val="18"/>
                <w:szCs w:val="18"/>
              </w:rPr>
            </w:pPr>
            <w:r>
              <w:rPr>
                <w:rFonts w:ascii="宋体" w:hAnsi="宋体" w:cs="宋体" w:eastAsia="宋体" w:hint="default"/>
                <w:sz w:val="18"/>
                <w:szCs w:val="18"/>
              </w:rPr>
              <w:t>比例不一致的说明</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953" w:type="dxa"/>
            <w:tcBorders>
              <w:top w:val="nil" w:sz="6" w:space="0" w:color="auto"/>
              <w:left w:val="nil" w:sz="6" w:space="0" w:color="auto"/>
              <w:bottom w:val="nil" w:sz="6" w:space="0" w:color="auto"/>
              <w:right w:val="nil" w:sz="6" w:space="0" w:color="auto"/>
            </w:tcBorders>
          </w:tcPr>
          <w:p>
            <w:pPr>
              <w:pStyle w:val="TableParagraph"/>
              <w:spacing w:line="205" w:lineRule="exact"/>
              <w:ind w:left="83" w:right="0"/>
              <w:jc w:val="left"/>
              <w:rPr>
                <w:rFonts w:ascii="宋体" w:hAnsi="宋体" w:cs="宋体" w:eastAsia="宋体" w:hint="default"/>
                <w:sz w:val="18"/>
                <w:szCs w:val="18"/>
              </w:rPr>
            </w:pPr>
            <w:r>
              <w:rPr>
                <w:rFonts w:ascii="宋体" w:hAnsi="宋体" w:cs="宋体" w:eastAsia="宋体" w:hint="default"/>
                <w:spacing w:val="30"/>
                <w:sz w:val="18"/>
                <w:szCs w:val="18"/>
              </w:rPr>
              <w:t>本年计</w:t>
            </w:r>
            <w:r>
              <w:rPr>
                <w:rFonts w:ascii="宋体" w:hAnsi="宋体" w:cs="宋体" w:eastAsia="宋体" w:hint="default"/>
                <w:spacing w:val="-45"/>
                <w:sz w:val="18"/>
                <w:szCs w:val="18"/>
              </w:rPr>
              <w:t> </w:t>
            </w:r>
            <w:r>
              <w:rPr>
                <w:rFonts w:ascii="宋体" w:hAnsi="宋体" w:cs="宋体" w:eastAsia="宋体" w:hint="default"/>
                <w:sz w:val="18"/>
                <w:szCs w:val="18"/>
              </w:rPr>
              <w:t>提</w:t>
            </w:r>
          </w:p>
          <w:p>
            <w:pPr>
              <w:pStyle w:val="TableParagraph"/>
              <w:spacing w:line="234" w:lineRule="exact"/>
              <w:ind w:left="8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87" w:type="dxa"/>
            <w:tcBorders>
              <w:top w:val="nil" w:sz="6" w:space="0" w:color="auto"/>
              <w:left w:val="nil" w:sz="6" w:space="0" w:color="auto"/>
              <w:bottom w:val="nil" w:sz="6" w:space="0" w:color="auto"/>
              <w:right w:val="nil" w:sz="6" w:space="0" w:color="auto"/>
            </w:tcBorders>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pacing w:val="16"/>
                <w:sz w:val="18"/>
                <w:szCs w:val="18"/>
              </w:rPr>
              <w:t>本年宣告分派的</w:t>
            </w:r>
          </w:p>
          <w:p>
            <w:pPr>
              <w:pStyle w:val="TableParagraph"/>
              <w:spacing w:line="234" w:lineRule="exact"/>
              <w:ind w:left="552" w:right="0"/>
              <w:jc w:val="left"/>
              <w:rPr>
                <w:rFonts w:ascii="宋体" w:hAnsi="宋体" w:cs="宋体" w:eastAsia="宋体" w:hint="default"/>
                <w:sz w:val="18"/>
                <w:szCs w:val="18"/>
              </w:rPr>
            </w:pPr>
            <w:r>
              <w:rPr>
                <w:rFonts w:ascii="宋体" w:hAnsi="宋体" w:cs="宋体" w:eastAsia="宋体" w:hint="default"/>
                <w:sz w:val="18"/>
                <w:szCs w:val="18"/>
              </w:rPr>
              <w:t>现金股利</w:t>
            </w:r>
          </w:p>
        </w:tc>
      </w:tr>
      <w:tr>
        <w:trPr>
          <w:trHeight w:val="421"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73" w:right="0"/>
              <w:jc w:val="left"/>
              <w:rPr>
                <w:rFonts w:ascii="宋体" w:hAnsi="宋体" w:cs="宋体" w:eastAsia="宋体" w:hint="default"/>
                <w:sz w:val="18"/>
                <w:szCs w:val="18"/>
              </w:rPr>
            </w:pPr>
            <w:r>
              <w:rPr>
                <w:rFonts w:ascii="宋体" w:hAnsi="宋体" w:cs="宋体" w:eastAsia="宋体" w:hint="default"/>
                <w:sz w:val="18"/>
                <w:szCs w:val="18"/>
              </w:rPr>
              <w:t>上海沪申苏宁电器有限公司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6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72"/>
              <w:jc w:val="right"/>
              <w:rPr>
                <w:rFonts w:ascii="Arial" w:hAnsi="Arial" w:cs="Arial" w:eastAsia="Arial" w:hint="default"/>
                <w:sz w:val="18"/>
                <w:szCs w:val="18"/>
              </w:rPr>
            </w:pPr>
            <w:r>
              <w:rPr>
                <w:rFonts w:ascii="Arial"/>
                <w:spacing w:val="-1"/>
                <w:sz w:val="18"/>
              </w:rPr>
              <w:t>90,000</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9"/>
              <w:jc w:val="right"/>
              <w:rPr>
                <w:rFonts w:ascii="Arial" w:hAnsi="Arial" w:cs="Arial" w:eastAsia="Arial" w:hint="default"/>
                <w:sz w:val="18"/>
                <w:szCs w:val="18"/>
              </w:rPr>
            </w:pPr>
            <w:r>
              <w:rPr>
                <w:rFonts w:ascii="Arial"/>
                <w:spacing w:val="-1"/>
                <w:sz w:val="18"/>
              </w:rPr>
              <w:t>90,000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20"/>
              <w:jc w:val="right"/>
              <w:rPr>
                <w:rFonts w:ascii="Arial" w:hAnsi="Arial" w:cs="Arial" w:eastAsia="Arial" w:hint="default"/>
                <w:sz w:val="18"/>
                <w:szCs w:val="18"/>
              </w:rPr>
            </w:pPr>
            <w:r>
              <w:rPr>
                <w:rFonts w:ascii="Arial"/>
                <w:w w:val="99"/>
                <w:sz w:val="18"/>
              </w:rPr>
              <w:t>-</w:t>
            </w:r>
            <w:r>
              <w:rPr>
                <w:rFonts w:ascii="Arial"/>
                <w:sz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7"/>
              <w:jc w:val="right"/>
              <w:rPr>
                <w:rFonts w:ascii="Arial" w:hAnsi="Arial" w:cs="Arial" w:eastAsia="Arial" w:hint="default"/>
                <w:sz w:val="18"/>
                <w:szCs w:val="18"/>
              </w:rPr>
            </w:pPr>
            <w:r>
              <w:rPr>
                <w:rFonts w:ascii="Arial"/>
                <w:spacing w:val="-1"/>
                <w:sz w:val="18"/>
              </w:rPr>
              <w:t>90,000</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5"/>
              <w:jc w:val="right"/>
              <w:rPr>
                <w:rFonts w:ascii="Arial" w:hAnsi="Arial" w:cs="Arial" w:eastAsia="Arial" w:hint="default"/>
                <w:sz w:val="18"/>
                <w:szCs w:val="18"/>
              </w:rPr>
            </w:pPr>
            <w:r>
              <w:rPr>
                <w:rFonts w:ascii="Arial"/>
                <w:w w:val="95"/>
                <w:sz w:val="18"/>
              </w:rPr>
              <w:t>90%</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5"/>
              <w:jc w:val="right"/>
              <w:rPr>
                <w:rFonts w:ascii="Arial" w:hAnsi="Arial" w:cs="Arial" w:eastAsia="Arial" w:hint="default"/>
                <w:sz w:val="18"/>
                <w:szCs w:val="18"/>
              </w:rPr>
            </w:pPr>
            <w:r>
              <w:rPr>
                <w:rFonts w:ascii="Arial"/>
                <w:w w:val="95"/>
                <w:sz w:val="18"/>
              </w:rPr>
              <w:t>90%</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2"/>
              <w:jc w:val="righ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54"/>
              <w:jc w:val="right"/>
              <w:rPr>
                <w:rFonts w:ascii="Arial" w:hAnsi="Arial" w:cs="Arial" w:eastAsia="Arial" w:hint="default"/>
                <w:sz w:val="18"/>
                <w:szCs w:val="18"/>
              </w:rPr>
            </w:pPr>
            <w:r>
              <w:rPr>
                <w:rFonts w:ascii="Arial"/>
                <w:w w:val="99"/>
                <w:sz w:val="18"/>
              </w:rPr>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合肥高新苏宁物流有限公司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6" w:lineRule="exact"/>
              <w:ind w:right="26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2"/>
              <w:jc w:val="right"/>
              <w:rPr>
                <w:rFonts w:ascii="Arial" w:hAnsi="Arial" w:cs="Arial" w:eastAsia="Arial" w:hint="default"/>
                <w:sz w:val="18"/>
                <w:szCs w:val="18"/>
              </w:rPr>
            </w:pPr>
            <w:r>
              <w:rPr>
                <w:rFonts w:ascii="Arial"/>
                <w:spacing w:val="-1"/>
                <w:sz w:val="18"/>
              </w:rPr>
              <w:t>90,000</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90,000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0"/>
              <w:jc w:val="right"/>
              <w:rPr>
                <w:rFonts w:ascii="Arial" w:hAnsi="Arial" w:cs="Arial" w:eastAsia="Arial" w:hint="default"/>
                <w:sz w:val="18"/>
                <w:szCs w:val="18"/>
              </w:rPr>
            </w:pPr>
            <w:r>
              <w:rPr>
                <w:rFonts w:ascii="Arial"/>
                <w:w w:val="99"/>
                <w:sz w:val="18"/>
              </w:rPr>
              <w:t>-</w:t>
            </w:r>
            <w:r>
              <w:rPr>
                <w:rFonts w:ascii="Arial"/>
                <w:sz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spacing w:val="-1"/>
                <w:sz w:val="18"/>
              </w:rPr>
              <w:t>90,000</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Arial" w:hAnsi="Arial" w:cs="Arial" w:eastAsia="Arial" w:hint="default"/>
                <w:sz w:val="18"/>
                <w:szCs w:val="18"/>
              </w:rPr>
            </w:pPr>
            <w:r>
              <w:rPr>
                <w:rFonts w:ascii="Arial"/>
                <w:w w:val="95"/>
                <w:sz w:val="18"/>
              </w:rPr>
              <w:t>90%</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5"/>
                <w:sz w:val="18"/>
              </w:rPr>
              <w:t>90%</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
              <w:jc w:val="righ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上海嘉定苏宁电器有限公司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6" w:lineRule="exact"/>
              <w:ind w:right="26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2"/>
              <w:jc w:val="right"/>
              <w:rPr>
                <w:rFonts w:ascii="Arial" w:hAnsi="Arial" w:cs="Arial" w:eastAsia="Arial" w:hint="default"/>
                <w:sz w:val="18"/>
                <w:szCs w:val="18"/>
              </w:rPr>
            </w:pPr>
            <w:r>
              <w:rPr>
                <w:rFonts w:ascii="Arial"/>
                <w:spacing w:val="-1"/>
                <w:sz w:val="18"/>
              </w:rPr>
              <w:t>90,000</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90,000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0"/>
              <w:jc w:val="right"/>
              <w:rPr>
                <w:rFonts w:ascii="Arial" w:hAnsi="Arial" w:cs="Arial" w:eastAsia="Arial" w:hint="default"/>
                <w:sz w:val="18"/>
                <w:szCs w:val="18"/>
              </w:rPr>
            </w:pPr>
            <w:r>
              <w:rPr>
                <w:rFonts w:ascii="Arial"/>
                <w:w w:val="99"/>
                <w:sz w:val="18"/>
              </w:rPr>
              <w:t>-</w:t>
            </w:r>
            <w:r>
              <w:rPr>
                <w:rFonts w:ascii="Arial"/>
                <w:sz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spacing w:val="-1"/>
                <w:sz w:val="18"/>
              </w:rPr>
              <w:t>90,000</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Arial" w:hAnsi="Arial" w:cs="Arial" w:eastAsia="Arial" w:hint="default"/>
                <w:sz w:val="18"/>
                <w:szCs w:val="18"/>
              </w:rPr>
            </w:pPr>
            <w:r>
              <w:rPr>
                <w:rFonts w:ascii="Arial"/>
                <w:w w:val="95"/>
                <w:sz w:val="18"/>
              </w:rPr>
              <w:t>90%</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5"/>
                <w:sz w:val="18"/>
              </w:rPr>
              <w:t>90%</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
              <w:jc w:val="righ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成都采购中心苏宁电器有限公司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6" w:lineRule="exact"/>
              <w:ind w:right="26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2"/>
              <w:jc w:val="right"/>
              <w:rPr>
                <w:rFonts w:ascii="Arial" w:hAnsi="Arial" w:cs="Arial" w:eastAsia="Arial" w:hint="default"/>
                <w:sz w:val="18"/>
                <w:szCs w:val="18"/>
              </w:rPr>
            </w:pPr>
            <w:r>
              <w:rPr>
                <w:rFonts w:ascii="Arial"/>
                <w:spacing w:val="-1"/>
                <w:sz w:val="18"/>
              </w:rPr>
              <w:t>90,000</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90,000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0"/>
              <w:jc w:val="right"/>
              <w:rPr>
                <w:rFonts w:ascii="Arial" w:hAnsi="Arial" w:cs="Arial" w:eastAsia="Arial" w:hint="default"/>
                <w:sz w:val="18"/>
                <w:szCs w:val="18"/>
              </w:rPr>
            </w:pPr>
            <w:r>
              <w:rPr>
                <w:rFonts w:ascii="Arial"/>
                <w:w w:val="99"/>
                <w:sz w:val="18"/>
              </w:rPr>
              <w:t>-</w:t>
            </w:r>
            <w:r>
              <w:rPr>
                <w:rFonts w:ascii="Arial"/>
                <w:sz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spacing w:val="-1"/>
                <w:sz w:val="18"/>
              </w:rPr>
              <w:t>90,000</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Arial" w:hAnsi="Arial" w:cs="Arial" w:eastAsia="Arial" w:hint="default"/>
                <w:sz w:val="18"/>
                <w:szCs w:val="18"/>
              </w:rPr>
            </w:pPr>
            <w:r>
              <w:rPr>
                <w:rFonts w:ascii="Arial"/>
                <w:w w:val="95"/>
                <w:sz w:val="18"/>
              </w:rPr>
              <w:t>90%</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5"/>
                <w:sz w:val="18"/>
              </w:rPr>
              <w:t>90%</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
              <w:jc w:val="righ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3"/>
              <w:jc w:val="right"/>
              <w:rPr>
                <w:rFonts w:ascii="Arial" w:hAnsi="Arial" w:cs="Arial" w:eastAsia="Arial" w:hint="default"/>
                <w:sz w:val="18"/>
                <w:szCs w:val="18"/>
              </w:rPr>
            </w:pPr>
            <w:r>
              <w:rPr>
                <w:rFonts w:ascii="Arial"/>
                <w:w w:val="99"/>
                <w:sz w:val="18"/>
              </w:rPr>
              <w:t>-</w:t>
            </w:r>
            <w:r>
              <w:rPr>
                <w:rFonts w:ascii="Arial"/>
                <w:sz w:val="18"/>
              </w:rPr>
            </w:r>
          </w:p>
        </w:tc>
      </w:tr>
      <w:tr>
        <w:trPr>
          <w:trHeight w:val="277"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新疆苏宁电器有限公司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6" w:lineRule="exact"/>
              <w:ind w:right="26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2"/>
              <w:jc w:val="right"/>
              <w:rPr>
                <w:rFonts w:ascii="Arial" w:hAnsi="Arial" w:cs="Arial" w:eastAsia="Arial" w:hint="default"/>
                <w:sz w:val="18"/>
                <w:szCs w:val="18"/>
              </w:rPr>
            </w:pPr>
            <w:r>
              <w:rPr>
                <w:rFonts w:ascii="Arial"/>
                <w:spacing w:val="-1"/>
                <w:sz w:val="18"/>
              </w:rPr>
              <w:t>86,675</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72,905</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13,770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spacing w:val="-1"/>
                <w:sz w:val="18"/>
              </w:rPr>
              <w:t>86,675</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Arial" w:hAnsi="Arial" w:cs="Arial" w:eastAsia="Arial" w:hint="default"/>
                <w:sz w:val="18"/>
                <w:szCs w:val="18"/>
              </w:rPr>
            </w:pPr>
            <w:r>
              <w:rPr>
                <w:rFonts w:ascii="Arial"/>
                <w:w w:val="95"/>
                <w:sz w:val="18"/>
              </w:rPr>
              <w:t>90%</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5"/>
                <w:sz w:val="18"/>
              </w:rPr>
              <w:t>90%</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
              <w:jc w:val="righ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3"/>
              <w:jc w:val="right"/>
              <w:rPr>
                <w:rFonts w:ascii="Arial" w:hAnsi="Arial" w:cs="Arial" w:eastAsia="Arial" w:hint="default"/>
                <w:sz w:val="18"/>
                <w:szCs w:val="18"/>
              </w:rPr>
            </w:pPr>
            <w:r>
              <w:rPr>
                <w:rFonts w:ascii="Arial"/>
                <w:w w:val="99"/>
                <w:sz w:val="18"/>
              </w:rPr>
              <w:t>-</w:t>
            </w:r>
            <w:r>
              <w:rPr>
                <w:rFonts w:ascii="Arial"/>
                <w:sz w:val="18"/>
              </w:rPr>
            </w:r>
          </w:p>
        </w:tc>
      </w:tr>
      <w:tr>
        <w:trPr>
          <w:trHeight w:val="277"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18" w:lineRule="exact"/>
              <w:ind w:left="73" w:right="0"/>
              <w:jc w:val="left"/>
              <w:rPr>
                <w:rFonts w:ascii="宋体" w:hAnsi="宋体" w:cs="宋体" w:eastAsia="宋体" w:hint="default"/>
                <w:sz w:val="18"/>
                <w:szCs w:val="18"/>
              </w:rPr>
            </w:pPr>
            <w:r>
              <w:rPr>
                <w:rFonts w:ascii="宋体" w:hAnsi="宋体" w:cs="宋体" w:eastAsia="宋体" w:hint="default"/>
                <w:sz w:val="18"/>
                <w:szCs w:val="18"/>
              </w:rPr>
              <w:t>贵阳金阳苏宁电器有限公司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8" w:lineRule="exact"/>
              <w:ind w:right="26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2"/>
              <w:jc w:val="right"/>
              <w:rPr>
                <w:rFonts w:ascii="Arial" w:hAnsi="Arial" w:cs="Arial" w:eastAsia="Arial" w:hint="default"/>
                <w:sz w:val="18"/>
                <w:szCs w:val="18"/>
              </w:rPr>
            </w:pPr>
            <w:r>
              <w:rPr>
                <w:rFonts w:ascii="Arial"/>
                <w:spacing w:val="-1"/>
                <w:sz w:val="18"/>
              </w:rPr>
              <w:t>81,000</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Arial" w:hAnsi="Arial" w:cs="Arial" w:eastAsia="Arial" w:hint="default"/>
                <w:sz w:val="18"/>
                <w:szCs w:val="18"/>
              </w:rPr>
            </w:pPr>
            <w:r>
              <w:rPr>
                <w:rFonts w:ascii="Arial"/>
                <w:spacing w:val="-1"/>
                <w:sz w:val="18"/>
              </w:rPr>
              <w:t>36,000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9"/>
              <w:jc w:val="right"/>
              <w:rPr>
                <w:rFonts w:ascii="Arial" w:hAnsi="Arial" w:cs="Arial" w:eastAsia="Arial" w:hint="default"/>
                <w:sz w:val="18"/>
                <w:szCs w:val="18"/>
              </w:rPr>
            </w:pPr>
            <w:r>
              <w:rPr>
                <w:rFonts w:ascii="Arial"/>
                <w:spacing w:val="-1"/>
                <w:sz w:val="18"/>
              </w:rPr>
              <w:t>45,000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7"/>
              <w:jc w:val="right"/>
              <w:rPr>
                <w:rFonts w:ascii="Arial" w:hAnsi="Arial" w:cs="Arial" w:eastAsia="Arial" w:hint="default"/>
                <w:sz w:val="18"/>
                <w:szCs w:val="18"/>
              </w:rPr>
            </w:pPr>
            <w:r>
              <w:rPr>
                <w:rFonts w:ascii="Arial"/>
                <w:spacing w:val="-1"/>
                <w:sz w:val="18"/>
              </w:rPr>
              <w:t>81,000</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5"/>
              <w:jc w:val="right"/>
              <w:rPr>
                <w:rFonts w:ascii="Arial" w:hAnsi="Arial" w:cs="Arial" w:eastAsia="Arial" w:hint="default"/>
                <w:sz w:val="18"/>
                <w:szCs w:val="18"/>
              </w:rPr>
            </w:pPr>
            <w:r>
              <w:rPr>
                <w:rFonts w:ascii="Arial"/>
                <w:w w:val="95"/>
                <w:sz w:val="18"/>
              </w:rPr>
              <w:t>90%</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
              <w:jc w:val="right"/>
              <w:rPr>
                <w:rFonts w:ascii="Arial" w:hAnsi="Arial" w:cs="Arial" w:eastAsia="Arial" w:hint="default"/>
                <w:sz w:val="18"/>
                <w:szCs w:val="18"/>
              </w:rPr>
            </w:pPr>
            <w:r>
              <w:rPr>
                <w:rFonts w:ascii="Arial"/>
                <w:w w:val="95"/>
                <w:sz w:val="18"/>
              </w:rPr>
              <w:t>90%</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2"/>
              <w:jc w:val="righ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4"/>
              <w:jc w:val="right"/>
              <w:rPr>
                <w:rFonts w:ascii="Arial" w:hAnsi="Arial" w:cs="Arial" w:eastAsia="Arial" w:hint="default"/>
                <w:sz w:val="18"/>
                <w:szCs w:val="18"/>
              </w:rPr>
            </w:pPr>
            <w:r>
              <w:rPr>
                <w:rFonts w:ascii="Arial"/>
                <w:w w:val="99"/>
                <w:sz w:val="18"/>
              </w:rPr>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芜湖万联智能通卡有限公司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7" w:lineRule="exact"/>
              <w:ind w:right="26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72"/>
              <w:jc w:val="right"/>
              <w:rPr>
                <w:rFonts w:ascii="Arial" w:hAnsi="Arial" w:cs="Arial" w:eastAsia="Arial" w:hint="default"/>
                <w:sz w:val="18"/>
                <w:szCs w:val="18"/>
              </w:rPr>
            </w:pPr>
            <w:r>
              <w:rPr>
                <w:rFonts w:ascii="Arial"/>
                <w:spacing w:val="-1"/>
                <w:sz w:val="18"/>
              </w:rPr>
              <w:t>80,388</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9"/>
              <w:jc w:val="right"/>
              <w:rPr>
                <w:rFonts w:ascii="Arial" w:hAnsi="Arial" w:cs="Arial" w:eastAsia="Arial" w:hint="default"/>
                <w:sz w:val="18"/>
                <w:szCs w:val="18"/>
              </w:rPr>
            </w:pPr>
            <w:r>
              <w:rPr>
                <w:rFonts w:ascii="Arial"/>
                <w:spacing w:val="-1"/>
                <w:sz w:val="18"/>
              </w:rPr>
              <w:t>80,000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9"/>
              <w:jc w:val="right"/>
              <w:rPr>
                <w:rFonts w:ascii="Arial" w:hAnsi="Arial" w:cs="Arial" w:eastAsia="Arial" w:hint="default"/>
                <w:sz w:val="18"/>
                <w:szCs w:val="18"/>
              </w:rPr>
            </w:pPr>
            <w:r>
              <w:rPr>
                <w:rFonts w:ascii="Arial"/>
                <w:w w:val="95"/>
                <w:sz w:val="18"/>
              </w:rPr>
              <w:t>388</w:t>
            </w:r>
            <w:r>
              <w:rPr>
                <w:rFonts w:ascii="Arial"/>
                <w:sz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7"/>
              <w:jc w:val="right"/>
              <w:rPr>
                <w:rFonts w:ascii="Arial" w:hAnsi="Arial" w:cs="Arial" w:eastAsia="Arial" w:hint="default"/>
                <w:sz w:val="18"/>
                <w:szCs w:val="18"/>
              </w:rPr>
            </w:pPr>
            <w:r>
              <w:rPr>
                <w:rFonts w:ascii="Arial"/>
                <w:spacing w:val="-1"/>
                <w:sz w:val="18"/>
              </w:rPr>
              <w:t>80,388</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5"/>
              <w:jc w:val="right"/>
              <w:rPr>
                <w:rFonts w:ascii="Arial" w:hAnsi="Arial" w:cs="Arial" w:eastAsia="Arial" w:hint="default"/>
                <w:sz w:val="18"/>
                <w:szCs w:val="18"/>
              </w:rPr>
            </w:pPr>
            <w:r>
              <w:rPr>
                <w:rFonts w:ascii="Arial"/>
                <w:w w:val="95"/>
                <w:sz w:val="18"/>
              </w:rPr>
              <w:t>98%</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6"/>
              <w:jc w:val="right"/>
              <w:rPr>
                <w:rFonts w:ascii="Arial" w:hAnsi="Arial" w:cs="Arial" w:eastAsia="Arial" w:hint="default"/>
                <w:sz w:val="18"/>
                <w:szCs w:val="18"/>
              </w:rPr>
            </w:pPr>
            <w:r>
              <w:rPr>
                <w:rFonts w:ascii="Arial"/>
                <w:w w:val="95"/>
                <w:sz w:val="18"/>
              </w:rPr>
              <w:t>98%</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2"/>
              <w:jc w:val="righ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4"/>
              <w:jc w:val="right"/>
              <w:rPr>
                <w:rFonts w:ascii="Arial" w:hAnsi="Arial" w:cs="Arial" w:eastAsia="Arial" w:hint="default"/>
                <w:sz w:val="18"/>
                <w:szCs w:val="18"/>
              </w:rPr>
            </w:pPr>
            <w:r>
              <w:rPr>
                <w:rFonts w:ascii="Arial"/>
                <w:w w:val="99"/>
                <w:sz w:val="18"/>
              </w:rPr>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苏州苏宁电器采购有限公司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6" w:lineRule="exact"/>
              <w:ind w:right="26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0"/>
              <w:jc w:val="right"/>
              <w:rPr>
                <w:rFonts w:ascii="Arial" w:hAnsi="Arial" w:cs="Arial" w:eastAsia="Arial" w:hint="default"/>
                <w:sz w:val="18"/>
                <w:szCs w:val="18"/>
              </w:rPr>
            </w:pPr>
            <w:r>
              <w:rPr>
                <w:rFonts w:ascii="Arial"/>
                <w:spacing w:val="-1"/>
                <w:sz w:val="18"/>
              </w:rPr>
              <w:t>68,400</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8"/>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68,400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spacing w:val="-1"/>
                <w:sz w:val="18"/>
              </w:rPr>
              <w:t>68,400</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Arial" w:hAnsi="Arial" w:cs="Arial" w:eastAsia="Arial" w:hint="default"/>
                <w:sz w:val="18"/>
                <w:szCs w:val="18"/>
              </w:rPr>
            </w:pPr>
            <w:r>
              <w:rPr>
                <w:rFonts w:ascii="Arial"/>
                <w:w w:val="95"/>
                <w:sz w:val="18"/>
              </w:rPr>
              <w:t>90%</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5"/>
                <w:sz w:val="18"/>
              </w:rPr>
              <w:t>90%</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
              <w:jc w:val="righ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3"/>
              <w:jc w:val="right"/>
              <w:rPr>
                <w:rFonts w:ascii="Arial" w:hAnsi="Arial" w:cs="Arial" w:eastAsia="Arial" w:hint="default"/>
                <w:sz w:val="18"/>
                <w:szCs w:val="18"/>
              </w:rPr>
            </w:pPr>
            <w:r>
              <w:rPr>
                <w:rFonts w:ascii="Arial"/>
                <w:w w:val="99"/>
                <w:sz w:val="18"/>
              </w:rPr>
              <w:t>-</w:t>
            </w:r>
            <w:r>
              <w:rPr>
                <w:rFonts w:ascii="Arial"/>
                <w:sz w:val="18"/>
              </w:rPr>
            </w:r>
          </w:p>
        </w:tc>
      </w:tr>
      <w:tr>
        <w:trPr>
          <w:trHeight w:val="299"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苏州苏宁电器有限公司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6" w:lineRule="exact"/>
              <w:ind w:right="26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2"/>
              <w:jc w:val="right"/>
              <w:rPr>
                <w:rFonts w:ascii="Arial" w:hAnsi="Arial" w:cs="Arial" w:eastAsia="Arial" w:hint="default"/>
                <w:sz w:val="18"/>
                <w:szCs w:val="18"/>
              </w:rPr>
            </w:pPr>
            <w:r>
              <w:rPr>
                <w:rFonts w:ascii="Arial"/>
                <w:spacing w:val="-1"/>
                <w:sz w:val="18"/>
              </w:rPr>
              <w:t>67,043</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61,418</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w w:val="95"/>
                <w:sz w:val="18"/>
              </w:rPr>
              <w:t>5,625</w:t>
            </w:r>
            <w:r>
              <w:rPr>
                <w:rFonts w:ascii="Arial"/>
                <w:sz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spacing w:val="-1"/>
                <w:sz w:val="18"/>
              </w:rPr>
              <w:t>67,043</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Arial" w:hAnsi="Arial" w:cs="Arial" w:eastAsia="Arial" w:hint="default"/>
                <w:sz w:val="18"/>
                <w:szCs w:val="18"/>
              </w:rPr>
            </w:pPr>
            <w:r>
              <w:rPr>
                <w:rFonts w:ascii="Arial"/>
                <w:w w:val="95"/>
                <w:sz w:val="18"/>
              </w:rPr>
              <w:t>90%</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5"/>
                <w:sz w:val="18"/>
              </w:rPr>
              <w:t>90%</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
              <w:jc w:val="righ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3"/>
              <w:jc w:val="right"/>
              <w:rPr>
                <w:rFonts w:ascii="Arial" w:hAnsi="Arial" w:cs="Arial" w:eastAsia="Arial" w:hint="default"/>
                <w:sz w:val="18"/>
                <w:szCs w:val="18"/>
              </w:rPr>
            </w:pPr>
            <w:r>
              <w:rPr>
                <w:rFonts w:ascii="Arial"/>
                <w:w w:val="99"/>
                <w:sz w:val="18"/>
              </w:rPr>
              <w:t>-</w:t>
            </w:r>
            <w:r>
              <w:rPr>
                <w:rFonts w:ascii="Arial"/>
                <w:sz w:val="18"/>
              </w:rPr>
            </w:r>
          </w:p>
        </w:tc>
      </w:tr>
      <w:tr>
        <w:trPr>
          <w:trHeight w:val="299"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3"/>
              <w:ind w:left="73" w:right="0"/>
              <w:jc w:val="left"/>
              <w:rPr>
                <w:rFonts w:ascii="宋体" w:hAnsi="宋体" w:cs="宋体" w:eastAsia="宋体" w:hint="default"/>
                <w:sz w:val="18"/>
                <w:szCs w:val="18"/>
              </w:rPr>
            </w:pPr>
            <w:r>
              <w:rPr>
                <w:rFonts w:ascii="宋体" w:hAnsi="宋体" w:cs="宋体" w:eastAsia="宋体" w:hint="default"/>
                <w:sz w:val="18"/>
                <w:szCs w:val="18"/>
              </w:rPr>
              <w:t>宿迁物流苏宁电器有限公司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6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2"/>
              <w:jc w:val="right"/>
              <w:rPr>
                <w:rFonts w:ascii="Arial" w:hAnsi="Arial" w:cs="Arial" w:eastAsia="Arial" w:hint="default"/>
                <w:sz w:val="18"/>
                <w:szCs w:val="18"/>
              </w:rPr>
            </w:pPr>
            <w:r>
              <w:rPr>
                <w:rFonts w:ascii="Arial"/>
                <w:spacing w:val="-1"/>
                <w:sz w:val="18"/>
              </w:rPr>
              <w:t>58,500</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6"/>
              <w:jc w:val="right"/>
              <w:rPr>
                <w:rFonts w:ascii="Arial" w:hAnsi="Arial" w:cs="Arial" w:eastAsia="Arial" w:hint="default"/>
                <w:sz w:val="18"/>
                <w:szCs w:val="18"/>
              </w:rPr>
            </w:pPr>
            <w:r>
              <w:rPr>
                <w:rFonts w:ascii="Arial"/>
                <w:spacing w:val="-1"/>
                <w:sz w:val="18"/>
              </w:rPr>
              <w:t>13,500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9"/>
              <w:jc w:val="right"/>
              <w:rPr>
                <w:rFonts w:ascii="Arial" w:hAnsi="Arial" w:cs="Arial" w:eastAsia="Arial" w:hint="default"/>
                <w:sz w:val="18"/>
                <w:szCs w:val="18"/>
              </w:rPr>
            </w:pPr>
            <w:r>
              <w:rPr>
                <w:rFonts w:ascii="Arial"/>
                <w:spacing w:val="-1"/>
                <w:sz w:val="18"/>
              </w:rPr>
              <w:t>45,000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
              <w:jc w:val="right"/>
              <w:rPr>
                <w:rFonts w:ascii="Arial" w:hAnsi="Arial" w:cs="Arial" w:eastAsia="Arial" w:hint="default"/>
                <w:sz w:val="18"/>
                <w:szCs w:val="18"/>
              </w:rPr>
            </w:pPr>
            <w:r>
              <w:rPr>
                <w:rFonts w:ascii="Arial"/>
                <w:spacing w:val="-1"/>
                <w:sz w:val="18"/>
              </w:rPr>
              <w:t>58,500</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
              <w:jc w:val="right"/>
              <w:rPr>
                <w:rFonts w:ascii="Arial" w:hAnsi="Arial" w:cs="Arial" w:eastAsia="Arial" w:hint="default"/>
                <w:sz w:val="18"/>
                <w:szCs w:val="18"/>
              </w:rPr>
            </w:pPr>
            <w:r>
              <w:rPr>
                <w:rFonts w:ascii="Arial"/>
                <w:w w:val="95"/>
                <w:sz w:val="18"/>
              </w:rPr>
              <w:t>90%</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
              <w:jc w:val="right"/>
              <w:rPr>
                <w:rFonts w:ascii="Arial" w:hAnsi="Arial" w:cs="Arial" w:eastAsia="Arial" w:hint="default"/>
                <w:sz w:val="18"/>
                <w:szCs w:val="18"/>
              </w:rPr>
            </w:pPr>
            <w:r>
              <w:rPr>
                <w:rFonts w:ascii="Arial"/>
                <w:w w:val="95"/>
                <w:sz w:val="18"/>
              </w:rPr>
              <w:t>90%</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2"/>
              <w:jc w:val="righ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4"/>
              <w:jc w:val="right"/>
              <w:rPr>
                <w:rFonts w:ascii="Arial" w:hAnsi="Arial" w:cs="Arial" w:eastAsia="Arial" w:hint="default"/>
                <w:sz w:val="18"/>
                <w:szCs w:val="18"/>
              </w:rPr>
            </w:pPr>
            <w:r>
              <w:rPr>
                <w:rFonts w:ascii="Arial"/>
                <w:w w:val="99"/>
                <w:sz w:val="18"/>
              </w:rPr>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青岛鲁宁苏宁电器有限公司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6" w:lineRule="exact"/>
              <w:ind w:right="26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2"/>
              <w:jc w:val="right"/>
              <w:rPr>
                <w:rFonts w:ascii="Arial" w:hAnsi="Arial" w:cs="Arial" w:eastAsia="Arial" w:hint="default"/>
                <w:sz w:val="18"/>
                <w:szCs w:val="18"/>
              </w:rPr>
            </w:pPr>
            <w:r>
              <w:rPr>
                <w:rFonts w:ascii="Arial"/>
                <w:spacing w:val="-1"/>
                <w:sz w:val="18"/>
              </w:rPr>
              <w:t>51,670</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47,150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w w:val="95"/>
                <w:sz w:val="18"/>
              </w:rPr>
              <w:t>4,520</w:t>
            </w:r>
            <w:r>
              <w:rPr>
                <w:rFonts w:ascii="Arial"/>
                <w:sz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spacing w:val="-1"/>
                <w:sz w:val="18"/>
              </w:rPr>
              <w:t>51,670</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Arial" w:hAnsi="Arial" w:cs="Arial" w:eastAsia="Arial" w:hint="default"/>
                <w:sz w:val="18"/>
                <w:szCs w:val="18"/>
              </w:rPr>
            </w:pPr>
            <w:r>
              <w:rPr>
                <w:rFonts w:ascii="Arial"/>
                <w:w w:val="95"/>
                <w:sz w:val="18"/>
              </w:rPr>
              <w:t>100%</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5"/>
                <w:sz w:val="18"/>
              </w:rPr>
              <w:t>100%</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
              <w:jc w:val="righ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江苏苏宁昌祺贸易有限公司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6" w:lineRule="exact"/>
              <w:ind w:right="26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0"/>
              <w:jc w:val="right"/>
              <w:rPr>
                <w:rFonts w:ascii="Arial" w:hAnsi="Arial" w:cs="Arial" w:eastAsia="Arial" w:hint="default"/>
                <w:sz w:val="18"/>
                <w:szCs w:val="18"/>
              </w:rPr>
            </w:pPr>
            <w:r>
              <w:rPr>
                <w:rFonts w:ascii="Arial"/>
                <w:spacing w:val="-1"/>
                <w:sz w:val="18"/>
              </w:rPr>
              <w:t>50,393</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8"/>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50,393</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spacing w:val="-1"/>
                <w:sz w:val="18"/>
              </w:rPr>
              <w:t>50,393</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Arial" w:hAnsi="Arial" w:cs="Arial" w:eastAsia="Arial" w:hint="default"/>
                <w:sz w:val="18"/>
                <w:szCs w:val="18"/>
              </w:rPr>
            </w:pPr>
            <w:r>
              <w:rPr>
                <w:rFonts w:ascii="Arial"/>
                <w:w w:val="95"/>
                <w:sz w:val="18"/>
              </w:rPr>
              <w:t>100%</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5"/>
                <w:sz w:val="18"/>
              </w:rPr>
              <w:t>100%</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
              <w:jc w:val="righ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无锡胜利门苏宁电器公司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6" w:lineRule="exact"/>
              <w:ind w:right="26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0"/>
              <w:jc w:val="right"/>
              <w:rPr>
                <w:rFonts w:ascii="Arial" w:hAnsi="Arial" w:cs="Arial" w:eastAsia="Arial" w:hint="default"/>
                <w:sz w:val="18"/>
                <w:szCs w:val="18"/>
              </w:rPr>
            </w:pPr>
            <w:r>
              <w:rPr>
                <w:rFonts w:ascii="Arial"/>
                <w:spacing w:val="-1"/>
                <w:sz w:val="18"/>
              </w:rPr>
              <w:t>50,374</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8"/>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50,374</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spacing w:val="-1"/>
                <w:sz w:val="18"/>
              </w:rPr>
              <w:t>50,374</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Arial" w:hAnsi="Arial" w:cs="Arial" w:eastAsia="Arial" w:hint="default"/>
                <w:sz w:val="18"/>
                <w:szCs w:val="18"/>
              </w:rPr>
            </w:pPr>
            <w:r>
              <w:rPr>
                <w:rFonts w:ascii="Arial"/>
                <w:w w:val="95"/>
                <w:sz w:val="18"/>
              </w:rPr>
              <w:t>100%</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5"/>
                <w:sz w:val="18"/>
              </w:rPr>
              <w:t>100%</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
              <w:jc w:val="righ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江苏法迪欧电器有限公司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6" w:lineRule="exact"/>
              <w:ind w:right="26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2"/>
              <w:jc w:val="right"/>
              <w:rPr>
                <w:rFonts w:ascii="Arial" w:hAnsi="Arial" w:cs="Arial" w:eastAsia="Arial" w:hint="default"/>
                <w:sz w:val="18"/>
                <w:szCs w:val="18"/>
              </w:rPr>
            </w:pPr>
            <w:r>
              <w:rPr>
                <w:rFonts w:ascii="Arial"/>
                <w:spacing w:val="-1"/>
                <w:sz w:val="18"/>
              </w:rPr>
              <w:t>50,000</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6"/>
              <w:jc w:val="right"/>
              <w:rPr>
                <w:rFonts w:ascii="Arial" w:hAnsi="Arial" w:cs="Arial" w:eastAsia="Arial" w:hint="default"/>
                <w:sz w:val="18"/>
                <w:szCs w:val="18"/>
              </w:rPr>
            </w:pPr>
            <w:r>
              <w:rPr>
                <w:rFonts w:ascii="Arial"/>
                <w:spacing w:val="-1"/>
                <w:sz w:val="18"/>
              </w:rPr>
              <w:t>30,000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20,000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spacing w:val="-1"/>
                <w:sz w:val="18"/>
              </w:rPr>
              <w:t>50,000</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Arial" w:hAnsi="Arial" w:cs="Arial" w:eastAsia="Arial" w:hint="default"/>
                <w:sz w:val="18"/>
                <w:szCs w:val="18"/>
              </w:rPr>
            </w:pPr>
            <w:r>
              <w:rPr>
                <w:rFonts w:ascii="Arial"/>
                <w:w w:val="95"/>
                <w:sz w:val="18"/>
              </w:rPr>
              <w:t>100%</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5"/>
                <w:sz w:val="18"/>
              </w:rPr>
              <w:t>100%</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
              <w:jc w:val="righ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淮安苏宁电器有限责任公司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6" w:lineRule="exact"/>
              <w:ind w:right="26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2"/>
              <w:jc w:val="right"/>
              <w:rPr>
                <w:rFonts w:ascii="Arial" w:hAnsi="Arial" w:cs="Arial" w:eastAsia="Arial" w:hint="default"/>
                <w:sz w:val="18"/>
                <w:szCs w:val="18"/>
              </w:rPr>
            </w:pPr>
            <w:r>
              <w:rPr>
                <w:rFonts w:ascii="Arial"/>
                <w:spacing w:val="-1"/>
                <w:sz w:val="18"/>
              </w:rPr>
              <w:t>48,551</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48,551</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0"/>
              <w:jc w:val="right"/>
              <w:rPr>
                <w:rFonts w:ascii="Arial" w:hAnsi="Arial" w:cs="Arial" w:eastAsia="Arial" w:hint="default"/>
                <w:sz w:val="18"/>
                <w:szCs w:val="18"/>
              </w:rPr>
            </w:pPr>
            <w:r>
              <w:rPr>
                <w:rFonts w:ascii="Arial"/>
                <w:w w:val="99"/>
                <w:sz w:val="18"/>
              </w:rPr>
              <w:t>-</w:t>
            </w:r>
            <w:r>
              <w:rPr>
                <w:rFonts w:ascii="Arial"/>
                <w:sz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spacing w:val="-1"/>
                <w:sz w:val="18"/>
              </w:rPr>
              <w:t>48,551</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Arial" w:hAnsi="Arial" w:cs="Arial" w:eastAsia="Arial" w:hint="default"/>
                <w:sz w:val="18"/>
                <w:szCs w:val="18"/>
              </w:rPr>
            </w:pPr>
            <w:r>
              <w:rPr>
                <w:rFonts w:ascii="Arial"/>
                <w:w w:val="95"/>
                <w:sz w:val="18"/>
              </w:rPr>
              <w:t>98%</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5"/>
                <w:sz w:val="18"/>
              </w:rPr>
              <w:t>98%</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
              <w:jc w:val="righ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厦门福厦苏宁电器有限公司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7" w:lineRule="exact"/>
              <w:ind w:right="26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72"/>
              <w:jc w:val="right"/>
              <w:rPr>
                <w:rFonts w:ascii="Arial" w:hAnsi="Arial" w:cs="Arial" w:eastAsia="Arial" w:hint="default"/>
                <w:sz w:val="18"/>
                <w:szCs w:val="18"/>
              </w:rPr>
            </w:pPr>
            <w:r>
              <w:rPr>
                <w:rFonts w:ascii="Arial"/>
                <w:spacing w:val="-1"/>
                <w:sz w:val="18"/>
              </w:rPr>
              <w:t>45,128</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6"/>
              <w:jc w:val="right"/>
              <w:rPr>
                <w:rFonts w:ascii="Arial" w:hAnsi="Arial" w:cs="Arial" w:eastAsia="Arial" w:hint="default"/>
                <w:sz w:val="18"/>
                <w:szCs w:val="18"/>
              </w:rPr>
            </w:pPr>
            <w:r>
              <w:rPr>
                <w:rFonts w:ascii="Arial"/>
                <w:spacing w:val="-1"/>
                <w:sz w:val="18"/>
              </w:rPr>
              <w:t>20,667</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9"/>
              <w:jc w:val="right"/>
              <w:rPr>
                <w:rFonts w:ascii="Arial" w:hAnsi="Arial" w:cs="Arial" w:eastAsia="Arial" w:hint="default"/>
                <w:sz w:val="18"/>
                <w:szCs w:val="18"/>
              </w:rPr>
            </w:pPr>
            <w:r>
              <w:rPr>
                <w:rFonts w:ascii="Arial"/>
                <w:spacing w:val="-1"/>
                <w:sz w:val="18"/>
              </w:rPr>
              <w:t>24,461</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7"/>
              <w:jc w:val="right"/>
              <w:rPr>
                <w:rFonts w:ascii="Arial" w:hAnsi="Arial" w:cs="Arial" w:eastAsia="Arial" w:hint="default"/>
                <w:sz w:val="18"/>
                <w:szCs w:val="18"/>
              </w:rPr>
            </w:pPr>
            <w:r>
              <w:rPr>
                <w:rFonts w:ascii="Arial"/>
                <w:spacing w:val="-1"/>
                <w:sz w:val="18"/>
              </w:rPr>
              <w:t>45,128</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5"/>
              <w:jc w:val="right"/>
              <w:rPr>
                <w:rFonts w:ascii="Arial" w:hAnsi="Arial" w:cs="Arial" w:eastAsia="Arial" w:hint="default"/>
                <w:sz w:val="18"/>
                <w:szCs w:val="18"/>
              </w:rPr>
            </w:pPr>
            <w:r>
              <w:rPr>
                <w:rFonts w:ascii="Arial"/>
                <w:w w:val="95"/>
                <w:sz w:val="18"/>
              </w:rPr>
              <w:t>10%</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5"/>
              <w:jc w:val="right"/>
              <w:rPr>
                <w:rFonts w:ascii="Arial" w:hAnsi="Arial" w:cs="Arial" w:eastAsia="Arial" w:hint="default"/>
                <w:sz w:val="18"/>
                <w:szCs w:val="18"/>
              </w:rPr>
            </w:pPr>
            <w:r>
              <w:rPr>
                <w:rFonts w:ascii="Arial"/>
                <w:w w:val="95"/>
                <w:sz w:val="18"/>
              </w:rPr>
              <w:t>10%</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2"/>
              <w:jc w:val="righ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4"/>
              <w:jc w:val="right"/>
              <w:rPr>
                <w:rFonts w:ascii="Arial" w:hAnsi="Arial" w:cs="Arial" w:eastAsia="Arial" w:hint="default"/>
                <w:sz w:val="18"/>
                <w:szCs w:val="18"/>
              </w:rPr>
            </w:pPr>
            <w:r>
              <w:rPr>
                <w:rFonts w:ascii="Arial"/>
                <w:w w:val="99"/>
                <w:sz w:val="18"/>
              </w:rPr>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13"/>
              <w:jc w:val="right"/>
              <w:rPr>
                <w:rFonts w:ascii="Arial" w:hAnsi="Arial" w:cs="Arial" w:eastAsia="Arial" w:hint="default"/>
                <w:sz w:val="18"/>
                <w:szCs w:val="18"/>
              </w:rPr>
            </w:pPr>
            <w:r>
              <w:rPr>
                <w:rFonts w:ascii="Arial"/>
                <w:w w:val="99"/>
                <w:sz w:val="18"/>
              </w:rPr>
              <w:t>-</w:t>
            </w:r>
            <w:r>
              <w:rPr>
                <w:rFonts w:ascii="Arial"/>
                <w:sz w:val="18"/>
              </w:rPr>
            </w:r>
          </w:p>
        </w:tc>
      </w:tr>
      <w:tr>
        <w:trPr>
          <w:trHeight w:val="300"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江苏苏宁物流有限公司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6" w:lineRule="exact"/>
              <w:ind w:right="26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0"/>
              <w:jc w:val="right"/>
              <w:rPr>
                <w:rFonts w:ascii="Arial" w:hAnsi="Arial" w:cs="Arial" w:eastAsia="Arial" w:hint="default"/>
                <w:sz w:val="18"/>
                <w:szCs w:val="18"/>
              </w:rPr>
            </w:pPr>
            <w:r>
              <w:rPr>
                <w:rFonts w:ascii="Arial"/>
                <w:spacing w:val="-1"/>
                <w:sz w:val="18"/>
              </w:rPr>
              <w:t>45,000</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8"/>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45,000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spacing w:val="-1"/>
                <w:sz w:val="18"/>
              </w:rPr>
              <w:t>45,000</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
              <w:jc w:val="right"/>
              <w:rPr>
                <w:rFonts w:ascii="Arial" w:hAnsi="Arial" w:cs="Arial" w:eastAsia="Arial" w:hint="default"/>
                <w:sz w:val="18"/>
                <w:szCs w:val="18"/>
              </w:rPr>
            </w:pPr>
            <w:r>
              <w:rPr>
                <w:rFonts w:ascii="Arial"/>
                <w:w w:val="95"/>
                <w:sz w:val="18"/>
              </w:rPr>
              <w:t>90%</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8"/>
              <w:jc w:val="right"/>
              <w:rPr>
                <w:rFonts w:ascii="Arial" w:hAnsi="Arial" w:cs="Arial" w:eastAsia="Arial" w:hint="default"/>
                <w:sz w:val="18"/>
                <w:szCs w:val="18"/>
              </w:rPr>
            </w:pPr>
            <w:r>
              <w:rPr>
                <w:rFonts w:ascii="Arial"/>
                <w:w w:val="95"/>
                <w:sz w:val="18"/>
              </w:rPr>
              <w:t>90%</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
              <w:jc w:val="righ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3"/>
              <w:jc w:val="right"/>
              <w:rPr>
                <w:rFonts w:ascii="Arial" w:hAnsi="Arial" w:cs="Arial" w:eastAsia="Arial" w:hint="default"/>
                <w:sz w:val="18"/>
                <w:szCs w:val="18"/>
              </w:rPr>
            </w:pPr>
            <w:r>
              <w:rPr>
                <w:rFonts w:ascii="Arial"/>
                <w:w w:val="99"/>
                <w:sz w:val="18"/>
              </w:rPr>
              <w:t>-</w:t>
            </w:r>
            <w:r>
              <w:rPr>
                <w:rFonts w:ascii="Arial"/>
                <w:sz w:val="18"/>
              </w:rPr>
            </w:r>
          </w:p>
        </w:tc>
      </w:tr>
      <w:tr>
        <w:trPr>
          <w:trHeight w:val="300"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
              <w:ind w:left="73" w:right="0"/>
              <w:jc w:val="left"/>
              <w:rPr>
                <w:rFonts w:ascii="宋体" w:hAnsi="宋体" w:cs="宋体" w:eastAsia="宋体" w:hint="default"/>
                <w:sz w:val="18"/>
                <w:szCs w:val="18"/>
              </w:rPr>
            </w:pPr>
            <w:r>
              <w:rPr>
                <w:rFonts w:ascii="宋体" w:hAnsi="宋体" w:cs="宋体" w:eastAsia="宋体" w:hint="default"/>
                <w:sz w:val="18"/>
                <w:szCs w:val="18"/>
              </w:rPr>
              <w:t>甘肃苏宁电器有限公司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2"/>
              <w:jc w:val="right"/>
              <w:rPr>
                <w:rFonts w:ascii="Arial" w:hAnsi="Arial" w:cs="Arial" w:eastAsia="Arial" w:hint="default"/>
                <w:sz w:val="18"/>
                <w:szCs w:val="18"/>
              </w:rPr>
            </w:pPr>
            <w:r>
              <w:rPr>
                <w:rFonts w:ascii="Arial"/>
                <w:spacing w:val="-1"/>
                <w:sz w:val="18"/>
              </w:rPr>
              <w:t>44,208</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9"/>
              <w:jc w:val="right"/>
              <w:rPr>
                <w:rFonts w:ascii="Arial" w:hAnsi="Arial" w:cs="Arial" w:eastAsia="Arial" w:hint="default"/>
                <w:sz w:val="18"/>
                <w:szCs w:val="18"/>
              </w:rPr>
            </w:pPr>
            <w:r>
              <w:rPr>
                <w:rFonts w:ascii="Arial"/>
                <w:spacing w:val="-1"/>
                <w:sz w:val="18"/>
              </w:rPr>
              <w:t>44,208</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0"/>
              <w:jc w:val="right"/>
              <w:rPr>
                <w:rFonts w:ascii="Arial" w:hAnsi="Arial" w:cs="Arial" w:eastAsia="Arial" w:hint="default"/>
                <w:sz w:val="18"/>
                <w:szCs w:val="18"/>
              </w:rPr>
            </w:pPr>
            <w:r>
              <w:rPr>
                <w:rFonts w:ascii="Arial"/>
                <w:w w:val="99"/>
                <w:sz w:val="18"/>
              </w:rPr>
              <w:t>-</w:t>
            </w:r>
            <w:r>
              <w:rPr>
                <w:rFonts w:ascii="Arial"/>
                <w:sz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7"/>
              <w:jc w:val="right"/>
              <w:rPr>
                <w:rFonts w:ascii="Arial" w:hAnsi="Arial" w:cs="Arial" w:eastAsia="Arial" w:hint="default"/>
                <w:sz w:val="18"/>
                <w:szCs w:val="18"/>
              </w:rPr>
            </w:pPr>
            <w:r>
              <w:rPr>
                <w:rFonts w:ascii="Arial"/>
                <w:spacing w:val="-1"/>
                <w:sz w:val="18"/>
              </w:rPr>
              <w:t>44,208</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7"/>
              <w:jc w:val="right"/>
              <w:rPr>
                <w:rFonts w:ascii="Arial" w:hAnsi="Arial" w:cs="Arial" w:eastAsia="Arial" w:hint="default"/>
                <w:sz w:val="18"/>
                <w:szCs w:val="18"/>
              </w:rPr>
            </w:pPr>
            <w:r>
              <w:rPr>
                <w:rFonts w:ascii="Arial"/>
                <w:w w:val="95"/>
                <w:sz w:val="18"/>
              </w:rPr>
              <w:t>90%</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
              <w:jc w:val="right"/>
              <w:rPr>
                <w:rFonts w:ascii="Arial" w:hAnsi="Arial" w:cs="Arial" w:eastAsia="Arial" w:hint="default"/>
                <w:sz w:val="18"/>
                <w:szCs w:val="18"/>
              </w:rPr>
            </w:pPr>
            <w:r>
              <w:rPr>
                <w:rFonts w:ascii="Arial"/>
                <w:w w:val="95"/>
                <w:sz w:val="18"/>
              </w:rPr>
              <w:t>90%</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2"/>
              <w:jc w:val="righ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4"/>
              <w:jc w:val="right"/>
              <w:rPr>
                <w:rFonts w:ascii="Arial" w:hAnsi="Arial" w:cs="Arial" w:eastAsia="Arial" w:hint="default"/>
                <w:sz w:val="18"/>
                <w:szCs w:val="18"/>
              </w:rPr>
            </w:pPr>
            <w:r>
              <w:rPr>
                <w:rFonts w:ascii="Arial"/>
                <w:w w:val="99"/>
                <w:sz w:val="18"/>
              </w:rPr>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贵阳东方苏宁电器有限公司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6" w:lineRule="exact"/>
              <w:ind w:right="26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2"/>
              <w:jc w:val="right"/>
              <w:rPr>
                <w:rFonts w:ascii="Arial" w:hAnsi="Arial" w:cs="Arial" w:eastAsia="Arial" w:hint="default"/>
                <w:sz w:val="18"/>
                <w:szCs w:val="18"/>
              </w:rPr>
            </w:pPr>
            <w:r>
              <w:rPr>
                <w:rFonts w:ascii="Arial"/>
                <w:spacing w:val="-1"/>
                <w:sz w:val="18"/>
              </w:rPr>
              <w:t>41,508</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6"/>
              <w:jc w:val="right"/>
              <w:rPr>
                <w:rFonts w:ascii="Arial" w:hAnsi="Arial" w:cs="Arial" w:eastAsia="Arial" w:hint="default"/>
                <w:sz w:val="18"/>
                <w:szCs w:val="18"/>
              </w:rPr>
            </w:pPr>
            <w:r>
              <w:rPr>
                <w:rFonts w:ascii="Arial"/>
                <w:spacing w:val="-1"/>
                <w:sz w:val="18"/>
              </w:rPr>
              <w:t>31,293</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10,215</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spacing w:val="-1"/>
                <w:sz w:val="18"/>
              </w:rPr>
              <w:t>41,508</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Arial" w:hAnsi="Arial" w:cs="Arial" w:eastAsia="Arial" w:hint="default"/>
                <w:sz w:val="18"/>
                <w:szCs w:val="18"/>
              </w:rPr>
            </w:pPr>
            <w:r>
              <w:rPr>
                <w:rFonts w:ascii="Arial"/>
                <w:w w:val="95"/>
                <w:sz w:val="18"/>
              </w:rPr>
              <w:t>90%</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5"/>
                <w:sz w:val="18"/>
              </w:rPr>
              <w:t>90%</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
              <w:jc w:val="righ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3"/>
              <w:jc w:val="right"/>
              <w:rPr>
                <w:rFonts w:ascii="Arial" w:hAnsi="Arial" w:cs="Arial" w:eastAsia="Arial" w:hint="default"/>
                <w:sz w:val="18"/>
                <w:szCs w:val="18"/>
              </w:rPr>
            </w:pPr>
            <w:r>
              <w:rPr>
                <w:rFonts w:ascii="Arial"/>
                <w:w w:val="99"/>
                <w:sz w:val="18"/>
              </w:rPr>
              <w:t>-</w:t>
            </w:r>
            <w:r>
              <w:rPr>
                <w:rFonts w:ascii="Arial"/>
                <w:sz w:val="18"/>
              </w:rPr>
            </w:r>
          </w:p>
        </w:tc>
      </w:tr>
      <w:tr>
        <w:trPr>
          <w:trHeight w:val="240" w:hRule="exact"/>
        </w:trPr>
        <w:tc>
          <w:tcPr>
            <w:tcW w:w="753"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南昌苏宁电器有限公司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6" w:lineRule="exact"/>
              <w:ind w:right="26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2"/>
              <w:jc w:val="right"/>
              <w:rPr>
                <w:rFonts w:ascii="Arial" w:hAnsi="Arial" w:cs="Arial" w:eastAsia="Arial" w:hint="default"/>
                <w:sz w:val="18"/>
                <w:szCs w:val="18"/>
              </w:rPr>
            </w:pPr>
            <w:r>
              <w:rPr>
                <w:rFonts w:ascii="Arial"/>
                <w:spacing w:val="-1"/>
                <w:sz w:val="18"/>
              </w:rPr>
              <w:t>40,500</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40,500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0"/>
              <w:jc w:val="right"/>
              <w:rPr>
                <w:rFonts w:ascii="Arial" w:hAnsi="Arial" w:cs="Arial" w:eastAsia="Arial" w:hint="default"/>
                <w:sz w:val="18"/>
                <w:szCs w:val="18"/>
              </w:rPr>
            </w:pPr>
            <w:r>
              <w:rPr>
                <w:rFonts w:ascii="Arial"/>
                <w:w w:val="99"/>
                <w:sz w:val="18"/>
              </w:rPr>
              <w:t>-</w:t>
            </w:r>
            <w:r>
              <w:rPr>
                <w:rFonts w:ascii="Arial"/>
                <w:sz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spacing w:val="-1"/>
                <w:sz w:val="18"/>
              </w:rPr>
              <w:t>40,500</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
              <w:jc w:val="right"/>
              <w:rPr>
                <w:rFonts w:ascii="Arial" w:hAnsi="Arial" w:cs="Arial" w:eastAsia="Arial" w:hint="default"/>
                <w:sz w:val="18"/>
                <w:szCs w:val="18"/>
              </w:rPr>
            </w:pPr>
            <w:r>
              <w:rPr>
                <w:rFonts w:ascii="Arial"/>
                <w:w w:val="95"/>
                <w:sz w:val="18"/>
              </w:rPr>
              <w:t>90%</w:t>
            </w:r>
            <w:r>
              <w:rPr>
                <w:rFonts w:ascii="Arial"/>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8"/>
              <w:jc w:val="right"/>
              <w:rPr>
                <w:rFonts w:ascii="Arial" w:hAnsi="Arial" w:cs="Arial" w:eastAsia="Arial" w:hint="default"/>
                <w:sz w:val="18"/>
                <w:szCs w:val="18"/>
              </w:rPr>
            </w:pPr>
            <w:r>
              <w:rPr>
                <w:rFonts w:ascii="Arial"/>
                <w:w w:val="95"/>
                <w:sz w:val="18"/>
              </w:rPr>
              <w:t>90%</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
              <w:jc w:val="righ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3"/>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795" w:footer="706" w:top="2020" w:bottom="900" w:left="800" w:right="0"/>
        </w:sectPr>
      </w:pPr>
    </w:p>
    <w:p>
      <w:pPr>
        <w:spacing w:line="240" w:lineRule="auto" w:before="9"/>
        <w:rPr>
          <w:rFonts w:ascii="Times New Roman" w:hAnsi="Times New Roman" w:cs="Times New Roman" w:eastAsia="Times New Roman"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757"/>
        <w:gridCol w:w="2736"/>
        <w:gridCol w:w="781"/>
        <w:gridCol w:w="1266"/>
        <w:gridCol w:w="1109"/>
        <w:gridCol w:w="1311"/>
        <w:gridCol w:w="1038"/>
        <w:gridCol w:w="998"/>
        <w:gridCol w:w="1047"/>
        <w:gridCol w:w="1493"/>
        <w:gridCol w:w="854"/>
        <w:gridCol w:w="954"/>
        <w:gridCol w:w="1389"/>
      </w:tblGrid>
      <w:tr>
        <w:trPr>
          <w:trHeight w:val="415" w:hRule="exact"/>
        </w:trPr>
        <w:tc>
          <w:tcPr>
            <w:tcW w:w="75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十五</w:t>
            </w:r>
          </w:p>
        </w:tc>
        <w:tc>
          <w:tcPr>
            <w:tcW w:w="2736" w:type="dxa"/>
            <w:tcBorders>
              <w:top w:val="nil" w:sz="6" w:space="0" w:color="auto"/>
              <w:left w:val="nil" w:sz="6" w:space="0" w:color="auto"/>
              <w:bottom w:val="nil" w:sz="6" w:space="0" w:color="auto"/>
              <w:right w:val="nil" w:sz="6" w:space="0" w:color="auto"/>
            </w:tcBorders>
          </w:tcPr>
          <w:p>
            <w:pPr>
              <w:pStyle w:val="TableParagraph"/>
              <w:spacing w:line="257" w:lineRule="exact"/>
              <w:ind w:left="77"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781"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r>
      <w:tr>
        <w:trPr>
          <w:trHeight w:val="587" w:hRule="exact"/>
        </w:trPr>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00" w:right="0"/>
              <w:jc w:val="left"/>
              <w:rPr>
                <w:rFonts w:ascii="Arial" w:hAnsi="Arial" w:cs="Arial" w:eastAsia="Arial" w:hint="default"/>
                <w:sz w:val="24"/>
                <w:szCs w:val="24"/>
              </w:rPr>
            </w:pPr>
            <w:r>
              <w:rPr>
                <w:rFonts w:ascii="Arial"/>
                <w:sz w:val="24"/>
              </w:rPr>
              <w:t>(3)</w:t>
            </w: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77"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781"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r>
      <w:tr>
        <w:trPr>
          <w:trHeight w:val="588" w:hRule="exact"/>
        </w:trPr>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7"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781"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r>
      <w:tr>
        <w:trPr>
          <w:trHeight w:val="767" w:hRule="exact"/>
        </w:trPr>
        <w:tc>
          <w:tcPr>
            <w:tcW w:w="757"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9" w:right="87"/>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07"/>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1109" w:type="dxa"/>
            <w:tcBorders>
              <w:top w:val="nil" w:sz="6" w:space="0" w:color="auto"/>
              <w:left w:val="nil" w:sz="6" w:space="0" w:color="auto"/>
              <w:bottom w:val="nil" w:sz="6" w:space="0" w:color="auto"/>
              <w:right w:val="nil" w:sz="6" w:space="0" w:color="auto"/>
            </w:tcBorders>
          </w:tcPr>
          <w:p>
            <w:pPr>
              <w:pStyle w:val="TableParagraph"/>
              <w:spacing w:line="241" w:lineRule="exact" w:before="108"/>
              <w:ind w:left="377"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1" w:lineRule="exact"/>
              <w:ind w:left="9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12"/>
              <w:jc w:val="right"/>
              <w:rPr>
                <w:rFonts w:ascii="宋体" w:hAnsi="宋体" w:cs="宋体" w:eastAsia="宋体" w:hint="default"/>
                <w:sz w:val="18"/>
                <w:szCs w:val="18"/>
              </w:rPr>
            </w:pPr>
            <w:r>
              <w:rPr>
                <w:rFonts w:ascii="宋体" w:hAnsi="宋体" w:cs="宋体" w:eastAsia="宋体" w:hint="default"/>
                <w:sz w:val="18"/>
                <w:szCs w:val="18"/>
              </w:rPr>
              <w:t>本年增减变动</w:t>
            </w:r>
          </w:p>
        </w:tc>
        <w:tc>
          <w:tcPr>
            <w:tcW w:w="1038" w:type="dxa"/>
            <w:tcBorders>
              <w:top w:val="nil" w:sz="6" w:space="0" w:color="auto"/>
              <w:left w:val="nil" w:sz="6" w:space="0" w:color="auto"/>
              <w:bottom w:val="nil" w:sz="6" w:space="0" w:color="auto"/>
              <w:right w:val="nil" w:sz="6" w:space="0" w:color="auto"/>
            </w:tcBorders>
          </w:tcPr>
          <w:p>
            <w:pPr>
              <w:pStyle w:val="TableParagraph"/>
              <w:spacing w:line="241" w:lineRule="exact" w:before="108"/>
              <w:ind w:left="382"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1" w:lineRule="exact"/>
              <w:ind w:left="11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98" w:type="dxa"/>
            <w:tcBorders>
              <w:top w:val="nil" w:sz="6" w:space="0" w:color="auto"/>
              <w:left w:val="nil" w:sz="6" w:space="0" w:color="auto"/>
              <w:bottom w:val="nil" w:sz="6" w:space="0" w:color="auto"/>
              <w:right w:val="nil" w:sz="6" w:space="0" w:color="auto"/>
            </w:tcBorders>
          </w:tcPr>
          <w:p>
            <w:pPr>
              <w:pStyle w:val="TableParagraph"/>
              <w:spacing w:line="234" w:lineRule="exact" w:before="108"/>
              <w:ind w:left="160" w:right="0"/>
              <w:jc w:val="left"/>
              <w:rPr>
                <w:rFonts w:ascii="宋体" w:hAnsi="宋体" w:cs="宋体" w:eastAsia="宋体" w:hint="default"/>
                <w:sz w:val="18"/>
                <w:szCs w:val="18"/>
              </w:rPr>
            </w:pPr>
            <w:r>
              <w:rPr>
                <w:rFonts w:ascii="宋体" w:hAnsi="宋体" w:cs="宋体" w:eastAsia="宋体" w:hint="default"/>
                <w:sz w:val="18"/>
                <w:szCs w:val="18"/>
              </w:rPr>
              <w:t>直接持股</w:t>
            </w:r>
          </w:p>
          <w:p>
            <w:pPr>
              <w:pStyle w:val="TableParagraph"/>
              <w:spacing w:line="234" w:lineRule="exact"/>
              <w:ind w:left="52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47" w:type="dxa"/>
            <w:tcBorders>
              <w:top w:val="nil" w:sz="6" w:space="0" w:color="auto"/>
              <w:left w:val="nil" w:sz="6" w:space="0" w:color="auto"/>
              <w:bottom w:val="nil" w:sz="6" w:space="0" w:color="auto"/>
              <w:right w:val="nil" w:sz="6" w:space="0" w:color="auto"/>
            </w:tcBorders>
          </w:tcPr>
          <w:p>
            <w:pPr>
              <w:pStyle w:val="TableParagraph"/>
              <w:spacing w:line="234" w:lineRule="exact" w:before="108"/>
              <w:ind w:left="115" w:right="0"/>
              <w:jc w:val="left"/>
              <w:rPr>
                <w:rFonts w:ascii="宋体" w:hAnsi="宋体" w:cs="宋体" w:eastAsia="宋体" w:hint="default"/>
                <w:sz w:val="18"/>
                <w:szCs w:val="18"/>
              </w:rPr>
            </w:pPr>
            <w:r>
              <w:rPr>
                <w:rFonts w:ascii="宋体" w:hAnsi="宋体" w:cs="宋体" w:eastAsia="宋体" w:hint="default"/>
                <w:sz w:val="18"/>
                <w:szCs w:val="18"/>
              </w:rPr>
              <w:t>直接表决权</w:t>
            </w:r>
          </w:p>
          <w:p>
            <w:pPr>
              <w:pStyle w:val="TableParagraph"/>
              <w:spacing w:line="234" w:lineRule="exact"/>
              <w:ind w:left="65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93" w:type="dxa"/>
            <w:tcBorders>
              <w:top w:val="nil" w:sz="6" w:space="0" w:color="auto"/>
              <w:left w:val="nil" w:sz="6" w:space="0" w:color="auto"/>
              <w:bottom w:val="nil" w:sz="6" w:space="0" w:color="auto"/>
              <w:right w:val="nil" w:sz="6" w:space="0" w:color="auto"/>
            </w:tcBorders>
          </w:tcPr>
          <w:p>
            <w:pPr>
              <w:pStyle w:val="TableParagraph"/>
              <w:spacing w:line="232" w:lineRule="exact" w:before="133"/>
              <w:ind w:left="29" w:right="11" w:firstLine="12"/>
              <w:jc w:val="left"/>
              <w:rPr>
                <w:rFonts w:ascii="宋体" w:hAnsi="宋体" w:cs="宋体" w:eastAsia="宋体" w:hint="default"/>
                <w:sz w:val="18"/>
                <w:szCs w:val="18"/>
              </w:rPr>
            </w:pPr>
            <w:r>
              <w:rPr>
                <w:rFonts w:ascii="宋体" w:hAnsi="宋体" w:cs="宋体" w:eastAsia="宋体" w:hint="default"/>
                <w:sz w:val="18"/>
                <w:szCs w:val="18"/>
              </w:rPr>
              <w:t>持股比例与表决权 比例不一致的说明</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83"/>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954" w:type="dxa"/>
            <w:tcBorders>
              <w:top w:val="nil" w:sz="6" w:space="0" w:color="auto"/>
              <w:left w:val="nil" w:sz="6" w:space="0" w:color="auto"/>
              <w:bottom w:val="nil" w:sz="6" w:space="0" w:color="auto"/>
              <w:right w:val="nil" w:sz="6" w:space="0" w:color="auto"/>
            </w:tcBorders>
          </w:tcPr>
          <w:p>
            <w:pPr>
              <w:pStyle w:val="TableParagraph"/>
              <w:spacing w:line="232" w:lineRule="exact" w:before="133"/>
              <w:ind w:left="83" w:right="11"/>
              <w:jc w:val="left"/>
              <w:rPr>
                <w:rFonts w:ascii="宋体" w:hAnsi="宋体" w:cs="宋体" w:eastAsia="宋体" w:hint="default"/>
                <w:sz w:val="18"/>
                <w:szCs w:val="18"/>
              </w:rPr>
            </w:pPr>
            <w:r>
              <w:rPr>
                <w:rFonts w:ascii="宋体" w:hAnsi="宋体" w:cs="宋体" w:eastAsia="宋体" w:hint="default"/>
                <w:spacing w:val="30"/>
                <w:sz w:val="18"/>
                <w:szCs w:val="18"/>
              </w:rPr>
              <w:t>本年计</w:t>
            </w:r>
            <w:r>
              <w:rPr>
                <w:rFonts w:ascii="宋体" w:hAnsi="宋体" w:cs="宋体" w:eastAsia="宋体" w:hint="default"/>
                <w:spacing w:val="-45"/>
                <w:sz w:val="18"/>
                <w:szCs w:val="18"/>
              </w:rPr>
              <w:t> </w:t>
            </w:r>
            <w:r>
              <w:rPr>
                <w:rFonts w:ascii="宋体" w:hAnsi="宋体" w:cs="宋体" w:eastAsia="宋体" w:hint="default"/>
                <w:sz w:val="18"/>
                <w:szCs w:val="18"/>
              </w:rPr>
              <w:t>提</w:t>
            </w:r>
            <w:r>
              <w:rPr>
                <w:rFonts w:ascii="宋体" w:hAnsi="宋体" w:cs="宋体" w:eastAsia="宋体" w:hint="default"/>
                <w:sz w:val="18"/>
                <w:szCs w:val="18"/>
              </w:rPr>
              <w:t> 减值准备</w:t>
            </w:r>
          </w:p>
        </w:tc>
        <w:tc>
          <w:tcPr>
            <w:tcW w:w="1389" w:type="dxa"/>
            <w:tcBorders>
              <w:top w:val="nil" w:sz="6" w:space="0" w:color="auto"/>
              <w:left w:val="nil" w:sz="6" w:space="0" w:color="auto"/>
              <w:bottom w:val="nil" w:sz="6" w:space="0" w:color="auto"/>
              <w:right w:val="nil" w:sz="6" w:space="0" w:color="auto"/>
            </w:tcBorders>
          </w:tcPr>
          <w:p>
            <w:pPr>
              <w:pStyle w:val="TableParagraph"/>
              <w:spacing w:line="234" w:lineRule="exact" w:before="108"/>
              <w:ind w:left="13" w:right="0"/>
              <w:jc w:val="left"/>
              <w:rPr>
                <w:rFonts w:ascii="宋体" w:hAnsi="宋体" w:cs="宋体" w:eastAsia="宋体" w:hint="default"/>
                <w:sz w:val="18"/>
                <w:szCs w:val="18"/>
              </w:rPr>
            </w:pPr>
            <w:r>
              <w:rPr>
                <w:rFonts w:ascii="宋体" w:hAnsi="宋体" w:cs="宋体" w:eastAsia="宋体" w:hint="default"/>
                <w:spacing w:val="16"/>
                <w:sz w:val="18"/>
                <w:szCs w:val="18"/>
              </w:rPr>
              <w:t>本年宣告分派的</w:t>
            </w:r>
          </w:p>
          <w:p>
            <w:pPr>
              <w:pStyle w:val="TableParagraph"/>
              <w:spacing w:line="234" w:lineRule="exact"/>
              <w:ind w:left="553" w:right="0"/>
              <w:jc w:val="left"/>
              <w:rPr>
                <w:rFonts w:ascii="宋体" w:hAnsi="宋体" w:cs="宋体" w:eastAsia="宋体" w:hint="default"/>
                <w:sz w:val="18"/>
                <w:szCs w:val="18"/>
              </w:rPr>
            </w:pPr>
            <w:r>
              <w:rPr>
                <w:rFonts w:ascii="宋体" w:hAnsi="宋体" w:cs="宋体" w:eastAsia="宋体" w:hint="default"/>
                <w:sz w:val="18"/>
                <w:szCs w:val="18"/>
              </w:rPr>
              <w:t>现金股利</w:t>
            </w:r>
          </w:p>
        </w:tc>
      </w:tr>
      <w:tr>
        <w:trPr>
          <w:trHeight w:val="422" w:hRule="exact"/>
        </w:trPr>
        <w:tc>
          <w:tcPr>
            <w:tcW w:w="757"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77" w:right="0"/>
              <w:jc w:val="left"/>
              <w:rPr>
                <w:rFonts w:ascii="宋体" w:hAnsi="宋体" w:cs="宋体" w:eastAsia="宋体" w:hint="default"/>
                <w:sz w:val="18"/>
                <w:szCs w:val="18"/>
              </w:rPr>
            </w:pPr>
            <w:r>
              <w:rPr>
                <w:rFonts w:ascii="宋体" w:hAnsi="宋体" w:cs="宋体" w:eastAsia="宋体" w:hint="default"/>
                <w:sz w:val="18"/>
                <w:szCs w:val="18"/>
              </w:rPr>
              <w:t>大同苏宁电器有限公司</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87"/>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sz w:val="18"/>
              </w:rPr>
              <w:t>39,844</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5"/>
              <w:jc w:val="right"/>
              <w:rPr>
                <w:rFonts w:ascii="Arial" w:hAnsi="Arial" w:cs="Arial" w:eastAsia="Arial" w:hint="default"/>
                <w:sz w:val="18"/>
                <w:szCs w:val="18"/>
              </w:rPr>
            </w:pPr>
            <w:r>
              <w:rPr>
                <w:rFonts w:ascii="Arial"/>
                <w:spacing w:val="-1"/>
                <w:sz w:val="18"/>
              </w:rPr>
              <w:t>39,844</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5"/>
              <w:jc w:val="right"/>
              <w:rPr>
                <w:rFonts w:ascii="Arial" w:hAnsi="Arial" w:cs="Arial" w:eastAsia="Arial" w:hint="default"/>
                <w:sz w:val="18"/>
                <w:szCs w:val="18"/>
              </w:rPr>
            </w:pPr>
            <w:r>
              <w:rPr>
                <w:rFonts w:ascii="Arial"/>
                <w:spacing w:val="-1"/>
                <w:sz w:val="18"/>
              </w:rPr>
              <w:t>39,844</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Arial" w:hAnsi="Arial" w:cs="Arial" w:eastAsia="Arial" w:hint="default"/>
                <w:sz w:val="18"/>
                <w:szCs w:val="18"/>
              </w:rPr>
            </w:pPr>
            <w:r>
              <w:rPr>
                <w:rFonts w:ascii="Arial"/>
                <w:w w:val="95"/>
                <w:sz w:val="18"/>
              </w:rPr>
              <w:t>90%</w:t>
            </w:r>
            <w:r>
              <w:rPr>
                <w:rFonts w:ascii="Arial"/>
                <w:sz w:val="18"/>
              </w:rPr>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7"/>
              <w:jc w:val="right"/>
              <w:rPr>
                <w:rFonts w:ascii="Arial" w:hAnsi="Arial" w:cs="Arial" w:eastAsia="Arial" w:hint="default"/>
                <w:sz w:val="18"/>
                <w:szCs w:val="18"/>
              </w:rPr>
            </w:pPr>
            <w:r>
              <w:rPr>
                <w:rFonts w:ascii="Arial"/>
                <w:w w:val="95"/>
                <w:sz w:val="18"/>
              </w:rPr>
              <w:t>90%</w:t>
            </w:r>
            <w:r>
              <w:rPr>
                <w:rFonts w:ascii="Arial"/>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55"/>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77" w:hRule="exact"/>
        </w:trPr>
        <w:tc>
          <w:tcPr>
            <w:tcW w:w="757"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18" w:lineRule="exact"/>
              <w:ind w:left="77" w:right="0"/>
              <w:jc w:val="left"/>
              <w:rPr>
                <w:rFonts w:ascii="宋体" w:hAnsi="宋体" w:cs="宋体" w:eastAsia="宋体" w:hint="default"/>
                <w:sz w:val="18"/>
                <w:szCs w:val="18"/>
              </w:rPr>
            </w:pPr>
            <w:r>
              <w:rPr>
                <w:rFonts w:ascii="宋体" w:hAnsi="宋体" w:cs="宋体" w:eastAsia="宋体" w:hint="default"/>
                <w:sz w:val="18"/>
                <w:szCs w:val="18"/>
              </w:rPr>
              <w:t>河南苏宁电器有限公司</w:t>
            </w:r>
          </w:p>
        </w:tc>
        <w:tc>
          <w:tcPr>
            <w:tcW w:w="781" w:type="dxa"/>
            <w:tcBorders>
              <w:top w:val="nil" w:sz="6" w:space="0" w:color="auto"/>
              <w:left w:val="nil" w:sz="6" w:space="0" w:color="auto"/>
              <w:bottom w:val="nil" w:sz="6" w:space="0" w:color="auto"/>
              <w:right w:val="nil" w:sz="6" w:space="0" w:color="auto"/>
            </w:tcBorders>
          </w:tcPr>
          <w:p>
            <w:pPr>
              <w:pStyle w:val="TableParagraph"/>
              <w:spacing w:line="218" w:lineRule="exact"/>
              <w:ind w:right="87"/>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Arial" w:hAnsi="Arial" w:cs="Arial" w:eastAsia="Arial" w:hint="default"/>
                <w:sz w:val="18"/>
                <w:szCs w:val="18"/>
              </w:rPr>
            </w:pPr>
            <w:r>
              <w:rPr>
                <w:rFonts w:ascii="Arial"/>
                <w:spacing w:val="-1"/>
                <w:sz w:val="18"/>
              </w:rPr>
              <w:t>39,510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5"/>
              <w:jc w:val="right"/>
              <w:rPr>
                <w:rFonts w:ascii="Arial" w:hAnsi="Arial" w:cs="Arial" w:eastAsia="Arial" w:hint="default"/>
                <w:sz w:val="18"/>
                <w:szCs w:val="18"/>
              </w:rPr>
            </w:pPr>
            <w:r>
              <w:rPr>
                <w:rFonts w:ascii="Arial"/>
                <w:spacing w:val="-1"/>
                <w:sz w:val="18"/>
              </w:rPr>
              <w:t>39,510</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2"/>
              <w:jc w:val="right"/>
              <w:rPr>
                <w:rFonts w:ascii="Arial" w:hAnsi="Arial" w:cs="Arial" w:eastAsia="Arial" w:hint="default"/>
                <w:sz w:val="18"/>
                <w:szCs w:val="18"/>
              </w:rPr>
            </w:pPr>
            <w:r>
              <w:rPr>
                <w:rFonts w:ascii="Arial"/>
                <w:w w:val="99"/>
                <w:sz w:val="18"/>
              </w:rPr>
              <w:t>-</w:t>
            </w:r>
            <w:r>
              <w:rPr>
                <w:rFonts w:ascii="Arial"/>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
              <w:jc w:val="right"/>
              <w:rPr>
                <w:rFonts w:ascii="Arial" w:hAnsi="Arial" w:cs="Arial" w:eastAsia="Arial" w:hint="default"/>
                <w:sz w:val="18"/>
                <w:szCs w:val="18"/>
              </w:rPr>
            </w:pPr>
            <w:r>
              <w:rPr>
                <w:rFonts w:ascii="Arial"/>
                <w:spacing w:val="-1"/>
                <w:sz w:val="18"/>
              </w:rPr>
              <w:t>39,510</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3"/>
              <w:jc w:val="right"/>
              <w:rPr>
                <w:rFonts w:ascii="Arial" w:hAnsi="Arial" w:cs="Arial" w:eastAsia="Arial" w:hint="default"/>
                <w:sz w:val="18"/>
                <w:szCs w:val="18"/>
              </w:rPr>
            </w:pPr>
            <w:r>
              <w:rPr>
                <w:rFonts w:ascii="Arial"/>
                <w:w w:val="95"/>
                <w:sz w:val="18"/>
              </w:rPr>
              <w:t>90%</w:t>
            </w:r>
            <w:r>
              <w:rPr>
                <w:rFonts w:ascii="Arial"/>
                <w:sz w:val="18"/>
              </w:rPr>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Arial" w:hAnsi="Arial" w:cs="Arial" w:eastAsia="Arial" w:hint="default"/>
                <w:sz w:val="18"/>
                <w:szCs w:val="18"/>
              </w:rPr>
            </w:pPr>
            <w:r>
              <w:rPr>
                <w:rFonts w:ascii="Arial"/>
                <w:w w:val="95"/>
                <w:sz w:val="18"/>
              </w:rPr>
              <w:t>90%</w:t>
            </w:r>
            <w:r>
              <w:rPr>
                <w:rFonts w:ascii="Arial"/>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2"/>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5"/>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7"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16" w:lineRule="exact"/>
              <w:ind w:left="77" w:right="0"/>
              <w:jc w:val="left"/>
              <w:rPr>
                <w:rFonts w:ascii="宋体" w:hAnsi="宋体" w:cs="宋体" w:eastAsia="宋体" w:hint="default"/>
                <w:sz w:val="18"/>
                <w:szCs w:val="18"/>
              </w:rPr>
            </w:pPr>
            <w:r>
              <w:rPr>
                <w:rFonts w:ascii="宋体" w:hAnsi="宋体" w:cs="宋体" w:eastAsia="宋体" w:hint="default"/>
                <w:sz w:val="18"/>
                <w:szCs w:val="18"/>
              </w:rPr>
              <w:t>哈尔滨苏宁电器有限公司</w:t>
            </w:r>
          </w:p>
        </w:tc>
        <w:tc>
          <w:tcPr>
            <w:tcW w:w="781" w:type="dxa"/>
            <w:tcBorders>
              <w:top w:val="nil" w:sz="6" w:space="0" w:color="auto"/>
              <w:left w:val="nil" w:sz="6" w:space="0" w:color="auto"/>
              <w:bottom w:val="nil" w:sz="6" w:space="0" w:color="auto"/>
              <w:right w:val="nil" w:sz="6" w:space="0" w:color="auto"/>
            </w:tcBorders>
          </w:tcPr>
          <w:p>
            <w:pPr>
              <w:pStyle w:val="TableParagraph"/>
              <w:spacing w:line="216" w:lineRule="exact"/>
              <w:ind w:right="87"/>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spacing w:val="-1"/>
                <w:sz w:val="18"/>
              </w:rPr>
              <w:t>37,069</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5"/>
              <w:jc w:val="right"/>
              <w:rPr>
                <w:rFonts w:ascii="Arial" w:hAnsi="Arial" w:cs="Arial" w:eastAsia="Arial" w:hint="default"/>
                <w:sz w:val="18"/>
                <w:szCs w:val="18"/>
              </w:rPr>
            </w:pPr>
            <w:r>
              <w:rPr>
                <w:rFonts w:ascii="Arial"/>
                <w:spacing w:val="-1"/>
                <w:sz w:val="18"/>
              </w:rPr>
              <w:t>33,064</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w w:val="95"/>
                <w:sz w:val="18"/>
              </w:rPr>
              <w:t>4,005</w:t>
            </w:r>
            <w:r>
              <w:rPr>
                <w:rFonts w:ascii="Arial"/>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1"/>
                <w:sz w:val="18"/>
              </w:rPr>
              <w:t>37,069</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5"/>
                <w:sz w:val="18"/>
              </w:rPr>
              <w:t>90%</w:t>
            </w:r>
            <w:r>
              <w:rPr>
                <w:rFonts w:ascii="Arial"/>
                <w:sz w:val="18"/>
              </w:rPr>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
              <w:jc w:val="right"/>
              <w:rPr>
                <w:rFonts w:ascii="Arial" w:hAnsi="Arial" w:cs="Arial" w:eastAsia="Arial" w:hint="default"/>
                <w:sz w:val="18"/>
                <w:szCs w:val="18"/>
              </w:rPr>
            </w:pPr>
            <w:r>
              <w:rPr>
                <w:rFonts w:ascii="Arial"/>
                <w:w w:val="95"/>
                <w:sz w:val="18"/>
              </w:rPr>
              <w:t>90%</w:t>
            </w:r>
            <w:r>
              <w:rPr>
                <w:rFonts w:ascii="Arial"/>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5"/>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7"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16" w:lineRule="exact"/>
              <w:ind w:left="77" w:right="0"/>
              <w:jc w:val="left"/>
              <w:rPr>
                <w:rFonts w:ascii="宋体" w:hAnsi="宋体" w:cs="宋体" w:eastAsia="宋体" w:hint="default"/>
                <w:sz w:val="18"/>
                <w:szCs w:val="18"/>
              </w:rPr>
            </w:pPr>
            <w:r>
              <w:rPr>
                <w:rFonts w:ascii="宋体" w:hAnsi="宋体" w:cs="宋体" w:eastAsia="宋体" w:hint="default"/>
                <w:sz w:val="18"/>
                <w:szCs w:val="18"/>
              </w:rPr>
              <w:t>广西苏宁电器有限公司</w:t>
            </w:r>
          </w:p>
        </w:tc>
        <w:tc>
          <w:tcPr>
            <w:tcW w:w="781" w:type="dxa"/>
            <w:tcBorders>
              <w:top w:val="nil" w:sz="6" w:space="0" w:color="auto"/>
              <w:left w:val="nil" w:sz="6" w:space="0" w:color="auto"/>
              <w:bottom w:val="nil" w:sz="6" w:space="0" w:color="auto"/>
              <w:right w:val="nil" w:sz="6" w:space="0" w:color="auto"/>
            </w:tcBorders>
          </w:tcPr>
          <w:p>
            <w:pPr>
              <w:pStyle w:val="TableParagraph"/>
              <w:spacing w:line="216" w:lineRule="exact"/>
              <w:ind w:right="87"/>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spacing w:val="-1"/>
                <w:sz w:val="18"/>
              </w:rPr>
              <w:t>35,775</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5"/>
              <w:jc w:val="right"/>
              <w:rPr>
                <w:rFonts w:ascii="Arial" w:hAnsi="Arial" w:cs="Arial" w:eastAsia="Arial" w:hint="default"/>
                <w:sz w:val="18"/>
                <w:szCs w:val="18"/>
              </w:rPr>
            </w:pPr>
            <w:r>
              <w:rPr>
                <w:rFonts w:ascii="Arial"/>
                <w:spacing w:val="-1"/>
                <w:sz w:val="18"/>
              </w:rPr>
              <w:t>33,660</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3"/>
                <w:sz w:val="18"/>
              </w:rPr>
              <w:t>2,115</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1"/>
                <w:sz w:val="18"/>
              </w:rPr>
              <w:t>35,775</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5"/>
                <w:sz w:val="18"/>
              </w:rPr>
              <w:t>90%</w:t>
            </w:r>
            <w:r>
              <w:rPr>
                <w:rFonts w:ascii="Arial"/>
                <w:sz w:val="18"/>
              </w:rPr>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
              <w:jc w:val="right"/>
              <w:rPr>
                <w:rFonts w:ascii="Arial" w:hAnsi="Arial" w:cs="Arial" w:eastAsia="Arial" w:hint="default"/>
                <w:sz w:val="18"/>
                <w:szCs w:val="18"/>
              </w:rPr>
            </w:pPr>
            <w:r>
              <w:rPr>
                <w:rFonts w:ascii="Arial"/>
                <w:w w:val="95"/>
                <w:sz w:val="18"/>
              </w:rPr>
              <w:t>90%</w:t>
            </w:r>
            <w:r>
              <w:rPr>
                <w:rFonts w:ascii="Arial"/>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5"/>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7"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16" w:lineRule="exact"/>
              <w:ind w:left="77" w:right="0"/>
              <w:jc w:val="left"/>
              <w:rPr>
                <w:rFonts w:ascii="宋体" w:hAnsi="宋体" w:cs="宋体" w:eastAsia="宋体" w:hint="default"/>
                <w:sz w:val="18"/>
                <w:szCs w:val="18"/>
              </w:rPr>
            </w:pPr>
            <w:r>
              <w:rPr>
                <w:rFonts w:ascii="宋体" w:hAnsi="宋体" w:cs="宋体" w:eastAsia="宋体" w:hint="default"/>
                <w:sz w:val="18"/>
                <w:szCs w:val="18"/>
              </w:rPr>
              <w:t>南通苏宁电器有限公司</w:t>
            </w:r>
          </w:p>
        </w:tc>
        <w:tc>
          <w:tcPr>
            <w:tcW w:w="781" w:type="dxa"/>
            <w:tcBorders>
              <w:top w:val="nil" w:sz="6" w:space="0" w:color="auto"/>
              <w:left w:val="nil" w:sz="6" w:space="0" w:color="auto"/>
              <w:bottom w:val="nil" w:sz="6" w:space="0" w:color="auto"/>
              <w:right w:val="nil" w:sz="6" w:space="0" w:color="auto"/>
            </w:tcBorders>
          </w:tcPr>
          <w:p>
            <w:pPr>
              <w:pStyle w:val="TableParagraph"/>
              <w:spacing w:line="216" w:lineRule="exact"/>
              <w:ind w:right="87"/>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spacing w:val="-1"/>
                <w:sz w:val="18"/>
              </w:rPr>
              <w:t>34,866</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5"/>
              <w:jc w:val="right"/>
              <w:rPr>
                <w:rFonts w:ascii="Arial" w:hAnsi="Arial" w:cs="Arial" w:eastAsia="Arial" w:hint="default"/>
                <w:sz w:val="18"/>
                <w:szCs w:val="18"/>
              </w:rPr>
            </w:pPr>
            <w:r>
              <w:rPr>
                <w:rFonts w:ascii="Arial"/>
                <w:spacing w:val="-1"/>
                <w:sz w:val="18"/>
              </w:rPr>
              <w:t>26,743</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w w:val="95"/>
                <w:sz w:val="18"/>
              </w:rPr>
              <w:t>8,123</w:t>
            </w:r>
            <w:r>
              <w:rPr>
                <w:rFonts w:ascii="Arial"/>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1"/>
                <w:sz w:val="18"/>
              </w:rPr>
              <w:t>34,866</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5"/>
                <w:sz w:val="18"/>
              </w:rPr>
              <w:t>95%</w:t>
            </w:r>
            <w:r>
              <w:rPr>
                <w:rFonts w:ascii="Arial"/>
                <w:sz w:val="18"/>
              </w:rPr>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
              <w:jc w:val="right"/>
              <w:rPr>
                <w:rFonts w:ascii="Arial" w:hAnsi="Arial" w:cs="Arial" w:eastAsia="Arial" w:hint="default"/>
                <w:sz w:val="18"/>
                <w:szCs w:val="18"/>
              </w:rPr>
            </w:pPr>
            <w:r>
              <w:rPr>
                <w:rFonts w:ascii="Arial"/>
                <w:w w:val="95"/>
                <w:sz w:val="18"/>
              </w:rPr>
              <w:t>95%</w:t>
            </w:r>
            <w:r>
              <w:rPr>
                <w:rFonts w:ascii="Arial"/>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5"/>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7"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17" w:lineRule="exact"/>
              <w:ind w:left="77" w:right="0"/>
              <w:jc w:val="left"/>
              <w:rPr>
                <w:rFonts w:ascii="宋体" w:hAnsi="宋体" w:cs="宋体" w:eastAsia="宋体" w:hint="default"/>
                <w:sz w:val="18"/>
                <w:szCs w:val="18"/>
              </w:rPr>
            </w:pPr>
            <w:r>
              <w:rPr>
                <w:rFonts w:ascii="宋体" w:hAnsi="宋体" w:cs="宋体" w:eastAsia="宋体" w:hint="default"/>
                <w:sz w:val="18"/>
                <w:szCs w:val="18"/>
              </w:rPr>
              <w:t>石家庄苏宁电器有限公司</w:t>
            </w:r>
          </w:p>
        </w:tc>
        <w:tc>
          <w:tcPr>
            <w:tcW w:w="781" w:type="dxa"/>
            <w:tcBorders>
              <w:top w:val="nil" w:sz="6" w:space="0" w:color="auto"/>
              <w:left w:val="nil" w:sz="6" w:space="0" w:color="auto"/>
              <w:bottom w:val="nil" w:sz="6" w:space="0" w:color="auto"/>
              <w:right w:val="nil" w:sz="6" w:space="0" w:color="auto"/>
            </w:tcBorders>
          </w:tcPr>
          <w:p>
            <w:pPr>
              <w:pStyle w:val="TableParagraph"/>
              <w:spacing w:line="217" w:lineRule="exact"/>
              <w:ind w:right="87"/>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7"/>
              <w:jc w:val="right"/>
              <w:rPr>
                <w:rFonts w:ascii="Arial" w:hAnsi="Arial" w:cs="Arial" w:eastAsia="Arial" w:hint="default"/>
                <w:sz w:val="18"/>
                <w:szCs w:val="18"/>
              </w:rPr>
            </w:pPr>
            <w:r>
              <w:rPr>
                <w:rFonts w:ascii="Arial"/>
                <w:spacing w:val="-1"/>
                <w:sz w:val="18"/>
              </w:rPr>
              <w:t>33,970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5"/>
              <w:jc w:val="right"/>
              <w:rPr>
                <w:rFonts w:ascii="Arial" w:hAnsi="Arial" w:cs="Arial" w:eastAsia="Arial" w:hint="default"/>
                <w:sz w:val="18"/>
                <w:szCs w:val="18"/>
              </w:rPr>
            </w:pPr>
            <w:r>
              <w:rPr>
                <w:rFonts w:ascii="Arial"/>
                <w:spacing w:val="-1"/>
                <w:sz w:val="18"/>
              </w:rPr>
              <w:t>29,320</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1"/>
              <w:jc w:val="right"/>
              <w:rPr>
                <w:rFonts w:ascii="Arial" w:hAnsi="Arial" w:cs="Arial" w:eastAsia="Arial" w:hint="default"/>
                <w:sz w:val="18"/>
                <w:szCs w:val="18"/>
              </w:rPr>
            </w:pPr>
            <w:r>
              <w:rPr>
                <w:rFonts w:ascii="Arial"/>
                <w:w w:val="95"/>
                <w:sz w:val="18"/>
              </w:rPr>
              <w:t>4,650</w:t>
            </w:r>
            <w:r>
              <w:rPr>
                <w:rFonts w:ascii="Arial"/>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5"/>
              <w:jc w:val="right"/>
              <w:rPr>
                <w:rFonts w:ascii="Arial" w:hAnsi="Arial" w:cs="Arial" w:eastAsia="Arial" w:hint="default"/>
                <w:sz w:val="18"/>
                <w:szCs w:val="18"/>
              </w:rPr>
            </w:pPr>
            <w:r>
              <w:rPr>
                <w:rFonts w:ascii="Arial"/>
                <w:spacing w:val="-1"/>
                <w:sz w:val="18"/>
              </w:rPr>
              <w:t>33,970</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3"/>
              <w:jc w:val="right"/>
              <w:rPr>
                <w:rFonts w:ascii="Arial" w:hAnsi="Arial" w:cs="Arial" w:eastAsia="Arial" w:hint="default"/>
                <w:sz w:val="18"/>
                <w:szCs w:val="18"/>
              </w:rPr>
            </w:pPr>
            <w:r>
              <w:rPr>
                <w:rFonts w:ascii="Arial"/>
                <w:w w:val="95"/>
                <w:sz w:val="18"/>
              </w:rPr>
              <w:t>100%</w:t>
            </w:r>
            <w:r>
              <w:rPr>
                <w:rFonts w:ascii="Arial"/>
                <w:sz w:val="18"/>
              </w:rPr>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7"/>
              <w:jc w:val="right"/>
              <w:rPr>
                <w:rFonts w:ascii="Arial" w:hAnsi="Arial" w:cs="Arial" w:eastAsia="Arial" w:hint="default"/>
                <w:sz w:val="18"/>
                <w:szCs w:val="18"/>
              </w:rPr>
            </w:pPr>
            <w:r>
              <w:rPr>
                <w:rFonts w:ascii="Arial"/>
                <w:w w:val="95"/>
                <w:sz w:val="18"/>
              </w:rPr>
              <w:t>100%</w:t>
            </w:r>
            <w:r>
              <w:rPr>
                <w:rFonts w:ascii="Arial"/>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2"/>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5"/>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7"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16" w:lineRule="exact"/>
              <w:ind w:left="77" w:right="0"/>
              <w:jc w:val="left"/>
              <w:rPr>
                <w:rFonts w:ascii="宋体" w:hAnsi="宋体" w:cs="宋体" w:eastAsia="宋体" w:hint="default"/>
                <w:sz w:val="18"/>
                <w:szCs w:val="18"/>
              </w:rPr>
            </w:pPr>
            <w:r>
              <w:rPr>
                <w:rFonts w:ascii="宋体" w:hAnsi="宋体" w:cs="宋体" w:eastAsia="宋体" w:hint="default"/>
                <w:sz w:val="18"/>
                <w:szCs w:val="18"/>
              </w:rPr>
              <w:t>无锡市苏宁电器有限公司</w:t>
            </w:r>
          </w:p>
        </w:tc>
        <w:tc>
          <w:tcPr>
            <w:tcW w:w="781" w:type="dxa"/>
            <w:tcBorders>
              <w:top w:val="nil" w:sz="6" w:space="0" w:color="auto"/>
              <w:left w:val="nil" w:sz="6" w:space="0" w:color="auto"/>
              <w:bottom w:val="nil" w:sz="6" w:space="0" w:color="auto"/>
              <w:right w:val="nil" w:sz="6" w:space="0" w:color="auto"/>
            </w:tcBorders>
          </w:tcPr>
          <w:p>
            <w:pPr>
              <w:pStyle w:val="TableParagraph"/>
              <w:spacing w:line="216" w:lineRule="exact"/>
              <w:ind w:right="87"/>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spacing w:val="-1"/>
                <w:sz w:val="18"/>
              </w:rPr>
              <w:t>32,184</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5"/>
              <w:jc w:val="right"/>
              <w:rPr>
                <w:rFonts w:ascii="Arial" w:hAnsi="Arial" w:cs="Arial" w:eastAsia="Arial" w:hint="default"/>
                <w:sz w:val="18"/>
                <w:szCs w:val="18"/>
              </w:rPr>
            </w:pPr>
            <w:r>
              <w:rPr>
                <w:rFonts w:ascii="Arial"/>
                <w:spacing w:val="-1"/>
                <w:sz w:val="18"/>
              </w:rPr>
              <w:t>32,184</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1"/>
                <w:sz w:val="18"/>
              </w:rPr>
              <w:t>32,184</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5"/>
                <w:sz w:val="18"/>
              </w:rPr>
              <w:t>90%</w:t>
            </w:r>
            <w:r>
              <w:rPr>
                <w:rFonts w:ascii="Arial"/>
                <w:sz w:val="18"/>
              </w:rPr>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
              <w:jc w:val="right"/>
              <w:rPr>
                <w:rFonts w:ascii="Arial" w:hAnsi="Arial" w:cs="Arial" w:eastAsia="Arial" w:hint="default"/>
                <w:sz w:val="18"/>
                <w:szCs w:val="18"/>
              </w:rPr>
            </w:pPr>
            <w:r>
              <w:rPr>
                <w:rFonts w:ascii="Arial"/>
                <w:w w:val="95"/>
                <w:sz w:val="18"/>
              </w:rPr>
              <w:t>90%</w:t>
            </w:r>
            <w:r>
              <w:rPr>
                <w:rFonts w:ascii="Arial"/>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5"/>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7"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16" w:lineRule="exact"/>
              <w:ind w:left="77" w:right="0"/>
              <w:jc w:val="left"/>
              <w:rPr>
                <w:rFonts w:ascii="宋体" w:hAnsi="宋体" w:cs="宋体" w:eastAsia="宋体" w:hint="default"/>
                <w:sz w:val="18"/>
                <w:szCs w:val="18"/>
              </w:rPr>
            </w:pPr>
            <w:r>
              <w:rPr>
                <w:rFonts w:ascii="宋体" w:hAnsi="宋体" w:cs="宋体" w:eastAsia="宋体" w:hint="default"/>
                <w:sz w:val="18"/>
                <w:szCs w:val="18"/>
              </w:rPr>
              <w:t>盐城苏宁电器有限公司</w:t>
            </w:r>
          </w:p>
        </w:tc>
        <w:tc>
          <w:tcPr>
            <w:tcW w:w="781" w:type="dxa"/>
            <w:tcBorders>
              <w:top w:val="nil" w:sz="6" w:space="0" w:color="auto"/>
              <w:left w:val="nil" w:sz="6" w:space="0" w:color="auto"/>
              <w:bottom w:val="nil" w:sz="6" w:space="0" w:color="auto"/>
              <w:right w:val="nil" w:sz="6" w:space="0" w:color="auto"/>
            </w:tcBorders>
          </w:tcPr>
          <w:p>
            <w:pPr>
              <w:pStyle w:val="TableParagraph"/>
              <w:spacing w:line="216" w:lineRule="exact"/>
              <w:ind w:right="87"/>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spacing w:val="-1"/>
                <w:sz w:val="18"/>
              </w:rPr>
              <w:t>32,148</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5"/>
              <w:jc w:val="right"/>
              <w:rPr>
                <w:rFonts w:ascii="Arial" w:hAnsi="Arial" w:cs="Arial" w:eastAsia="Arial" w:hint="default"/>
                <w:sz w:val="18"/>
                <w:szCs w:val="18"/>
              </w:rPr>
            </w:pPr>
            <w:r>
              <w:rPr>
                <w:rFonts w:ascii="Arial"/>
                <w:spacing w:val="-1"/>
                <w:sz w:val="18"/>
              </w:rPr>
              <w:t>29,493</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w w:val="95"/>
                <w:sz w:val="18"/>
              </w:rPr>
              <w:t>2,655</w:t>
            </w:r>
            <w:r>
              <w:rPr>
                <w:rFonts w:ascii="Arial"/>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1"/>
                <w:sz w:val="18"/>
              </w:rPr>
              <w:t>32,148</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5"/>
                <w:sz w:val="18"/>
              </w:rPr>
              <w:t>90%</w:t>
            </w:r>
            <w:r>
              <w:rPr>
                <w:rFonts w:ascii="Arial"/>
                <w:sz w:val="18"/>
              </w:rPr>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
              <w:jc w:val="right"/>
              <w:rPr>
                <w:rFonts w:ascii="Arial" w:hAnsi="Arial" w:cs="Arial" w:eastAsia="Arial" w:hint="default"/>
                <w:sz w:val="18"/>
                <w:szCs w:val="18"/>
              </w:rPr>
            </w:pPr>
            <w:r>
              <w:rPr>
                <w:rFonts w:ascii="Arial"/>
                <w:w w:val="95"/>
                <w:sz w:val="18"/>
              </w:rPr>
              <w:t>90%</w:t>
            </w:r>
            <w:r>
              <w:rPr>
                <w:rFonts w:ascii="Arial"/>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5"/>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7"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16" w:lineRule="exact"/>
              <w:ind w:left="77" w:right="0"/>
              <w:jc w:val="left"/>
              <w:rPr>
                <w:rFonts w:ascii="宋体" w:hAnsi="宋体" w:cs="宋体" w:eastAsia="宋体" w:hint="default"/>
                <w:sz w:val="18"/>
                <w:szCs w:val="18"/>
              </w:rPr>
            </w:pPr>
            <w:r>
              <w:rPr>
                <w:rFonts w:ascii="宋体" w:hAnsi="宋体" w:cs="宋体" w:eastAsia="宋体" w:hint="default"/>
                <w:sz w:val="18"/>
                <w:szCs w:val="18"/>
              </w:rPr>
              <w:t>内蒙古苏宁电器有限公司</w:t>
            </w:r>
          </w:p>
        </w:tc>
        <w:tc>
          <w:tcPr>
            <w:tcW w:w="781" w:type="dxa"/>
            <w:tcBorders>
              <w:top w:val="nil" w:sz="6" w:space="0" w:color="auto"/>
              <w:left w:val="nil" w:sz="6" w:space="0" w:color="auto"/>
              <w:bottom w:val="nil" w:sz="6" w:space="0" w:color="auto"/>
              <w:right w:val="nil" w:sz="6" w:space="0" w:color="auto"/>
            </w:tcBorders>
          </w:tcPr>
          <w:p>
            <w:pPr>
              <w:pStyle w:val="TableParagraph"/>
              <w:spacing w:line="216" w:lineRule="exact"/>
              <w:ind w:right="87"/>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spacing w:val="-1"/>
                <w:sz w:val="18"/>
              </w:rPr>
              <w:t>31,678</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5"/>
              <w:jc w:val="right"/>
              <w:rPr>
                <w:rFonts w:ascii="Arial" w:hAnsi="Arial" w:cs="Arial" w:eastAsia="Arial" w:hint="default"/>
                <w:sz w:val="18"/>
                <w:szCs w:val="18"/>
              </w:rPr>
            </w:pPr>
            <w:r>
              <w:rPr>
                <w:rFonts w:ascii="Arial"/>
                <w:spacing w:val="-1"/>
                <w:sz w:val="18"/>
              </w:rPr>
              <w:t>29,203</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w w:val="95"/>
                <w:sz w:val="18"/>
              </w:rPr>
              <w:t>2,475</w:t>
            </w:r>
            <w:r>
              <w:rPr>
                <w:rFonts w:ascii="Arial"/>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1"/>
                <w:sz w:val="18"/>
              </w:rPr>
              <w:t>31,678</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5"/>
                <w:sz w:val="18"/>
              </w:rPr>
              <w:t>90%</w:t>
            </w:r>
            <w:r>
              <w:rPr>
                <w:rFonts w:ascii="Arial"/>
                <w:sz w:val="18"/>
              </w:rPr>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
              <w:jc w:val="right"/>
              <w:rPr>
                <w:rFonts w:ascii="Arial" w:hAnsi="Arial" w:cs="Arial" w:eastAsia="Arial" w:hint="default"/>
                <w:sz w:val="18"/>
                <w:szCs w:val="18"/>
              </w:rPr>
            </w:pPr>
            <w:r>
              <w:rPr>
                <w:rFonts w:ascii="Arial"/>
                <w:w w:val="95"/>
                <w:sz w:val="18"/>
              </w:rPr>
              <w:t>90%</w:t>
            </w:r>
            <w:r>
              <w:rPr>
                <w:rFonts w:ascii="Arial"/>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5"/>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7"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16" w:lineRule="exact"/>
              <w:ind w:left="77" w:right="0"/>
              <w:jc w:val="left"/>
              <w:rPr>
                <w:rFonts w:ascii="宋体" w:hAnsi="宋体" w:cs="宋体" w:eastAsia="宋体" w:hint="default"/>
                <w:sz w:val="18"/>
                <w:szCs w:val="18"/>
              </w:rPr>
            </w:pPr>
            <w:r>
              <w:rPr>
                <w:rFonts w:ascii="宋体" w:hAnsi="宋体" w:cs="宋体" w:eastAsia="宋体" w:hint="default"/>
                <w:sz w:val="18"/>
                <w:szCs w:val="18"/>
              </w:rPr>
              <w:t>石家庄石宁苏宁贸易有限公司</w:t>
            </w:r>
          </w:p>
        </w:tc>
        <w:tc>
          <w:tcPr>
            <w:tcW w:w="781" w:type="dxa"/>
            <w:tcBorders>
              <w:top w:val="nil" w:sz="6" w:space="0" w:color="auto"/>
              <w:left w:val="nil" w:sz="6" w:space="0" w:color="auto"/>
              <w:bottom w:val="nil" w:sz="6" w:space="0" w:color="auto"/>
              <w:right w:val="nil" w:sz="6" w:space="0" w:color="auto"/>
            </w:tcBorders>
          </w:tcPr>
          <w:p>
            <w:pPr>
              <w:pStyle w:val="TableParagraph"/>
              <w:spacing w:line="216" w:lineRule="exact"/>
              <w:ind w:right="87"/>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5"/>
              <w:jc w:val="right"/>
              <w:rPr>
                <w:rFonts w:ascii="Arial" w:hAnsi="Arial" w:cs="Arial" w:eastAsia="Arial" w:hint="default"/>
                <w:sz w:val="18"/>
                <w:szCs w:val="18"/>
              </w:rPr>
            </w:pPr>
            <w:r>
              <w:rPr>
                <w:rFonts w:ascii="Arial"/>
                <w:spacing w:val="-1"/>
                <w:sz w:val="18"/>
              </w:rPr>
              <w:t>31,500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6"/>
              <w:jc w:val="right"/>
              <w:rPr>
                <w:rFonts w:ascii="Arial" w:hAnsi="Arial" w:cs="Arial" w:eastAsia="Arial" w:hint="default"/>
                <w:sz w:val="18"/>
                <w:szCs w:val="18"/>
              </w:rPr>
            </w:pPr>
            <w:r>
              <w:rPr>
                <w:rFonts w:ascii="Arial"/>
                <w:w w:val="99"/>
                <w:sz w:val="18"/>
              </w:rPr>
              <w:t>-</w:t>
            </w:r>
            <w:r>
              <w:rPr>
                <w:rFonts w:ascii="Arial"/>
                <w:sz w:val="18"/>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31,500</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1"/>
                <w:sz w:val="18"/>
              </w:rPr>
              <w:t>31,500</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5"/>
                <w:sz w:val="18"/>
              </w:rPr>
              <w:t>90%</w:t>
            </w:r>
            <w:r>
              <w:rPr>
                <w:rFonts w:ascii="Arial"/>
                <w:sz w:val="18"/>
              </w:rPr>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
              <w:jc w:val="right"/>
              <w:rPr>
                <w:rFonts w:ascii="Arial" w:hAnsi="Arial" w:cs="Arial" w:eastAsia="Arial" w:hint="default"/>
                <w:sz w:val="18"/>
                <w:szCs w:val="18"/>
              </w:rPr>
            </w:pPr>
            <w:r>
              <w:rPr>
                <w:rFonts w:ascii="Arial"/>
                <w:w w:val="95"/>
                <w:sz w:val="18"/>
              </w:rPr>
              <w:t>90%</w:t>
            </w:r>
            <w:r>
              <w:rPr>
                <w:rFonts w:ascii="Arial"/>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5"/>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7"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16" w:lineRule="exact"/>
              <w:ind w:left="77" w:right="0"/>
              <w:jc w:val="left"/>
              <w:rPr>
                <w:rFonts w:ascii="宋体" w:hAnsi="宋体" w:cs="宋体" w:eastAsia="宋体" w:hint="default"/>
                <w:sz w:val="18"/>
                <w:szCs w:val="18"/>
              </w:rPr>
            </w:pPr>
            <w:r>
              <w:rPr>
                <w:rFonts w:ascii="宋体" w:hAnsi="宋体" w:cs="宋体" w:eastAsia="宋体" w:hint="default"/>
                <w:sz w:val="18"/>
                <w:szCs w:val="18"/>
              </w:rPr>
              <w:t>海南苏宁电器有限公司</w:t>
            </w:r>
          </w:p>
        </w:tc>
        <w:tc>
          <w:tcPr>
            <w:tcW w:w="781" w:type="dxa"/>
            <w:tcBorders>
              <w:top w:val="nil" w:sz="6" w:space="0" w:color="auto"/>
              <w:left w:val="nil" w:sz="6" w:space="0" w:color="auto"/>
              <w:bottom w:val="nil" w:sz="6" w:space="0" w:color="auto"/>
              <w:right w:val="nil" w:sz="6" w:space="0" w:color="auto"/>
            </w:tcBorders>
          </w:tcPr>
          <w:p>
            <w:pPr>
              <w:pStyle w:val="TableParagraph"/>
              <w:spacing w:line="216" w:lineRule="exact"/>
              <w:ind w:right="87"/>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spacing w:val="-1"/>
                <w:sz w:val="18"/>
              </w:rPr>
              <w:t>30,384</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5"/>
              <w:jc w:val="right"/>
              <w:rPr>
                <w:rFonts w:ascii="Arial" w:hAnsi="Arial" w:cs="Arial" w:eastAsia="Arial" w:hint="default"/>
                <w:sz w:val="18"/>
                <w:szCs w:val="18"/>
              </w:rPr>
            </w:pPr>
            <w:r>
              <w:rPr>
                <w:rFonts w:ascii="Arial"/>
                <w:spacing w:val="-1"/>
                <w:sz w:val="18"/>
              </w:rPr>
              <w:t>20,700</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w w:val="95"/>
                <w:sz w:val="18"/>
              </w:rPr>
              <w:t>9,684</w:t>
            </w:r>
            <w:r>
              <w:rPr>
                <w:rFonts w:ascii="Arial"/>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1"/>
                <w:sz w:val="18"/>
              </w:rPr>
              <w:t>30,384</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5"/>
                <w:sz w:val="18"/>
              </w:rPr>
              <w:t>90%</w:t>
            </w:r>
            <w:r>
              <w:rPr>
                <w:rFonts w:ascii="Arial"/>
                <w:sz w:val="18"/>
              </w:rPr>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
              <w:jc w:val="right"/>
              <w:rPr>
                <w:rFonts w:ascii="Arial" w:hAnsi="Arial" w:cs="Arial" w:eastAsia="Arial" w:hint="default"/>
                <w:sz w:val="18"/>
                <w:szCs w:val="18"/>
              </w:rPr>
            </w:pPr>
            <w:r>
              <w:rPr>
                <w:rFonts w:ascii="Arial"/>
                <w:w w:val="95"/>
                <w:sz w:val="18"/>
              </w:rPr>
              <w:t>90%</w:t>
            </w:r>
            <w:r>
              <w:rPr>
                <w:rFonts w:ascii="Arial"/>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5"/>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7"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16" w:lineRule="exact"/>
              <w:ind w:left="77" w:right="0"/>
              <w:jc w:val="left"/>
              <w:rPr>
                <w:rFonts w:ascii="宋体" w:hAnsi="宋体" w:cs="宋体" w:eastAsia="宋体" w:hint="default"/>
                <w:sz w:val="18"/>
                <w:szCs w:val="18"/>
              </w:rPr>
            </w:pPr>
            <w:r>
              <w:rPr>
                <w:rFonts w:ascii="宋体" w:hAnsi="宋体" w:cs="宋体" w:eastAsia="宋体" w:hint="default"/>
                <w:sz w:val="18"/>
                <w:szCs w:val="18"/>
              </w:rPr>
              <w:t>湖南苏宁先锋电子有限公司</w:t>
            </w:r>
          </w:p>
        </w:tc>
        <w:tc>
          <w:tcPr>
            <w:tcW w:w="781" w:type="dxa"/>
            <w:tcBorders>
              <w:top w:val="nil" w:sz="6" w:space="0" w:color="auto"/>
              <w:left w:val="nil" w:sz="6" w:space="0" w:color="auto"/>
              <w:bottom w:val="nil" w:sz="6" w:space="0" w:color="auto"/>
              <w:right w:val="nil" w:sz="6" w:space="0" w:color="auto"/>
            </w:tcBorders>
          </w:tcPr>
          <w:p>
            <w:pPr>
              <w:pStyle w:val="TableParagraph"/>
              <w:spacing w:line="216" w:lineRule="exact"/>
              <w:ind w:right="87"/>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spacing w:val="-1"/>
                <w:sz w:val="18"/>
              </w:rPr>
              <w:t>27,000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5"/>
              <w:jc w:val="right"/>
              <w:rPr>
                <w:rFonts w:ascii="Arial" w:hAnsi="Arial" w:cs="Arial" w:eastAsia="Arial" w:hint="default"/>
                <w:sz w:val="18"/>
                <w:szCs w:val="18"/>
              </w:rPr>
            </w:pPr>
            <w:r>
              <w:rPr>
                <w:rFonts w:ascii="Arial"/>
                <w:spacing w:val="-1"/>
                <w:sz w:val="18"/>
              </w:rPr>
              <w:t>27,000</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1"/>
                <w:sz w:val="18"/>
              </w:rPr>
              <w:t>27,000</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5"/>
                <w:sz w:val="18"/>
              </w:rPr>
              <w:t>90%</w:t>
            </w:r>
            <w:r>
              <w:rPr>
                <w:rFonts w:ascii="Arial"/>
                <w:sz w:val="18"/>
              </w:rPr>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
              <w:jc w:val="right"/>
              <w:rPr>
                <w:rFonts w:ascii="Arial" w:hAnsi="Arial" w:cs="Arial" w:eastAsia="Arial" w:hint="default"/>
                <w:sz w:val="18"/>
                <w:szCs w:val="18"/>
              </w:rPr>
            </w:pPr>
            <w:r>
              <w:rPr>
                <w:rFonts w:ascii="Arial"/>
                <w:w w:val="95"/>
                <w:sz w:val="18"/>
              </w:rPr>
              <w:t>90%</w:t>
            </w:r>
            <w:r>
              <w:rPr>
                <w:rFonts w:ascii="Arial"/>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5"/>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7"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16" w:lineRule="exact"/>
              <w:ind w:left="77" w:right="0"/>
              <w:jc w:val="left"/>
              <w:rPr>
                <w:rFonts w:ascii="宋体" w:hAnsi="宋体" w:cs="宋体" w:eastAsia="宋体" w:hint="default"/>
                <w:sz w:val="18"/>
                <w:szCs w:val="18"/>
              </w:rPr>
            </w:pPr>
            <w:r>
              <w:rPr>
                <w:rFonts w:ascii="宋体" w:hAnsi="宋体" w:cs="宋体" w:eastAsia="宋体" w:hint="default"/>
                <w:sz w:val="18"/>
                <w:szCs w:val="18"/>
              </w:rPr>
              <w:t>常州苏宁电器有限公司</w:t>
            </w:r>
          </w:p>
        </w:tc>
        <w:tc>
          <w:tcPr>
            <w:tcW w:w="781" w:type="dxa"/>
            <w:tcBorders>
              <w:top w:val="nil" w:sz="6" w:space="0" w:color="auto"/>
              <w:left w:val="nil" w:sz="6" w:space="0" w:color="auto"/>
              <w:bottom w:val="nil" w:sz="6" w:space="0" w:color="auto"/>
              <w:right w:val="nil" w:sz="6" w:space="0" w:color="auto"/>
            </w:tcBorders>
          </w:tcPr>
          <w:p>
            <w:pPr>
              <w:pStyle w:val="TableParagraph"/>
              <w:spacing w:line="216" w:lineRule="exact"/>
              <w:ind w:right="87"/>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3"/>
                <w:sz w:val="18"/>
              </w:rPr>
              <w:t>26,511</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5"/>
              <w:jc w:val="right"/>
              <w:rPr>
                <w:rFonts w:ascii="Arial" w:hAnsi="Arial" w:cs="Arial" w:eastAsia="Arial" w:hint="default"/>
                <w:sz w:val="18"/>
                <w:szCs w:val="18"/>
              </w:rPr>
            </w:pPr>
            <w:r>
              <w:rPr>
                <w:rFonts w:ascii="Arial"/>
                <w:w w:val="95"/>
                <w:sz w:val="18"/>
              </w:rPr>
              <w:t>8,106</w:t>
            </w:r>
            <w:r>
              <w:rPr>
                <w:rFonts w:ascii="Arial"/>
                <w:sz w:val="18"/>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18,405</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3"/>
                <w:sz w:val="18"/>
              </w:rPr>
              <w:t>26,511</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5"/>
                <w:sz w:val="18"/>
              </w:rPr>
              <w:t>90%</w:t>
            </w:r>
            <w:r>
              <w:rPr>
                <w:rFonts w:ascii="Arial"/>
                <w:sz w:val="18"/>
              </w:rPr>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
              <w:jc w:val="right"/>
              <w:rPr>
                <w:rFonts w:ascii="Arial" w:hAnsi="Arial" w:cs="Arial" w:eastAsia="Arial" w:hint="default"/>
                <w:sz w:val="18"/>
                <w:szCs w:val="18"/>
              </w:rPr>
            </w:pPr>
            <w:r>
              <w:rPr>
                <w:rFonts w:ascii="Arial"/>
                <w:w w:val="95"/>
                <w:sz w:val="18"/>
              </w:rPr>
              <w:t>90%</w:t>
            </w:r>
            <w:r>
              <w:rPr>
                <w:rFonts w:ascii="Arial"/>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5"/>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7"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16" w:lineRule="exact"/>
              <w:ind w:left="77" w:right="0"/>
              <w:jc w:val="left"/>
              <w:rPr>
                <w:rFonts w:ascii="宋体" w:hAnsi="宋体" w:cs="宋体" w:eastAsia="宋体" w:hint="default"/>
                <w:sz w:val="18"/>
                <w:szCs w:val="18"/>
              </w:rPr>
            </w:pPr>
            <w:r>
              <w:rPr>
                <w:rFonts w:ascii="宋体" w:hAnsi="宋体" w:cs="宋体" w:eastAsia="宋体" w:hint="default"/>
                <w:sz w:val="18"/>
                <w:szCs w:val="18"/>
              </w:rPr>
              <w:t>山西苏宁电器有限公司</w:t>
            </w:r>
          </w:p>
        </w:tc>
        <w:tc>
          <w:tcPr>
            <w:tcW w:w="781" w:type="dxa"/>
            <w:tcBorders>
              <w:top w:val="nil" w:sz="6" w:space="0" w:color="auto"/>
              <w:left w:val="nil" w:sz="6" w:space="0" w:color="auto"/>
              <w:bottom w:val="nil" w:sz="6" w:space="0" w:color="auto"/>
              <w:right w:val="nil" w:sz="6" w:space="0" w:color="auto"/>
            </w:tcBorders>
          </w:tcPr>
          <w:p>
            <w:pPr>
              <w:pStyle w:val="TableParagraph"/>
              <w:spacing w:line="216" w:lineRule="exact"/>
              <w:ind w:right="87"/>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spacing w:val="-1"/>
                <w:sz w:val="18"/>
              </w:rPr>
              <w:t>25,614</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5"/>
              <w:jc w:val="right"/>
              <w:rPr>
                <w:rFonts w:ascii="Arial" w:hAnsi="Arial" w:cs="Arial" w:eastAsia="Arial" w:hint="default"/>
                <w:sz w:val="18"/>
                <w:szCs w:val="18"/>
              </w:rPr>
            </w:pPr>
            <w:r>
              <w:rPr>
                <w:rFonts w:ascii="Arial"/>
                <w:spacing w:val="-1"/>
                <w:sz w:val="18"/>
              </w:rPr>
              <w:t>25,614</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1"/>
                <w:sz w:val="18"/>
              </w:rPr>
              <w:t>25,614</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5"/>
                <w:sz w:val="18"/>
              </w:rPr>
              <w:t>90%</w:t>
            </w:r>
            <w:r>
              <w:rPr>
                <w:rFonts w:ascii="Arial"/>
                <w:sz w:val="18"/>
              </w:rPr>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
              <w:jc w:val="right"/>
              <w:rPr>
                <w:rFonts w:ascii="Arial" w:hAnsi="Arial" w:cs="Arial" w:eastAsia="Arial" w:hint="default"/>
                <w:sz w:val="18"/>
                <w:szCs w:val="18"/>
              </w:rPr>
            </w:pPr>
            <w:r>
              <w:rPr>
                <w:rFonts w:ascii="Arial"/>
                <w:w w:val="95"/>
                <w:sz w:val="18"/>
              </w:rPr>
              <w:t>90%</w:t>
            </w:r>
            <w:r>
              <w:rPr>
                <w:rFonts w:ascii="Arial"/>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5"/>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7"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17" w:lineRule="exact"/>
              <w:ind w:left="77" w:right="0"/>
              <w:jc w:val="left"/>
              <w:rPr>
                <w:rFonts w:ascii="宋体" w:hAnsi="宋体" w:cs="宋体" w:eastAsia="宋体" w:hint="default"/>
                <w:sz w:val="18"/>
                <w:szCs w:val="18"/>
              </w:rPr>
            </w:pPr>
            <w:r>
              <w:rPr>
                <w:rFonts w:ascii="宋体" w:hAnsi="宋体" w:cs="宋体" w:eastAsia="宋体" w:hint="default"/>
                <w:sz w:val="18"/>
                <w:szCs w:val="18"/>
              </w:rPr>
              <w:t>西宁苏宁电器有限公司</w:t>
            </w:r>
          </w:p>
        </w:tc>
        <w:tc>
          <w:tcPr>
            <w:tcW w:w="781" w:type="dxa"/>
            <w:tcBorders>
              <w:top w:val="nil" w:sz="6" w:space="0" w:color="auto"/>
              <w:left w:val="nil" w:sz="6" w:space="0" w:color="auto"/>
              <w:bottom w:val="nil" w:sz="6" w:space="0" w:color="auto"/>
              <w:right w:val="nil" w:sz="6" w:space="0" w:color="auto"/>
            </w:tcBorders>
          </w:tcPr>
          <w:p>
            <w:pPr>
              <w:pStyle w:val="TableParagraph"/>
              <w:spacing w:line="217" w:lineRule="exact"/>
              <w:ind w:right="87"/>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7"/>
              <w:jc w:val="right"/>
              <w:rPr>
                <w:rFonts w:ascii="Arial" w:hAnsi="Arial" w:cs="Arial" w:eastAsia="Arial" w:hint="default"/>
                <w:sz w:val="18"/>
                <w:szCs w:val="18"/>
              </w:rPr>
            </w:pPr>
            <w:r>
              <w:rPr>
                <w:rFonts w:ascii="Arial"/>
                <w:spacing w:val="-1"/>
                <w:sz w:val="18"/>
              </w:rPr>
              <w:t>21,600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5"/>
              <w:jc w:val="right"/>
              <w:rPr>
                <w:rFonts w:ascii="Arial" w:hAnsi="Arial" w:cs="Arial" w:eastAsia="Arial" w:hint="default"/>
                <w:sz w:val="18"/>
                <w:szCs w:val="18"/>
              </w:rPr>
            </w:pPr>
            <w:r>
              <w:rPr>
                <w:rFonts w:ascii="Arial"/>
                <w:spacing w:val="-1"/>
                <w:sz w:val="18"/>
              </w:rPr>
              <w:t>21,600</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2"/>
              <w:jc w:val="right"/>
              <w:rPr>
                <w:rFonts w:ascii="Arial" w:hAnsi="Arial" w:cs="Arial" w:eastAsia="Arial" w:hint="default"/>
                <w:sz w:val="18"/>
                <w:szCs w:val="18"/>
              </w:rPr>
            </w:pPr>
            <w:r>
              <w:rPr>
                <w:rFonts w:ascii="Arial"/>
                <w:w w:val="99"/>
                <w:sz w:val="18"/>
              </w:rPr>
              <w:t>-</w:t>
            </w:r>
            <w:r>
              <w:rPr>
                <w:rFonts w:ascii="Arial"/>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5"/>
              <w:jc w:val="right"/>
              <w:rPr>
                <w:rFonts w:ascii="Arial" w:hAnsi="Arial" w:cs="Arial" w:eastAsia="Arial" w:hint="default"/>
                <w:sz w:val="18"/>
                <w:szCs w:val="18"/>
              </w:rPr>
            </w:pPr>
            <w:r>
              <w:rPr>
                <w:rFonts w:ascii="Arial"/>
                <w:spacing w:val="-1"/>
                <w:sz w:val="18"/>
              </w:rPr>
              <w:t>21,600</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3"/>
              <w:jc w:val="right"/>
              <w:rPr>
                <w:rFonts w:ascii="Arial" w:hAnsi="Arial" w:cs="Arial" w:eastAsia="Arial" w:hint="default"/>
                <w:sz w:val="18"/>
                <w:szCs w:val="18"/>
              </w:rPr>
            </w:pPr>
            <w:r>
              <w:rPr>
                <w:rFonts w:ascii="Arial"/>
                <w:w w:val="95"/>
                <w:sz w:val="18"/>
              </w:rPr>
              <w:t>90%</w:t>
            </w:r>
            <w:r>
              <w:rPr>
                <w:rFonts w:ascii="Arial"/>
                <w:sz w:val="18"/>
              </w:rPr>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7"/>
              <w:jc w:val="right"/>
              <w:rPr>
                <w:rFonts w:ascii="Arial" w:hAnsi="Arial" w:cs="Arial" w:eastAsia="Arial" w:hint="default"/>
                <w:sz w:val="18"/>
                <w:szCs w:val="18"/>
              </w:rPr>
            </w:pPr>
            <w:r>
              <w:rPr>
                <w:rFonts w:ascii="Arial"/>
                <w:w w:val="95"/>
                <w:sz w:val="18"/>
              </w:rPr>
              <w:t>90%</w:t>
            </w:r>
            <w:r>
              <w:rPr>
                <w:rFonts w:ascii="Arial"/>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2"/>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5"/>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7"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16" w:lineRule="exact"/>
              <w:ind w:left="77" w:right="0"/>
              <w:jc w:val="left"/>
              <w:rPr>
                <w:rFonts w:ascii="宋体" w:hAnsi="宋体" w:cs="宋体" w:eastAsia="宋体" w:hint="default"/>
                <w:sz w:val="18"/>
                <w:szCs w:val="18"/>
              </w:rPr>
            </w:pPr>
            <w:r>
              <w:rPr>
                <w:rFonts w:ascii="宋体" w:hAnsi="宋体" w:cs="宋体" w:eastAsia="宋体" w:hint="default"/>
                <w:sz w:val="18"/>
                <w:szCs w:val="18"/>
              </w:rPr>
              <w:t>包头苏宁电器有限公司</w:t>
            </w:r>
          </w:p>
        </w:tc>
        <w:tc>
          <w:tcPr>
            <w:tcW w:w="781" w:type="dxa"/>
            <w:tcBorders>
              <w:top w:val="nil" w:sz="6" w:space="0" w:color="auto"/>
              <w:left w:val="nil" w:sz="6" w:space="0" w:color="auto"/>
              <w:bottom w:val="nil" w:sz="6" w:space="0" w:color="auto"/>
              <w:right w:val="nil" w:sz="6" w:space="0" w:color="auto"/>
            </w:tcBorders>
          </w:tcPr>
          <w:p>
            <w:pPr>
              <w:pStyle w:val="TableParagraph"/>
              <w:spacing w:line="216" w:lineRule="exact"/>
              <w:ind w:right="87"/>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spacing w:val="-1"/>
                <w:sz w:val="18"/>
              </w:rPr>
              <w:t>20,445</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5"/>
              <w:jc w:val="right"/>
              <w:rPr>
                <w:rFonts w:ascii="Arial" w:hAnsi="Arial" w:cs="Arial" w:eastAsia="Arial" w:hint="default"/>
                <w:sz w:val="18"/>
                <w:szCs w:val="18"/>
              </w:rPr>
            </w:pPr>
            <w:r>
              <w:rPr>
                <w:rFonts w:ascii="Arial"/>
                <w:spacing w:val="-1"/>
                <w:sz w:val="18"/>
              </w:rPr>
              <w:t>20,445</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1"/>
                <w:sz w:val="18"/>
              </w:rPr>
              <w:t>20,445</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5"/>
                <w:sz w:val="18"/>
              </w:rPr>
              <w:t>90%</w:t>
            </w:r>
            <w:r>
              <w:rPr>
                <w:rFonts w:ascii="Arial"/>
                <w:sz w:val="18"/>
              </w:rPr>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
              <w:jc w:val="right"/>
              <w:rPr>
                <w:rFonts w:ascii="Arial" w:hAnsi="Arial" w:cs="Arial" w:eastAsia="Arial" w:hint="default"/>
                <w:sz w:val="18"/>
                <w:szCs w:val="18"/>
              </w:rPr>
            </w:pPr>
            <w:r>
              <w:rPr>
                <w:rFonts w:ascii="Arial"/>
                <w:w w:val="95"/>
                <w:sz w:val="18"/>
              </w:rPr>
              <w:t>90%</w:t>
            </w:r>
            <w:r>
              <w:rPr>
                <w:rFonts w:ascii="Arial"/>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5"/>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757"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16" w:lineRule="exact"/>
              <w:ind w:left="77" w:right="0"/>
              <w:jc w:val="left"/>
              <w:rPr>
                <w:rFonts w:ascii="宋体" w:hAnsi="宋体" w:cs="宋体" w:eastAsia="宋体" w:hint="default"/>
                <w:sz w:val="18"/>
                <w:szCs w:val="18"/>
              </w:rPr>
            </w:pPr>
            <w:r>
              <w:rPr>
                <w:rFonts w:ascii="宋体" w:hAnsi="宋体" w:cs="宋体" w:eastAsia="宋体" w:hint="default"/>
                <w:sz w:val="18"/>
                <w:szCs w:val="18"/>
              </w:rPr>
              <w:t>日照鲁宁苏宁电器有限公司</w:t>
            </w:r>
          </w:p>
        </w:tc>
        <w:tc>
          <w:tcPr>
            <w:tcW w:w="781" w:type="dxa"/>
            <w:tcBorders>
              <w:top w:val="nil" w:sz="6" w:space="0" w:color="auto"/>
              <w:left w:val="nil" w:sz="6" w:space="0" w:color="auto"/>
              <w:bottom w:val="nil" w:sz="6" w:space="0" w:color="auto"/>
              <w:right w:val="nil" w:sz="6" w:space="0" w:color="auto"/>
            </w:tcBorders>
          </w:tcPr>
          <w:p>
            <w:pPr>
              <w:pStyle w:val="TableParagraph"/>
              <w:spacing w:line="216" w:lineRule="exact"/>
              <w:ind w:right="87"/>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spacing w:val="-1"/>
                <w:sz w:val="18"/>
              </w:rPr>
              <w:t>20,000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5"/>
              <w:jc w:val="right"/>
              <w:rPr>
                <w:rFonts w:ascii="Arial" w:hAnsi="Arial" w:cs="Arial" w:eastAsia="Arial" w:hint="default"/>
                <w:sz w:val="18"/>
                <w:szCs w:val="18"/>
              </w:rPr>
            </w:pPr>
            <w:r>
              <w:rPr>
                <w:rFonts w:ascii="Arial"/>
                <w:spacing w:val="-1"/>
                <w:sz w:val="18"/>
              </w:rPr>
              <w:t>10,000</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10,000</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1"/>
                <w:sz w:val="18"/>
              </w:rPr>
              <w:t>20,000</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5"/>
                <w:sz w:val="18"/>
              </w:rPr>
              <w:t>100%</w:t>
            </w:r>
            <w:r>
              <w:rPr>
                <w:rFonts w:ascii="Arial"/>
                <w:sz w:val="18"/>
              </w:rPr>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
              <w:jc w:val="right"/>
              <w:rPr>
                <w:rFonts w:ascii="Arial" w:hAnsi="Arial" w:cs="Arial" w:eastAsia="Arial" w:hint="default"/>
                <w:sz w:val="18"/>
                <w:szCs w:val="18"/>
              </w:rPr>
            </w:pPr>
            <w:r>
              <w:rPr>
                <w:rFonts w:ascii="Arial"/>
                <w:w w:val="95"/>
                <w:sz w:val="18"/>
              </w:rPr>
              <w:t>100%</w:t>
            </w:r>
            <w:r>
              <w:rPr>
                <w:rFonts w:ascii="Arial"/>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5"/>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504" w:hRule="exact"/>
        </w:trPr>
        <w:tc>
          <w:tcPr>
            <w:tcW w:w="757"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00" w:lineRule="exact"/>
              <w:ind w:left="77" w:right="0"/>
              <w:jc w:val="left"/>
              <w:rPr>
                <w:rFonts w:ascii="宋体" w:hAnsi="宋体" w:cs="宋体" w:eastAsia="宋体" w:hint="default"/>
                <w:sz w:val="18"/>
                <w:szCs w:val="18"/>
              </w:rPr>
            </w:pPr>
            <w:r>
              <w:rPr>
                <w:rFonts w:ascii="宋体" w:hAnsi="宋体" w:cs="宋体" w:eastAsia="宋体" w:hint="default"/>
                <w:sz w:val="18"/>
                <w:szCs w:val="18"/>
              </w:rPr>
              <w:t>其他子公司</w:t>
            </w:r>
            <w:r>
              <w:rPr>
                <w:rFonts w:ascii="宋体" w:hAnsi="宋体" w:cs="宋体" w:eastAsia="宋体" w:hint="default"/>
                <w:spacing w:val="14"/>
                <w:sz w:val="18"/>
                <w:szCs w:val="18"/>
              </w:rPr>
              <w:t> </w:t>
            </w:r>
            <w:r>
              <w:rPr>
                <w:rFonts w:ascii="Arial" w:hAnsi="Arial" w:cs="Arial" w:eastAsia="Arial" w:hint="default"/>
                <w:sz w:val="18"/>
                <w:szCs w:val="18"/>
              </w:rPr>
              <w:t>(</w:t>
            </w:r>
            <w:r>
              <w:rPr>
                <w:rFonts w:ascii="宋体" w:hAnsi="宋体" w:cs="宋体" w:eastAsia="宋体" w:hint="default"/>
                <w:sz w:val="18"/>
                <w:szCs w:val="18"/>
              </w:rPr>
              <w:t>单个公司投资成本</w:t>
            </w:r>
          </w:p>
          <w:p>
            <w:pPr>
              <w:pStyle w:val="TableParagraph"/>
              <w:spacing w:line="241" w:lineRule="exact"/>
              <w:ind w:left="257" w:right="0"/>
              <w:jc w:val="left"/>
              <w:rPr>
                <w:rFonts w:ascii="Arial" w:hAnsi="Arial" w:cs="Arial" w:eastAsia="Arial" w:hint="default"/>
                <w:sz w:val="18"/>
                <w:szCs w:val="18"/>
              </w:rPr>
            </w:pPr>
            <w:r>
              <w:rPr>
                <w:rFonts w:ascii="宋体" w:hAnsi="宋体" w:cs="宋体" w:eastAsia="宋体" w:hint="default"/>
                <w:sz w:val="18"/>
                <w:szCs w:val="18"/>
              </w:rPr>
              <w:t>小于人民币 </w:t>
            </w:r>
            <w:r>
              <w:rPr>
                <w:rFonts w:ascii="Arial" w:hAnsi="Arial" w:cs="Arial" w:eastAsia="Arial" w:hint="default"/>
                <w:sz w:val="18"/>
                <w:szCs w:val="18"/>
              </w:rPr>
              <w:t>2,000</w:t>
            </w:r>
            <w:r>
              <w:rPr>
                <w:rFonts w:ascii="Arial" w:hAnsi="Arial" w:cs="Arial" w:eastAsia="Arial" w:hint="default"/>
                <w:spacing w:val="-6"/>
                <w:sz w:val="18"/>
                <w:szCs w:val="18"/>
              </w:rPr>
              <w:t> </w:t>
            </w:r>
            <w:r>
              <w:rPr>
                <w:rFonts w:ascii="宋体" w:hAnsi="宋体" w:cs="宋体" w:eastAsia="宋体" w:hint="default"/>
                <w:sz w:val="18"/>
                <w:szCs w:val="18"/>
              </w:rPr>
              <w:t>万元</w:t>
            </w:r>
            <w:r>
              <w:rPr>
                <w:rFonts w:ascii="Arial" w:hAnsi="Arial" w:cs="Arial" w:eastAsia="Arial" w:hint="default"/>
                <w:sz w:val="18"/>
                <w:szCs w:val="18"/>
              </w:rPr>
              <w:t>)</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87"/>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352" w:val="left" w:leader="none"/>
              </w:tabs>
              <w:spacing w:line="240" w:lineRule="auto"/>
              <w:ind w:right="9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1,383,356</w:t>
            </w:r>
            <w:r>
              <w:rPr>
                <w:rFonts w:ascii="Arial"/>
                <w:spacing w:val="-1"/>
                <w:sz w:val="18"/>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6"/>
                <w:sz w:val="18"/>
                <w:u w:val="single" w:color="000000"/>
              </w:rPr>
              <w:t> </w:t>
            </w:r>
            <w:r>
              <w:rPr>
                <w:rFonts w:ascii="Arial"/>
                <w:spacing w:val="-1"/>
                <w:sz w:val="18"/>
                <w:u w:val="single" w:color="000000"/>
              </w:rPr>
              <w:t>1,076,584</w:t>
            </w:r>
            <w:r>
              <w:rPr>
                <w:rFonts w:ascii="Arial"/>
                <w:spacing w:val="-1"/>
                <w:sz w:val="18"/>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545" w:val="left" w:leader="none"/>
              </w:tabs>
              <w:spacing w:line="240" w:lineRule="auto"/>
              <w:ind w:left="-16" w:right="11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306,772</w:t>
            </w:r>
            <w:r>
              <w:rPr>
                <w:rFonts w:ascii="Arial"/>
                <w:spacing w:val="-1"/>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2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pacing w:val="-1"/>
                <w:sz w:val="18"/>
                <w:u w:val="single" w:color="000000"/>
              </w:rPr>
              <w:t>1,383,356</w:t>
            </w:r>
            <w:r>
              <w:rPr>
                <w:rFonts w:ascii="Arial"/>
                <w:spacing w:val="-1"/>
                <w:sz w:val="18"/>
              </w:rPr>
            </w:r>
          </w:p>
        </w:tc>
        <w:tc>
          <w:tcPr>
            <w:tcW w:w="998"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695" w:val="left" w:leader="none"/>
                <w:tab w:pos="811" w:val="left" w:leader="none"/>
              </w:tabs>
              <w:spacing w:line="240" w:lineRule="auto"/>
              <w:ind w:right="2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681" w:val="left" w:leader="none"/>
                <w:tab w:pos="806" w:val="left" w:leader="none"/>
              </w:tabs>
              <w:spacing w:line="240" w:lineRule="auto"/>
              <w:ind w:right="9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1213" w:val="left" w:leader="none"/>
              </w:tabs>
              <w:spacing w:line="240" w:lineRule="auto"/>
              <w:ind w:left="-16" w:right="11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254" w:hRule="exact"/>
        </w:trPr>
        <w:tc>
          <w:tcPr>
            <w:tcW w:w="757"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92"/>
              <w:jc w:val="right"/>
              <w:rPr>
                <w:rFonts w:ascii="Arial" w:hAnsi="Arial" w:cs="Arial" w:eastAsia="Arial" w:hint="default"/>
                <w:sz w:val="18"/>
                <w:szCs w:val="18"/>
              </w:rPr>
            </w:pPr>
            <w:r>
              <w:rPr>
                <w:rFonts w:ascii="Arial"/>
                <w:spacing w:val="-2"/>
                <w:sz w:val="18"/>
              </w:rPr>
              <w:t>11,767,805</w:t>
            </w:r>
          </w:p>
        </w:tc>
        <w:tc>
          <w:tcPr>
            <w:tcW w:w="1109"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15"/>
              <w:jc w:val="right"/>
              <w:rPr>
                <w:rFonts w:ascii="Arial" w:hAnsi="Arial" w:cs="Arial" w:eastAsia="Arial" w:hint="default"/>
                <w:sz w:val="18"/>
                <w:szCs w:val="18"/>
              </w:rPr>
            </w:pPr>
            <w:r>
              <w:rPr>
                <w:rFonts w:ascii="Arial"/>
                <w:spacing w:val="-1"/>
                <w:sz w:val="18"/>
              </w:rPr>
              <w:t>8,174,732</w:t>
            </w:r>
          </w:p>
        </w:tc>
        <w:tc>
          <w:tcPr>
            <w:tcW w:w="1311"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12"/>
              <w:jc w:val="right"/>
              <w:rPr>
                <w:rFonts w:ascii="Arial" w:hAnsi="Arial" w:cs="Arial" w:eastAsia="Arial" w:hint="default"/>
                <w:sz w:val="18"/>
                <w:szCs w:val="18"/>
              </w:rPr>
            </w:pPr>
            <w:r>
              <w:rPr>
                <w:rFonts w:ascii="Arial"/>
                <w:spacing w:val="-1"/>
                <w:sz w:val="18"/>
              </w:rPr>
              <w:t>3,593,073</w:t>
            </w:r>
          </w:p>
        </w:tc>
        <w:tc>
          <w:tcPr>
            <w:tcW w:w="1038"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6"/>
              <w:jc w:val="right"/>
              <w:rPr>
                <w:rFonts w:ascii="Arial" w:hAnsi="Arial" w:cs="Arial" w:eastAsia="Arial" w:hint="default"/>
                <w:sz w:val="18"/>
                <w:szCs w:val="18"/>
              </w:rPr>
            </w:pPr>
            <w:r>
              <w:rPr>
                <w:rFonts w:ascii="Arial"/>
                <w:spacing w:val="-2"/>
                <w:sz w:val="18"/>
              </w:rPr>
              <w:t>11,767,805</w:t>
            </w:r>
          </w:p>
        </w:tc>
        <w:tc>
          <w:tcPr>
            <w:tcW w:w="998"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96"/>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41"/>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13"/>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footerReference w:type="default" r:id="rId113"/>
          <w:pgSz w:w="16850" w:h="11910" w:orient="landscape"/>
          <w:pgMar w:footer="1340" w:header="795" w:top="2020" w:bottom="1580" w:left="800" w:right="0"/>
          <w:pgNumType w:start="228"/>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778"/>
        <w:gridCol w:w="2618"/>
      </w:tblGrid>
      <w:tr>
        <w:trPr>
          <w:trHeight w:val="495"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十五</w:t>
            </w:r>
          </w:p>
        </w:tc>
        <w:tc>
          <w:tcPr>
            <w:tcW w:w="2618" w:type="dxa"/>
            <w:tcBorders>
              <w:top w:val="nil" w:sz="6" w:space="0" w:color="auto"/>
              <w:left w:val="nil" w:sz="6" w:space="0" w:color="auto"/>
              <w:bottom w:val="nil" w:sz="6" w:space="0" w:color="auto"/>
              <w:right w:val="nil" w:sz="6" w:space="0" w:color="auto"/>
            </w:tcBorders>
          </w:tcPr>
          <w:p>
            <w:pPr>
              <w:pStyle w:val="TableParagraph"/>
              <w:spacing w:line="257" w:lineRule="exact"/>
              <w:ind w:left="98"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3"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57" w:right="0"/>
              <w:jc w:val="left"/>
              <w:rPr>
                <w:rFonts w:ascii="Arial" w:hAnsi="Arial" w:cs="Arial" w:eastAsia="Arial" w:hint="default"/>
                <w:sz w:val="24"/>
                <w:szCs w:val="24"/>
              </w:rPr>
            </w:pPr>
            <w:r>
              <w:rPr>
                <w:rFonts w:ascii="Arial"/>
                <w:sz w:val="24"/>
              </w:rPr>
              <w:t>(3)</w:t>
            </w: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98"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162" w:type="dxa"/>
        <w:tblLayout w:type="fixed"/>
        <w:tblCellMar>
          <w:top w:w="0" w:type="dxa"/>
          <w:left w:w="0" w:type="dxa"/>
          <w:bottom w:w="0" w:type="dxa"/>
          <w:right w:w="0" w:type="dxa"/>
        </w:tblCellMar>
        <w:tblLook w:val="01E0"/>
      </w:tblPr>
      <w:tblGrid>
        <w:gridCol w:w="655"/>
        <w:gridCol w:w="2043"/>
        <w:gridCol w:w="984"/>
        <w:gridCol w:w="1004"/>
        <w:gridCol w:w="1142"/>
        <w:gridCol w:w="137"/>
        <w:gridCol w:w="1164"/>
        <w:gridCol w:w="1157"/>
        <w:gridCol w:w="901"/>
        <w:gridCol w:w="1003"/>
        <w:gridCol w:w="1526"/>
        <w:gridCol w:w="869"/>
        <w:gridCol w:w="1003"/>
        <w:gridCol w:w="1503"/>
      </w:tblGrid>
      <w:tr>
        <w:trPr>
          <w:trHeight w:val="495" w:hRule="exact"/>
        </w:trPr>
        <w:tc>
          <w:tcPr>
            <w:tcW w:w="65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2043" w:type="dxa"/>
            <w:tcBorders>
              <w:top w:val="nil" w:sz="6" w:space="0" w:color="auto"/>
              <w:left w:val="nil" w:sz="6" w:space="0" w:color="auto"/>
              <w:bottom w:val="nil" w:sz="6" w:space="0" w:color="auto"/>
              <w:right w:val="nil" w:sz="6" w:space="0" w:color="auto"/>
            </w:tcBorders>
          </w:tcPr>
          <w:p>
            <w:pPr>
              <w:pStyle w:val="TableParagraph"/>
              <w:spacing w:line="247" w:lineRule="exact"/>
              <w:ind w:left="161" w:right="-39"/>
              <w:jc w:val="left"/>
              <w:rPr>
                <w:rFonts w:ascii="宋体" w:hAnsi="宋体" w:cs="宋体" w:eastAsia="宋体" w:hint="default"/>
                <w:sz w:val="24"/>
                <w:szCs w:val="24"/>
              </w:rPr>
            </w:pPr>
            <w:r>
              <w:rPr>
                <w:rFonts w:ascii="宋体" w:hAnsi="宋体" w:cs="宋体" w:eastAsia="宋体" w:hint="default"/>
                <w:sz w:val="24"/>
                <w:szCs w:val="24"/>
              </w:rPr>
              <w:t>其他长期股权投资</w:t>
            </w:r>
          </w:p>
        </w:tc>
        <w:tc>
          <w:tcPr>
            <w:tcW w:w="984"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1003"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1003"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924" w:hRule="exact"/>
        </w:trPr>
        <w:tc>
          <w:tcPr>
            <w:tcW w:w="655" w:type="dxa"/>
            <w:tcBorders>
              <w:top w:val="nil" w:sz="6" w:space="0" w:color="auto"/>
              <w:left w:val="nil" w:sz="6" w:space="0" w:color="auto"/>
              <w:bottom w:val="nil" w:sz="6" w:space="0" w:color="auto"/>
              <w:right w:val="nil" w:sz="6" w:space="0" w:color="auto"/>
            </w:tcBorders>
          </w:tcPr>
          <w:p>
            <w:pPr/>
          </w:p>
        </w:tc>
        <w:tc>
          <w:tcPr>
            <w:tcW w:w="2043"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503"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0" w:lineRule="auto" w:before="23"/>
              <w:ind w:left="22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7"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本年增减变动</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504"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23"/>
              <w:ind w:left="23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直接持股</w:t>
            </w:r>
          </w:p>
          <w:p>
            <w:pPr>
              <w:pStyle w:val="TableParagraph"/>
              <w:spacing w:line="240" w:lineRule="auto" w:before="35"/>
              <w:ind w:left="4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直接表决权</w:t>
            </w:r>
          </w:p>
          <w:p>
            <w:pPr>
              <w:pStyle w:val="TableParagraph"/>
              <w:spacing w:line="240" w:lineRule="auto" w:before="35"/>
              <w:ind w:left="58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6" w:lineRule="auto"/>
              <w:ind w:left="56" w:right="27"/>
              <w:jc w:val="left"/>
              <w:rPr>
                <w:rFonts w:ascii="宋体" w:hAnsi="宋体" w:cs="宋体" w:eastAsia="宋体" w:hint="default"/>
                <w:sz w:val="18"/>
                <w:szCs w:val="18"/>
              </w:rPr>
            </w:pPr>
            <w:r>
              <w:rPr>
                <w:rFonts w:ascii="宋体" w:hAnsi="宋体" w:cs="宋体" w:eastAsia="宋体" w:hint="default"/>
                <w:sz w:val="18"/>
                <w:szCs w:val="18"/>
              </w:rPr>
              <w:t>持股比例与表决权 比例不一致的说明</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0" w:lineRule="exact"/>
              <w:ind w:left="256" w:right="24"/>
              <w:jc w:val="left"/>
              <w:rPr>
                <w:rFonts w:ascii="宋体" w:hAnsi="宋体" w:cs="宋体" w:eastAsia="宋体" w:hint="default"/>
                <w:sz w:val="18"/>
                <w:szCs w:val="18"/>
              </w:rPr>
            </w:pPr>
            <w:r>
              <w:rPr>
                <w:rFonts w:ascii="宋体" w:hAnsi="宋体" w:cs="宋体" w:eastAsia="宋体" w:hint="default"/>
                <w:sz w:val="18"/>
                <w:szCs w:val="18"/>
              </w:rPr>
              <w:t>本年计提 减值准备</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本年宣告分派的</w:t>
            </w:r>
          </w:p>
          <w:p>
            <w:pPr>
              <w:pStyle w:val="TableParagraph"/>
              <w:spacing w:line="240" w:lineRule="auto" w:before="35"/>
              <w:ind w:left="756" w:right="0"/>
              <w:jc w:val="left"/>
              <w:rPr>
                <w:rFonts w:ascii="宋体" w:hAnsi="宋体" w:cs="宋体" w:eastAsia="宋体" w:hint="default"/>
                <w:sz w:val="18"/>
                <w:szCs w:val="18"/>
              </w:rPr>
            </w:pPr>
            <w:r>
              <w:rPr>
                <w:rFonts w:ascii="宋体" w:hAnsi="宋体" w:cs="宋体" w:eastAsia="宋体" w:hint="default"/>
                <w:sz w:val="18"/>
                <w:szCs w:val="18"/>
              </w:rPr>
              <w:t>现金股利</w:t>
            </w:r>
          </w:p>
        </w:tc>
      </w:tr>
      <w:tr>
        <w:trPr>
          <w:trHeight w:val="749" w:hRule="exact"/>
        </w:trPr>
        <w:tc>
          <w:tcPr>
            <w:tcW w:w="655" w:type="dxa"/>
            <w:tcBorders>
              <w:top w:val="nil" w:sz="6" w:space="0" w:color="auto"/>
              <w:left w:val="nil" w:sz="6" w:space="0" w:color="auto"/>
              <w:bottom w:val="nil" w:sz="6" w:space="0" w:color="auto"/>
              <w:right w:val="nil" w:sz="6" w:space="0" w:color="auto"/>
            </w:tcBorders>
          </w:tcPr>
          <w:p>
            <w:pP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32" w:lineRule="exact"/>
              <w:ind w:left="522" w:right="262" w:hanging="272"/>
              <w:jc w:val="left"/>
              <w:rPr>
                <w:rFonts w:ascii="宋体" w:hAnsi="宋体" w:cs="宋体" w:eastAsia="宋体" w:hint="default"/>
                <w:sz w:val="18"/>
                <w:szCs w:val="18"/>
              </w:rPr>
            </w:pPr>
            <w:r>
              <w:rPr>
                <w:rFonts w:ascii="宋体" w:hAnsi="宋体" w:cs="宋体" w:eastAsia="宋体" w:hint="default"/>
                <w:spacing w:val="10"/>
                <w:sz w:val="18"/>
                <w:szCs w:val="18"/>
              </w:rPr>
              <w:t>南京苏宁中央空调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工程有限公司</w:t>
            </w: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359"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295" w:right="0"/>
              <w:jc w:val="left"/>
              <w:rPr>
                <w:rFonts w:ascii="宋体" w:hAnsi="宋体" w:cs="宋体" w:eastAsia="宋体" w:hint="default"/>
                <w:sz w:val="18"/>
                <w:szCs w:val="18"/>
              </w:rPr>
            </w:pPr>
            <w:r>
              <w:rPr>
                <w:rFonts w:ascii="Arial" w:hAnsi="Arial" w:cs="Arial" w:eastAsia="Arial" w:hint="default"/>
                <w:sz w:val="18"/>
                <w:szCs w:val="18"/>
              </w:rPr>
              <w:t>83</w:t>
            </w:r>
            <w:r>
              <w:rPr>
                <w:rFonts w:ascii="Arial" w:hAnsi="Arial" w:cs="Arial" w:eastAsia="Arial" w:hint="default"/>
                <w:spacing w:val="-5"/>
                <w:sz w:val="18"/>
                <w:szCs w:val="18"/>
              </w:rPr>
              <w:t> </w:t>
            </w:r>
            <w:r>
              <w:rPr>
                <w:rFonts w:ascii="宋体" w:hAnsi="宋体" w:cs="宋体" w:eastAsia="宋体" w:hint="default"/>
                <w:sz w:val="18"/>
                <w:szCs w:val="18"/>
              </w:rPr>
              <w:t>万元</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53"/>
              <w:jc w:val="right"/>
              <w:rPr>
                <w:rFonts w:ascii="Arial" w:hAnsi="Arial" w:cs="Arial" w:eastAsia="Arial" w:hint="default"/>
                <w:sz w:val="18"/>
                <w:szCs w:val="18"/>
              </w:rPr>
            </w:pPr>
            <w:r>
              <w:rPr>
                <w:rFonts w:ascii="Arial"/>
                <w:w w:val="95"/>
                <w:sz w:val="18"/>
              </w:rPr>
              <w:t>993</w:t>
            </w:r>
            <w:r>
              <w:rPr>
                <w:rFonts w:ascii="Arial"/>
                <w:sz w:val="18"/>
              </w:rPr>
            </w:r>
          </w:p>
        </w:tc>
        <w:tc>
          <w:tcPr>
            <w:tcW w:w="137"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36"/>
              <w:jc w:val="right"/>
              <w:rPr>
                <w:rFonts w:ascii="Arial" w:hAnsi="Arial" w:cs="Arial" w:eastAsia="Arial" w:hint="default"/>
                <w:sz w:val="18"/>
                <w:szCs w:val="18"/>
              </w:rPr>
            </w:pPr>
            <w:r>
              <w:rPr>
                <w:rFonts w:ascii="Arial"/>
                <w:w w:val="99"/>
                <w:sz w:val="18"/>
              </w:rPr>
              <w:t>-</w:t>
            </w:r>
            <w:r>
              <w:rPr>
                <w:rFonts w:ascii="Arial"/>
                <w:sz w:val="18"/>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Arial" w:hAnsi="Arial" w:cs="Arial" w:eastAsia="Arial" w:hint="default"/>
                <w:sz w:val="18"/>
                <w:szCs w:val="18"/>
              </w:rPr>
            </w:pPr>
            <w:r>
              <w:rPr>
                <w:rFonts w:ascii="Arial"/>
                <w:w w:val="95"/>
                <w:sz w:val="18"/>
              </w:rPr>
              <w:t>993</w:t>
            </w:r>
            <w:r>
              <w:rPr>
                <w:rFonts w:ascii="Arial"/>
                <w:sz w:val="18"/>
              </w:rPr>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42"/>
              <w:jc w:val="right"/>
              <w:rPr>
                <w:rFonts w:ascii="Arial" w:hAnsi="Arial" w:cs="Arial" w:eastAsia="Arial" w:hint="default"/>
                <w:sz w:val="18"/>
                <w:szCs w:val="18"/>
              </w:rPr>
            </w:pPr>
            <w:r>
              <w:rPr>
                <w:rFonts w:ascii="Arial"/>
                <w:w w:val="95"/>
                <w:sz w:val="18"/>
              </w:rPr>
              <w:t>10%</w:t>
            </w:r>
            <w:r>
              <w:rPr>
                <w:rFonts w:ascii="Arial"/>
                <w:sz w:val="18"/>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54"/>
              <w:jc w:val="right"/>
              <w:rPr>
                <w:rFonts w:ascii="Arial" w:hAnsi="Arial" w:cs="Arial" w:eastAsia="Arial" w:hint="default"/>
                <w:sz w:val="18"/>
                <w:szCs w:val="18"/>
              </w:rPr>
            </w:pPr>
            <w:r>
              <w:rPr>
                <w:rFonts w:ascii="Arial"/>
                <w:w w:val="95"/>
                <w:sz w:val="18"/>
              </w:rPr>
              <w:t>10%</w:t>
            </w:r>
            <w:r>
              <w:rPr>
                <w:rFonts w:ascii="Arial"/>
                <w:sz w:val="18"/>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587" w:hRule="exact"/>
        </w:trPr>
        <w:tc>
          <w:tcPr>
            <w:tcW w:w="655" w:type="dxa"/>
            <w:tcBorders>
              <w:top w:val="nil" w:sz="6" w:space="0" w:color="auto"/>
              <w:left w:val="nil" w:sz="6" w:space="0" w:color="auto"/>
              <w:bottom w:val="nil" w:sz="6" w:space="0" w:color="auto"/>
              <w:right w:val="nil" w:sz="6" w:space="0" w:color="auto"/>
            </w:tcBorders>
          </w:tcPr>
          <w:p>
            <w:pPr/>
          </w:p>
        </w:tc>
        <w:tc>
          <w:tcPr>
            <w:tcW w:w="2043" w:type="dxa"/>
            <w:tcBorders>
              <w:top w:val="nil" w:sz="6" w:space="0" w:color="auto"/>
              <w:left w:val="nil" w:sz="6" w:space="0" w:color="auto"/>
              <w:bottom w:val="nil" w:sz="6" w:space="0" w:color="auto"/>
              <w:right w:val="nil" w:sz="6" w:space="0" w:color="auto"/>
            </w:tcBorders>
          </w:tcPr>
          <w:p>
            <w:pPr>
              <w:pStyle w:val="TableParagraph"/>
              <w:spacing w:line="234" w:lineRule="exact" w:before="61"/>
              <w:ind w:left="522" w:right="262" w:hanging="272"/>
              <w:jc w:val="left"/>
              <w:rPr>
                <w:rFonts w:ascii="宋体" w:hAnsi="宋体" w:cs="宋体" w:eastAsia="宋体" w:hint="default"/>
                <w:sz w:val="18"/>
                <w:szCs w:val="18"/>
              </w:rPr>
            </w:pPr>
            <w:r>
              <w:rPr>
                <w:rFonts w:ascii="宋体" w:hAnsi="宋体" w:cs="宋体" w:eastAsia="宋体" w:hint="default"/>
                <w:spacing w:val="10"/>
                <w:sz w:val="18"/>
                <w:szCs w:val="18"/>
              </w:rPr>
              <w:t>江苏银行股份有限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ind w:left="256" w:right="0"/>
              <w:jc w:val="center"/>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6"/>
              <w:ind w:left="143" w:right="0"/>
              <w:jc w:val="center"/>
              <w:rPr>
                <w:rFonts w:ascii="宋体" w:hAnsi="宋体" w:cs="宋体" w:eastAsia="宋体" w:hint="default"/>
                <w:sz w:val="18"/>
                <w:szCs w:val="18"/>
              </w:rPr>
            </w:pPr>
            <w:r>
              <w:rPr>
                <w:rFonts w:ascii="Arial" w:hAnsi="Arial" w:cs="Arial" w:eastAsia="Arial" w:hint="default"/>
                <w:sz w:val="18"/>
                <w:szCs w:val="18"/>
              </w:rPr>
              <w:t>5.4</w:t>
            </w:r>
            <w:r>
              <w:rPr>
                <w:rFonts w:ascii="Arial" w:hAnsi="Arial" w:cs="Arial" w:eastAsia="Arial" w:hint="default"/>
                <w:spacing w:val="-4"/>
                <w:sz w:val="18"/>
                <w:szCs w:val="18"/>
              </w:rPr>
              <w:t> </w:t>
            </w:r>
            <w:r>
              <w:rPr>
                <w:rFonts w:ascii="宋体" w:hAnsi="宋体" w:cs="宋体" w:eastAsia="宋体" w:hint="default"/>
                <w:sz w:val="18"/>
                <w:szCs w:val="18"/>
              </w:rPr>
              <w:t>亿元</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54"/>
              <w:jc w:val="right"/>
              <w:rPr>
                <w:rFonts w:ascii="Arial" w:hAnsi="Arial" w:cs="Arial" w:eastAsia="Arial" w:hint="default"/>
                <w:sz w:val="18"/>
                <w:szCs w:val="18"/>
              </w:rPr>
            </w:pPr>
            <w:r>
              <w:rPr>
                <w:rFonts w:ascii="Arial"/>
                <w:spacing w:val="-1"/>
                <w:sz w:val="18"/>
              </w:rPr>
              <w:t>540,000</w:t>
            </w:r>
          </w:p>
        </w:tc>
        <w:tc>
          <w:tcPr>
            <w:tcW w:w="137"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36"/>
              <w:jc w:val="right"/>
              <w:rPr>
                <w:rFonts w:ascii="Arial" w:hAnsi="Arial" w:cs="Arial" w:eastAsia="Arial" w:hint="default"/>
                <w:sz w:val="18"/>
                <w:szCs w:val="18"/>
              </w:rPr>
            </w:pPr>
            <w:r>
              <w:rPr>
                <w:rFonts w:ascii="Arial"/>
                <w:w w:val="99"/>
                <w:sz w:val="18"/>
              </w:rPr>
              <w:t>-</w:t>
            </w:r>
            <w:r>
              <w:rPr>
                <w:rFonts w:ascii="Arial"/>
                <w:sz w:val="18"/>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23"/>
              <w:jc w:val="right"/>
              <w:rPr>
                <w:rFonts w:ascii="Arial" w:hAnsi="Arial" w:cs="Arial" w:eastAsia="Arial" w:hint="default"/>
                <w:sz w:val="18"/>
                <w:szCs w:val="18"/>
              </w:rPr>
            </w:pPr>
            <w:r>
              <w:rPr>
                <w:rFonts w:ascii="Arial"/>
                <w:spacing w:val="-1"/>
                <w:sz w:val="18"/>
              </w:rPr>
              <w:t>540,000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43"/>
              <w:jc w:val="right"/>
              <w:rPr>
                <w:rFonts w:ascii="Arial" w:hAnsi="Arial" w:cs="Arial" w:eastAsia="Arial" w:hint="default"/>
                <w:sz w:val="18"/>
                <w:szCs w:val="18"/>
              </w:rPr>
            </w:pPr>
            <w:r>
              <w:rPr>
                <w:rFonts w:ascii="Arial"/>
                <w:sz w:val="18"/>
              </w:rPr>
              <w:t>1.65%</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55"/>
              <w:jc w:val="right"/>
              <w:rPr>
                <w:rFonts w:ascii="Arial" w:hAnsi="Arial" w:cs="Arial" w:eastAsia="Arial" w:hint="default"/>
                <w:sz w:val="18"/>
                <w:szCs w:val="18"/>
              </w:rPr>
            </w:pPr>
            <w:r>
              <w:rPr>
                <w:rFonts w:ascii="Arial"/>
                <w:sz w:val="18"/>
              </w:rPr>
              <w:t>1.65%</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26"/>
              <w:jc w:val="right"/>
              <w:rPr>
                <w:rFonts w:ascii="Arial" w:hAnsi="Arial" w:cs="Arial" w:eastAsia="Arial" w:hint="default"/>
                <w:sz w:val="18"/>
                <w:szCs w:val="18"/>
              </w:rPr>
            </w:pPr>
            <w:r>
              <w:rPr>
                <w:rFonts w:ascii="Arial"/>
                <w:w w:val="99"/>
                <w:sz w:val="18"/>
              </w:rPr>
              <w:t>-</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24"/>
              <w:jc w:val="right"/>
              <w:rPr>
                <w:rFonts w:ascii="Arial" w:hAnsi="Arial" w:cs="Arial" w:eastAsia="Arial" w:hint="default"/>
                <w:sz w:val="18"/>
                <w:szCs w:val="18"/>
              </w:rPr>
            </w:pPr>
            <w:r>
              <w:rPr>
                <w:rFonts w:ascii="Arial"/>
                <w:w w:val="99"/>
                <w:sz w:val="18"/>
              </w:rPr>
              <w:t>-</w:t>
            </w:r>
            <w:r>
              <w:rPr>
                <w:rFonts w:ascii="Arial"/>
                <w:sz w:val="18"/>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24"/>
              <w:jc w:val="right"/>
              <w:rPr>
                <w:rFonts w:ascii="Arial" w:hAnsi="Arial" w:cs="Arial" w:eastAsia="Arial" w:hint="default"/>
                <w:sz w:val="18"/>
                <w:szCs w:val="18"/>
              </w:rPr>
            </w:pPr>
            <w:r>
              <w:rPr>
                <w:rFonts w:ascii="Arial"/>
                <w:w w:val="99"/>
                <w:sz w:val="18"/>
              </w:rPr>
              <w:t>-</w:t>
            </w:r>
            <w:r>
              <w:rPr>
                <w:rFonts w:ascii="Arial"/>
                <w:sz w:val="18"/>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02"/>
              <w:jc w:val="right"/>
              <w:rPr>
                <w:rFonts w:ascii="Arial" w:hAnsi="Arial" w:cs="Arial" w:eastAsia="Arial" w:hint="default"/>
                <w:sz w:val="18"/>
                <w:szCs w:val="18"/>
              </w:rPr>
            </w:pPr>
            <w:r>
              <w:rPr>
                <w:rFonts w:ascii="Arial"/>
                <w:spacing w:val="-1"/>
                <w:sz w:val="18"/>
              </w:rPr>
              <w:t>12,000</w:t>
            </w:r>
          </w:p>
        </w:tc>
      </w:tr>
      <w:tr>
        <w:trPr>
          <w:trHeight w:val="583" w:hRule="exact"/>
        </w:trPr>
        <w:tc>
          <w:tcPr>
            <w:tcW w:w="655" w:type="dxa"/>
            <w:tcBorders>
              <w:top w:val="nil" w:sz="6" w:space="0" w:color="auto"/>
              <w:left w:val="nil" w:sz="6" w:space="0" w:color="auto"/>
              <w:bottom w:val="nil" w:sz="6" w:space="0" w:color="auto"/>
              <w:right w:val="nil" w:sz="6" w:space="0" w:color="auto"/>
            </w:tcBorders>
          </w:tcPr>
          <w:p>
            <w:pPr/>
          </w:p>
        </w:tc>
        <w:tc>
          <w:tcPr>
            <w:tcW w:w="2043" w:type="dxa"/>
            <w:tcBorders>
              <w:top w:val="nil" w:sz="6" w:space="0" w:color="auto"/>
              <w:left w:val="nil" w:sz="6" w:space="0" w:color="auto"/>
              <w:bottom w:val="nil" w:sz="6" w:space="0" w:color="auto"/>
              <w:right w:val="nil" w:sz="6" w:space="0" w:color="auto"/>
            </w:tcBorders>
          </w:tcPr>
          <w:p>
            <w:pPr>
              <w:pStyle w:val="TableParagraph"/>
              <w:spacing w:line="234" w:lineRule="exact" w:before="39"/>
              <w:ind w:left="250" w:right="0"/>
              <w:jc w:val="left"/>
              <w:rPr>
                <w:rFonts w:ascii="宋体" w:hAnsi="宋体" w:cs="宋体" w:eastAsia="宋体" w:hint="default"/>
                <w:sz w:val="18"/>
                <w:szCs w:val="18"/>
              </w:rPr>
            </w:pPr>
            <w:r>
              <w:rPr>
                <w:rFonts w:ascii="宋体" w:hAnsi="宋体" w:cs="宋体" w:eastAsia="宋体" w:hint="default"/>
                <w:spacing w:val="10"/>
                <w:sz w:val="18"/>
                <w:szCs w:val="18"/>
              </w:rPr>
              <w:t>菱重家用空调系统</w:t>
            </w:r>
          </w:p>
          <w:p>
            <w:pPr>
              <w:pStyle w:val="TableParagraph"/>
              <w:spacing w:line="247" w:lineRule="exact"/>
              <w:ind w:left="5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上海</w:t>
            </w:r>
            <w:r>
              <w:rPr>
                <w:rFonts w:ascii="Arial" w:hAnsi="Arial" w:cs="Arial" w:eastAsia="Arial" w:hint="default"/>
                <w:sz w:val="18"/>
                <w:szCs w:val="18"/>
              </w:rPr>
              <w:t>)</w:t>
            </w:r>
            <w:r>
              <w:rPr>
                <w:rFonts w:ascii="宋体" w:hAnsi="宋体" w:cs="宋体" w:eastAsia="宋体" w:hint="default"/>
                <w:sz w:val="18"/>
                <w:szCs w:val="18"/>
              </w:rPr>
              <w:t>有限公司</w:t>
            </w: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04" w:type="dxa"/>
            <w:tcBorders>
              <w:top w:val="nil" w:sz="6" w:space="0" w:color="auto"/>
              <w:left w:val="nil" w:sz="6" w:space="0" w:color="auto"/>
              <w:bottom w:val="nil" w:sz="6" w:space="0" w:color="auto"/>
              <w:right w:val="nil" w:sz="6" w:space="0" w:color="auto"/>
            </w:tcBorders>
          </w:tcPr>
          <w:p>
            <w:pPr>
              <w:pStyle w:val="TableParagraph"/>
              <w:spacing w:line="234" w:lineRule="exact"/>
              <w:ind w:left="256" w:right="0"/>
              <w:jc w:val="center"/>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38"/>
              <w:ind w:left="93" w:right="0"/>
              <w:jc w:val="center"/>
              <w:rPr>
                <w:rFonts w:ascii="宋体" w:hAnsi="宋体" w:cs="宋体" w:eastAsia="宋体" w:hint="default"/>
                <w:sz w:val="18"/>
                <w:szCs w:val="18"/>
              </w:rPr>
            </w:pPr>
            <w:r>
              <w:rPr>
                <w:rFonts w:ascii="Arial" w:hAnsi="Arial" w:cs="Arial" w:eastAsia="Arial" w:hint="default"/>
                <w:sz w:val="18"/>
                <w:szCs w:val="18"/>
              </w:rPr>
              <w:t>480</w:t>
            </w:r>
            <w:r>
              <w:rPr>
                <w:rFonts w:ascii="Arial" w:hAnsi="Arial" w:cs="Arial" w:eastAsia="Arial" w:hint="default"/>
                <w:spacing w:val="-5"/>
                <w:sz w:val="18"/>
                <w:szCs w:val="18"/>
              </w:rPr>
              <w:t> </w:t>
            </w:r>
            <w:r>
              <w:rPr>
                <w:rFonts w:ascii="宋体" w:hAnsi="宋体" w:cs="宋体" w:eastAsia="宋体" w:hint="default"/>
                <w:sz w:val="18"/>
                <w:szCs w:val="18"/>
              </w:rPr>
              <w:t>万元</w:t>
            </w:r>
          </w:p>
        </w:tc>
        <w:tc>
          <w:tcPr>
            <w:tcW w:w="114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4"/>
              <w:jc w:val="right"/>
              <w:rPr>
                <w:rFonts w:ascii="Arial" w:hAnsi="Arial" w:cs="Arial" w:eastAsia="Arial" w:hint="default"/>
                <w:sz w:val="18"/>
                <w:szCs w:val="18"/>
              </w:rPr>
            </w:pPr>
            <w:r>
              <w:rPr>
                <w:rFonts w:ascii="Arial"/>
                <w:w w:val="95"/>
                <w:sz w:val="18"/>
              </w:rPr>
              <w:t>4,800</w:t>
            </w:r>
            <w:r>
              <w:rPr>
                <w:rFonts w:ascii="Arial"/>
                <w:sz w:val="18"/>
              </w:rPr>
            </w:r>
          </w:p>
        </w:tc>
        <w:tc>
          <w:tcPr>
            <w:tcW w:w="137"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36"/>
              <w:jc w:val="right"/>
              <w:rPr>
                <w:rFonts w:ascii="Arial" w:hAnsi="Arial" w:cs="Arial" w:eastAsia="Arial" w:hint="default"/>
                <w:sz w:val="18"/>
                <w:szCs w:val="18"/>
              </w:rPr>
            </w:pPr>
            <w:r>
              <w:rPr>
                <w:rFonts w:ascii="Arial"/>
                <w:w w:val="99"/>
                <w:sz w:val="18"/>
              </w:rPr>
              <w:t>-</w:t>
            </w:r>
            <w:r>
              <w:rPr>
                <w:rFonts w:ascii="Arial"/>
                <w:sz w:val="18"/>
              </w:rPr>
            </w:r>
          </w:p>
        </w:tc>
        <w:tc>
          <w:tcPr>
            <w:tcW w:w="115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23"/>
              <w:jc w:val="right"/>
              <w:rPr>
                <w:rFonts w:ascii="Arial" w:hAnsi="Arial" w:cs="Arial" w:eastAsia="Arial" w:hint="default"/>
                <w:sz w:val="18"/>
                <w:szCs w:val="18"/>
              </w:rPr>
            </w:pPr>
            <w:r>
              <w:rPr>
                <w:rFonts w:ascii="Arial"/>
                <w:w w:val="95"/>
                <w:sz w:val="18"/>
              </w:rPr>
              <w:t>4,800</w:t>
            </w:r>
            <w:r>
              <w:rPr>
                <w:rFonts w:ascii="Arial"/>
                <w:sz w:val="18"/>
              </w:rPr>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42"/>
              <w:jc w:val="right"/>
              <w:rPr>
                <w:rFonts w:ascii="Arial" w:hAnsi="Arial" w:cs="Arial" w:eastAsia="Arial" w:hint="default"/>
                <w:sz w:val="18"/>
                <w:szCs w:val="18"/>
              </w:rPr>
            </w:pPr>
            <w:r>
              <w:rPr>
                <w:rFonts w:ascii="Arial"/>
                <w:w w:val="95"/>
                <w:sz w:val="18"/>
              </w:rPr>
              <w:t>15%</w:t>
            </w:r>
            <w:r>
              <w:rPr>
                <w:rFonts w:ascii="Arial"/>
                <w:sz w:val="18"/>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4"/>
              <w:jc w:val="right"/>
              <w:rPr>
                <w:rFonts w:ascii="Arial" w:hAnsi="Arial" w:cs="Arial" w:eastAsia="Arial" w:hint="default"/>
                <w:sz w:val="18"/>
                <w:szCs w:val="18"/>
              </w:rPr>
            </w:pPr>
            <w:r>
              <w:rPr>
                <w:rFonts w:ascii="Arial"/>
                <w:w w:val="95"/>
                <w:sz w:val="18"/>
              </w:rPr>
              <w:t>15%</w:t>
            </w:r>
            <w:r>
              <w:rPr>
                <w:rFonts w:ascii="Arial"/>
                <w:sz w:val="18"/>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26"/>
              <w:jc w:val="right"/>
              <w:rPr>
                <w:rFonts w:ascii="Arial" w:hAnsi="Arial" w:cs="Arial" w:eastAsia="Arial" w:hint="default"/>
                <w:sz w:val="18"/>
                <w:szCs w:val="18"/>
              </w:rPr>
            </w:pPr>
            <w:r>
              <w:rPr>
                <w:rFonts w:ascii="Arial"/>
                <w:w w:val="99"/>
                <w:sz w:val="18"/>
              </w:rPr>
              <w:t>-</w:t>
            </w:r>
            <w:r>
              <w:rPr>
                <w:rFonts w:ascii="Arial"/>
                <w:sz w:val="18"/>
              </w:rPr>
            </w:r>
          </w:p>
        </w:tc>
        <w:tc>
          <w:tcPr>
            <w:tcW w:w="86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24"/>
              <w:jc w:val="right"/>
              <w:rPr>
                <w:rFonts w:ascii="Arial" w:hAnsi="Arial" w:cs="Arial" w:eastAsia="Arial" w:hint="default"/>
                <w:sz w:val="18"/>
                <w:szCs w:val="18"/>
              </w:rPr>
            </w:pPr>
            <w:r>
              <w:rPr>
                <w:rFonts w:ascii="Arial"/>
                <w:w w:val="99"/>
                <w:sz w:val="18"/>
              </w:rPr>
              <w:t>-</w:t>
            </w:r>
            <w:r>
              <w:rPr>
                <w:rFonts w:ascii="Arial"/>
                <w:sz w:val="18"/>
              </w:rPr>
            </w:r>
          </w:p>
        </w:tc>
        <w:tc>
          <w:tcPr>
            <w:tcW w:w="100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24"/>
              <w:jc w:val="right"/>
              <w:rPr>
                <w:rFonts w:ascii="Arial" w:hAnsi="Arial" w:cs="Arial" w:eastAsia="Arial" w:hint="default"/>
                <w:sz w:val="18"/>
                <w:szCs w:val="18"/>
              </w:rPr>
            </w:pPr>
            <w:r>
              <w:rPr>
                <w:rFonts w:ascii="Arial"/>
                <w:w w:val="99"/>
                <w:sz w:val="18"/>
              </w:rPr>
              <w:t>-</w:t>
            </w:r>
            <w:r>
              <w:rPr>
                <w:rFonts w:ascii="Arial"/>
                <w:sz w:val="18"/>
              </w:rPr>
            </w: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74" w:hRule="exact"/>
        </w:trPr>
        <w:tc>
          <w:tcPr>
            <w:tcW w:w="655" w:type="dxa"/>
            <w:tcBorders>
              <w:top w:val="nil" w:sz="6" w:space="0" w:color="auto"/>
              <w:left w:val="nil" w:sz="6" w:space="0" w:color="auto"/>
              <w:bottom w:val="nil" w:sz="6" w:space="0" w:color="auto"/>
              <w:right w:val="nil" w:sz="6" w:space="0" w:color="auto"/>
            </w:tcBorders>
          </w:tcPr>
          <w:p>
            <w:pPr/>
          </w:p>
        </w:tc>
        <w:tc>
          <w:tcPr>
            <w:tcW w:w="2043"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
        </w:tc>
        <w:tc>
          <w:tcPr>
            <w:tcW w:w="114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54"/>
              <w:jc w:val="right"/>
              <w:rPr>
                <w:rFonts w:ascii="Arial" w:hAnsi="Arial" w:cs="Arial" w:eastAsia="Arial" w:hint="default"/>
                <w:sz w:val="18"/>
                <w:szCs w:val="18"/>
              </w:rPr>
            </w:pPr>
            <w:r>
              <w:rPr>
                <w:rFonts w:ascii="Arial"/>
                <w:spacing w:val="-1"/>
                <w:sz w:val="18"/>
              </w:rPr>
              <w:t>545,793</w:t>
            </w:r>
          </w:p>
        </w:tc>
        <w:tc>
          <w:tcPr>
            <w:tcW w:w="137"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36"/>
              <w:jc w:val="right"/>
              <w:rPr>
                <w:rFonts w:ascii="Arial" w:hAnsi="Arial" w:cs="Arial" w:eastAsia="Arial" w:hint="default"/>
                <w:sz w:val="18"/>
                <w:szCs w:val="18"/>
              </w:rPr>
            </w:pPr>
            <w:r>
              <w:rPr>
                <w:rFonts w:ascii="Arial"/>
                <w:w w:val="99"/>
                <w:sz w:val="18"/>
              </w:rPr>
              <w:t>-</w:t>
            </w:r>
            <w:r>
              <w:rPr>
                <w:rFonts w:ascii="Arial"/>
                <w:sz w:val="18"/>
              </w:rPr>
            </w:r>
          </w:p>
        </w:tc>
        <w:tc>
          <w:tcPr>
            <w:tcW w:w="115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23"/>
              <w:jc w:val="right"/>
              <w:rPr>
                <w:rFonts w:ascii="Arial" w:hAnsi="Arial" w:cs="Arial" w:eastAsia="Arial" w:hint="default"/>
                <w:sz w:val="18"/>
                <w:szCs w:val="18"/>
              </w:rPr>
            </w:pPr>
            <w:r>
              <w:rPr>
                <w:rFonts w:ascii="Arial"/>
                <w:spacing w:val="-1"/>
                <w:sz w:val="18"/>
              </w:rPr>
              <w:t>545,793</w:t>
            </w:r>
          </w:p>
        </w:tc>
        <w:tc>
          <w:tcPr>
            <w:tcW w:w="901" w:type="dxa"/>
            <w:tcBorders>
              <w:top w:val="nil" w:sz="6" w:space="0" w:color="auto"/>
              <w:left w:val="nil" w:sz="6" w:space="0" w:color="auto"/>
              <w:bottom w:val="nil" w:sz="6" w:space="0" w:color="auto"/>
              <w:right w:val="nil" w:sz="6" w:space="0" w:color="auto"/>
            </w:tcBorders>
          </w:tcPr>
          <w:p>
            <w:pPr/>
          </w:p>
        </w:tc>
        <w:tc>
          <w:tcPr>
            <w:tcW w:w="1003"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86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24"/>
              <w:jc w:val="right"/>
              <w:rPr>
                <w:rFonts w:ascii="Arial" w:hAnsi="Arial" w:cs="Arial" w:eastAsia="Arial" w:hint="default"/>
                <w:sz w:val="18"/>
                <w:szCs w:val="18"/>
              </w:rPr>
            </w:pPr>
            <w:r>
              <w:rPr>
                <w:rFonts w:ascii="Arial"/>
                <w:w w:val="99"/>
                <w:sz w:val="18"/>
              </w:rPr>
              <w:t>-</w:t>
            </w:r>
            <w:r>
              <w:rPr>
                <w:rFonts w:ascii="Arial"/>
                <w:sz w:val="18"/>
              </w:rPr>
            </w:r>
          </w:p>
        </w:tc>
        <w:tc>
          <w:tcPr>
            <w:tcW w:w="100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24"/>
              <w:jc w:val="right"/>
              <w:rPr>
                <w:rFonts w:ascii="Arial" w:hAnsi="Arial" w:cs="Arial" w:eastAsia="Arial" w:hint="default"/>
                <w:sz w:val="18"/>
                <w:szCs w:val="18"/>
              </w:rPr>
            </w:pPr>
            <w:r>
              <w:rPr>
                <w:rFonts w:ascii="Arial"/>
                <w:w w:val="99"/>
                <w:sz w:val="18"/>
              </w:rPr>
              <w:t>-</w:t>
            </w:r>
            <w:r>
              <w:rPr>
                <w:rFonts w:ascii="Arial"/>
                <w:sz w:val="18"/>
              </w:rPr>
            </w:r>
          </w:p>
        </w:tc>
        <w:tc>
          <w:tcPr>
            <w:tcW w:w="150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7"/>
              <w:ind w:right="102"/>
              <w:jc w:val="right"/>
              <w:rPr>
                <w:rFonts w:ascii="Arial" w:hAnsi="Arial" w:cs="Arial" w:eastAsia="Arial" w:hint="default"/>
                <w:sz w:val="18"/>
                <w:szCs w:val="18"/>
              </w:rPr>
            </w:pPr>
            <w:r>
              <w:rPr>
                <w:rFonts w:ascii="Arial"/>
                <w:spacing w:val="-1"/>
                <w:sz w:val="18"/>
              </w:rPr>
              <w:t>12,000</w:t>
            </w:r>
          </w:p>
        </w:tc>
      </w:tr>
    </w:tbl>
    <w:p>
      <w:pPr>
        <w:spacing w:after="0" w:line="240" w:lineRule="auto"/>
        <w:jc w:val="right"/>
        <w:rPr>
          <w:rFonts w:ascii="Arial" w:hAnsi="Arial" w:cs="Arial" w:eastAsia="Arial" w:hint="default"/>
          <w:sz w:val="18"/>
          <w:szCs w:val="18"/>
        </w:rPr>
        <w:sectPr>
          <w:pgSz w:w="16850" w:h="11910" w:orient="landscape"/>
          <w:pgMar w:header="795" w:footer="1340" w:top="2020" w:bottom="1540" w:left="660" w:right="0"/>
        </w:sectPr>
      </w:pPr>
    </w:p>
    <w:p>
      <w:pPr>
        <w:spacing w:line="240" w:lineRule="auto" w:before="0"/>
        <w:rPr>
          <w:rFonts w:ascii="Times New Roman" w:hAnsi="Times New Roman" w:cs="Times New Roman" w:eastAsia="Times New Roman" w:hint="default"/>
          <w:sz w:val="20"/>
          <w:szCs w:val="20"/>
        </w:rPr>
      </w:pPr>
      <w:r>
        <w:rPr/>
        <w:pict>
          <v:group style="position:absolute;margin-left:274.489990pt;margin-top:284.569977pt;width:123.75pt;height:.1pt;mso-position-horizontal-relative:page;mso-position-vertical-relative:page;z-index:-1594264" coordorigin="5490,5691" coordsize="2475,2">
            <v:shape style="position:absolute;left:5490;top:5691;width:2475;height:2" coordorigin="5490,5691" coordsize="2475,0" path="m5490,5691l7965,5691e" filled="false" stroked="true" strokeweight="1.44pt" strokecolor="#000000">
              <v:path arrowok="t"/>
            </v:shape>
            <w10:wrap type="none"/>
          </v:group>
        </w:pict>
      </w:r>
    </w:p>
    <w:p>
      <w:pPr>
        <w:spacing w:line="240" w:lineRule="auto" w:before="4"/>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810"/>
        <w:gridCol w:w="1570"/>
        <w:gridCol w:w="1582"/>
        <w:gridCol w:w="209"/>
        <w:gridCol w:w="1592"/>
        <w:gridCol w:w="134"/>
        <w:gridCol w:w="1577"/>
        <w:gridCol w:w="135"/>
        <w:gridCol w:w="1613"/>
      </w:tblGrid>
      <w:tr>
        <w:trPr>
          <w:trHeight w:val="495" w:hRule="exact"/>
        </w:trPr>
        <w:tc>
          <w:tcPr>
            <w:tcW w:w="81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十五</w:t>
            </w:r>
          </w:p>
        </w:tc>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29"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09"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r>
      <w:tr>
        <w:trPr>
          <w:trHeight w:val="744" w:hRule="exact"/>
        </w:trPr>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(4)</w:t>
            </w:r>
          </w:p>
        </w:tc>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129" w:right="0"/>
              <w:jc w:val="left"/>
              <w:rPr>
                <w:rFonts w:ascii="黑体" w:hAnsi="黑体" w:cs="黑体" w:eastAsia="黑体" w:hint="default"/>
                <w:sz w:val="24"/>
                <w:szCs w:val="24"/>
              </w:rPr>
            </w:pPr>
            <w:r>
              <w:rPr>
                <w:rFonts w:ascii="黑体" w:hAnsi="黑体" w:cs="黑体" w:eastAsia="黑体" w:hint="default"/>
                <w:sz w:val="24"/>
                <w:szCs w:val="24"/>
              </w:rPr>
              <w:t>营业收入和营业成本</w:t>
            </w:r>
          </w:p>
        </w:tc>
        <w:tc>
          <w:tcPr>
            <w:tcW w:w="209"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r>
      <w:tr>
        <w:trPr>
          <w:trHeight w:val="728" w:hRule="exact"/>
        </w:trPr>
        <w:tc>
          <w:tcPr>
            <w:tcW w:w="81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351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9"/>
              <w:ind w:left="1346"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13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0"/>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553" w:hRule="exact"/>
        </w:trPr>
        <w:tc>
          <w:tcPr>
            <w:tcW w:w="81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29"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582" w:type="dxa"/>
            <w:tcBorders>
              <w:top w:val="nil" w:sz="6" w:space="0" w:color="auto"/>
              <w:left w:val="nil" w:sz="6" w:space="0" w:color="auto"/>
              <w:bottom w:val="nil" w:sz="6" w:space="0" w:color="auto"/>
              <w:right w:val="nil" w:sz="6" w:space="0" w:color="auto"/>
            </w:tcBorders>
          </w:tcPr>
          <w:p>
            <w:pPr/>
          </w:p>
        </w:tc>
        <w:tc>
          <w:tcPr>
            <w:tcW w:w="351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217" w:right="0"/>
              <w:jc w:val="left"/>
              <w:rPr>
                <w:rFonts w:ascii="Arial" w:hAnsi="Arial" w:cs="Arial" w:eastAsia="Arial" w:hint="default"/>
                <w:sz w:val="24"/>
                <w:szCs w:val="24"/>
              </w:rPr>
            </w:pPr>
            <w:r>
              <w:rPr>
                <w:rFonts w:ascii="Arial"/>
                <w:sz w:val="24"/>
              </w:rPr>
              <w:t>67,299,164</w:t>
            </w:r>
          </w:p>
        </w:tc>
        <w:tc>
          <w:tcPr>
            <w:tcW w:w="13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54"/>
              <w:jc w:val="right"/>
              <w:rPr>
                <w:rFonts w:ascii="Arial" w:hAnsi="Arial" w:cs="Arial" w:eastAsia="Arial" w:hint="default"/>
                <w:sz w:val="24"/>
                <w:szCs w:val="24"/>
              </w:rPr>
            </w:pPr>
            <w:r>
              <w:rPr>
                <w:rFonts w:ascii="Arial"/>
                <w:spacing w:val="-1"/>
                <w:sz w:val="24"/>
              </w:rPr>
              <w:t>67,263,014</w:t>
            </w:r>
          </w:p>
        </w:tc>
      </w:tr>
      <w:tr>
        <w:trPr>
          <w:trHeight w:val="383" w:hRule="exact"/>
        </w:trPr>
        <w:tc>
          <w:tcPr>
            <w:tcW w:w="81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302" w:lineRule="exact"/>
              <w:ind w:left="129"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1582" w:type="dxa"/>
            <w:tcBorders>
              <w:top w:val="nil" w:sz="6" w:space="0" w:color="auto"/>
              <w:left w:val="nil" w:sz="6" w:space="0" w:color="auto"/>
              <w:bottom w:val="nil" w:sz="6" w:space="0" w:color="auto"/>
              <w:right w:val="nil" w:sz="6" w:space="0" w:color="auto"/>
            </w:tcBorders>
          </w:tcPr>
          <w:p>
            <w:pPr/>
          </w:p>
        </w:tc>
        <w:tc>
          <w:tcPr>
            <w:tcW w:w="351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9"/>
              <w:ind w:left="1550" w:right="0"/>
              <w:jc w:val="left"/>
              <w:rPr>
                <w:rFonts w:ascii="Arial" w:hAnsi="Arial" w:cs="Arial" w:eastAsia="Arial" w:hint="default"/>
                <w:sz w:val="24"/>
                <w:szCs w:val="24"/>
              </w:rPr>
            </w:pPr>
            <w:r>
              <w:rPr>
                <w:rFonts w:ascii="Arial"/>
                <w:sz w:val="24"/>
              </w:rPr>
              <w:t>271,335</w:t>
            </w:r>
          </w:p>
        </w:tc>
        <w:tc>
          <w:tcPr>
            <w:tcW w:w="135" w:type="dxa"/>
            <w:tcBorders>
              <w:top w:val="nil" w:sz="6" w:space="0" w:color="auto"/>
              <w:left w:val="nil" w:sz="6" w:space="0" w:color="auto"/>
              <w:bottom w:val="single" w:sz="4" w:space="0" w:color="000000"/>
              <w:right w:val="nil" w:sz="6" w:space="0" w:color="auto"/>
            </w:tcBorders>
          </w:tcPr>
          <w:p>
            <w:pP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52"/>
              <w:jc w:val="right"/>
              <w:rPr>
                <w:rFonts w:ascii="Arial" w:hAnsi="Arial" w:cs="Arial" w:eastAsia="Arial" w:hint="default"/>
                <w:sz w:val="24"/>
                <w:szCs w:val="24"/>
              </w:rPr>
            </w:pPr>
            <w:r>
              <w:rPr>
                <w:rFonts w:ascii="Arial"/>
                <w:spacing w:val="-1"/>
                <w:sz w:val="24"/>
              </w:rPr>
              <w:t>276,434</w:t>
            </w:r>
          </w:p>
        </w:tc>
      </w:tr>
      <w:tr>
        <w:trPr>
          <w:trHeight w:val="377" w:hRule="exact"/>
        </w:trPr>
        <w:tc>
          <w:tcPr>
            <w:tcW w:w="81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3512" w:type="dxa"/>
            <w:gridSpan w:val="4"/>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24.25pt;height:.5pt;mso-position-horizontal-relative:char;mso-position-vertical-relative:line" coordorigin="0,0" coordsize="2485,10">
                  <v:group style="position:absolute;left:5;top:5;width:2475;height:2" coordorigin="5,5" coordsize="2475,2">
                    <v:shape style="position:absolute;left:5;top:5;width:2475;height:2" coordorigin="5,5" coordsize="2475,0" path="m5,5l2480,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6"/>
              <w:ind w:left="1217" w:right="0"/>
              <w:jc w:val="left"/>
              <w:rPr>
                <w:rFonts w:ascii="Arial" w:hAnsi="Arial" w:cs="Arial" w:eastAsia="Arial" w:hint="default"/>
                <w:sz w:val="24"/>
                <w:szCs w:val="24"/>
              </w:rPr>
            </w:pPr>
            <w:r>
              <w:rPr>
                <w:rFonts w:ascii="Arial"/>
                <w:sz w:val="24"/>
              </w:rPr>
              <w:t>67,570,499</w:t>
            </w:r>
          </w:p>
        </w:tc>
        <w:tc>
          <w:tcPr>
            <w:tcW w:w="135" w:type="dxa"/>
            <w:tcBorders>
              <w:top w:val="single" w:sz="4" w:space="0" w:color="000000"/>
              <w:left w:val="nil" w:sz="6" w:space="0" w:color="auto"/>
              <w:bottom w:val="single" w:sz="12" w:space="0" w:color="000000"/>
              <w:right w:val="nil" w:sz="6" w:space="0" w:color="auto"/>
            </w:tcBorders>
          </w:tcPr>
          <w:p>
            <w:pPr/>
          </w:p>
        </w:tc>
        <w:tc>
          <w:tcPr>
            <w:tcW w:w="1613"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54"/>
              <w:jc w:val="right"/>
              <w:rPr>
                <w:rFonts w:ascii="Arial" w:hAnsi="Arial" w:cs="Arial" w:eastAsia="Arial" w:hint="default"/>
                <w:sz w:val="24"/>
                <w:szCs w:val="24"/>
              </w:rPr>
            </w:pPr>
            <w:r>
              <w:rPr>
                <w:rFonts w:ascii="Arial"/>
                <w:spacing w:val="-1"/>
                <w:sz w:val="24"/>
              </w:rPr>
              <w:t>67,539,448</w:t>
            </w:r>
          </w:p>
        </w:tc>
      </w:tr>
      <w:tr>
        <w:trPr>
          <w:trHeight w:val="857" w:hRule="exact"/>
        </w:trPr>
        <w:tc>
          <w:tcPr>
            <w:tcW w:w="81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351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1346"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135" w:type="dxa"/>
            <w:tcBorders>
              <w:top w:val="single" w:sz="12" w:space="0" w:color="000000"/>
              <w:left w:val="nil" w:sz="6" w:space="0" w:color="auto"/>
              <w:bottom w:val="nil" w:sz="6" w:space="0" w:color="auto"/>
              <w:right w:val="nil" w:sz="6" w:space="0" w:color="auto"/>
            </w:tcBorders>
          </w:tcPr>
          <w:p>
            <w:pPr/>
          </w:p>
        </w:tc>
        <w:tc>
          <w:tcPr>
            <w:tcW w:w="1613"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50"/>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547" w:hRule="exact"/>
        </w:trPr>
        <w:tc>
          <w:tcPr>
            <w:tcW w:w="81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129"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1582" w:type="dxa"/>
            <w:tcBorders>
              <w:top w:val="nil" w:sz="6" w:space="0" w:color="auto"/>
              <w:left w:val="nil" w:sz="6" w:space="0" w:color="auto"/>
              <w:bottom w:val="nil" w:sz="6" w:space="0" w:color="auto"/>
              <w:right w:val="nil" w:sz="6" w:space="0" w:color="auto"/>
            </w:tcBorders>
          </w:tcPr>
          <w:p>
            <w:pPr/>
          </w:p>
        </w:tc>
        <w:tc>
          <w:tcPr>
            <w:tcW w:w="351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14"/>
              <w:ind w:left="1217" w:right="0"/>
              <w:jc w:val="left"/>
              <w:rPr>
                <w:rFonts w:ascii="Arial" w:hAnsi="Arial" w:cs="Arial" w:eastAsia="Arial" w:hint="default"/>
                <w:sz w:val="24"/>
                <w:szCs w:val="24"/>
              </w:rPr>
            </w:pPr>
            <w:r>
              <w:rPr>
                <w:rFonts w:ascii="Arial"/>
                <w:sz w:val="24"/>
              </w:rPr>
              <w:t>64,072,162</w:t>
            </w:r>
          </w:p>
        </w:tc>
        <w:tc>
          <w:tcPr>
            <w:tcW w:w="13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54"/>
              <w:jc w:val="right"/>
              <w:rPr>
                <w:rFonts w:ascii="Arial" w:hAnsi="Arial" w:cs="Arial" w:eastAsia="Arial" w:hint="default"/>
                <w:sz w:val="24"/>
                <w:szCs w:val="24"/>
              </w:rPr>
            </w:pPr>
            <w:r>
              <w:rPr>
                <w:rFonts w:ascii="Arial"/>
                <w:spacing w:val="-1"/>
                <w:sz w:val="24"/>
              </w:rPr>
              <w:t>62,509,067</w:t>
            </w:r>
          </w:p>
        </w:tc>
      </w:tr>
      <w:tr>
        <w:trPr>
          <w:trHeight w:val="384" w:hRule="exact"/>
        </w:trPr>
        <w:tc>
          <w:tcPr>
            <w:tcW w:w="81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303" w:lineRule="exact"/>
              <w:ind w:left="129"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1582" w:type="dxa"/>
            <w:tcBorders>
              <w:top w:val="nil" w:sz="6" w:space="0" w:color="auto"/>
              <w:left w:val="nil" w:sz="6" w:space="0" w:color="auto"/>
              <w:bottom w:val="nil" w:sz="6" w:space="0" w:color="auto"/>
              <w:right w:val="nil" w:sz="6" w:space="0" w:color="auto"/>
            </w:tcBorders>
          </w:tcPr>
          <w:p>
            <w:pPr/>
          </w:p>
        </w:tc>
        <w:tc>
          <w:tcPr>
            <w:tcW w:w="351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8"/>
              <w:ind w:left="1685" w:right="0"/>
              <w:jc w:val="left"/>
              <w:rPr>
                <w:rFonts w:ascii="Arial" w:hAnsi="Arial" w:cs="Arial" w:eastAsia="Arial" w:hint="default"/>
                <w:sz w:val="24"/>
                <w:szCs w:val="24"/>
              </w:rPr>
            </w:pPr>
            <w:r>
              <w:rPr>
                <w:rFonts w:ascii="Arial"/>
                <w:sz w:val="24"/>
              </w:rPr>
              <w:t>84,421</w:t>
            </w:r>
          </w:p>
        </w:tc>
        <w:tc>
          <w:tcPr>
            <w:tcW w:w="135" w:type="dxa"/>
            <w:tcBorders>
              <w:top w:val="nil" w:sz="6" w:space="0" w:color="auto"/>
              <w:left w:val="nil" w:sz="6" w:space="0" w:color="auto"/>
              <w:bottom w:val="single" w:sz="4" w:space="0" w:color="000000"/>
              <w:right w:val="nil" w:sz="6" w:space="0" w:color="auto"/>
            </w:tcBorders>
          </w:tcPr>
          <w:p>
            <w:pP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52"/>
              <w:jc w:val="right"/>
              <w:rPr>
                <w:rFonts w:ascii="Arial" w:hAnsi="Arial" w:cs="Arial" w:eastAsia="Arial" w:hint="default"/>
                <w:sz w:val="24"/>
                <w:szCs w:val="24"/>
              </w:rPr>
            </w:pPr>
            <w:r>
              <w:rPr>
                <w:rFonts w:ascii="Arial"/>
                <w:spacing w:val="-1"/>
                <w:sz w:val="24"/>
              </w:rPr>
              <w:t>30,300</w:t>
            </w:r>
          </w:p>
        </w:tc>
      </w:tr>
      <w:tr>
        <w:trPr>
          <w:trHeight w:val="374" w:hRule="exact"/>
        </w:trPr>
        <w:tc>
          <w:tcPr>
            <w:tcW w:w="81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3512" w:type="dxa"/>
            <w:gridSpan w:val="4"/>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24.25pt;height:.5pt;mso-position-horizontal-relative:char;mso-position-vertical-relative:line" coordorigin="0,0" coordsize="2485,10">
                  <v:group style="position:absolute;left:5;top:5;width:2475;height:2" coordorigin="5,5" coordsize="2475,2">
                    <v:shape style="position:absolute;left:5;top:5;width:2475;height:2" coordorigin="5,5" coordsize="2475,0" path="m5,5l2480,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6"/>
              <w:ind w:left="1217" w:right="0"/>
              <w:jc w:val="left"/>
              <w:rPr>
                <w:rFonts w:ascii="Arial" w:hAnsi="Arial" w:cs="Arial" w:eastAsia="Arial" w:hint="default"/>
                <w:sz w:val="24"/>
                <w:szCs w:val="24"/>
              </w:rPr>
            </w:pPr>
            <w:r>
              <w:rPr>
                <w:rFonts w:ascii="Arial"/>
                <w:sz w:val="24"/>
              </w:rPr>
              <w:t>64,156,583</w:t>
            </w:r>
          </w:p>
        </w:tc>
        <w:tc>
          <w:tcPr>
            <w:tcW w:w="135" w:type="dxa"/>
            <w:tcBorders>
              <w:top w:val="single" w:sz="4" w:space="0" w:color="000000"/>
              <w:left w:val="nil" w:sz="6" w:space="0" w:color="auto"/>
              <w:bottom w:val="single" w:sz="12" w:space="0" w:color="000000"/>
              <w:right w:val="nil" w:sz="6" w:space="0" w:color="auto"/>
            </w:tcBorders>
          </w:tcPr>
          <w:p>
            <w:pPr/>
          </w:p>
        </w:tc>
        <w:tc>
          <w:tcPr>
            <w:tcW w:w="1613"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54"/>
              <w:jc w:val="right"/>
              <w:rPr>
                <w:rFonts w:ascii="Arial" w:hAnsi="Arial" w:cs="Arial" w:eastAsia="Arial" w:hint="default"/>
                <w:sz w:val="24"/>
                <w:szCs w:val="24"/>
              </w:rPr>
            </w:pPr>
            <w:r>
              <w:rPr>
                <w:rFonts w:ascii="Arial"/>
                <w:spacing w:val="-1"/>
                <w:sz w:val="24"/>
              </w:rPr>
              <w:t>62,539,367</w:t>
            </w:r>
          </w:p>
        </w:tc>
      </w:tr>
      <w:tr>
        <w:trPr>
          <w:trHeight w:val="940" w:hRule="exact"/>
        </w:trPr>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29" w:right="0"/>
              <w:jc w:val="left"/>
              <w:rPr>
                <w:rFonts w:ascii="宋体" w:hAnsi="宋体" w:cs="宋体" w:eastAsia="宋体" w:hint="default"/>
                <w:sz w:val="24"/>
                <w:szCs w:val="24"/>
              </w:rPr>
            </w:pPr>
            <w:r>
              <w:rPr>
                <w:rFonts w:ascii="宋体" w:hAnsi="宋体" w:cs="宋体" w:eastAsia="宋体" w:hint="default"/>
                <w:sz w:val="24"/>
                <w:szCs w:val="24"/>
              </w:rPr>
              <w:t>主营业务收入和主营业务成</w:t>
            </w:r>
          </w:p>
        </w:tc>
        <w:tc>
          <w:tcPr>
            <w:tcW w:w="209"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40" w:lineRule="auto"/>
              <w:ind w:left="-143" w:right="0"/>
              <w:jc w:val="left"/>
              <w:rPr>
                <w:rFonts w:ascii="宋体" w:hAnsi="宋体" w:cs="宋体" w:eastAsia="宋体" w:hint="default"/>
                <w:sz w:val="24"/>
                <w:szCs w:val="24"/>
              </w:rPr>
            </w:pPr>
            <w:r>
              <w:rPr>
                <w:rFonts w:ascii="宋体" w:hAnsi="宋体" w:cs="宋体" w:eastAsia="宋体" w:hint="default"/>
                <w:sz w:val="24"/>
                <w:szCs w:val="24"/>
              </w:rPr>
              <w:t>本</w:t>
            </w:r>
          </w:p>
        </w:tc>
        <w:tc>
          <w:tcPr>
            <w:tcW w:w="1592" w:type="dxa"/>
            <w:tcBorders>
              <w:top w:val="single" w:sz="12" w:space="0" w:color="000000"/>
              <w:left w:val="nil" w:sz="6" w:space="0" w:color="auto"/>
              <w:bottom w:val="nil" w:sz="6" w:space="0" w:color="auto"/>
              <w:right w:val="nil" w:sz="6" w:space="0" w:color="auto"/>
            </w:tcBorders>
          </w:tcPr>
          <w:p>
            <w:pPr/>
          </w:p>
        </w:tc>
        <w:tc>
          <w:tcPr>
            <w:tcW w:w="134" w:type="dxa"/>
            <w:tcBorders>
              <w:top w:val="single" w:sz="12" w:space="0" w:color="000000"/>
              <w:left w:val="nil" w:sz="6" w:space="0" w:color="auto"/>
              <w:bottom w:val="nil" w:sz="6" w:space="0" w:color="auto"/>
              <w:right w:val="nil" w:sz="6" w:space="0" w:color="auto"/>
            </w:tcBorders>
          </w:tcPr>
          <w:p>
            <w:pPr/>
          </w:p>
        </w:tc>
        <w:tc>
          <w:tcPr>
            <w:tcW w:w="1577" w:type="dxa"/>
            <w:tcBorders>
              <w:top w:val="single" w:sz="12" w:space="0" w:color="000000"/>
              <w:left w:val="nil" w:sz="6" w:space="0" w:color="auto"/>
              <w:bottom w:val="nil" w:sz="6" w:space="0" w:color="auto"/>
              <w:right w:val="nil" w:sz="6" w:space="0" w:color="auto"/>
            </w:tcBorders>
          </w:tcPr>
          <w:p>
            <w:pPr/>
          </w:p>
        </w:tc>
        <w:tc>
          <w:tcPr>
            <w:tcW w:w="135" w:type="dxa"/>
            <w:tcBorders>
              <w:top w:val="single" w:sz="12" w:space="0" w:color="000000"/>
              <w:left w:val="nil" w:sz="6" w:space="0" w:color="auto"/>
              <w:bottom w:val="nil" w:sz="6" w:space="0" w:color="auto"/>
              <w:right w:val="nil" w:sz="6" w:space="0" w:color="auto"/>
            </w:tcBorders>
          </w:tcPr>
          <w:p>
            <w:pPr/>
          </w:p>
        </w:tc>
        <w:tc>
          <w:tcPr>
            <w:tcW w:w="1613" w:type="dxa"/>
            <w:tcBorders>
              <w:top w:val="single" w:sz="12" w:space="0" w:color="000000"/>
              <w:left w:val="nil" w:sz="6" w:space="0" w:color="auto"/>
              <w:bottom w:val="nil" w:sz="6" w:space="0" w:color="auto"/>
              <w:right w:val="nil" w:sz="6" w:space="0" w:color="auto"/>
            </w:tcBorders>
          </w:tcPr>
          <w:p>
            <w:pPr/>
          </w:p>
        </w:tc>
      </w:tr>
      <w:tr>
        <w:trPr>
          <w:trHeight w:val="748" w:hRule="exact"/>
        </w:trPr>
        <w:tc>
          <w:tcPr>
            <w:tcW w:w="810" w:type="dxa"/>
            <w:tcBorders>
              <w:top w:val="nil" w:sz="6" w:space="0" w:color="auto"/>
              <w:left w:val="nil" w:sz="6" w:space="0" w:color="auto"/>
              <w:bottom w:val="nil" w:sz="6" w:space="0" w:color="auto"/>
              <w:right w:val="nil" w:sz="6" w:space="0" w:color="auto"/>
            </w:tcBorders>
          </w:tcPr>
          <w:p>
            <w:pPr/>
          </w:p>
        </w:tc>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129" w:right="0"/>
              <w:jc w:val="left"/>
              <w:rPr>
                <w:rFonts w:ascii="宋体" w:hAnsi="宋体" w:cs="宋体" w:eastAsia="宋体" w:hint="default"/>
                <w:sz w:val="24"/>
                <w:szCs w:val="24"/>
              </w:rPr>
            </w:pPr>
            <w:r>
              <w:rPr>
                <w:rFonts w:ascii="宋体" w:hAnsi="宋体" w:cs="宋体" w:eastAsia="宋体" w:hint="default"/>
                <w:sz w:val="24"/>
                <w:szCs w:val="24"/>
              </w:rPr>
              <w:t>按行业分析如下：</w:t>
            </w:r>
          </w:p>
        </w:tc>
        <w:tc>
          <w:tcPr>
            <w:tcW w:w="209"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r>
      <w:tr>
        <w:trPr>
          <w:trHeight w:val="576" w:hRule="exact"/>
        </w:trPr>
        <w:tc>
          <w:tcPr>
            <w:tcW w:w="81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single" w:sz="4" w:space="0" w:color="000000"/>
              <w:right w:val="nil" w:sz="6" w:space="0" w:color="auto"/>
            </w:tcBorders>
          </w:tcPr>
          <w:p>
            <w:pPr/>
          </w:p>
        </w:tc>
        <w:tc>
          <w:tcPr>
            <w:tcW w:w="3383"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80"/>
              <w:ind w:right="48"/>
              <w:jc w:val="center"/>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3459"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80"/>
              <w:ind w:left="1264"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4"/>
                <w:sz w:val="24"/>
                <w:szCs w:val="24"/>
              </w:rPr>
              <w:t> </w:t>
            </w:r>
            <w:r>
              <w:rPr>
                <w:rFonts w:ascii="宋体" w:hAnsi="宋体" w:cs="宋体" w:eastAsia="宋体" w:hint="default"/>
                <w:sz w:val="24"/>
                <w:szCs w:val="24"/>
              </w:rPr>
              <w:t>年度</w:t>
            </w:r>
          </w:p>
        </w:tc>
      </w:tr>
      <w:tr>
        <w:trPr>
          <w:trHeight w:val="575" w:hRule="exact"/>
        </w:trPr>
        <w:tc>
          <w:tcPr>
            <w:tcW w:w="810" w:type="dxa"/>
            <w:tcBorders>
              <w:top w:val="nil" w:sz="6" w:space="0" w:color="auto"/>
              <w:left w:val="nil" w:sz="6" w:space="0" w:color="auto"/>
              <w:bottom w:val="nil" w:sz="6" w:space="0" w:color="auto"/>
              <w:right w:val="nil" w:sz="6" w:space="0" w:color="auto"/>
            </w:tcBorders>
          </w:tcPr>
          <w:p>
            <w:pPr/>
          </w:p>
        </w:tc>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654"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209" w:type="dxa"/>
            <w:tcBorders>
              <w:top w:val="single" w:sz="4" w:space="0" w:color="000000"/>
              <w:left w:val="nil" w:sz="6" w:space="0" w:color="auto"/>
              <w:bottom w:val="nil" w:sz="6" w:space="0" w:color="auto"/>
              <w:right w:val="nil" w:sz="6" w:space="0" w:color="auto"/>
            </w:tcBorders>
          </w:tcPr>
          <w:p>
            <w:pPr/>
          </w:p>
        </w:tc>
        <w:tc>
          <w:tcPr>
            <w:tcW w:w="1592" w:type="dxa"/>
            <w:tcBorders>
              <w:top w:val="single" w:sz="4" w:space="0" w:color="000000"/>
              <w:left w:val="nil" w:sz="6" w:space="0" w:color="auto"/>
              <w:bottom w:val="nil" w:sz="6" w:space="0" w:color="auto"/>
              <w:right w:val="nil" w:sz="6" w:space="0" w:color="auto"/>
            </w:tcBorders>
          </w:tcPr>
          <w:p>
            <w:pPr>
              <w:pStyle w:val="TableParagraph"/>
              <w:spacing w:line="240" w:lineRule="auto"/>
              <w:ind w:right="53"/>
              <w:jc w:val="right"/>
              <w:rPr>
                <w:rFonts w:ascii="宋体" w:hAnsi="宋体" w:cs="宋体" w:eastAsia="宋体" w:hint="default"/>
                <w:sz w:val="24"/>
                <w:szCs w:val="24"/>
              </w:rPr>
            </w:pPr>
            <w:r>
              <w:rPr>
                <w:rFonts w:ascii="宋体" w:hAnsi="宋体" w:cs="宋体" w:eastAsia="宋体" w:hint="default"/>
                <w:sz w:val="24"/>
                <w:szCs w:val="24"/>
              </w:rPr>
              <w:t>主营业务成本</w:t>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ind w:right="53"/>
              <w:jc w:val="right"/>
              <w:rPr>
                <w:rFonts w:ascii="宋体" w:hAnsi="宋体" w:cs="宋体" w:eastAsia="宋体" w:hint="default"/>
                <w:sz w:val="24"/>
                <w:szCs w:val="24"/>
              </w:rPr>
            </w:pPr>
            <w:r>
              <w:rPr>
                <w:rFonts w:ascii="宋体" w:hAnsi="宋体" w:cs="宋体" w:eastAsia="宋体" w:hint="default"/>
                <w:sz w:val="24"/>
                <w:szCs w:val="24"/>
              </w:rPr>
              <w:t>主营业务收入</w:t>
            </w:r>
          </w:p>
        </w:tc>
        <w:tc>
          <w:tcPr>
            <w:tcW w:w="135" w:type="dxa"/>
            <w:tcBorders>
              <w:top w:val="single" w:sz="4" w:space="0" w:color="000000"/>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ind w:right="66"/>
              <w:jc w:val="righ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563" w:hRule="exact"/>
        </w:trPr>
        <w:tc>
          <w:tcPr>
            <w:tcW w:w="81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88"/>
              <w:ind w:left="129" w:right="0"/>
              <w:jc w:val="left"/>
              <w:rPr>
                <w:rFonts w:ascii="宋体" w:hAnsi="宋体" w:cs="宋体" w:eastAsia="宋体" w:hint="default"/>
                <w:sz w:val="22"/>
                <w:szCs w:val="22"/>
              </w:rPr>
            </w:pPr>
            <w:r>
              <w:rPr>
                <w:rFonts w:ascii="宋体" w:hAnsi="宋体" w:cs="宋体" w:eastAsia="宋体" w:hint="default"/>
                <w:sz w:val="22"/>
                <w:szCs w:val="22"/>
              </w:rPr>
              <w:t>零售批发行业</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55"/>
              <w:jc w:val="right"/>
              <w:rPr>
                <w:rFonts w:ascii="Arial" w:hAnsi="Arial" w:cs="Arial" w:eastAsia="Arial" w:hint="default"/>
                <w:sz w:val="24"/>
                <w:szCs w:val="24"/>
              </w:rPr>
            </w:pPr>
            <w:r>
              <w:rPr>
                <w:rFonts w:ascii="Arial"/>
                <w:spacing w:val="-1"/>
                <w:sz w:val="24"/>
              </w:rPr>
              <w:t>67,128,384</w:t>
            </w:r>
          </w:p>
        </w:tc>
        <w:tc>
          <w:tcPr>
            <w:tcW w:w="209"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53"/>
              <w:jc w:val="right"/>
              <w:rPr>
                <w:rFonts w:ascii="Arial" w:hAnsi="Arial" w:cs="Arial" w:eastAsia="Arial" w:hint="default"/>
                <w:sz w:val="24"/>
                <w:szCs w:val="24"/>
              </w:rPr>
            </w:pPr>
            <w:r>
              <w:rPr>
                <w:rFonts w:ascii="Arial"/>
                <w:spacing w:val="-1"/>
                <w:sz w:val="24"/>
              </w:rPr>
              <w:t>63,918,109</w:t>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53"/>
              <w:jc w:val="right"/>
              <w:rPr>
                <w:rFonts w:ascii="Arial" w:hAnsi="Arial" w:cs="Arial" w:eastAsia="Arial" w:hint="default"/>
                <w:sz w:val="24"/>
                <w:szCs w:val="24"/>
              </w:rPr>
            </w:pPr>
            <w:r>
              <w:rPr>
                <w:rFonts w:ascii="Arial"/>
                <w:spacing w:val="-1"/>
                <w:sz w:val="24"/>
              </w:rPr>
              <w:t>67,068,041</w:t>
            </w:r>
          </w:p>
        </w:tc>
        <w:tc>
          <w:tcPr>
            <w:tcW w:w="13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66"/>
              <w:jc w:val="right"/>
              <w:rPr>
                <w:rFonts w:ascii="Arial" w:hAnsi="Arial" w:cs="Arial" w:eastAsia="Arial" w:hint="default"/>
                <w:sz w:val="24"/>
                <w:szCs w:val="24"/>
              </w:rPr>
            </w:pPr>
            <w:r>
              <w:rPr>
                <w:rFonts w:ascii="Arial"/>
                <w:spacing w:val="-1"/>
                <w:sz w:val="24"/>
              </w:rPr>
              <w:t>62,337,781</w:t>
            </w:r>
          </w:p>
        </w:tc>
      </w:tr>
      <w:tr>
        <w:trPr>
          <w:trHeight w:val="358" w:hRule="exact"/>
        </w:trPr>
        <w:tc>
          <w:tcPr>
            <w:tcW w:w="81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single" w:sz="4" w:space="0" w:color="000000"/>
              <w:right w:val="nil" w:sz="6" w:space="0" w:color="auto"/>
            </w:tcBorders>
          </w:tcPr>
          <w:p>
            <w:pPr>
              <w:pStyle w:val="TableParagraph"/>
              <w:spacing w:line="281" w:lineRule="exact"/>
              <w:ind w:left="129" w:right="0"/>
              <w:jc w:val="left"/>
              <w:rPr>
                <w:rFonts w:ascii="宋体" w:hAnsi="宋体" w:cs="宋体" w:eastAsia="宋体" w:hint="default"/>
                <w:sz w:val="22"/>
                <w:szCs w:val="22"/>
              </w:rPr>
            </w:pPr>
            <w:r>
              <w:rPr>
                <w:rFonts w:ascii="宋体" w:hAnsi="宋体" w:cs="宋体" w:eastAsia="宋体" w:hint="default"/>
                <w:sz w:val="22"/>
                <w:szCs w:val="22"/>
              </w:rPr>
              <w:t>安装维修行业</w:t>
            </w: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55"/>
              <w:jc w:val="right"/>
              <w:rPr>
                <w:rFonts w:ascii="Arial" w:hAnsi="Arial" w:cs="Arial" w:eastAsia="Arial" w:hint="default"/>
                <w:sz w:val="24"/>
                <w:szCs w:val="24"/>
              </w:rPr>
            </w:pPr>
            <w:r>
              <w:rPr>
                <w:rFonts w:ascii="Arial"/>
                <w:spacing w:val="-1"/>
                <w:sz w:val="24"/>
              </w:rPr>
              <w:t>170,780</w:t>
            </w:r>
          </w:p>
        </w:tc>
        <w:tc>
          <w:tcPr>
            <w:tcW w:w="209"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single" w:sz="2" w:space="0" w:color="000000"/>
              <w:right w:val="nil" w:sz="6" w:space="0" w:color="auto"/>
            </w:tcBorders>
          </w:tcPr>
          <w:p>
            <w:pPr>
              <w:pStyle w:val="TableParagraph"/>
              <w:spacing w:line="240" w:lineRule="auto" w:before="36"/>
              <w:ind w:right="53"/>
              <w:jc w:val="right"/>
              <w:rPr>
                <w:rFonts w:ascii="Arial" w:hAnsi="Arial" w:cs="Arial" w:eastAsia="Arial" w:hint="default"/>
                <w:sz w:val="24"/>
                <w:szCs w:val="24"/>
              </w:rPr>
            </w:pPr>
            <w:r>
              <w:rPr>
                <w:rFonts w:ascii="Arial"/>
                <w:spacing w:val="-1"/>
                <w:sz w:val="24"/>
              </w:rPr>
              <w:t>154,053</w:t>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53"/>
              <w:jc w:val="right"/>
              <w:rPr>
                <w:rFonts w:ascii="Arial" w:hAnsi="Arial" w:cs="Arial" w:eastAsia="Arial" w:hint="default"/>
                <w:sz w:val="24"/>
                <w:szCs w:val="24"/>
              </w:rPr>
            </w:pPr>
            <w:r>
              <w:rPr>
                <w:rFonts w:ascii="Arial"/>
                <w:spacing w:val="-1"/>
                <w:sz w:val="24"/>
              </w:rPr>
              <w:t>194,973</w:t>
            </w:r>
          </w:p>
        </w:tc>
        <w:tc>
          <w:tcPr>
            <w:tcW w:w="135"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single" w:sz="2" w:space="0" w:color="000000"/>
              <w:right w:val="nil" w:sz="6" w:space="0" w:color="auto"/>
            </w:tcBorders>
          </w:tcPr>
          <w:p>
            <w:pPr>
              <w:pStyle w:val="TableParagraph"/>
              <w:spacing w:line="240" w:lineRule="auto" w:before="36"/>
              <w:ind w:right="64"/>
              <w:jc w:val="right"/>
              <w:rPr>
                <w:rFonts w:ascii="Arial" w:hAnsi="Arial" w:cs="Arial" w:eastAsia="Arial" w:hint="default"/>
                <w:sz w:val="24"/>
                <w:szCs w:val="24"/>
              </w:rPr>
            </w:pPr>
            <w:r>
              <w:rPr>
                <w:rFonts w:ascii="Arial"/>
                <w:spacing w:val="-1"/>
                <w:sz w:val="24"/>
              </w:rPr>
              <w:t>171,286</w:t>
            </w:r>
          </w:p>
        </w:tc>
      </w:tr>
      <w:tr>
        <w:trPr>
          <w:trHeight w:val="377" w:hRule="exact"/>
        </w:trPr>
        <w:tc>
          <w:tcPr>
            <w:tcW w:w="810" w:type="dxa"/>
            <w:tcBorders>
              <w:top w:val="nil" w:sz="6" w:space="0" w:color="auto"/>
              <w:left w:val="nil" w:sz="6" w:space="0" w:color="auto"/>
              <w:bottom w:val="nil" w:sz="6" w:space="0" w:color="auto"/>
              <w:right w:val="nil" w:sz="6" w:space="0" w:color="auto"/>
            </w:tcBorders>
          </w:tcPr>
          <w:p>
            <w:pPr/>
          </w:p>
        </w:tc>
        <w:tc>
          <w:tcPr>
            <w:tcW w:w="1570" w:type="dxa"/>
            <w:tcBorders>
              <w:top w:val="single" w:sz="4" w:space="0" w:color="000000"/>
              <w:left w:val="nil" w:sz="6" w:space="0" w:color="auto"/>
              <w:bottom w:val="single" w:sz="12" w:space="0" w:color="000000"/>
              <w:right w:val="nil" w:sz="6" w:space="0" w:color="auto"/>
            </w:tcBorders>
          </w:tcPr>
          <w:p>
            <w:pPr/>
          </w:p>
        </w:tc>
        <w:tc>
          <w:tcPr>
            <w:tcW w:w="158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55"/>
              <w:jc w:val="right"/>
              <w:rPr>
                <w:rFonts w:ascii="Arial" w:hAnsi="Arial" w:cs="Arial" w:eastAsia="Arial" w:hint="default"/>
                <w:sz w:val="24"/>
                <w:szCs w:val="24"/>
              </w:rPr>
            </w:pPr>
            <w:r>
              <w:rPr>
                <w:rFonts w:ascii="Arial"/>
                <w:spacing w:val="-1"/>
                <w:sz w:val="24"/>
              </w:rPr>
              <w:t>67,299,164</w:t>
            </w:r>
          </w:p>
        </w:tc>
        <w:tc>
          <w:tcPr>
            <w:tcW w:w="209" w:type="dxa"/>
            <w:tcBorders>
              <w:top w:val="nil" w:sz="6" w:space="0" w:color="auto"/>
              <w:left w:val="nil" w:sz="6" w:space="0" w:color="auto"/>
              <w:bottom w:val="nil" w:sz="6" w:space="0" w:color="auto"/>
              <w:right w:val="nil" w:sz="6" w:space="0" w:color="auto"/>
            </w:tcBorders>
          </w:tcPr>
          <w:p>
            <w:pPr/>
          </w:p>
        </w:tc>
        <w:tc>
          <w:tcPr>
            <w:tcW w:w="1592" w:type="dxa"/>
            <w:tcBorders>
              <w:top w:val="single" w:sz="2" w:space="0" w:color="000000"/>
              <w:left w:val="nil" w:sz="6" w:space="0" w:color="auto"/>
              <w:bottom w:val="single" w:sz="12" w:space="0" w:color="000000"/>
              <w:right w:val="nil" w:sz="6" w:space="0" w:color="auto"/>
            </w:tcBorders>
          </w:tcPr>
          <w:p>
            <w:pPr>
              <w:pStyle w:val="TableParagraph"/>
              <w:spacing w:line="240" w:lineRule="auto" w:before="42"/>
              <w:ind w:right="53"/>
              <w:jc w:val="right"/>
              <w:rPr>
                <w:rFonts w:ascii="Arial" w:hAnsi="Arial" w:cs="Arial" w:eastAsia="Arial" w:hint="default"/>
                <w:sz w:val="24"/>
                <w:szCs w:val="24"/>
              </w:rPr>
            </w:pPr>
            <w:r>
              <w:rPr>
                <w:rFonts w:ascii="Arial"/>
                <w:spacing w:val="-1"/>
                <w:sz w:val="24"/>
              </w:rPr>
              <w:t>64,072,162</w:t>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53"/>
              <w:jc w:val="right"/>
              <w:rPr>
                <w:rFonts w:ascii="Arial" w:hAnsi="Arial" w:cs="Arial" w:eastAsia="Arial" w:hint="default"/>
                <w:sz w:val="24"/>
                <w:szCs w:val="24"/>
              </w:rPr>
            </w:pPr>
            <w:r>
              <w:rPr>
                <w:rFonts w:ascii="Arial"/>
                <w:spacing w:val="-1"/>
                <w:sz w:val="24"/>
              </w:rPr>
              <w:t>67,263,014</w:t>
            </w:r>
          </w:p>
        </w:tc>
        <w:tc>
          <w:tcPr>
            <w:tcW w:w="135" w:type="dxa"/>
            <w:tcBorders>
              <w:top w:val="nil" w:sz="6" w:space="0" w:color="auto"/>
              <w:left w:val="nil" w:sz="6" w:space="0" w:color="auto"/>
              <w:bottom w:val="nil" w:sz="6" w:space="0" w:color="auto"/>
              <w:right w:val="nil" w:sz="6" w:space="0" w:color="auto"/>
            </w:tcBorders>
          </w:tcPr>
          <w:p>
            <w:pPr/>
          </w:p>
        </w:tc>
        <w:tc>
          <w:tcPr>
            <w:tcW w:w="1613" w:type="dxa"/>
            <w:tcBorders>
              <w:top w:val="single" w:sz="2" w:space="0" w:color="000000"/>
              <w:left w:val="nil" w:sz="6" w:space="0" w:color="auto"/>
              <w:bottom w:val="single" w:sz="12" w:space="0" w:color="000000"/>
              <w:right w:val="nil" w:sz="6" w:space="0" w:color="auto"/>
            </w:tcBorders>
          </w:tcPr>
          <w:p>
            <w:pPr>
              <w:pStyle w:val="TableParagraph"/>
              <w:spacing w:line="240" w:lineRule="auto" w:before="42"/>
              <w:ind w:right="66"/>
              <w:jc w:val="right"/>
              <w:rPr>
                <w:rFonts w:ascii="Arial" w:hAnsi="Arial" w:cs="Arial" w:eastAsia="Arial" w:hint="default"/>
                <w:sz w:val="24"/>
                <w:szCs w:val="24"/>
              </w:rPr>
            </w:pPr>
            <w:r>
              <w:rPr>
                <w:rFonts w:ascii="Arial"/>
                <w:spacing w:val="-1"/>
                <w:sz w:val="24"/>
              </w:rPr>
              <w:t>62,509,067</w:t>
            </w:r>
          </w:p>
        </w:tc>
      </w:tr>
    </w:tbl>
    <w:p>
      <w:pPr>
        <w:spacing w:after="0" w:line="240" w:lineRule="auto"/>
        <w:jc w:val="right"/>
        <w:rPr>
          <w:rFonts w:ascii="Arial" w:hAnsi="Arial" w:cs="Arial" w:eastAsia="Arial" w:hint="default"/>
          <w:sz w:val="24"/>
          <w:szCs w:val="24"/>
        </w:rPr>
        <w:sectPr>
          <w:headerReference w:type="default" r:id="rId114"/>
          <w:footerReference w:type="default" r:id="rId115"/>
          <w:pgSz w:w="11910" w:h="16850"/>
          <w:pgMar w:header="795" w:footer="1340" w:top="2020" w:bottom="1540" w:left="1420" w:right="0"/>
          <w:pgNumType w:start="23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801"/>
        <w:gridCol w:w="1818"/>
        <w:gridCol w:w="85"/>
        <w:gridCol w:w="1450"/>
        <w:gridCol w:w="65"/>
        <w:gridCol w:w="122"/>
        <w:gridCol w:w="1568"/>
        <w:gridCol w:w="134"/>
        <w:gridCol w:w="1577"/>
        <w:gridCol w:w="136"/>
        <w:gridCol w:w="1583"/>
      </w:tblGrid>
      <w:tr>
        <w:trPr>
          <w:trHeight w:val="416"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十五</w:t>
            </w:r>
          </w:p>
        </w:tc>
        <w:tc>
          <w:tcPr>
            <w:tcW w:w="3417" w:type="dxa"/>
            <w:gridSpan w:val="4"/>
            <w:tcBorders>
              <w:top w:val="nil" w:sz="6" w:space="0" w:color="auto"/>
              <w:left w:val="nil" w:sz="6" w:space="0" w:color="auto"/>
              <w:bottom w:val="nil" w:sz="6" w:space="0" w:color="auto"/>
              <w:right w:val="nil" w:sz="6" w:space="0" w:color="auto"/>
            </w:tcBorders>
          </w:tcPr>
          <w:p>
            <w:pPr>
              <w:pStyle w:val="TableParagraph"/>
              <w:spacing w:line="257" w:lineRule="exact"/>
              <w:ind w:left="137"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2"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r>
      <w:tr>
        <w:trPr>
          <w:trHeight w:val="588"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14" w:right="0"/>
              <w:jc w:val="left"/>
              <w:rPr>
                <w:rFonts w:ascii="Arial" w:hAnsi="Arial" w:cs="Arial" w:eastAsia="Arial" w:hint="default"/>
                <w:sz w:val="24"/>
                <w:szCs w:val="24"/>
              </w:rPr>
            </w:pPr>
            <w:r>
              <w:rPr>
                <w:rFonts w:ascii="Arial"/>
                <w:sz w:val="24"/>
              </w:rPr>
              <w:t>(4)</w:t>
            </w:r>
          </w:p>
        </w:tc>
        <w:tc>
          <w:tcPr>
            <w:tcW w:w="341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7"/>
              <w:ind w:left="137" w:right="0"/>
              <w:jc w:val="left"/>
              <w:rPr>
                <w:rFonts w:ascii="Arial" w:hAnsi="Arial" w:cs="Arial" w:eastAsia="Arial" w:hint="default"/>
                <w:sz w:val="24"/>
                <w:szCs w:val="24"/>
              </w:rPr>
            </w:pPr>
            <w:r>
              <w:rPr>
                <w:rFonts w:ascii="黑体" w:hAnsi="黑体" w:cs="黑体" w:eastAsia="黑体" w:hint="default"/>
                <w:sz w:val="24"/>
                <w:szCs w:val="24"/>
              </w:rPr>
              <w:t>营业收入和营业成本</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2"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r>
      <w:tr>
        <w:trPr>
          <w:trHeight w:val="591"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14" w:right="0"/>
              <w:jc w:val="left"/>
              <w:rPr>
                <w:rFonts w:ascii="Arial" w:hAnsi="Arial" w:cs="Arial" w:eastAsia="Arial" w:hint="default"/>
                <w:sz w:val="24"/>
                <w:szCs w:val="24"/>
              </w:rPr>
            </w:pPr>
            <w:r>
              <w:rPr>
                <w:rFonts w:ascii="Arial"/>
                <w:sz w:val="24"/>
              </w:rPr>
              <w:t>(a)</w:t>
            </w:r>
          </w:p>
        </w:tc>
        <w:tc>
          <w:tcPr>
            <w:tcW w:w="5107"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7"/>
              <w:ind w:left="137" w:right="0"/>
              <w:jc w:val="left"/>
              <w:rPr>
                <w:rFonts w:ascii="Arial" w:hAnsi="Arial" w:cs="Arial" w:eastAsia="Arial" w:hint="default"/>
                <w:sz w:val="24"/>
                <w:szCs w:val="24"/>
              </w:rPr>
            </w:pPr>
            <w:r>
              <w:rPr>
                <w:rFonts w:ascii="宋体" w:hAnsi="宋体" w:cs="宋体" w:eastAsia="宋体" w:hint="default"/>
                <w:sz w:val="24"/>
                <w:szCs w:val="24"/>
              </w:rPr>
              <w:t>主营业务收入和主营业务成本</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r>
      <w:tr>
        <w:trPr>
          <w:trHeight w:val="581" w:hRule="exact"/>
        </w:trPr>
        <w:tc>
          <w:tcPr>
            <w:tcW w:w="9338"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93"/>
              <w:ind w:left="939" w:right="0"/>
              <w:jc w:val="left"/>
              <w:rPr>
                <w:rFonts w:ascii="宋体" w:hAnsi="宋体" w:cs="宋体" w:eastAsia="宋体" w:hint="default"/>
                <w:sz w:val="24"/>
                <w:szCs w:val="24"/>
              </w:rPr>
            </w:pPr>
            <w:r>
              <w:rPr>
                <w:rFonts w:ascii="宋体" w:hAnsi="宋体" w:cs="宋体" w:eastAsia="宋体" w:hint="default"/>
                <w:sz w:val="24"/>
                <w:szCs w:val="24"/>
              </w:rPr>
              <w:t>按产品分析如下：</w:t>
            </w:r>
          </w:p>
        </w:tc>
      </w:tr>
      <w:tr>
        <w:trPr>
          <w:trHeight w:val="457" w:hRule="exact"/>
        </w:trPr>
        <w:tc>
          <w:tcPr>
            <w:tcW w:w="801"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single" w:sz="4" w:space="0" w:color="000000"/>
              <w:right w:val="nil" w:sz="6" w:space="0" w:color="auto"/>
            </w:tcBorders>
          </w:tcPr>
          <w:p>
            <w:pPr/>
          </w:p>
        </w:tc>
        <w:tc>
          <w:tcPr>
            <w:tcW w:w="85" w:type="dxa"/>
            <w:tcBorders>
              <w:top w:val="nil" w:sz="6" w:space="0" w:color="auto"/>
              <w:left w:val="nil" w:sz="6" w:space="0" w:color="auto"/>
              <w:bottom w:val="single" w:sz="4" w:space="0" w:color="000000"/>
              <w:right w:val="nil" w:sz="6" w:space="0" w:color="auto"/>
            </w:tcBorders>
          </w:tcPr>
          <w:p>
            <w:pPr/>
          </w:p>
        </w:tc>
        <w:tc>
          <w:tcPr>
            <w:tcW w:w="3204"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00"/>
              <w:ind w:left="983"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3430"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00"/>
              <w:ind w:left="1243"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4"/>
                <w:sz w:val="24"/>
                <w:szCs w:val="24"/>
              </w:rPr>
              <w:t> </w:t>
            </w:r>
            <w:r>
              <w:rPr>
                <w:rFonts w:ascii="宋体" w:hAnsi="宋体" w:cs="宋体" w:eastAsia="宋体" w:hint="default"/>
                <w:sz w:val="24"/>
                <w:szCs w:val="24"/>
              </w:rPr>
              <w:t>年度</w:t>
            </w:r>
          </w:p>
        </w:tc>
      </w:tr>
      <w:tr>
        <w:trPr>
          <w:trHeight w:val="452" w:hRule="exact"/>
        </w:trPr>
        <w:tc>
          <w:tcPr>
            <w:tcW w:w="801" w:type="dxa"/>
            <w:tcBorders>
              <w:top w:val="nil" w:sz="6" w:space="0" w:color="auto"/>
              <w:left w:val="nil" w:sz="6" w:space="0" w:color="auto"/>
              <w:bottom w:val="nil" w:sz="6" w:space="0" w:color="auto"/>
              <w:right w:val="nil" w:sz="6" w:space="0" w:color="auto"/>
            </w:tcBorders>
          </w:tcPr>
          <w:p>
            <w:pPr/>
          </w:p>
        </w:tc>
        <w:tc>
          <w:tcPr>
            <w:tcW w:w="3417" w:type="dxa"/>
            <w:gridSpan w:val="4"/>
            <w:tcBorders>
              <w:top w:val="nil" w:sz="6" w:space="0" w:color="auto"/>
              <w:left w:val="nil" w:sz="6" w:space="0" w:color="auto"/>
              <w:bottom w:val="nil" w:sz="6" w:space="0" w:color="auto"/>
              <w:right w:val="nil" w:sz="6" w:space="0" w:color="auto"/>
            </w:tcBorders>
          </w:tcPr>
          <w:p>
            <w:pPr>
              <w:pStyle w:val="TableParagraph"/>
              <w:spacing w:line="279" w:lineRule="exact"/>
              <w:ind w:left="1787"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22" w:type="dxa"/>
            <w:tcBorders>
              <w:top w:val="single" w:sz="4" w:space="0" w:color="000000"/>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nil" w:sz="6" w:space="0" w:color="auto"/>
              <w:right w:val="nil" w:sz="6" w:space="0" w:color="auto"/>
            </w:tcBorders>
          </w:tcPr>
          <w:p>
            <w:pPr>
              <w:pStyle w:val="TableParagraph"/>
              <w:spacing w:line="274" w:lineRule="exact"/>
              <w:ind w:left="69"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nil" w:sz="6" w:space="0" w:color="auto"/>
              <w:right w:val="nil" w:sz="6" w:space="0" w:color="auto"/>
            </w:tcBorders>
          </w:tcPr>
          <w:p>
            <w:pPr>
              <w:pStyle w:val="TableParagraph"/>
              <w:spacing w:line="274" w:lineRule="exact"/>
              <w:ind w:right="53"/>
              <w:jc w:val="right"/>
              <w:rPr>
                <w:rFonts w:ascii="宋体" w:hAnsi="宋体" w:cs="宋体" w:eastAsia="宋体" w:hint="default"/>
                <w:sz w:val="24"/>
                <w:szCs w:val="24"/>
              </w:rPr>
            </w:pPr>
            <w:r>
              <w:rPr>
                <w:rFonts w:ascii="宋体" w:hAnsi="宋体" w:cs="宋体" w:eastAsia="宋体" w:hint="default"/>
                <w:sz w:val="24"/>
                <w:szCs w:val="24"/>
              </w:rPr>
              <w:t>主营业务收入</w:t>
            </w:r>
          </w:p>
        </w:tc>
        <w:tc>
          <w:tcPr>
            <w:tcW w:w="136" w:type="dxa"/>
            <w:tcBorders>
              <w:top w:val="single" w:sz="4" w:space="0" w:color="000000"/>
              <w:left w:val="nil" w:sz="6" w:space="0" w:color="auto"/>
              <w:bottom w:val="nil" w:sz="6" w:space="0" w:color="auto"/>
              <w:right w:val="nil" w:sz="6" w:space="0" w:color="auto"/>
            </w:tcBorders>
          </w:tcPr>
          <w:p>
            <w:pPr/>
          </w:p>
        </w:tc>
        <w:tc>
          <w:tcPr>
            <w:tcW w:w="1583" w:type="dxa"/>
            <w:tcBorders>
              <w:top w:val="single" w:sz="4" w:space="0" w:color="000000"/>
              <w:left w:val="nil" w:sz="6" w:space="0" w:color="auto"/>
              <w:bottom w:val="nil" w:sz="6" w:space="0" w:color="auto"/>
              <w:right w:val="nil" w:sz="6" w:space="0" w:color="auto"/>
            </w:tcBorders>
          </w:tcPr>
          <w:p>
            <w:pPr>
              <w:pStyle w:val="TableParagraph"/>
              <w:spacing w:line="274" w:lineRule="exact"/>
              <w:ind w:left="66" w:right="0"/>
              <w:jc w:val="lef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468" w:hRule="exact"/>
        </w:trPr>
        <w:tc>
          <w:tcPr>
            <w:tcW w:w="801"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37" w:right="0"/>
              <w:jc w:val="left"/>
              <w:rPr>
                <w:rFonts w:ascii="宋体" w:hAnsi="宋体" w:cs="宋体" w:eastAsia="宋体" w:hint="default"/>
                <w:sz w:val="24"/>
                <w:szCs w:val="24"/>
              </w:rPr>
            </w:pPr>
            <w:r>
              <w:rPr>
                <w:rFonts w:ascii="宋体" w:hAnsi="宋体" w:cs="宋体" w:eastAsia="宋体" w:hint="default"/>
                <w:sz w:val="24"/>
                <w:szCs w:val="24"/>
              </w:rPr>
              <w:t>黑色电器产品</w:t>
            </w:r>
          </w:p>
        </w:tc>
        <w:tc>
          <w:tcPr>
            <w:tcW w:w="85"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122" w:right="0"/>
              <w:jc w:val="left"/>
              <w:rPr>
                <w:rFonts w:ascii="Arial" w:hAnsi="Arial" w:cs="Arial" w:eastAsia="Arial" w:hint="default"/>
                <w:sz w:val="24"/>
                <w:szCs w:val="24"/>
              </w:rPr>
            </w:pPr>
            <w:r>
              <w:rPr>
                <w:rFonts w:ascii="Arial"/>
                <w:sz w:val="24"/>
              </w:rPr>
              <w:t>19,093,375</w:t>
            </w:r>
          </w:p>
        </w:tc>
        <w:tc>
          <w:tcPr>
            <w:tcW w:w="65"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304" w:right="0"/>
              <w:jc w:val="left"/>
              <w:rPr>
                <w:rFonts w:ascii="Arial" w:hAnsi="Arial" w:cs="Arial" w:eastAsia="Arial" w:hint="default"/>
                <w:sz w:val="24"/>
                <w:szCs w:val="24"/>
              </w:rPr>
            </w:pPr>
            <w:r>
              <w:rPr>
                <w:rFonts w:ascii="Arial"/>
                <w:sz w:val="24"/>
              </w:rPr>
              <w:t>17,866,632</w:t>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53"/>
              <w:jc w:val="right"/>
              <w:rPr>
                <w:rFonts w:ascii="Arial" w:hAnsi="Arial" w:cs="Arial" w:eastAsia="Arial" w:hint="default"/>
                <w:sz w:val="24"/>
                <w:szCs w:val="24"/>
              </w:rPr>
            </w:pPr>
            <w:r>
              <w:rPr>
                <w:rFonts w:ascii="Arial"/>
                <w:spacing w:val="-1"/>
                <w:sz w:val="24"/>
              </w:rPr>
              <w:t>20,651,908</w:t>
            </w:r>
          </w:p>
        </w:tc>
        <w:tc>
          <w:tcPr>
            <w:tcW w:w="1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303" w:right="0"/>
              <w:jc w:val="left"/>
              <w:rPr>
                <w:rFonts w:ascii="Arial" w:hAnsi="Arial" w:cs="Arial" w:eastAsia="Arial" w:hint="default"/>
                <w:sz w:val="24"/>
                <w:szCs w:val="24"/>
              </w:rPr>
            </w:pPr>
            <w:r>
              <w:rPr>
                <w:rFonts w:ascii="Arial"/>
                <w:sz w:val="24"/>
              </w:rPr>
              <w:t>18,688,852</w:t>
            </w:r>
          </w:p>
        </w:tc>
      </w:tr>
      <w:tr>
        <w:trPr>
          <w:trHeight w:val="317" w:hRule="exact"/>
        </w:trPr>
        <w:tc>
          <w:tcPr>
            <w:tcW w:w="801"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Style w:val="TableParagraph"/>
              <w:spacing w:line="284" w:lineRule="exact"/>
              <w:ind w:left="137" w:right="0"/>
              <w:jc w:val="left"/>
              <w:rPr>
                <w:rFonts w:ascii="宋体" w:hAnsi="宋体" w:cs="宋体" w:eastAsia="宋体" w:hint="default"/>
                <w:sz w:val="24"/>
                <w:szCs w:val="24"/>
              </w:rPr>
            </w:pPr>
            <w:r>
              <w:rPr>
                <w:rFonts w:ascii="宋体" w:hAnsi="宋体" w:cs="宋体" w:eastAsia="宋体" w:hint="default"/>
                <w:sz w:val="24"/>
                <w:szCs w:val="24"/>
              </w:rPr>
              <w:t>数码及</w:t>
            </w:r>
            <w:r>
              <w:rPr>
                <w:rFonts w:ascii="宋体" w:hAnsi="宋体" w:cs="宋体" w:eastAsia="宋体" w:hint="default"/>
                <w:spacing w:val="-60"/>
                <w:sz w:val="24"/>
                <w:szCs w:val="24"/>
              </w:rPr>
              <w:t> </w:t>
            </w:r>
            <w:r>
              <w:rPr>
                <w:rFonts w:ascii="Arial" w:hAnsi="Arial" w:cs="Arial" w:eastAsia="Arial" w:hint="default"/>
                <w:sz w:val="24"/>
                <w:szCs w:val="24"/>
              </w:rPr>
              <w:t>IT</w:t>
            </w:r>
            <w:r>
              <w:rPr>
                <w:rFonts w:ascii="Arial" w:hAnsi="Arial" w:cs="Arial" w:eastAsia="Arial" w:hint="default"/>
                <w:spacing w:val="-5"/>
                <w:sz w:val="24"/>
                <w:szCs w:val="24"/>
              </w:rPr>
              <w:t> </w:t>
            </w:r>
            <w:r>
              <w:rPr>
                <w:rFonts w:ascii="宋体" w:hAnsi="宋体" w:cs="宋体" w:eastAsia="宋体" w:hint="default"/>
                <w:sz w:val="24"/>
                <w:szCs w:val="24"/>
              </w:rPr>
              <w:t>产品</w:t>
            </w:r>
          </w:p>
        </w:tc>
        <w:tc>
          <w:tcPr>
            <w:tcW w:w="85"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2" w:right="0"/>
              <w:jc w:val="left"/>
              <w:rPr>
                <w:rFonts w:ascii="Arial" w:hAnsi="Arial" w:cs="Arial" w:eastAsia="Arial" w:hint="default"/>
                <w:sz w:val="24"/>
                <w:szCs w:val="24"/>
              </w:rPr>
            </w:pPr>
            <w:r>
              <w:rPr>
                <w:rFonts w:ascii="Arial"/>
                <w:sz w:val="24"/>
              </w:rPr>
              <w:t>13,225,071</w:t>
            </w:r>
          </w:p>
        </w:tc>
        <w:tc>
          <w:tcPr>
            <w:tcW w:w="65"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4" w:right="0"/>
              <w:jc w:val="left"/>
              <w:rPr>
                <w:rFonts w:ascii="Arial" w:hAnsi="Arial" w:cs="Arial" w:eastAsia="Arial" w:hint="default"/>
                <w:sz w:val="24"/>
                <w:szCs w:val="24"/>
              </w:rPr>
            </w:pPr>
            <w:r>
              <w:rPr>
                <w:rFonts w:ascii="Arial"/>
                <w:sz w:val="24"/>
              </w:rPr>
              <w:t>12,999,158</w:t>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3"/>
              <w:jc w:val="right"/>
              <w:rPr>
                <w:rFonts w:ascii="Arial" w:hAnsi="Arial" w:cs="Arial" w:eastAsia="Arial" w:hint="default"/>
                <w:sz w:val="24"/>
                <w:szCs w:val="24"/>
              </w:rPr>
            </w:pPr>
            <w:r>
              <w:rPr>
                <w:rFonts w:ascii="Arial"/>
                <w:spacing w:val="-1"/>
                <w:sz w:val="24"/>
              </w:rPr>
              <w:t>13,080,530</w:t>
            </w:r>
          </w:p>
        </w:tc>
        <w:tc>
          <w:tcPr>
            <w:tcW w:w="1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3" w:right="0"/>
              <w:jc w:val="left"/>
              <w:rPr>
                <w:rFonts w:ascii="Arial" w:hAnsi="Arial" w:cs="Arial" w:eastAsia="Arial" w:hint="default"/>
                <w:sz w:val="24"/>
                <w:szCs w:val="24"/>
              </w:rPr>
            </w:pPr>
            <w:r>
              <w:rPr>
                <w:rFonts w:ascii="Arial"/>
                <w:sz w:val="24"/>
              </w:rPr>
              <w:t>12,705,440</w:t>
            </w:r>
          </w:p>
        </w:tc>
      </w:tr>
      <w:tr>
        <w:trPr>
          <w:trHeight w:val="312" w:hRule="exact"/>
        </w:trPr>
        <w:tc>
          <w:tcPr>
            <w:tcW w:w="801"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Style w:val="TableParagraph"/>
              <w:spacing w:line="262" w:lineRule="exact"/>
              <w:ind w:left="137" w:right="0"/>
              <w:jc w:val="left"/>
              <w:rPr>
                <w:rFonts w:ascii="宋体" w:hAnsi="宋体" w:cs="宋体" w:eastAsia="宋体" w:hint="default"/>
                <w:sz w:val="24"/>
                <w:szCs w:val="24"/>
              </w:rPr>
            </w:pPr>
            <w:r>
              <w:rPr>
                <w:rFonts w:ascii="宋体" w:hAnsi="宋体" w:cs="宋体" w:eastAsia="宋体" w:hint="default"/>
                <w:sz w:val="24"/>
                <w:szCs w:val="24"/>
              </w:rPr>
              <w:t>白色电器产品</w:t>
            </w:r>
          </w:p>
        </w:tc>
        <w:tc>
          <w:tcPr>
            <w:tcW w:w="85"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2" w:right="0"/>
              <w:jc w:val="left"/>
              <w:rPr>
                <w:rFonts w:ascii="Arial" w:hAnsi="Arial" w:cs="Arial" w:eastAsia="Arial" w:hint="default"/>
                <w:sz w:val="24"/>
                <w:szCs w:val="24"/>
              </w:rPr>
            </w:pPr>
            <w:r>
              <w:rPr>
                <w:rFonts w:ascii="Arial"/>
                <w:sz w:val="24"/>
              </w:rPr>
              <w:t>12,994,529</w:t>
            </w:r>
          </w:p>
        </w:tc>
        <w:tc>
          <w:tcPr>
            <w:tcW w:w="65"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23" w:right="0"/>
              <w:jc w:val="left"/>
              <w:rPr>
                <w:rFonts w:ascii="Arial" w:hAnsi="Arial" w:cs="Arial" w:eastAsia="Arial" w:hint="default"/>
                <w:sz w:val="24"/>
                <w:szCs w:val="24"/>
              </w:rPr>
            </w:pPr>
            <w:r>
              <w:rPr>
                <w:rFonts w:ascii="Arial"/>
                <w:spacing w:val="-3"/>
                <w:sz w:val="24"/>
              </w:rPr>
              <w:t>12,129,011</w:t>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3"/>
              <w:jc w:val="right"/>
              <w:rPr>
                <w:rFonts w:ascii="Arial" w:hAnsi="Arial" w:cs="Arial" w:eastAsia="Arial" w:hint="default"/>
                <w:sz w:val="24"/>
                <w:szCs w:val="24"/>
              </w:rPr>
            </w:pPr>
            <w:r>
              <w:rPr>
                <w:rFonts w:ascii="Arial"/>
                <w:spacing w:val="-1"/>
                <w:sz w:val="24"/>
              </w:rPr>
              <w:t>12,710,475</w:t>
            </w:r>
          </w:p>
        </w:tc>
        <w:tc>
          <w:tcPr>
            <w:tcW w:w="1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22" w:right="0"/>
              <w:jc w:val="left"/>
              <w:rPr>
                <w:rFonts w:ascii="Arial" w:hAnsi="Arial" w:cs="Arial" w:eastAsia="Arial" w:hint="default"/>
                <w:sz w:val="24"/>
                <w:szCs w:val="24"/>
              </w:rPr>
            </w:pPr>
            <w:r>
              <w:rPr>
                <w:rFonts w:ascii="Arial"/>
                <w:spacing w:val="-3"/>
                <w:sz w:val="24"/>
              </w:rPr>
              <w:t>11,573,435</w:t>
            </w:r>
          </w:p>
        </w:tc>
      </w:tr>
      <w:tr>
        <w:trPr>
          <w:trHeight w:val="310" w:hRule="exact"/>
        </w:trPr>
        <w:tc>
          <w:tcPr>
            <w:tcW w:w="801"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Style w:val="TableParagraph"/>
              <w:spacing w:line="262" w:lineRule="exact"/>
              <w:ind w:left="137" w:right="0"/>
              <w:jc w:val="left"/>
              <w:rPr>
                <w:rFonts w:ascii="宋体" w:hAnsi="宋体" w:cs="宋体" w:eastAsia="宋体" w:hint="default"/>
                <w:sz w:val="24"/>
                <w:szCs w:val="24"/>
              </w:rPr>
            </w:pPr>
            <w:r>
              <w:rPr>
                <w:rFonts w:ascii="宋体" w:hAnsi="宋体" w:cs="宋体" w:eastAsia="宋体" w:hint="default"/>
                <w:sz w:val="24"/>
                <w:szCs w:val="24"/>
              </w:rPr>
              <w:t>通讯产品</w:t>
            </w:r>
          </w:p>
        </w:tc>
        <w:tc>
          <w:tcPr>
            <w:tcW w:w="85"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Arial" w:hAnsi="Arial" w:cs="Arial" w:eastAsia="Arial" w:hint="default"/>
                <w:sz w:val="24"/>
                <w:szCs w:val="24"/>
              </w:rPr>
            </w:pPr>
            <w:r>
              <w:rPr>
                <w:rFonts w:ascii="Arial"/>
                <w:sz w:val="24"/>
              </w:rPr>
              <w:t>10,151,789</w:t>
            </w:r>
          </w:p>
        </w:tc>
        <w:tc>
          <w:tcPr>
            <w:tcW w:w="65"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07" w:right="0"/>
              <w:jc w:val="left"/>
              <w:rPr>
                <w:rFonts w:ascii="Arial" w:hAnsi="Arial" w:cs="Arial" w:eastAsia="Arial" w:hint="default"/>
                <w:sz w:val="24"/>
                <w:szCs w:val="24"/>
              </w:rPr>
            </w:pPr>
            <w:r>
              <w:rPr>
                <w:rFonts w:ascii="Arial"/>
                <w:sz w:val="24"/>
              </w:rPr>
              <w:t>10,018,614</w:t>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3"/>
              <w:jc w:val="right"/>
              <w:rPr>
                <w:rFonts w:ascii="Arial" w:hAnsi="Arial" w:cs="Arial" w:eastAsia="Arial" w:hint="default"/>
                <w:sz w:val="24"/>
                <w:szCs w:val="24"/>
              </w:rPr>
            </w:pPr>
            <w:r>
              <w:rPr>
                <w:rFonts w:ascii="Arial"/>
                <w:spacing w:val="-1"/>
                <w:sz w:val="24"/>
              </w:rPr>
              <w:t>9,122,791</w:t>
            </w:r>
          </w:p>
        </w:tc>
        <w:tc>
          <w:tcPr>
            <w:tcW w:w="1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4"/>
              <w:jc w:val="right"/>
              <w:rPr>
                <w:rFonts w:ascii="Arial" w:hAnsi="Arial" w:cs="Arial" w:eastAsia="Arial" w:hint="default"/>
                <w:sz w:val="24"/>
                <w:szCs w:val="24"/>
              </w:rPr>
            </w:pPr>
            <w:r>
              <w:rPr>
                <w:rFonts w:ascii="Arial"/>
                <w:spacing w:val="-1"/>
                <w:sz w:val="24"/>
              </w:rPr>
              <w:t>8,869,164</w:t>
            </w:r>
          </w:p>
        </w:tc>
      </w:tr>
      <w:tr>
        <w:trPr>
          <w:trHeight w:val="312" w:hRule="exact"/>
        </w:trPr>
        <w:tc>
          <w:tcPr>
            <w:tcW w:w="801"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Style w:val="TableParagraph"/>
              <w:spacing w:line="262" w:lineRule="exact"/>
              <w:ind w:left="137" w:right="0"/>
              <w:jc w:val="left"/>
              <w:rPr>
                <w:rFonts w:ascii="宋体" w:hAnsi="宋体" w:cs="宋体" w:eastAsia="宋体" w:hint="default"/>
                <w:sz w:val="24"/>
                <w:szCs w:val="24"/>
              </w:rPr>
            </w:pPr>
            <w:r>
              <w:rPr>
                <w:rFonts w:ascii="宋体" w:hAnsi="宋体" w:cs="宋体" w:eastAsia="宋体" w:hint="default"/>
                <w:sz w:val="24"/>
                <w:szCs w:val="24"/>
              </w:rPr>
              <w:t>空调器产品</w:t>
            </w:r>
          </w:p>
        </w:tc>
        <w:tc>
          <w:tcPr>
            <w:tcW w:w="85"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56" w:right="0"/>
              <w:jc w:val="left"/>
              <w:rPr>
                <w:rFonts w:ascii="Arial" w:hAnsi="Arial" w:cs="Arial" w:eastAsia="Arial" w:hint="default"/>
                <w:sz w:val="24"/>
                <w:szCs w:val="24"/>
              </w:rPr>
            </w:pPr>
            <w:r>
              <w:rPr>
                <w:rFonts w:ascii="Arial"/>
                <w:sz w:val="24"/>
              </w:rPr>
              <w:t>8,805,010</w:t>
            </w:r>
          </w:p>
        </w:tc>
        <w:tc>
          <w:tcPr>
            <w:tcW w:w="65"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39" w:right="0"/>
              <w:jc w:val="left"/>
              <w:rPr>
                <w:rFonts w:ascii="Arial" w:hAnsi="Arial" w:cs="Arial" w:eastAsia="Arial" w:hint="default"/>
                <w:sz w:val="24"/>
                <w:szCs w:val="24"/>
              </w:rPr>
            </w:pPr>
            <w:r>
              <w:rPr>
                <w:rFonts w:ascii="Arial"/>
                <w:sz w:val="24"/>
              </w:rPr>
              <w:t>8,361,419</w:t>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3"/>
              <w:jc w:val="right"/>
              <w:rPr>
                <w:rFonts w:ascii="Arial" w:hAnsi="Arial" w:cs="Arial" w:eastAsia="Arial" w:hint="default"/>
                <w:sz w:val="24"/>
                <w:szCs w:val="24"/>
              </w:rPr>
            </w:pPr>
            <w:r>
              <w:rPr>
                <w:rFonts w:ascii="Arial"/>
                <w:spacing w:val="-1"/>
                <w:sz w:val="24"/>
              </w:rPr>
              <w:t>9,159,198</w:t>
            </w:r>
          </w:p>
        </w:tc>
        <w:tc>
          <w:tcPr>
            <w:tcW w:w="1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4"/>
              <w:jc w:val="right"/>
              <w:rPr>
                <w:rFonts w:ascii="Arial" w:hAnsi="Arial" w:cs="Arial" w:eastAsia="Arial" w:hint="default"/>
                <w:sz w:val="24"/>
                <w:szCs w:val="24"/>
              </w:rPr>
            </w:pPr>
            <w:r>
              <w:rPr>
                <w:rFonts w:ascii="Arial"/>
                <w:spacing w:val="-1"/>
                <w:sz w:val="24"/>
              </w:rPr>
              <w:t>8,488,620</w:t>
            </w:r>
          </w:p>
        </w:tc>
      </w:tr>
      <w:tr>
        <w:trPr>
          <w:trHeight w:val="312" w:hRule="exact"/>
        </w:trPr>
        <w:tc>
          <w:tcPr>
            <w:tcW w:w="801"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Style w:val="TableParagraph"/>
              <w:spacing w:line="262" w:lineRule="exact"/>
              <w:ind w:left="137" w:right="0"/>
              <w:jc w:val="left"/>
              <w:rPr>
                <w:rFonts w:ascii="宋体" w:hAnsi="宋体" w:cs="宋体" w:eastAsia="宋体" w:hint="default"/>
                <w:sz w:val="24"/>
                <w:szCs w:val="24"/>
              </w:rPr>
            </w:pPr>
            <w:r>
              <w:rPr>
                <w:rFonts w:ascii="宋体" w:hAnsi="宋体" w:cs="宋体" w:eastAsia="宋体" w:hint="default"/>
                <w:sz w:val="24"/>
                <w:szCs w:val="24"/>
              </w:rPr>
              <w:t>小家电产品</w:t>
            </w:r>
          </w:p>
        </w:tc>
        <w:tc>
          <w:tcPr>
            <w:tcW w:w="85"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56" w:right="0"/>
              <w:jc w:val="left"/>
              <w:rPr>
                <w:rFonts w:ascii="Arial" w:hAnsi="Arial" w:cs="Arial" w:eastAsia="Arial" w:hint="default"/>
                <w:sz w:val="24"/>
                <w:szCs w:val="24"/>
              </w:rPr>
            </w:pPr>
            <w:r>
              <w:rPr>
                <w:rFonts w:ascii="Arial"/>
                <w:sz w:val="24"/>
              </w:rPr>
              <w:t>2,856,776</w:t>
            </w:r>
          </w:p>
        </w:tc>
        <w:tc>
          <w:tcPr>
            <w:tcW w:w="65"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42" w:right="0"/>
              <w:jc w:val="left"/>
              <w:rPr>
                <w:rFonts w:ascii="Arial" w:hAnsi="Arial" w:cs="Arial" w:eastAsia="Arial" w:hint="default"/>
                <w:sz w:val="24"/>
                <w:szCs w:val="24"/>
              </w:rPr>
            </w:pPr>
            <w:r>
              <w:rPr>
                <w:rFonts w:ascii="Arial"/>
                <w:sz w:val="24"/>
              </w:rPr>
              <w:t>2,541,803</w:t>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3"/>
              <w:jc w:val="right"/>
              <w:rPr>
                <w:rFonts w:ascii="Arial" w:hAnsi="Arial" w:cs="Arial" w:eastAsia="Arial" w:hint="default"/>
                <w:sz w:val="24"/>
                <w:szCs w:val="24"/>
              </w:rPr>
            </w:pPr>
            <w:r>
              <w:rPr>
                <w:rFonts w:ascii="Arial"/>
                <w:spacing w:val="-1"/>
                <w:sz w:val="24"/>
              </w:rPr>
              <w:t>2,335,312</w:t>
            </w:r>
          </w:p>
        </w:tc>
        <w:tc>
          <w:tcPr>
            <w:tcW w:w="1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4"/>
              <w:jc w:val="right"/>
              <w:rPr>
                <w:rFonts w:ascii="Arial" w:hAnsi="Arial" w:cs="Arial" w:eastAsia="Arial" w:hint="default"/>
                <w:sz w:val="24"/>
                <w:szCs w:val="24"/>
              </w:rPr>
            </w:pPr>
            <w:r>
              <w:rPr>
                <w:rFonts w:ascii="Arial"/>
                <w:spacing w:val="-1"/>
                <w:sz w:val="24"/>
              </w:rPr>
              <w:t>2,004,402</w:t>
            </w:r>
          </w:p>
        </w:tc>
      </w:tr>
      <w:tr>
        <w:trPr>
          <w:trHeight w:val="310" w:hRule="exact"/>
        </w:trPr>
        <w:tc>
          <w:tcPr>
            <w:tcW w:w="801"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Style w:val="TableParagraph"/>
              <w:spacing w:line="262" w:lineRule="exact"/>
              <w:ind w:left="137" w:right="0"/>
              <w:jc w:val="left"/>
              <w:rPr>
                <w:rFonts w:ascii="宋体" w:hAnsi="宋体" w:cs="宋体" w:eastAsia="宋体" w:hint="default"/>
                <w:sz w:val="24"/>
                <w:szCs w:val="24"/>
              </w:rPr>
            </w:pPr>
            <w:r>
              <w:rPr>
                <w:rFonts w:ascii="宋体" w:hAnsi="宋体" w:cs="宋体" w:eastAsia="宋体" w:hint="default"/>
                <w:sz w:val="24"/>
                <w:szCs w:val="24"/>
              </w:rPr>
              <w:t>安装维修业务</w:t>
            </w:r>
          </w:p>
        </w:tc>
        <w:tc>
          <w:tcPr>
            <w:tcW w:w="85"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55" w:right="0"/>
              <w:jc w:val="left"/>
              <w:rPr>
                <w:rFonts w:ascii="Arial" w:hAnsi="Arial" w:cs="Arial" w:eastAsia="Arial" w:hint="default"/>
                <w:sz w:val="24"/>
                <w:szCs w:val="24"/>
              </w:rPr>
            </w:pPr>
            <w:r>
              <w:rPr>
                <w:rFonts w:ascii="Arial"/>
                <w:sz w:val="24"/>
              </w:rPr>
              <w:t>170,780</w:t>
            </w:r>
          </w:p>
        </w:tc>
        <w:tc>
          <w:tcPr>
            <w:tcW w:w="65"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41" w:right="0"/>
              <w:jc w:val="left"/>
              <w:rPr>
                <w:rFonts w:ascii="Arial" w:hAnsi="Arial" w:cs="Arial" w:eastAsia="Arial" w:hint="default"/>
                <w:sz w:val="24"/>
                <w:szCs w:val="24"/>
              </w:rPr>
            </w:pPr>
            <w:r>
              <w:rPr>
                <w:rFonts w:ascii="Arial"/>
                <w:sz w:val="24"/>
              </w:rPr>
              <w:t>154,053</w:t>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3"/>
              <w:jc w:val="right"/>
              <w:rPr>
                <w:rFonts w:ascii="Arial" w:hAnsi="Arial" w:cs="Arial" w:eastAsia="Arial" w:hint="default"/>
                <w:sz w:val="24"/>
                <w:szCs w:val="24"/>
              </w:rPr>
            </w:pPr>
            <w:r>
              <w:rPr>
                <w:rFonts w:ascii="Arial"/>
                <w:spacing w:val="-1"/>
                <w:sz w:val="24"/>
              </w:rPr>
              <w:t>194,973</w:t>
            </w:r>
          </w:p>
        </w:tc>
        <w:tc>
          <w:tcPr>
            <w:tcW w:w="1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4"/>
              <w:jc w:val="right"/>
              <w:rPr>
                <w:rFonts w:ascii="Arial" w:hAnsi="Arial" w:cs="Arial" w:eastAsia="Arial" w:hint="default"/>
                <w:sz w:val="24"/>
                <w:szCs w:val="24"/>
              </w:rPr>
            </w:pPr>
            <w:r>
              <w:rPr>
                <w:rFonts w:ascii="Arial"/>
                <w:spacing w:val="-1"/>
                <w:sz w:val="24"/>
              </w:rPr>
              <w:t>171,286</w:t>
            </w:r>
          </w:p>
        </w:tc>
      </w:tr>
      <w:tr>
        <w:trPr>
          <w:trHeight w:val="313" w:hRule="exact"/>
        </w:trPr>
        <w:tc>
          <w:tcPr>
            <w:tcW w:w="801"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Style w:val="TableParagraph"/>
              <w:tabs>
                <w:tab w:pos="1734" w:val="left" w:leader="none"/>
                <w:tab w:pos="2627" w:val="left" w:leader="none"/>
              </w:tabs>
              <w:spacing w:line="259" w:lineRule="exact"/>
              <w:ind w:left="137" w:right="-810"/>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85"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24" w:right="0"/>
              <w:jc w:val="left"/>
              <w:rPr>
                <w:rFonts w:ascii="Arial" w:hAnsi="Arial" w:cs="Arial" w:eastAsia="Arial" w:hint="default"/>
                <w:sz w:val="24"/>
                <w:szCs w:val="24"/>
              </w:rPr>
            </w:pPr>
            <w:r>
              <w:rPr>
                <w:rFonts w:ascii="Arial"/>
                <w:w w:val="99"/>
                <w:sz w:val="24"/>
              </w:rPr>
            </w:r>
            <w:r>
              <w:rPr>
                <w:rFonts w:ascii="Arial"/>
                <w:sz w:val="24"/>
                <w:u w:val="single" w:color="000000"/>
              </w:rPr>
              <w:t>1,834</w:t>
            </w:r>
            <w:r>
              <w:rPr>
                <w:rFonts w:ascii="Arial"/>
                <w:sz w:val="24"/>
              </w:rPr>
            </w:r>
          </w:p>
        </w:tc>
        <w:tc>
          <w:tcPr>
            <w:tcW w:w="65"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tabs>
                <w:tab w:pos="909" w:val="left" w:leader="none"/>
                <w:tab w:pos="2623" w:val="left" w:leader="none"/>
              </w:tabs>
              <w:spacing w:line="240" w:lineRule="auto" w:before="19"/>
              <w:ind w:left="-123" w:right="-1056"/>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1,472</w:t>
              <w:tab/>
            </w:r>
            <w:r>
              <w:rPr>
                <w:rFonts w:ascii="Arial"/>
                <w:sz w:val="24"/>
              </w:rPr>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2"/>
              <w:jc w:val="right"/>
              <w:rPr>
                <w:rFonts w:ascii="Arial" w:hAnsi="Arial" w:cs="Arial" w:eastAsia="Arial" w:hint="default"/>
                <w:sz w:val="24"/>
                <w:szCs w:val="24"/>
              </w:rPr>
            </w:pPr>
            <w:r>
              <w:rPr>
                <w:rFonts w:ascii="Arial"/>
                <w:w w:val="99"/>
                <w:sz w:val="24"/>
              </w:rPr>
            </w:r>
            <w:r>
              <w:rPr>
                <w:rFonts w:ascii="Arial"/>
                <w:spacing w:val="-1"/>
                <w:sz w:val="24"/>
                <w:u w:val="single" w:color="000000"/>
              </w:rPr>
              <w:t>7,827</w:t>
            </w:r>
            <w:r>
              <w:rPr>
                <w:rFonts w:ascii="Arial"/>
                <w:spacing w:val="-1"/>
                <w:sz w:val="24"/>
              </w:rPr>
            </w:r>
          </w:p>
        </w:tc>
        <w:tc>
          <w:tcPr>
            <w:tcW w:w="1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tabs>
                <w:tab w:pos="905" w:val="left" w:leader="none"/>
              </w:tabs>
              <w:spacing w:line="240" w:lineRule="auto" w:before="19"/>
              <w:ind w:left="3"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7,868</w:t>
            </w:r>
            <w:r>
              <w:rPr>
                <w:rFonts w:ascii="Arial"/>
                <w:sz w:val="24"/>
              </w:rPr>
            </w:r>
          </w:p>
        </w:tc>
      </w:tr>
      <w:tr>
        <w:trPr>
          <w:trHeight w:val="287" w:hRule="exact"/>
        </w:trPr>
        <w:tc>
          <w:tcPr>
            <w:tcW w:w="801" w:type="dxa"/>
            <w:tcBorders>
              <w:top w:val="nil" w:sz="6" w:space="0" w:color="auto"/>
              <w:left w:val="nil" w:sz="6" w:space="0" w:color="auto"/>
              <w:bottom w:val="nil" w:sz="6" w:space="0" w:color="auto"/>
              <w:right w:val="nil" w:sz="6" w:space="0" w:color="auto"/>
            </w:tcBorders>
          </w:tcPr>
          <w:p>
            <w:pPr/>
          </w:p>
        </w:tc>
        <w:tc>
          <w:tcPr>
            <w:tcW w:w="3417" w:type="dxa"/>
            <w:gridSpan w:val="4"/>
            <w:tcBorders>
              <w:top w:val="nil" w:sz="6" w:space="0" w:color="auto"/>
              <w:left w:val="nil" w:sz="6" w:space="0" w:color="auto"/>
              <w:bottom w:val="nil" w:sz="6" w:space="0" w:color="auto"/>
              <w:right w:val="nil" w:sz="6" w:space="0" w:color="auto"/>
            </w:tcBorders>
          </w:tcPr>
          <w:p>
            <w:pPr>
              <w:pStyle w:val="TableParagraph"/>
              <w:spacing w:line="268" w:lineRule="exact"/>
              <w:ind w:left="2024" w:right="0"/>
              <w:jc w:val="left"/>
              <w:rPr>
                <w:rFonts w:ascii="Arial" w:hAnsi="Arial" w:cs="Arial" w:eastAsia="Arial" w:hint="default"/>
                <w:sz w:val="24"/>
                <w:szCs w:val="24"/>
              </w:rPr>
            </w:pPr>
            <w:r>
              <w:rPr>
                <w:rFonts w:ascii="Arial"/>
                <w:sz w:val="24"/>
              </w:rPr>
              <w:t>67,299,164</w:t>
            </w:r>
          </w:p>
        </w:tc>
        <w:tc>
          <w:tcPr>
            <w:tcW w:w="122" w:type="dxa"/>
            <w:tcBorders>
              <w:top w:val="nil" w:sz="6" w:space="0" w:color="auto"/>
              <w:left w:val="nil" w:sz="6" w:space="0" w:color="auto"/>
              <w:bottom w:val="single" w:sz="12" w:space="0" w:color="000000"/>
              <w:right w:val="nil" w:sz="6" w:space="0" w:color="auto"/>
            </w:tcBorders>
          </w:tcPr>
          <w:p>
            <w:pPr/>
          </w:p>
        </w:tc>
        <w:tc>
          <w:tcPr>
            <w:tcW w:w="1568" w:type="dxa"/>
            <w:tcBorders>
              <w:top w:val="nil" w:sz="6" w:space="0" w:color="auto"/>
              <w:left w:val="nil" w:sz="6" w:space="0" w:color="auto"/>
              <w:bottom w:val="single" w:sz="12" w:space="0" w:color="000000"/>
              <w:right w:val="nil" w:sz="6" w:space="0" w:color="auto"/>
            </w:tcBorders>
          </w:tcPr>
          <w:p>
            <w:pPr>
              <w:pStyle w:val="TableParagraph"/>
              <w:spacing w:line="268" w:lineRule="exact"/>
              <w:ind w:left="307" w:right="0"/>
              <w:jc w:val="left"/>
              <w:rPr>
                <w:rFonts w:ascii="Arial" w:hAnsi="Arial" w:cs="Arial" w:eastAsia="Arial" w:hint="default"/>
                <w:sz w:val="24"/>
                <w:szCs w:val="24"/>
              </w:rPr>
            </w:pPr>
            <w:r>
              <w:rPr>
                <w:rFonts w:ascii="Arial"/>
                <w:sz w:val="24"/>
              </w:rPr>
              <w:t>64,072,162</w:t>
            </w:r>
          </w:p>
        </w:tc>
        <w:tc>
          <w:tcPr>
            <w:tcW w:w="134" w:type="dxa"/>
            <w:tcBorders>
              <w:top w:val="nil" w:sz="6" w:space="0" w:color="auto"/>
              <w:left w:val="nil" w:sz="6" w:space="0" w:color="auto"/>
              <w:bottom w:val="single" w:sz="4" w:space="0" w:color="000000"/>
              <w:right w:val="nil" w:sz="6" w:space="0" w:color="auto"/>
            </w:tcBorders>
          </w:tcPr>
          <w:p>
            <w:pPr/>
          </w:p>
        </w:tc>
        <w:tc>
          <w:tcPr>
            <w:tcW w:w="1577" w:type="dxa"/>
            <w:tcBorders>
              <w:top w:val="nil" w:sz="6" w:space="0" w:color="auto"/>
              <w:left w:val="nil" w:sz="6" w:space="0" w:color="auto"/>
              <w:bottom w:val="single" w:sz="12" w:space="0" w:color="000000"/>
              <w:right w:val="nil" w:sz="6" w:space="0" w:color="auto"/>
            </w:tcBorders>
          </w:tcPr>
          <w:p>
            <w:pPr>
              <w:pStyle w:val="TableParagraph"/>
              <w:spacing w:line="268" w:lineRule="exact"/>
              <w:ind w:right="53"/>
              <w:jc w:val="right"/>
              <w:rPr>
                <w:rFonts w:ascii="Arial" w:hAnsi="Arial" w:cs="Arial" w:eastAsia="Arial" w:hint="default"/>
                <w:sz w:val="24"/>
                <w:szCs w:val="24"/>
              </w:rPr>
            </w:pPr>
            <w:r>
              <w:rPr>
                <w:rFonts w:ascii="Arial"/>
                <w:spacing w:val="-1"/>
                <w:sz w:val="24"/>
              </w:rPr>
              <w:t>67,263,014</w:t>
            </w:r>
          </w:p>
        </w:tc>
        <w:tc>
          <w:tcPr>
            <w:tcW w:w="1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single" w:sz="12" w:space="0" w:color="000000"/>
              <w:right w:val="nil" w:sz="6" w:space="0" w:color="auto"/>
            </w:tcBorders>
          </w:tcPr>
          <w:p>
            <w:pPr>
              <w:pStyle w:val="TableParagraph"/>
              <w:spacing w:line="268" w:lineRule="exact"/>
              <w:ind w:left="303" w:right="0"/>
              <w:jc w:val="left"/>
              <w:rPr>
                <w:rFonts w:ascii="Arial" w:hAnsi="Arial" w:cs="Arial" w:eastAsia="Arial" w:hint="default"/>
                <w:sz w:val="24"/>
                <w:szCs w:val="24"/>
              </w:rPr>
            </w:pPr>
            <w:r>
              <w:rPr>
                <w:rFonts w:ascii="Arial"/>
                <w:sz w:val="24"/>
              </w:rPr>
              <w:t>62,509,067</w:t>
            </w:r>
          </w:p>
        </w:tc>
      </w:tr>
      <w:tr>
        <w:trPr>
          <w:trHeight w:val="739" w:hRule="exact"/>
        </w:trPr>
        <w:tc>
          <w:tcPr>
            <w:tcW w:w="9338"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39" w:right="0"/>
              <w:jc w:val="left"/>
              <w:rPr>
                <w:rFonts w:ascii="宋体" w:hAnsi="宋体" w:cs="宋体" w:eastAsia="宋体" w:hint="default"/>
                <w:sz w:val="24"/>
                <w:szCs w:val="24"/>
              </w:rPr>
            </w:pPr>
            <w:r>
              <w:rPr>
                <w:rFonts w:ascii="宋体" w:hAnsi="宋体" w:cs="宋体" w:eastAsia="宋体" w:hint="default"/>
                <w:sz w:val="24"/>
                <w:szCs w:val="24"/>
              </w:rPr>
              <w:t>按地区分析如下：</w:t>
            </w:r>
          </w:p>
        </w:tc>
      </w:tr>
      <w:tr>
        <w:trPr>
          <w:trHeight w:val="456" w:hRule="exact"/>
        </w:trPr>
        <w:tc>
          <w:tcPr>
            <w:tcW w:w="801"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single" w:sz="4" w:space="0" w:color="000000"/>
              <w:right w:val="nil" w:sz="6" w:space="0" w:color="auto"/>
            </w:tcBorders>
          </w:tcPr>
          <w:p>
            <w:pPr/>
          </w:p>
        </w:tc>
        <w:tc>
          <w:tcPr>
            <w:tcW w:w="85" w:type="dxa"/>
            <w:tcBorders>
              <w:top w:val="nil" w:sz="6" w:space="0" w:color="auto"/>
              <w:left w:val="nil" w:sz="6" w:space="0" w:color="auto"/>
              <w:bottom w:val="single" w:sz="4" w:space="0" w:color="000000"/>
              <w:right w:val="nil" w:sz="6" w:space="0" w:color="auto"/>
            </w:tcBorders>
          </w:tcPr>
          <w:p>
            <w:pPr/>
          </w:p>
        </w:tc>
        <w:tc>
          <w:tcPr>
            <w:tcW w:w="3204"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98"/>
              <w:ind w:left="993"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3430"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98"/>
              <w:ind w:left="1240"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4"/>
                <w:sz w:val="24"/>
                <w:szCs w:val="24"/>
              </w:rPr>
              <w:t> </w:t>
            </w:r>
            <w:r>
              <w:rPr>
                <w:rFonts w:ascii="宋体" w:hAnsi="宋体" w:cs="宋体" w:eastAsia="宋体" w:hint="default"/>
                <w:sz w:val="24"/>
                <w:szCs w:val="24"/>
              </w:rPr>
              <w:t>年度</w:t>
            </w:r>
          </w:p>
        </w:tc>
      </w:tr>
      <w:tr>
        <w:trPr>
          <w:trHeight w:val="453" w:hRule="exact"/>
        </w:trPr>
        <w:tc>
          <w:tcPr>
            <w:tcW w:w="801" w:type="dxa"/>
            <w:tcBorders>
              <w:top w:val="nil" w:sz="6" w:space="0" w:color="auto"/>
              <w:left w:val="nil" w:sz="6" w:space="0" w:color="auto"/>
              <w:bottom w:val="nil" w:sz="6" w:space="0" w:color="auto"/>
              <w:right w:val="nil" w:sz="6" w:space="0" w:color="auto"/>
            </w:tcBorders>
          </w:tcPr>
          <w:p>
            <w:pPr/>
          </w:p>
        </w:tc>
        <w:tc>
          <w:tcPr>
            <w:tcW w:w="3417" w:type="dxa"/>
            <w:gridSpan w:val="4"/>
            <w:tcBorders>
              <w:top w:val="nil" w:sz="6" w:space="0" w:color="auto"/>
              <w:left w:val="nil" w:sz="6" w:space="0" w:color="auto"/>
              <w:bottom w:val="nil" w:sz="6" w:space="0" w:color="auto"/>
              <w:right w:val="nil" w:sz="6" w:space="0" w:color="auto"/>
            </w:tcBorders>
          </w:tcPr>
          <w:p>
            <w:pPr>
              <w:pStyle w:val="TableParagraph"/>
              <w:spacing w:line="279" w:lineRule="exact"/>
              <w:ind w:left="1772"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22" w:type="dxa"/>
            <w:tcBorders>
              <w:top w:val="single" w:sz="4" w:space="0" w:color="000000"/>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nil" w:sz="6" w:space="0" w:color="auto"/>
              <w:right w:val="nil" w:sz="6" w:space="0" w:color="auto"/>
            </w:tcBorders>
          </w:tcPr>
          <w:p>
            <w:pPr>
              <w:pStyle w:val="TableParagraph"/>
              <w:spacing w:line="274" w:lineRule="exact"/>
              <w:ind w:left="69"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nil" w:sz="6" w:space="0" w:color="auto"/>
              <w:right w:val="nil" w:sz="6" w:space="0" w:color="auto"/>
            </w:tcBorders>
          </w:tcPr>
          <w:p>
            <w:pPr>
              <w:pStyle w:val="TableParagraph"/>
              <w:spacing w:line="274" w:lineRule="exact"/>
              <w:ind w:right="39"/>
              <w:jc w:val="right"/>
              <w:rPr>
                <w:rFonts w:ascii="宋体" w:hAnsi="宋体" w:cs="宋体" w:eastAsia="宋体" w:hint="default"/>
                <w:sz w:val="24"/>
                <w:szCs w:val="24"/>
              </w:rPr>
            </w:pPr>
            <w:r>
              <w:rPr>
                <w:rFonts w:ascii="宋体" w:hAnsi="宋体" w:cs="宋体" w:eastAsia="宋体" w:hint="default"/>
                <w:sz w:val="24"/>
                <w:szCs w:val="24"/>
              </w:rPr>
              <w:t>主营业务收入</w:t>
            </w:r>
          </w:p>
        </w:tc>
        <w:tc>
          <w:tcPr>
            <w:tcW w:w="136" w:type="dxa"/>
            <w:tcBorders>
              <w:top w:val="single" w:sz="4" w:space="0" w:color="000000"/>
              <w:left w:val="nil" w:sz="6" w:space="0" w:color="auto"/>
              <w:bottom w:val="nil" w:sz="6" w:space="0" w:color="auto"/>
              <w:right w:val="nil" w:sz="6" w:space="0" w:color="auto"/>
            </w:tcBorders>
          </w:tcPr>
          <w:p>
            <w:pPr/>
          </w:p>
        </w:tc>
        <w:tc>
          <w:tcPr>
            <w:tcW w:w="1583" w:type="dxa"/>
            <w:tcBorders>
              <w:top w:val="single" w:sz="4" w:space="0" w:color="000000"/>
              <w:left w:val="nil" w:sz="6" w:space="0" w:color="auto"/>
              <w:bottom w:val="nil" w:sz="6" w:space="0" w:color="auto"/>
              <w:right w:val="nil" w:sz="6" w:space="0" w:color="auto"/>
            </w:tcBorders>
          </w:tcPr>
          <w:p>
            <w:pPr>
              <w:pStyle w:val="TableParagraph"/>
              <w:spacing w:line="274" w:lineRule="exact"/>
              <w:ind w:left="58" w:right="0"/>
              <w:jc w:val="lef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613" w:hRule="exact"/>
        </w:trPr>
        <w:tc>
          <w:tcPr>
            <w:tcW w:w="801"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Style w:val="TableParagraph"/>
              <w:tabs>
                <w:tab w:pos="1758" w:val="left" w:leader="none"/>
                <w:tab w:pos="2010" w:val="left" w:leader="none"/>
              </w:tabs>
              <w:spacing w:line="240" w:lineRule="auto" w:before="96"/>
              <w:ind w:left="137" w:right="-193"/>
              <w:jc w:val="left"/>
              <w:rPr>
                <w:rFonts w:ascii="Arial" w:hAnsi="Arial" w:cs="Arial" w:eastAsia="Arial" w:hint="default"/>
                <w:sz w:val="24"/>
                <w:szCs w:val="24"/>
              </w:rPr>
            </w:pPr>
            <w:r>
              <w:rPr>
                <w:rFonts w:ascii="宋体" w:hAnsi="宋体" w:cs="宋体" w:eastAsia="宋体" w:hint="default"/>
                <w:position w:val="2"/>
                <w:sz w:val="24"/>
                <w:szCs w:val="24"/>
              </w:rPr>
              <w:t>华东一区</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85"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107" w:right="0"/>
              <w:jc w:val="left"/>
              <w:rPr>
                <w:rFonts w:ascii="Arial" w:hAnsi="Arial" w:cs="Arial" w:eastAsia="Arial" w:hint="default"/>
                <w:sz w:val="24"/>
                <w:szCs w:val="24"/>
              </w:rPr>
            </w:pPr>
            <w:r>
              <w:rPr>
                <w:rFonts w:ascii="Arial"/>
                <w:w w:val="99"/>
                <w:sz w:val="24"/>
              </w:rPr>
            </w:r>
            <w:r>
              <w:rPr>
                <w:rFonts w:ascii="Arial"/>
                <w:sz w:val="24"/>
                <w:u w:val="thick" w:color="000000"/>
              </w:rPr>
              <w:t>67,299,164</w:t>
            </w:r>
            <w:r>
              <w:rPr>
                <w:rFonts w:ascii="Arial"/>
                <w:sz w:val="24"/>
              </w:rPr>
            </w:r>
          </w:p>
        </w:tc>
        <w:tc>
          <w:tcPr>
            <w:tcW w:w="65"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tabs>
                <w:tab w:pos="307" w:val="left" w:leader="none"/>
              </w:tabs>
              <w:spacing w:line="240" w:lineRule="auto" w:before="172"/>
              <w:ind w:left="-13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64,072,162</w:t>
            </w:r>
            <w:r>
              <w:rPr>
                <w:rFonts w:ascii="Arial"/>
                <w:sz w:val="24"/>
              </w:rPr>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tabs>
                <w:tab w:pos="333" w:val="left" w:leader="none"/>
              </w:tabs>
              <w:spacing w:line="240" w:lineRule="auto" w:before="172"/>
              <w:ind w:right="3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67,263,014</w:t>
            </w:r>
            <w:r>
              <w:rPr>
                <w:rFonts w:ascii="Arial"/>
                <w:spacing w:val="-1"/>
                <w:sz w:val="24"/>
              </w:rPr>
            </w:r>
          </w:p>
        </w:tc>
        <w:tc>
          <w:tcPr>
            <w:tcW w:w="1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tabs>
                <w:tab w:pos="296" w:val="left" w:leader="none"/>
              </w:tabs>
              <w:spacing w:line="240" w:lineRule="auto" w:before="172"/>
              <w:ind w:left="1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62,509,067</w:t>
            </w:r>
            <w:r>
              <w:rPr>
                <w:rFonts w:ascii="Arial"/>
                <w:sz w:val="24"/>
              </w:rPr>
            </w:r>
          </w:p>
        </w:tc>
      </w:tr>
      <w:tr>
        <w:trPr>
          <w:trHeight w:val="592"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14" w:right="0"/>
              <w:jc w:val="left"/>
              <w:rPr>
                <w:rFonts w:ascii="Arial" w:hAnsi="Arial" w:cs="Arial" w:eastAsia="Arial" w:hint="default"/>
                <w:sz w:val="24"/>
                <w:szCs w:val="24"/>
              </w:rPr>
            </w:pPr>
            <w:r>
              <w:rPr>
                <w:rFonts w:ascii="Arial"/>
                <w:sz w:val="24"/>
              </w:rPr>
              <w:t>(b)</w:t>
            </w:r>
          </w:p>
        </w:tc>
        <w:tc>
          <w:tcPr>
            <w:tcW w:w="341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3"/>
              <w:ind w:left="121" w:right="0"/>
              <w:jc w:val="left"/>
              <w:rPr>
                <w:rFonts w:ascii="宋体" w:hAnsi="宋体" w:cs="宋体" w:eastAsia="宋体" w:hint="default"/>
                <w:sz w:val="24"/>
                <w:szCs w:val="24"/>
              </w:rPr>
            </w:pPr>
            <w:r>
              <w:rPr>
                <w:rFonts w:ascii="宋体" w:hAnsi="宋体" w:cs="宋体" w:eastAsia="宋体" w:hint="default"/>
                <w:sz w:val="24"/>
                <w:szCs w:val="24"/>
              </w:rPr>
              <w:t>其他业务收入和其他业务成本</w:t>
            </w:r>
          </w:p>
        </w:tc>
        <w:tc>
          <w:tcPr>
            <w:tcW w:w="122"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r>
      <w:tr>
        <w:trPr>
          <w:trHeight w:val="457" w:hRule="exact"/>
        </w:trPr>
        <w:tc>
          <w:tcPr>
            <w:tcW w:w="801"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
        </w:tc>
        <w:tc>
          <w:tcPr>
            <w:tcW w:w="85" w:type="dxa"/>
            <w:tcBorders>
              <w:top w:val="nil" w:sz="6" w:space="0" w:color="auto"/>
              <w:left w:val="nil" w:sz="6" w:space="0" w:color="auto"/>
              <w:bottom w:val="nil" w:sz="6" w:space="0" w:color="auto"/>
              <w:right w:val="nil" w:sz="6" w:space="0" w:color="auto"/>
            </w:tcBorders>
          </w:tcPr>
          <w:p>
            <w:pPr/>
          </w:p>
        </w:tc>
        <w:tc>
          <w:tcPr>
            <w:tcW w:w="3204"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00"/>
              <w:ind w:left="1065"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3430"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00"/>
              <w:ind w:left="1240"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4"/>
                <w:sz w:val="24"/>
                <w:szCs w:val="24"/>
              </w:rPr>
              <w:t> </w:t>
            </w:r>
            <w:r>
              <w:rPr>
                <w:rFonts w:ascii="宋体" w:hAnsi="宋体" w:cs="宋体" w:eastAsia="宋体" w:hint="default"/>
                <w:sz w:val="24"/>
                <w:szCs w:val="24"/>
              </w:rPr>
              <w:t>年度</w:t>
            </w:r>
          </w:p>
        </w:tc>
      </w:tr>
      <w:tr>
        <w:trPr>
          <w:trHeight w:val="463" w:hRule="exact"/>
        </w:trPr>
        <w:tc>
          <w:tcPr>
            <w:tcW w:w="801"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
        </w:tc>
        <w:tc>
          <w:tcPr>
            <w:tcW w:w="85" w:type="dxa"/>
            <w:tcBorders>
              <w:top w:val="nil" w:sz="6" w:space="0" w:color="auto"/>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nil" w:sz="6" w:space="0" w:color="auto"/>
              <w:right w:val="nil" w:sz="6" w:space="0" w:color="auto"/>
            </w:tcBorders>
          </w:tcPr>
          <w:p>
            <w:pPr>
              <w:pStyle w:val="TableParagraph"/>
              <w:spacing w:line="274" w:lineRule="exact"/>
              <w:ind w:right="0"/>
              <w:jc w:val="right"/>
              <w:rPr>
                <w:rFonts w:ascii="宋体" w:hAnsi="宋体" w:cs="宋体" w:eastAsia="宋体" w:hint="default"/>
                <w:sz w:val="24"/>
                <w:szCs w:val="24"/>
              </w:rPr>
            </w:pPr>
            <w:r>
              <w:rPr>
                <w:rFonts w:ascii="宋体" w:hAnsi="宋体" w:cs="宋体" w:eastAsia="宋体" w:hint="default"/>
                <w:sz w:val="24"/>
                <w:szCs w:val="24"/>
              </w:rPr>
              <w:t>其他业务收入</w:t>
            </w:r>
          </w:p>
        </w:tc>
        <w:tc>
          <w:tcPr>
            <w:tcW w:w="65" w:type="dxa"/>
            <w:tcBorders>
              <w:top w:val="single" w:sz="4" w:space="0" w:color="000000"/>
              <w:left w:val="nil" w:sz="6" w:space="0" w:color="auto"/>
              <w:bottom w:val="nil" w:sz="6" w:space="0" w:color="auto"/>
              <w:right w:val="nil" w:sz="6" w:space="0" w:color="auto"/>
            </w:tcBorders>
          </w:tcPr>
          <w:p>
            <w:pPr/>
          </w:p>
        </w:tc>
        <w:tc>
          <w:tcPr>
            <w:tcW w:w="122" w:type="dxa"/>
            <w:tcBorders>
              <w:top w:val="single" w:sz="4" w:space="0" w:color="000000"/>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nil" w:sz="6" w:space="0" w:color="auto"/>
              <w:right w:val="nil" w:sz="6" w:space="0" w:color="auto"/>
            </w:tcBorders>
          </w:tcPr>
          <w:p>
            <w:pPr>
              <w:pStyle w:val="TableParagraph"/>
              <w:spacing w:line="274" w:lineRule="exact"/>
              <w:ind w:left="69"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nil" w:sz="6" w:space="0" w:color="auto"/>
              <w:right w:val="nil" w:sz="6" w:space="0" w:color="auto"/>
            </w:tcBorders>
          </w:tcPr>
          <w:p>
            <w:pPr>
              <w:pStyle w:val="TableParagraph"/>
              <w:spacing w:line="274" w:lineRule="exact"/>
              <w:ind w:right="60"/>
              <w:jc w:val="right"/>
              <w:rPr>
                <w:rFonts w:ascii="宋体" w:hAnsi="宋体" w:cs="宋体" w:eastAsia="宋体" w:hint="default"/>
                <w:sz w:val="24"/>
                <w:szCs w:val="24"/>
              </w:rPr>
            </w:pPr>
            <w:r>
              <w:rPr>
                <w:rFonts w:ascii="宋体" w:hAnsi="宋体" w:cs="宋体" w:eastAsia="宋体" w:hint="default"/>
                <w:sz w:val="24"/>
                <w:szCs w:val="24"/>
              </w:rPr>
              <w:t>其他业务收入</w:t>
            </w:r>
          </w:p>
        </w:tc>
        <w:tc>
          <w:tcPr>
            <w:tcW w:w="136" w:type="dxa"/>
            <w:tcBorders>
              <w:top w:val="single" w:sz="4" w:space="0" w:color="000000"/>
              <w:left w:val="nil" w:sz="6" w:space="0" w:color="auto"/>
              <w:bottom w:val="nil" w:sz="6" w:space="0" w:color="auto"/>
              <w:right w:val="nil" w:sz="6" w:space="0" w:color="auto"/>
            </w:tcBorders>
          </w:tcPr>
          <w:p>
            <w:pPr/>
          </w:p>
        </w:tc>
        <w:tc>
          <w:tcPr>
            <w:tcW w:w="1583" w:type="dxa"/>
            <w:tcBorders>
              <w:top w:val="single" w:sz="4" w:space="0" w:color="000000"/>
              <w:left w:val="nil" w:sz="6" w:space="0" w:color="auto"/>
              <w:bottom w:val="nil" w:sz="6" w:space="0" w:color="auto"/>
              <w:right w:val="nil" w:sz="6" w:space="0" w:color="auto"/>
            </w:tcBorders>
          </w:tcPr>
          <w:p>
            <w:pPr>
              <w:pStyle w:val="TableParagraph"/>
              <w:spacing w:line="274" w:lineRule="exact"/>
              <w:ind w:left="58" w:right="0"/>
              <w:jc w:val="left"/>
              <w:rPr>
                <w:rFonts w:ascii="宋体" w:hAnsi="宋体" w:cs="宋体" w:eastAsia="宋体" w:hint="default"/>
                <w:sz w:val="24"/>
                <w:szCs w:val="24"/>
              </w:rPr>
            </w:pPr>
            <w:r>
              <w:rPr>
                <w:rFonts w:ascii="宋体" w:hAnsi="宋体" w:cs="宋体" w:eastAsia="宋体" w:hint="default"/>
                <w:sz w:val="24"/>
                <w:szCs w:val="24"/>
              </w:rPr>
              <w:t>其他业务成本</w:t>
            </w:r>
          </w:p>
        </w:tc>
      </w:tr>
      <w:tr>
        <w:trPr>
          <w:trHeight w:val="471" w:hRule="exact"/>
        </w:trPr>
        <w:tc>
          <w:tcPr>
            <w:tcW w:w="801"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37" w:right="0"/>
              <w:jc w:val="left"/>
              <w:rPr>
                <w:rFonts w:ascii="宋体" w:hAnsi="宋体" w:cs="宋体" w:eastAsia="宋体" w:hint="default"/>
                <w:sz w:val="24"/>
                <w:szCs w:val="24"/>
              </w:rPr>
            </w:pPr>
            <w:r>
              <w:rPr>
                <w:rFonts w:ascii="宋体" w:hAnsi="宋体" w:cs="宋体" w:eastAsia="宋体" w:hint="default"/>
                <w:sz w:val="24"/>
                <w:szCs w:val="24"/>
              </w:rPr>
              <w:t>租赁收入</w:t>
            </w:r>
          </w:p>
        </w:tc>
        <w:tc>
          <w:tcPr>
            <w:tcW w:w="85"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0"/>
              <w:jc w:val="right"/>
              <w:rPr>
                <w:rFonts w:ascii="Arial" w:hAnsi="Arial" w:cs="Arial" w:eastAsia="Arial" w:hint="default"/>
                <w:sz w:val="24"/>
                <w:szCs w:val="24"/>
              </w:rPr>
            </w:pPr>
            <w:r>
              <w:rPr>
                <w:rFonts w:ascii="Arial"/>
                <w:spacing w:val="-1"/>
                <w:sz w:val="24"/>
              </w:rPr>
              <w:t>107,698</w:t>
            </w:r>
          </w:p>
        </w:tc>
        <w:tc>
          <w:tcPr>
            <w:tcW w:w="65"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775" w:right="0"/>
              <w:jc w:val="left"/>
              <w:rPr>
                <w:rFonts w:ascii="Arial" w:hAnsi="Arial" w:cs="Arial" w:eastAsia="Arial" w:hint="default"/>
                <w:sz w:val="24"/>
                <w:szCs w:val="24"/>
              </w:rPr>
            </w:pPr>
            <w:r>
              <w:rPr>
                <w:rFonts w:ascii="Arial"/>
                <w:sz w:val="24"/>
              </w:rPr>
              <w:t>84,421</w:t>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60"/>
              <w:jc w:val="right"/>
              <w:rPr>
                <w:rFonts w:ascii="Arial" w:hAnsi="Arial" w:cs="Arial" w:eastAsia="Arial" w:hint="default"/>
                <w:sz w:val="24"/>
                <w:szCs w:val="24"/>
              </w:rPr>
            </w:pPr>
            <w:r>
              <w:rPr>
                <w:rFonts w:ascii="Arial"/>
                <w:spacing w:val="-1"/>
                <w:sz w:val="24"/>
              </w:rPr>
              <w:t>39,825</w:t>
            </w:r>
          </w:p>
        </w:tc>
        <w:tc>
          <w:tcPr>
            <w:tcW w:w="1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14"/>
              <w:jc w:val="right"/>
              <w:rPr>
                <w:rFonts w:ascii="Arial" w:hAnsi="Arial" w:cs="Arial" w:eastAsia="Arial" w:hint="default"/>
                <w:sz w:val="24"/>
                <w:szCs w:val="24"/>
              </w:rPr>
            </w:pPr>
            <w:r>
              <w:rPr>
                <w:rFonts w:ascii="Arial"/>
                <w:spacing w:val="-1"/>
                <w:sz w:val="24"/>
              </w:rPr>
              <w:t>30,300</w:t>
            </w:r>
          </w:p>
        </w:tc>
      </w:tr>
      <w:tr>
        <w:trPr>
          <w:trHeight w:val="312" w:hRule="exact"/>
        </w:trPr>
        <w:tc>
          <w:tcPr>
            <w:tcW w:w="801"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Style w:val="TableParagraph"/>
              <w:spacing w:line="262" w:lineRule="exact"/>
              <w:ind w:left="137" w:right="0"/>
              <w:jc w:val="left"/>
              <w:rPr>
                <w:rFonts w:ascii="宋体" w:hAnsi="宋体" w:cs="宋体" w:eastAsia="宋体" w:hint="default"/>
                <w:sz w:val="24"/>
                <w:szCs w:val="24"/>
              </w:rPr>
            </w:pPr>
            <w:r>
              <w:rPr>
                <w:rFonts w:ascii="宋体" w:hAnsi="宋体" w:cs="宋体" w:eastAsia="宋体" w:hint="default"/>
                <w:sz w:val="24"/>
                <w:szCs w:val="24"/>
              </w:rPr>
              <w:t>连锁店服务收入</w:t>
            </w:r>
          </w:p>
        </w:tc>
        <w:tc>
          <w:tcPr>
            <w:tcW w:w="85"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right"/>
              <w:rPr>
                <w:rFonts w:ascii="Arial" w:hAnsi="Arial" w:cs="Arial" w:eastAsia="Arial" w:hint="default"/>
                <w:sz w:val="24"/>
                <w:szCs w:val="24"/>
              </w:rPr>
            </w:pPr>
            <w:r>
              <w:rPr>
                <w:rFonts w:ascii="Arial"/>
                <w:spacing w:val="-1"/>
                <w:sz w:val="24"/>
              </w:rPr>
              <w:t>93,540</w:t>
            </w:r>
          </w:p>
        </w:tc>
        <w:tc>
          <w:tcPr>
            <w:tcW w:w="65"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4"/>
              <w:jc w:val="right"/>
              <w:rPr>
                <w:rFonts w:ascii="Arial" w:hAnsi="Arial" w:cs="Arial" w:eastAsia="Arial" w:hint="default"/>
                <w:sz w:val="24"/>
                <w:szCs w:val="24"/>
              </w:rPr>
            </w:pPr>
            <w:r>
              <w:rPr>
                <w:rFonts w:ascii="Arial"/>
                <w:w w:val="99"/>
                <w:sz w:val="24"/>
              </w:rPr>
              <w:t>-</w:t>
            </w:r>
            <w:r>
              <w:rPr>
                <w:rFonts w:ascii="Arial"/>
                <w:sz w:val="24"/>
              </w:rPr>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0"/>
              <w:jc w:val="right"/>
              <w:rPr>
                <w:rFonts w:ascii="Arial" w:hAnsi="Arial" w:cs="Arial" w:eastAsia="Arial" w:hint="default"/>
                <w:sz w:val="24"/>
                <w:szCs w:val="24"/>
              </w:rPr>
            </w:pPr>
            <w:r>
              <w:rPr>
                <w:rFonts w:ascii="Arial"/>
                <w:spacing w:val="-1"/>
                <w:sz w:val="24"/>
              </w:rPr>
              <w:t>132,753</w:t>
            </w:r>
          </w:p>
        </w:tc>
        <w:tc>
          <w:tcPr>
            <w:tcW w:w="1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4"/>
              <w:jc w:val="right"/>
              <w:rPr>
                <w:rFonts w:ascii="Arial" w:hAnsi="Arial" w:cs="Arial" w:eastAsia="Arial" w:hint="default"/>
                <w:sz w:val="24"/>
                <w:szCs w:val="24"/>
              </w:rPr>
            </w:pPr>
            <w:r>
              <w:rPr>
                <w:rFonts w:ascii="Arial"/>
                <w:w w:val="99"/>
                <w:sz w:val="24"/>
              </w:rPr>
              <w:t>-</w:t>
            </w:r>
            <w:r>
              <w:rPr>
                <w:rFonts w:ascii="Arial"/>
                <w:sz w:val="24"/>
              </w:rPr>
            </w:r>
          </w:p>
        </w:tc>
      </w:tr>
      <w:tr>
        <w:trPr>
          <w:trHeight w:val="622" w:hRule="exact"/>
        </w:trPr>
        <w:tc>
          <w:tcPr>
            <w:tcW w:w="801"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Style w:val="TableParagraph"/>
              <w:spacing w:line="261" w:lineRule="exact"/>
              <w:ind w:left="137" w:right="0"/>
              <w:jc w:val="left"/>
              <w:rPr>
                <w:rFonts w:ascii="宋体" w:hAnsi="宋体" w:cs="宋体" w:eastAsia="宋体" w:hint="default"/>
                <w:sz w:val="24"/>
                <w:szCs w:val="24"/>
              </w:rPr>
            </w:pPr>
            <w:r>
              <w:rPr>
                <w:rFonts w:ascii="宋体" w:hAnsi="宋体" w:cs="宋体" w:eastAsia="宋体" w:hint="default"/>
                <w:sz w:val="24"/>
                <w:szCs w:val="24"/>
              </w:rPr>
              <w:t>广告位使用费</w:t>
            </w:r>
          </w:p>
          <w:p>
            <w:pPr>
              <w:pStyle w:val="TableParagraph"/>
              <w:spacing w:line="313" w:lineRule="exact"/>
              <w:ind w:left="327" w:right="0"/>
              <w:jc w:val="left"/>
              <w:rPr>
                <w:rFonts w:ascii="宋体" w:hAnsi="宋体" w:cs="宋体" w:eastAsia="宋体" w:hint="default"/>
                <w:sz w:val="24"/>
                <w:szCs w:val="24"/>
              </w:rPr>
            </w:pPr>
            <w:r>
              <w:rPr>
                <w:rFonts w:ascii="宋体" w:hAnsi="宋体" w:cs="宋体" w:eastAsia="宋体" w:hint="default"/>
                <w:sz w:val="24"/>
                <w:szCs w:val="24"/>
              </w:rPr>
              <w:t>收入</w:t>
            </w:r>
          </w:p>
        </w:tc>
        <w:tc>
          <w:tcPr>
            <w:tcW w:w="85"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
              <w:jc w:val="right"/>
              <w:rPr>
                <w:rFonts w:ascii="Arial" w:hAnsi="Arial" w:cs="Arial" w:eastAsia="Arial" w:hint="default"/>
                <w:sz w:val="24"/>
                <w:szCs w:val="24"/>
              </w:rPr>
            </w:pPr>
            <w:r>
              <w:rPr>
                <w:rFonts w:ascii="Arial"/>
                <w:spacing w:val="-1"/>
                <w:sz w:val="24"/>
              </w:rPr>
              <w:t>45,920</w:t>
            </w:r>
          </w:p>
        </w:tc>
        <w:tc>
          <w:tcPr>
            <w:tcW w:w="65"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54"/>
              <w:jc w:val="right"/>
              <w:rPr>
                <w:rFonts w:ascii="Arial" w:hAnsi="Arial" w:cs="Arial" w:eastAsia="Arial" w:hint="default"/>
                <w:sz w:val="24"/>
                <w:szCs w:val="24"/>
              </w:rPr>
            </w:pPr>
            <w:r>
              <w:rPr>
                <w:rFonts w:ascii="Arial"/>
                <w:w w:val="99"/>
                <w:sz w:val="24"/>
              </w:rPr>
              <w:t>-</w:t>
            </w:r>
            <w:r>
              <w:rPr>
                <w:rFonts w:ascii="Arial"/>
                <w:sz w:val="24"/>
              </w:rPr>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60"/>
              <w:jc w:val="right"/>
              <w:rPr>
                <w:rFonts w:ascii="Arial" w:hAnsi="Arial" w:cs="Arial" w:eastAsia="Arial" w:hint="default"/>
                <w:sz w:val="24"/>
                <w:szCs w:val="24"/>
              </w:rPr>
            </w:pPr>
            <w:r>
              <w:rPr>
                <w:rFonts w:ascii="Arial"/>
                <w:spacing w:val="-1"/>
                <w:sz w:val="24"/>
              </w:rPr>
              <w:t>33,481</w:t>
            </w:r>
          </w:p>
        </w:tc>
        <w:tc>
          <w:tcPr>
            <w:tcW w:w="1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14"/>
              <w:jc w:val="right"/>
              <w:rPr>
                <w:rFonts w:ascii="Arial" w:hAnsi="Arial" w:cs="Arial" w:eastAsia="Arial" w:hint="default"/>
                <w:sz w:val="24"/>
                <w:szCs w:val="24"/>
              </w:rPr>
            </w:pPr>
            <w:r>
              <w:rPr>
                <w:rFonts w:ascii="Arial"/>
                <w:w w:val="99"/>
                <w:sz w:val="24"/>
              </w:rPr>
              <w:t>-</w:t>
            </w:r>
            <w:r>
              <w:rPr>
                <w:rFonts w:ascii="Arial"/>
                <w:sz w:val="24"/>
              </w:rPr>
            </w:r>
          </w:p>
        </w:tc>
      </w:tr>
      <w:tr>
        <w:trPr>
          <w:trHeight w:val="313" w:hRule="exact"/>
        </w:trPr>
        <w:tc>
          <w:tcPr>
            <w:tcW w:w="801"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Style w:val="TableParagraph"/>
              <w:spacing w:line="262" w:lineRule="exact"/>
              <w:ind w:left="137" w:right="0"/>
              <w:jc w:val="left"/>
              <w:rPr>
                <w:rFonts w:ascii="宋体" w:hAnsi="宋体" w:cs="宋体" w:eastAsia="宋体" w:hint="default"/>
                <w:sz w:val="24"/>
                <w:szCs w:val="24"/>
              </w:rPr>
            </w:pPr>
            <w:r>
              <w:rPr>
                <w:rFonts w:ascii="宋体" w:hAnsi="宋体" w:cs="宋体" w:eastAsia="宋体" w:hint="default"/>
                <w:sz w:val="24"/>
                <w:szCs w:val="24"/>
              </w:rPr>
              <w:t>代理费收入</w:t>
            </w:r>
          </w:p>
        </w:tc>
        <w:tc>
          <w:tcPr>
            <w:tcW w:w="85"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19"/>
              <w:ind w:right="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24,177</w:t>
            </w:r>
            <w:r>
              <w:rPr>
                <w:rFonts w:ascii="Arial"/>
                <w:spacing w:val="-1"/>
                <w:sz w:val="24"/>
              </w:rPr>
            </w:r>
          </w:p>
        </w:tc>
        <w:tc>
          <w:tcPr>
            <w:tcW w:w="65"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tabs>
                <w:tab w:pos="1430" w:val="left" w:leader="none"/>
              </w:tabs>
              <w:spacing w:line="240" w:lineRule="auto" w:before="19"/>
              <w:ind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tabs>
                <w:tab w:pos="779" w:val="left" w:leader="none"/>
              </w:tabs>
              <w:spacing w:line="240" w:lineRule="auto" w:before="19"/>
              <w:ind w:right="6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70,375</w:t>
            </w:r>
            <w:r>
              <w:rPr>
                <w:rFonts w:ascii="Arial"/>
                <w:spacing w:val="-1"/>
                <w:sz w:val="24"/>
              </w:rPr>
            </w:r>
          </w:p>
        </w:tc>
        <w:tc>
          <w:tcPr>
            <w:tcW w:w="1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tabs>
                <w:tab w:pos="1385" w:val="left" w:leader="none"/>
                <w:tab w:pos="1553" w:val="left" w:leader="none"/>
              </w:tabs>
              <w:spacing w:line="240" w:lineRule="auto" w:before="19"/>
              <w:ind w:left="-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287" w:hRule="exact"/>
        </w:trPr>
        <w:tc>
          <w:tcPr>
            <w:tcW w:w="801"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
        </w:tc>
        <w:tc>
          <w:tcPr>
            <w:tcW w:w="85"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12" w:space="0" w:color="000000"/>
              <w:right w:val="nil" w:sz="6" w:space="0" w:color="auto"/>
            </w:tcBorders>
          </w:tcPr>
          <w:p>
            <w:pPr>
              <w:pStyle w:val="TableParagraph"/>
              <w:spacing w:line="268" w:lineRule="exact"/>
              <w:ind w:right="0"/>
              <w:jc w:val="right"/>
              <w:rPr>
                <w:rFonts w:ascii="Arial" w:hAnsi="Arial" w:cs="Arial" w:eastAsia="Arial" w:hint="default"/>
                <w:sz w:val="24"/>
                <w:szCs w:val="24"/>
              </w:rPr>
            </w:pPr>
            <w:r>
              <w:rPr>
                <w:rFonts w:ascii="Arial"/>
                <w:spacing w:val="-1"/>
                <w:sz w:val="24"/>
              </w:rPr>
              <w:t>271,335</w:t>
            </w:r>
          </w:p>
        </w:tc>
        <w:tc>
          <w:tcPr>
            <w:tcW w:w="65" w:type="dxa"/>
            <w:tcBorders>
              <w:top w:val="nil" w:sz="6" w:space="0" w:color="auto"/>
              <w:left w:val="nil" w:sz="6" w:space="0" w:color="auto"/>
              <w:bottom w:val="single" w:sz="12" w:space="0" w:color="000000"/>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single" w:sz="12" w:space="0" w:color="000000"/>
              <w:right w:val="nil" w:sz="6" w:space="0" w:color="auto"/>
            </w:tcBorders>
          </w:tcPr>
          <w:p>
            <w:pPr>
              <w:pStyle w:val="TableParagraph"/>
              <w:spacing w:line="268" w:lineRule="exact"/>
              <w:ind w:left="775" w:right="0"/>
              <w:jc w:val="left"/>
              <w:rPr>
                <w:rFonts w:ascii="Arial" w:hAnsi="Arial" w:cs="Arial" w:eastAsia="Arial" w:hint="default"/>
                <w:sz w:val="24"/>
                <w:szCs w:val="24"/>
              </w:rPr>
            </w:pPr>
            <w:r>
              <w:rPr>
                <w:rFonts w:ascii="Arial"/>
                <w:sz w:val="24"/>
              </w:rPr>
              <w:t>84,421</w:t>
            </w:r>
          </w:p>
        </w:tc>
        <w:tc>
          <w:tcPr>
            <w:tcW w:w="13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12" w:space="0" w:color="000000"/>
              <w:right w:val="nil" w:sz="6" w:space="0" w:color="auto"/>
            </w:tcBorders>
          </w:tcPr>
          <w:p>
            <w:pPr>
              <w:pStyle w:val="TableParagraph"/>
              <w:spacing w:line="268" w:lineRule="exact"/>
              <w:ind w:right="60"/>
              <w:jc w:val="right"/>
              <w:rPr>
                <w:rFonts w:ascii="Arial" w:hAnsi="Arial" w:cs="Arial" w:eastAsia="Arial" w:hint="default"/>
                <w:sz w:val="24"/>
                <w:szCs w:val="24"/>
              </w:rPr>
            </w:pPr>
            <w:r>
              <w:rPr>
                <w:rFonts w:ascii="Arial"/>
                <w:spacing w:val="-1"/>
                <w:sz w:val="24"/>
              </w:rPr>
              <w:t>276,434</w:t>
            </w:r>
          </w:p>
        </w:tc>
        <w:tc>
          <w:tcPr>
            <w:tcW w:w="1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single" w:sz="12" w:space="0" w:color="000000"/>
              <w:right w:val="nil" w:sz="6" w:space="0" w:color="auto"/>
            </w:tcBorders>
          </w:tcPr>
          <w:p>
            <w:pPr>
              <w:pStyle w:val="TableParagraph"/>
              <w:spacing w:line="268" w:lineRule="exact"/>
              <w:ind w:right="81"/>
              <w:jc w:val="right"/>
              <w:rPr>
                <w:rFonts w:ascii="Arial" w:hAnsi="Arial" w:cs="Arial" w:eastAsia="Arial" w:hint="default"/>
                <w:sz w:val="24"/>
                <w:szCs w:val="24"/>
              </w:rPr>
            </w:pPr>
            <w:r>
              <w:rPr>
                <w:rFonts w:ascii="Arial"/>
                <w:spacing w:val="-1"/>
                <w:sz w:val="24"/>
              </w:rPr>
              <w:t>30,300</w:t>
            </w:r>
          </w:p>
        </w:tc>
      </w:tr>
      <w:tr>
        <w:trPr>
          <w:trHeight w:val="567" w:hRule="exact"/>
        </w:trPr>
        <w:tc>
          <w:tcPr>
            <w:tcW w:w="801" w:type="dxa"/>
            <w:tcBorders>
              <w:top w:val="nil" w:sz="6" w:space="0" w:color="auto"/>
              <w:left w:val="nil" w:sz="6" w:space="0" w:color="auto"/>
              <w:bottom w:val="nil" w:sz="6" w:space="0" w:color="auto"/>
              <w:right w:val="nil" w:sz="6" w:space="0" w:color="auto"/>
            </w:tcBorders>
          </w:tcPr>
          <w:p>
            <w:pPr/>
          </w:p>
        </w:tc>
        <w:tc>
          <w:tcPr>
            <w:tcW w:w="8537"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37" w:right="0"/>
              <w:jc w:val="left"/>
              <w:rPr>
                <w:rFonts w:ascii="宋体" w:hAnsi="宋体" w:cs="宋体" w:eastAsia="宋体" w:hint="default"/>
                <w:sz w:val="24"/>
                <w:szCs w:val="24"/>
              </w:rPr>
            </w:pPr>
            <w:r>
              <w:rPr>
                <w:rFonts w:ascii="宋体" w:hAnsi="宋体" w:cs="宋体" w:eastAsia="宋体" w:hint="default"/>
                <w:sz w:val="24"/>
                <w:szCs w:val="24"/>
              </w:rPr>
              <w:t>注：连锁店服务收入指供应商支付的广告促销服务收入及广告服务费收入等。</w:t>
            </w:r>
          </w:p>
        </w:tc>
      </w:tr>
    </w:tbl>
    <w:p>
      <w:pPr>
        <w:spacing w:after="0" w:line="240" w:lineRule="auto"/>
        <w:jc w:val="left"/>
        <w:rPr>
          <w:rFonts w:ascii="宋体" w:hAnsi="宋体" w:cs="宋体" w:eastAsia="宋体"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8"/>
          <w:szCs w:val="28"/>
        </w:rPr>
      </w:pPr>
    </w:p>
    <w:p>
      <w:pPr>
        <w:pStyle w:val="Heading3"/>
        <w:tabs>
          <w:tab w:pos="849" w:val="left" w:leader="none"/>
        </w:tabs>
        <w:spacing w:line="542" w:lineRule="auto" w:before="26"/>
        <w:ind w:left="122" w:right="6874" w:hanging="15"/>
        <w:jc w:val="left"/>
        <w:rPr>
          <w:rFonts w:ascii="Arial" w:hAnsi="Arial" w:cs="Arial" w:eastAsia="Arial" w:hint="default"/>
        </w:rPr>
      </w:pPr>
      <w:r>
        <w:rPr>
          <w:rFonts w:ascii="黑体" w:hAnsi="黑体" w:cs="黑体" w:eastAsia="黑体" w:hint="default"/>
        </w:rPr>
        <w:t>十五</w:t>
        <w:tab/>
        <w:t>公司财务报表附注</w:t>
      </w:r>
      <w:r>
        <w:rPr>
          <w:rFonts w:ascii="Arial" w:hAnsi="Arial" w:cs="Arial" w:eastAsia="Arial" w:hint="default"/>
        </w:rPr>
        <w:t>(</w:t>
      </w:r>
      <w:r>
        <w:rPr>
          <w:rFonts w:ascii="黑体" w:hAnsi="黑体" w:cs="黑体" w:eastAsia="黑体" w:hint="default"/>
        </w:rPr>
        <w:t>续</w:t>
      </w:r>
      <w:r>
        <w:rPr>
          <w:rFonts w:ascii="Arial" w:hAnsi="Arial" w:cs="Arial" w:eastAsia="Arial" w:hint="default"/>
        </w:rPr>
        <w:t>) </w:t>
      </w:r>
      <w:r>
        <w:rPr>
          <w:rFonts w:ascii="Arial" w:hAnsi="Arial" w:cs="Arial" w:eastAsia="Arial" w:hint="default"/>
          <w:w w:val="95"/>
          <w:position w:val="2"/>
        </w:rPr>
        <w:t>(4)</w:t>
        <w:tab/>
      </w:r>
      <w:r>
        <w:rPr>
          <w:rFonts w:ascii="黑体" w:hAnsi="黑体" w:cs="黑体" w:eastAsia="黑体" w:hint="default"/>
        </w:rPr>
        <w:t>营业收入和营业成本</w:t>
      </w:r>
      <w:r>
        <w:rPr>
          <w:rFonts w:ascii="Arial" w:hAnsi="Arial" w:cs="Arial" w:eastAsia="Arial" w:hint="default"/>
        </w:rPr>
        <w:t>(</w:t>
      </w:r>
      <w:r>
        <w:rPr>
          <w:rFonts w:ascii="黑体" w:hAnsi="黑体" w:cs="黑体" w:eastAsia="黑体" w:hint="default"/>
        </w:rPr>
        <w:t>续</w:t>
      </w:r>
      <w:r>
        <w:rPr>
          <w:rFonts w:ascii="Arial" w:hAnsi="Arial" w:cs="Arial" w:eastAsia="Arial" w:hint="default"/>
        </w:rPr>
        <w:t>)</w:t>
      </w:r>
    </w:p>
    <w:p>
      <w:pPr>
        <w:pStyle w:val="Heading3"/>
        <w:tabs>
          <w:tab w:pos="849" w:val="left" w:leader="none"/>
        </w:tabs>
        <w:spacing w:line="240" w:lineRule="auto" w:before="52"/>
        <w:ind w:left="130" w:right="0"/>
        <w:jc w:val="left"/>
      </w:pPr>
      <w:r>
        <w:rPr>
          <w:rFonts w:ascii="Arial" w:hAnsi="Arial" w:cs="Arial" w:eastAsia="Arial" w:hint="default"/>
          <w:position w:val="2"/>
        </w:rPr>
        <w:t>(c)</w:t>
        <w:tab/>
      </w:r>
      <w:r>
        <w:rPr/>
        <w:t>本公司前五名客户的营业收入情况</w:t>
      </w:r>
    </w:p>
    <w:p>
      <w:pPr>
        <w:spacing w:line="240" w:lineRule="auto" w:before="4"/>
        <w:rPr>
          <w:rFonts w:ascii="宋体" w:hAnsi="宋体" w:cs="宋体" w:eastAsia="宋体" w:hint="default"/>
          <w:sz w:val="34"/>
          <w:szCs w:val="34"/>
        </w:rPr>
      </w:pPr>
    </w:p>
    <w:p>
      <w:pPr>
        <w:pStyle w:val="Heading3"/>
        <w:spacing w:line="225" w:lineRule="auto"/>
        <w:ind w:left="850" w:right="1457"/>
        <w:jc w:val="both"/>
      </w:pPr>
      <w:r>
        <w:rPr/>
        <w:t>本公司前五名客户营业收入的总额为约人民币 </w:t>
      </w:r>
      <w:r>
        <w:rPr>
          <w:rFonts w:ascii="Arial" w:hAnsi="Arial" w:cs="Arial" w:eastAsia="Arial" w:hint="default"/>
        </w:rPr>
        <w:t>185.0 </w:t>
      </w:r>
      <w:r>
        <w:rPr>
          <w:spacing w:val="-3"/>
        </w:rPr>
        <w:t>亿元</w:t>
      </w:r>
      <w:r>
        <w:rPr>
          <w:rFonts w:ascii="Arial" w:hAnsi="Arial" w:cs="Arial" w:eastAsia="Arial" w:hint="default"/>
          <w:spacing w:val="-3"/>
        </w:rPr>
        <w:t>(2011</w:t>
      </w:r>
      <w:r>
        <w:rPr>
          <w:rFonts w:ascii="Arial" w:hAnsi="Arial" w:cs="Arial" w:eastAsia="Arial" w:hint="default"/>
          <w:spacing w:val="-23"/>
        </w:rPr>
        <w:t> </w:t>
      </w:r>
      <w:r>
        <w:rPr/>
        <w:t>年：约人民 币</w:t>
      </w:r>
      <w:r>
        <w:rPr>
          <w:spacing w:val="-54"/>
        </w:rPr>
        <w:t> </w:t>
      </w:r>
      <w:r>
        <w:rPr>
          <w:rFonts w:ascii="Arial" w:hAnsi="Arial" w:cs="Arial" w:eastAsia="Arial" w:hint="default"/>
        </w:rPr>
        <w:t>157.7</w:t>
      </w:r>
      <w:r>
        <w:rPr>
          <w:rFonts w:ascii="Arial" w:hAnsi="Arial" w:cs="Arial" w:eastAsia="Arial" w:hint="default"/>
          <w:spacing w:val="1"/>
        </w:rPr>
        <w:t> </w:t>
      </w:r>
      <w:r>
        <w:rPr>
          <w:spacing w:val="-3"/>
        </w:rPr>
        <w:t>亿元</w:t>
      </w:r>
      <w:r>
        <w:rPr>
          <w:rFonts w:ascii="Arial" w:hAnsi="Arial" w:cs="Arial" w:eastAsia="Arial" w:hint="default"/>
          <w:spacing w:val="-3"/>
        </w:rPr>
        <w:t>)</w:t>
      </w:r>
      <w:r>
        <w:rPr>
          <w:spacing w:val="-3"/>
        </w:rPr>
        <w:t>，占本公司全部营业收入的比例为</w:t>
      </w:r>
      <w:r>
        <w:rPr>
          <w:spacing w:val="-54"/>
        </w:rPr>
        <w:t> </w:t>
      </w:r>
      <w:r>
        <w:rPr>
          <w:rFonts w:ascii="Arial" w:hAnsi="Arial" w:cs="Arial" w:eastAsia="Arial" w:hint="default"/>
          <w:spacing w:val="-3"/>
        </w:rPr>
        <w:t>27%(2011</w:t>
      </w:r>
      <w:r>
        <w:rPr>
          <w:rFonts w:ascii="Arial" w:hAnsi="Arial" w:cs="Arial" w:eastAsia="Arial" w:hint="default"/>
        </w:rPr>
        <w:t> </w:t>
      </w:r>
      <w:r>
        <w:rPr>
          <w:spacing w:val="-9"/>
        </w:rPr>
        <w:t>年：</w:t>
      </w:r>
      <w:r>
        <w:rPr>
          <w:rFonts w:ascii="Arial" w:hAnsi="Arial" w:cs="Arial" w:eastAsia="Arial" w:hint="default"/>
          <w:spacing w:val="-9"/>
        </w:rPr>
        <w:t>23%)</w:t>
      </w:r>
      <w:r>
        <w:rPr>
          <w:spacing w:val="-9"/>
        </w:rPr>
        <w:t>，具体</w:t>
      </w:r>
      <w:r>
        <w:rPr/>
        <w:t> 情况如下：</w:t>
      </w:r>
    </w:p>
    <w:p>
      <w:pPr>
        <w:spacing w:line="240" w:lineRule="auto" w:before="5"/>
        <w:rPr>
          <w:rFonts w:ascii="宋体" w:hAnsi="宋体" w:cs="宋体" w:eastAsia="宋体" w:hint="default"/>
          <w:sz w:val="33"/>
          <w:szCs w:val="33"/>
        </w:rPr>
      </w:pPr>
    </w:p>
    <w:p>
      <w:pPr>
        <w:pStyle w:val="Heading3"/>
        <w:tabs>
          <w:tab w:pos="1492" w:val="left" w:leader="none"/>
        </w:tabs>
        <w:spacing w:line="312" w:lineRule="exact"/>
        <w:ind w:left="0" w:right="1460"/>
        <w:jc w:val="right"/>
      </w:pPr>
      <w:r>
        <w:rPr/>
        <w:t>营业收入</w:t>
        <w:tab/>
        <w:t>占本公司全部营业</w:t>
      </w:r>
    </w:p>
    <w:p>
      <w:pPr>
        <w:pStyle w:val="Heading3"/>
        <w:spacing w:line="329" w:lineRule="exact"/>
        <w:ind w:left="0" w:right="1461"/>
        <w:jc w:val="right"/>
        <w:rPr>
          <w:rFonts w:ascii="Arial" w:hAnsi="Arial" w:cs="Arial" w:eastAsia="Arial" w:hint="default"/>
        </w:rPr>
      </w:pPr>
      <w:r>
        <w:rPr>
          <w:spacing w:val="-1"/>
        </w:rPr>
        <w:t>收入的比例</w:t>
      </w:r>
      <w:r>
        <w:rPr>
          <w:rFonts w:ascii="Arial" w:hAnsi="Arial" w:cs="Arial" w:eastAsia="Arial" w:hint="default"/>
          <w:spacing w:val="-1"/>
        </w:rPr>
        <w:t>(%)</w:t>
      </w:r>
    </w:p>
    <w:p>
      <w:pPr>
        <w:spacing w:line="240" w:lineRule="auto" w:before="0"/>
        <w:rPr>
          <w:rFonts w:ascii="Arial" w:hAnsi="Arial" w:cs="Arial" w:eastAsia="Arial" w:hint="default"/>
          <w:sz w:val="24"/>
          <w:szCs w:val="24"/>
        </w:rPr>
      </w:pPr>
    </w:p>
    <w:p>
      <w:pPr>
        <w:pStyle w:val="Heading3"/>
        <w:tabs>
          <w:tab w:pos="5302" w:val="left" w:leader="none"/>
          <w:tab w:pos="8277" w:val="left" w:leader="none"/>
        </w:tabs>
        <w:spacing w:line="240" w:lineRule="auto" w:before="161"/>
        <w:ind w:left="850" w:right="0"/>
        <w:jc w:val="both"/>
        <w:rPr>
          <w:rFonts w:ascii="Arial" w:hAnsi="Arial" w:cs="Arial" w:eastAsia="Arial" w:hint="default"/>
        </w:rPr>
      </w:pPr>
      <w:r>
        <w:rPr/>
        <w:t>南京苏宁易购物流有限公司</w:t>
        <w:tab/>
      </w:r>
      <w:r>
        <w:rPr>
          <w:rFonts w:ascii="Arial" w:hAnsi="Arial" w:cs="Arial" w:eastAsia="Arial" w:hint="default"/>
          <w:spacing w:val="-1"/>
          <w:position w:val="2"/>
        </w:rPr>
        <w:t>5,351,033</w:t>
        <w:tab/>
      </w:r>
      <w:r>
        <w:rPr>
          <w:rFonts w:ascii="Arial" w:hAnsi="Arial" w:cs="Arial" w:eastAsia="Arial" w:hint="default"/>
          <w:position w:val="2"/>
        </w:rPr>
        <w:t>7.9%</w:t>
      </w:r>
      <w:r>
        <w:rPr>
          <w:rFonts w:ascii="Arial" w:hAnsi="Arial" w:cs="Arial" w:eastAsia="Arial" w:hint="default"/>
        </w:rPr>
      </w:r>
    </w:p>
    <w:p>
      <w:pPr>
        <w:pStyle w:val="Heading3"/>
        <w:tabs>
          <w:tab w:pos="5302" w:val="left" w:leader="none"/>
          <w:tab w:pos="8277" w:val="left" w:leader="none"/>
        </w:tabs>
        <w:spacing w:line="240" w:lineRule="auto" w:before="89"/>
        <w:ind w:left="850" w:right="0"/>
        <w:jc w:val="both"/>
        <w:rPr>
          <w:rFonts w:ascii="Arial" w:hAnsi="Arial" w:cs="Arial" w:eastAsia="Arial" w:hint="default"/>
        </w:rPr>
      </w:pPr>
      <w:r>
        <w:rPr/>
        <w:t>北京苏宁电器有限公司</w:t>
        <w:tab/>
      </w:r>
      <w:r>
        <w:rPr>
          <w:rFonts w:ascii="Arial" w:hAnsi="Arial" w:cs="Arial" w:eastAsia="Arial" w:hint="default"/>
          <w:spacing w:val="-1"/>
          <w:position w:val="2"/>
        </w:rPr>
        <w:t>4,781,440</w:t>
        <w:tab/>
      </w:r>
      <w:r>
        <w:rPr>
          <w:rFonts w:ascii="Arial" w:hAnsi="Arial" w:cs="Arial" w:eastAsia="Arial" w:hint="default"/>
          <w:position w:val="2"/>
        </w:rPr>
        <w:t>7.1%</w:t>
      </w:r>
      <w:r>
        <w:rPr>
          <w:rFonts w:ascii="Arial" w:hAnsi="Arial" w:cs="Arial" w:eastAsia="Arial" w:hint="default"/>
        </w:rPr>
      </w:r>
    </w:p>
    <w:p>
      <w:pPr>
        <w:pStyle w:val="Heading3"/>
        <w:tabs>
          <w:tab w:pos="5302" w:val="left" w:leader="none"/>
          <w:tab w:pos="8277" w:val="left" w:leader="none"/>
        </w:tabs>
        <w:spacing w:line="240" w:lineRule="auto" w:before="86"/>
        <w:ind w:left="850" w:right="0"/>
        <w:jc w:val="both"/>
        <w:rPr>
          <w:rFonts w:ascii="Arial" w:hAnsi="Arial" w:cs="Arial" w:eastAsia="Arial" w:hint="default"/>
        </w:rPr>
      </w:pPr>
      <w:r>
        <w:rPr/>
        <w:t>南京雨花苏宁电器有限公司</w:t>
        <w:tab/>
      </w:r>
      <w:r>
        <w:rPr>
          <w:rFonts w:ascii="Arial" w:hAnsi="Arial" w:cs="Arial" w:eastAsia="Arial" w:hint="default"/>
          <w:spacing w:val="-1"/>
          <w:position w:val="2"/>
        </w:rPr>
        <w:t>2,907,360</w:t>
        <w:tab/>
      </w:r>
      <w:r>
        <w:rPr>
          <w:rFonts w:ascii="Arial" w:hAnsi="Arial" w:cs="Arial" w:eastAsia="Arial" w:hint="default"/>
          <w:position w:val="2"/>
        </w:rPr>
        <w:t>4.3%</w:t>
      </w:r>
      <w:r>
        <w:rPr>
          <w:rFonts w:ascii="Arial" w:hAnsi="Arial" w:cs="Arial" w:eastAsia="Arial" w:hint="default"/>
        </w:rPr>
      </w:r>
    </w:p>
    <w:p>
      <w:pPr>
        <w:pStyle w:val="Heading3"/>
        <w:tabs>
          <w:tab w:pos="5302" w:val="left" w:leader="none"/>
          <w:tab w:pos="8277" w:val="left" w:leader="none"/>
        </w:tabs>
        <w:spacing w:line="240" w:lineRule="auto" w:before="77"/>
        <w:ind w:left="850" w:right="0"/>
        <w:jc w:val="both"/>
        <w:rPr>
          <w:rFonts w:ascii="Arial" w:hAnsi="Arial" w:cs="Arial" w:eastAsia="Arial" w:hint="default"/>
        </w:rPr>
      </w:pPr>
      <w:r>
        <w:rPr/>
        <w:t>上海苏宁电器有限公司</w:t>
        <w:tab/>
      </w:r>
      <w:r>
        <w:rPr>
          <w:rFonts w:ascii="Arial" w:hAnsi="Arial" w:cs="Arial" w:eastAsia="Arial" w:hint="default"/>
          <w:spacing w:val="-1"/>
          <w:position w:val="2"/>
        </w:rPr>
        <w:t>2,871,825</w:t>
        <w:tab/>
      </w:r>
      <w:r>
        <w:rPr>
          <w:rFonts w:ascii="Arial" w:hAnsi="Arial" w:cs="Arial" w:eastAsia="Arial" w:hint="default"/>
          <w:position w:val="2"/>
        </w:rPr>
        <w:t>4.3%</w:t>
      </w:r>
      <w:r>
        <w:rPr>
          <w:rFonts w:ascii="Arial" w:hAnsi="Arial" w:cs="Arial" w:eastAsia="Arial" w:hint="default"/>
        </w:rPr>
      </w:r>
    </w:p>
    <w:p>
      <w:pPr>
        <w:pStyle w:val="Heading3"/>
        <w:tabs>
          <w:tab w:pos="5302" w:val="left" w:leader="none"/>
          <w:tab w:pos="8277" w:val="left" w:leader="none"/>
        </w:tabs>
        <w:spacing w:line="240" w:lineRule="auto" w:before="77"/>
        <w:ind w:left="850" w:right="0"/>
        <w:jc w:val="both"/>
        <w:rPr>
          <w:rFonts w:ascii="Arial" w:hAnsi="Arial" w:cs="Arial" w:eastAsia="Arial" w:hint="default"/>
        </w:rPr>
      </w:pPr>
      <w:r>
        <w:rPr/>
        <w:t>重庆巴渝苏宁电器有限公司</w:t>
        <w:tab/>
      </w:r>
      <w:r>
        <w:rPr>
          <w:rFonts w:ascii="Arial" w:hAnsi="Arial" w:cs="Arial" w:eastAsia="Arial" w:hint="default"/>
          <w:spacing w:val="-1"/>
          <w:position w:val="2"/>
        </w:rPr>
        <w:t>2,588,815</w:t>
        <w:tab/>
      </w:r>
      <w:r>
        <w:rPr>
          <w:rFonts w:ascii="Arial" w:hAnsi="Arial" w:cs="Arial" w:eastAsia="Arial" w:hint="default"/>
          <w:position w:val="2"/>
        </w:rPr>
        <w:t>3.8%</w:t>
      </w:r>
      <w:r>
        <w:rPr>
          <w:rFonts w:ascii="Arial" w:hAnsi="Arial" w:cs="Arial" w:eastAsia="Arial" w:hint="default"/>
        </w:rPr>
      </w:r>
    </w:p>
    <w:p>
      <w:pPr>
        <w:spacing w:line="240" w:lineRule="auto" w:before="8"/>
        <w:rPr>
          <w:rFonts w:ascii="Arial" w:hAnsi="Arial" w:cs="Arial" w:eastAsia="Arial" w:hint="default"/>
          <w:sz w:val="6"/>
          <w:szCs w:val="6"/>
        </w:rPr>
      </w:pPr>
    </w:p>
    <w:p>
      <w:pPr>
        <w:tabs>
          <w:tab w:pos="6709" w:val="left" w:leader="none"/>
        </w:tabs>
        <w:spacing w:line="20" w:lineRule="exact"/>
        <w:ind w:left="4664" w:right="0" w:firstLine="0"/>
        <w:rPr>
          <w:rFonts w:ascii="Arial" w:hAnsi="Arial" w:cs="Arial" w:eastAsia="Arial" w:hint="default"/>
          <w:sz w:val="2"/>
          <w:szCs w:val="2"/>
        </w:rPr>
      </w:pPr>
      <w:r>
        <w:rPr>
          <w:rFonts w:ascii="Arial"/>
          <w:sz w:val="2"/>
        </w:rPr>
        <w:pict>
          <v:group style="width:90.9pt;height:.5pt;mso-position-horizontal-relative:char;mso-position-vertical-relative:line" coordorigin="0,0" coordsize="1818,10">
            <v:group style="position:absolute;left:5;top:5;width:1808;height:2" coordorigin="5,5" coordsize="1808,2">
              <v:shape style="position:absolute;left:5;top:5;width:1808;height:2" coordorigin="5,5" coordsize="1808,0" path="m5,5l1812,5e" filled="false" stroked="true" strokeweight=".48pt" strokecolor="#000000">
                <v:path arrowok="t"/>
              </v:shape>
            </v:group>
          </v:group>
        </w:pict>
      </w:r>
      <w:r>
        <w:rPr>
          <w:rFonts w:ascii="Arial"/>
          <w:sz w:val="2"/>
        </w:rPr>
      </w:r>
      <w:r>
        <w:rPr>
          <w:rFonts w:ascii="Arial"/>
          <w:sz w:val="2"/>
        </w:rPr>
        <w:tab/>
      </w:r>
      <w:r>
        <w:rPr>
          <w:rFonts w:ascii="Arial"/>
          <w:sz w:val="2"/>
        </w:rPr>
        <w:pict>
          <v:group style="width:111.4pt;height:.5pt;mso-position-horizontal-relative:char;mso-position-vertical-relative:line" coordorigin="0,0" coordsize="2228,10">
            <v:group style="position:absolute;left:5;top:5;width:2218;height:2" coordorigin="5,5" coordsize="2218,2">
              <v:shape style="position:absolute;left:5;top:5;width:2218;height:2" coordorigin="5,5" coordsize="2218,0" path="m5,5l2223,5e" filled="false" stroked="true" strokeweight=".48pt" strokecolor="#000000">
                <v:path arrowok="t"/>
              </v:shape>
            </v:group>
          </v:group>
        </w:pict>
      </w:r>
      <w:r>
        <w:rPr>
          <w:rFonts w:ascii="Arial"/>
          <w:sz w:val="2"/>
        </w:rPr>
      </w:r>
    </w:p>
    <w:p>
      <w:pPr>
        <w:pStyle w:val="Heading3"/>
        <w:tabs>
          <w:tab w:pos="2974" w:val="left" w:leader="none"/>
        </w:tabs>
        <w:spacing w:line="240" w:lineRule="auto" w:before="26"/>
        <w:ind w:left="0" w:right="1458"/>
        <w:jc w:val="right"/>
        <w:rPr>
          <w:rFonts w:ascii="Arial" w:hAnsi="Arial" w:cs="Arial" w:eastAsia="Arial" w:hint="default"/>
        </w:rPr>
      </w:pPr>
      <w:r>
        <w:rPr>
          <w:rFonts w:ascii="Arial"/>
          <w:spacing w:val="-1"/>
        </w:rPr>
        <w:t>18,500,473</w:t>
        <w:tab/>
      </w:r>
      <w:r>
        <w:rPr>
          <w:rFonts w:ascii="Arial"/>
        </w:rPr>
        <w:t>27.4%</w:t>
      </w:r>
    </w:p>
    <w:p>
      <w:pPr>
        <w:spacing w:line="240" w:lineRule="auto" w:before="8"/>
        <w:rPr>
          <w:rFonts w:ascii="Arial" w:hAnsi="Arial" w:cs="Arial" w:eastAsia="Arial" w:hint="default"/>
          <w:sz w:val="3"/>
          <w:szCs w:val="3"/>
        </w:rPr>
      </w:pPr>
    </w:p>
    <w:p>
      <w:pPr>
        <w:tabs>
          <w:tab w:pos="6699" w:val="left" w:leader="none"/>
        </w:tabs>
        <w:spacing w:line="28" w:lineRule="exact"/>
        <w:ind w:left="4654" w:right="0" w:firstLine="0"/>
        <w:rPr>
          <w:rFonts w:ascii="Arial" w:hAnsi="Arial" w:cs="Arial" w:eastAsia="Arial" w:hint="default"/>
          <w:sz w:val="2"/>
          <w:szCs w:val="2"/>
        </w:rPr>
      </w:pPr>
      <w:r>
        <w:rPr>
          <w:rFonts w:ascii="Arial"/>
          <w:position w:val="0"/>
          <w:sz w:val="2"/>
        </w:rPr>
        <w:pict>
          <v:group style="width:91.85pt;height:1.45pt;mso-position-horizontal-relative:char;mso-position-vertical-relative:line" coordorigin="0,0" coordsize="1837,29">
            <v:group style="position:absolute;left:14;top:14;width:1808;height:2" coordorigin="14,14" coordsize="1808,2">
              <v:shape style="position:absolute;left:14;top:14;width:1808;height:2" coordorigin="14,14" coordsize="1808,0" path="m14,14l1822,14e" filled="false" stroked="true" strokeweight="1.44pt" strokecolor="#000000">
                <v:path arrowok="t"/>
              </v:shape>
            </v:group>
          </v:group>
        </w:pict>
      </w:r>
      <w:r>
        <w:rPr>
          <w:rFonts w:ascii="Arial"/>
          <w:position w:val="0"/>
          <w:sz w:val="2"/>
        </w:rPr>
      </w:r>
      <w:r>
        <w:rPr>
          <w:rFonts w:ascii="Arial"/>
          <w:position w:val="0"/>
          <w:sz w:val="2"/>
        </w:rPr>
        <w:tab/>
      </w:r>
      <w:r>
        <w:rPr>
          <w:rFonts w:ascii="Arial"/>
          <w:position w:val="0"/>
          <w:sz w:val="2"/>
        </w:rPr>
        <w:pict>
          <v:group style="width:112.35pt;height:1.45pt;mso-position-horizontal-relative:char;mso-position-vertical-relative:line" coordorigin="0,0" coordsize="2247,29">
            <v:group style="position:absolute;left:14;top:14;width:2218;height:2" coordorigin="14,14" coordsize="2218,2">
              <v:shape style="position:absolute;left:14;top:14;width:2218;height:2" coordorigin="14,14" coordsize="2218,0" path="m14,14l2232,14e" filled="false" stroked="true" strokeweight="1.44pt" strokecolor="#000000">
                <v:path arrowok="t"/>
              </v:shape>
            </v:group>
          </v:group>
        </w:pict>
      </w:r>
      <w:r>
        <w:rPr>
          <w:rFonts w:ascii="Arial"/>
          <w:position w:val="0"/>
          <w:sz w:val="2"/>
        </w:rPr>
      </w:r>
    </w:p>
    <w:p>
      <w:pPr>
        <w:spacing w:line="240" w:lineRule="auto" w:before="4"/>
        <w:rPr>
          <w:rFonts w:ascii="Arial" w:hAnsi="Arial" w:cs="Arial" w:eastAsia="Arial" w:hint="default"/>
          <w:sz w:val="28"/>
          <w:szCs w:val="28"/>
        </w:rPr>
      </w:pPr>
    </w:p>
    <w:p>
      <w:pPr>
        <w:pStyle w:val="Heading3"/>
        <w:tabs>
          <w:tab w:pos="849" w:val="left" w:leader="none"/>
        </w:tabs>
        <w:spacing w:line="240" w:lineRule="auto" w:before="33"/>
        <w:ind w:left="122" w:right="6874"/>
        <w:jc w:val="left"/>
        <w:rPr>
          <w:rFonts w:ascii="黑体" w:hAnsi="黑体" w:cs="黑体" w:eastAsia="黑体" w:hint="default"/>
        </w:rPr>
      </w:pPr>
      <w:r>
        <w:rPr>
          <w:rFonts w:ascii="Arial" w:hAnsi="Arial" w:cs="Arial" w:eastAsia="Arial" w:hint="default"/>
          <w:spacing w:val="-1"/>
          <w:position w:val="2"/>
        </w:rPr>
        <w:t>(5)</w:t>
        <w:tab/>
      </w:r>
      <w:r>
        <w:rPr>
          <w:rFonts w:ascii="黑体" w:hAnsi="黑体" w:cs="黑体" w:eastAsia="黑体" w:hint="default"/>
        </w:rPr>
        <w:t>投资收益</w:t>
      </w:r>
    </w:p>
    <w:p>
      <w:pPr>
        <w:pStyle w:val="Heading3"/>
        <w:tabs>
          <w:tab w:pos="7768" w:val="left" w:leader="none"/>
        </w:tabs>
        <w:spacing w:line="240" w:lineRule="auto" w:before="77"/>
        <w:ind w:left="6155" w:right="0"/>
        <w:jc w:val="left"/>
      </w:pPr>
      <w:r>
        <w:rPr>
          <w:rFonts w:ascii="Arial" w:hAnsi="Arial" w:cs="Arial" w:eastAsia="Arial" w:hint="default"/>
        </w:rPr>
        <w:t>2012</w:t>
      </w:r>
      <w:r>
        <w:rPr>
          <w:rFonts w:ascii="Arial" w:hAnsi="Arial" w:cs="Arial" w:eastAsia="Arial" w:hint="default"/>
          <w:spacing w:val="-9"/>
        </w:rPr>
        <w:t> </w:t>
      </w:r>
      <w:r>
        <w:rPr/>
        <w:t>年度</w:t>
        <w:tab/>
      </w:r>
      <w:r>
        <w:rPr>
          <w:rFonts w:ascii="Arial" w:hAnsi="Arial" w:cs="Arial" w:eastAsia="Arial" w:hint="default"/>
          <w:spacing w:val="-5"/>
        </w:rPr>
        <w:t>2011 </w:t>
      </w:r>
      <w:r>
        <w:rPr/>
        <w:t>年度</w:t>
      </w:r>
    </w:p>
    <w:p>
      <w:pPr>
        <w:spacing w:line="240" w:lineRule="auto" w:before="10"/>
        <w:rPr>
          <w:rFonts w:ascii="宋体" w:hAnsi="宋体" w:cs="宋体" w:eastAsia="宋体" w:hint="default"/>
          <w:sz w:val="29"/>
          <w:szCs w:val="29"/>
        </w:rPr>
      </w:pPr>
    </w:p>
    <w:p>
      <w:pPr>
        <w:pStyle w:val="Heading3"/>
        <w:tabs>
          <w:tab w:pos="6493" w:val="left" w:leader="none"/>
          <w:tab w:pos="8089" w:val="left" w:leader="none"/>
        </w:tabs>
        <w:spacing w:line="240" w:lineRule="auto" w:before="22"/>
        <w:ind w:left="850" w:right="0"/>
        <w:jc w:val="left"/>
        <w:rPr>
          <w:rFonts w:ascii="Arial" w:hAnsi="Arial" w:cs="Arial" w:eastAsia="Arial" w:hint="default"/>
        </w:rPr>
      </w:pPr>
      <w:r>
        <w:rPr>
          <w:position w:val="2"/>
        </w:rPr>
        <w:t>成本法核算的长期股权投资收益</w:t>
        <w:tab/>
      </w:r>
      <w:r>
        <w:rPr>
          <w:rFonts w:ascii="Arial" w:hAnsi="Arial" w:cs="Arial" w:eastAsia="Arial" w:hint="default"/>
          <w:spacing w:val="-1"/>
        </w:rPr>
        <w:t>12,000</w:t>
        <w:tab/>
      </w:r>
      <w:r>
        <w:rPr>
          <w:rFonts w:ascii="Arial" w:hAnsi="Arial" w:cs="Arial" w:eastAsia="Arial" w:hint="default"/>
        </w:rPr>
        <w:t>17,974</w:t>
      </w:r>
    </w:p>
    <w:p>
      <w:pPr>
        <w:spacing w:line="240" w:lineRule="auto" w:before="8"/>
        <w:rPr>
          <w:rFonts w:ascii="Arial" w:hAnsi="Arial" w:cs="Arial" w:eastAsia="Arial" w:hint="default"/>
          <w:sz w:val="3"/>
          <w:szCs w:val="3"/>
        </w:rPr>
      </w:pPr>
    </w:p>
    <w:p>
      <w:pPr>
        <w:tabs>
          <w:tab w:pos="7557" w:val="left" w:leader="none"/>
        </w:tabs>
        <w:spacing w:line="28" w:lineRule="exact"/>
        <w:ind w:left="5833" w:right="0" w:firstLine="0"/>
        <w:rPr>
          <w:rFonts w:ascii="Arial" w:hAnsi="Arial" w:cs="Arial" w:eastAsia="Arial" w:hint="default"/>
          <w:sz w:val="2"/>
          <w:szCs w:val="2"/>
        </w:rPr>
      </w:pPr>
      <w:r>
        <w:rPr>
          <w:rFonts w:ascii="Arial"/>
          <w:position w:val="0"/>
          <w:sz w:val="2"/>
        </w:rPr>
        <w:pict>
          <v:group style="width:75.75pt;height:1.45pt;mso-position-horizontal-relative:char;mso-position-vertical-relative:line" coordorigin="0,0" coordsize="1515,29">
            <v:group style="position:absolute;left:14;top:14;width:1487;height:2" coordorigin="14,14" coordsize="1487,2">
              <v:shape style="position:absolute;left:14;top:14;width:1487;height:2" coordorigin="14,14" coordsize="1487,0" path="m14,14l1500,14e" filled="false" stroked="true" strokeweight="1.44pt" strokecolor="#000000">
                <v:path arrowok="t"/>
              </v:shape>
            </v:group>
          </v:group>
        </w:pict>
      </w:r>
      <w:r>
        <w:rPr>
          <w:rFonts w:ascii="Arial"/>
          <w:position w:val="0"/>
          <w:sz w:val="2"/>
        </w:rPr>
      </w:r>
      <w:r>
        <w:rPr>
          <w:rFonts w:ascii="Arial"/>
          <w:position w:val="0"/>
          <w:sz w:val="2"/>
        </w:rPr>
        <w:tab/>
      </w:r>
      <w:r>
        <w:rPr>
          <w:rFonts w:ascii="Arial"/>
          <w:position w:val="0"/>
          <w:sz w:val="2"/>
        </w:rPr>
        <w:pict>
          <v:group style="width:69.5pt;height:1.45pt;mso-position-horizontal-relative:char;mso-position-vertical-relative:line" coordorigin="0,0" coordsize="1390,29">
            <v:group style="position:absolute;left:14;top:14;width:1361;height:2" coordorigin="14,14" coordsize="1361,2">
              <v:shape style="position:absolute;left:14;top:14;width:1361;height:2" coordorigin="14,14" coordsize="1361,0" path="m14,14l1375,14e" filled="false" stroked="true" strokeweight="1.44pt" strokecolor="#000000">
                <v:path arrowok="t"/>
              </v:shape>
            </v:group>
          </v:group>
        </w:pict>
      </w:r>
      <w:r>
        <w:rPr>
          <w:rFonts w:ascii="Arial"/>
          <w:position w:val="0"/>
          <w:sz w:val="2"/>
        </w:rPr>
      </w:r>
    </w:p>
    <w:p>
      <w:pPr>
        <w:spacing w:line="240" w:lineRule="auto" w:before="0"/>
        <w:rPr>
          <w:rFonts w:ascii="Arial" w:hAnsi="Arial" w:cs="Arial" w:eastAsia="Arial" w:hint="default"/>
          <w:sz w:val="29"/>
          <w:szCs w:val="29"/>
        </w:rPr>
      </w:pPr>
    </w:p>
    <w:p>
      <w:pPr>
        <w:pStyle w:val="Heading3"/>
        <w:spacing w:line="240" w:lineRule="auto" w:before="26"/>
        <w:ind w:left="850" w:right="0"/>
        <w:jc w:val="left"/>
      </w:pPr>
      <w:r>
        <w:rPr/>
        <w:t>本公司不存在投资收益汇回的重大限制。</w:t>
      </w:r>
    </w:p>
    <w:p>
      <w:pPr>
        <w:spacing w:after="0" w:line="240" w:lineRule="auto"/>
        <w:jc w:val="left"/>
        <w:sectPr>
          <w:pgSz w:w="11910" w:h="16850"/>
          <w:pgMar w:header="795" w:footer="1340" w:top="2020" w:bottom="1540" w:left="16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95"/>
        <w:gridCol w:w="3905"/>
        <w:gridCol w:w="2024"/>
        <w:gridCol w:w="245"/>
        <w:gridCol w:w="2055"/>
      </w:tblGrid>
      <w:tr>
        <w:trPr>
          <w:trHeight w:val="497"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十五</w:t>
            </w:r>
          </w:p>
        </w:tc>
        <w:tc>
          <w:tcPr>
            <w:tcW w:w="3905" w:type="dxa"/>
            <w:tcBorders>
              <w:top w:val="nil" w:sz="6" w:space="0" w:color="auto"/>
              <w:left w:val="nil" w:sz="6" w:space="0" w:color="auto"/>
              <w:bottom w:val="nil" w:sz="6" w:space="0" w:color="auto"/>
              <w:right w:val="nil" w:sz="6" w:space="0" w:color="auto"/>
            </w:tcBorders>
          </w:tcPr>
          <w:p>
            <w:pPr>
              <w:pStyle w:val="TableParagraph"/>
              <w:spacing w:line="257" w:lineRule="exact"/>
              <w:ind w:left="131"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024"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
        </w:tc>
      </w:tr>
      <w:tr>
        <w:trPr>
          <w:trHeight w:val="742"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11" w:right="0"/>
              <w:jc w:val="left"/>
              <w:rPr>
                <w:rFonts w:ascii="Arial" w:hAnsi="Arial" w:cs="Arial" w:eastAsia="Arial" w:hint="default"/>
                <w:sz w:val="24"/>
                <w:szCs w:val="24"/>
              </w:rPr>
            </w:pPr>
            <w:r>
              <w:rPr>
                <w:rFonts w:ascii="Arial"/>
                <w:sz w:val="24"/>
              </w:rPr>
              <w:t>(6)</w:t>
            </w:r>
          </w:p>
        </w:tc>
        <w:tc>
          <w:tcPr>
            <w:tcW w:w="3905"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31" w:right="0"/>
              <w:jc w:val="left"/>
              <w:rPr>
                <w:rFonts w:ascii="黑体" w:hAnsi="黑体" w:cs="黑体" w:eastAsia="黑体" w:hint="default"/>
                <w:sz w:val="24"/>
                <w:szCs w:val="24"/>
              </w:rPr>
            </w:pPr>
            <w:r>
              <w:rPr>
                <w:rFonts w:ascii="黑体" w:hAnsi="黑体" w:cs="黑体" w:eastAsia="黑体" w:hint="default"/>
                <w:sz w:val="24"/>
                <w:szCs w:val="24"/>
              </w:rPr>
              <w:t>现金流量表补充资料</w:t>
            </w:r>
          </w:p>
        </w:tc>
        <w:tc>
          <w:tcPr>
            <w:tcW w:w="2024"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
        </w:tc>
      </w:tr>
      <w:tr>
        <w:trPr>
          <w:trHeight w:val="750"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11" w:right="0"/>
              <w:jc w:val="left"/>
              <w:rPr>
                <w:rFonts w:ascii="Arial" w:hAnsi="Arial" w:cs="Arial" w:eastAsia="Arial" w:hint="default"/>
                <w:sz w:val="24"/>
                <w:szCs w:val="24"/>
              </w:rPr>
            </w:pPr>
            <w:r>
              <w:rPr>
                <w:rFonts w:ascii="Arial"/>
                <w:sz w:val="24"/>
              </w:rPr>
              <w:t>(a)</w:t>
            </w:r>
          </w:p>
        </w:tc>
        <w:tc>
          <w:tcPr>
            <w:tcW w:w="3905"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15" w:right="0"/>
              <w:jc w:val="left"/>
              <w:rPr>
                <w:rFonts w:ascii="宋体" w:hAnsi="宋体" w:cs="宋体" w:eastAsia="宋体" w:hint="default"/>
                <w:sz w:val="24"/>
                <w:szCs w:val="24"/>
              </w:rPr>
            </w:pPr>
            <w:r>
              <w:rPr>
                <w:rFonts w:ascii="宋体" w:hAnsi="宋体" w:cs="宋体" w:eastAsia="宋体" w:hint="default"/>
                <w:sz w:val="24"/>
                <w:szCs w:val="24"/>
              </w:rPr>
              <w:t>将净利润调节为经营活动现金流量</w:t>
            </w:r>
          </w:p>
        </w:tc>
        <w:tc>
          <w:tcPr>
            <w:tcW w:w="2024"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
        </w:tc>
      </w:tr>
      <w:tr>
        <w:trPr>
          <w:trHeight w:val="754" w:hRule="exact"/>
        </w:trPr>
        <w:tc>
          <w:tcPr>
            <w:tcW w:w="795" w:type="dxa"/>
            <w:tcBorders>
              <w:top w:val="nil" w:sz="6" w:space="0" w:color="auto"/>
              <w:left w:val="nil" w:sz="6" w:space="0" w:color="auto"/>
              <w:bottom w:val="nil" w:sz="6" w:space="0" w:color="auto"/>
              <w:right w:val="nil" w:sz="6" w:space="0" w:color="auto"/>
            </w:tcBorders>
          </w:tcPr>
          <w:p>
            <w:pPr/>
          </w:p>
        </w:tc>
        <w:tc>
          <w:tcPr>
            <w:tcW w:w="3905"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3"/>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578" w:hRule="exact"/>
        </w:trPr>
        <w:tc>
          <w:tcPr>
            <w:tcW w:w="795" w:type="dxa"/>
            <w:tcBorders>
              <w:top w:val="nil" w:sz="6" w:space="0" w:color="auto"/>
              <w:left w:val="nil" w:sz="6" w:space="0" w:color="auto"/>
              <w:bottom w:val="nil" w:sz="6" w:space="0" w:color="auto"/>
              <w:right w:val="nil" w:sz="6" w:space="0" w:color="auto"/>
            </w:tcBorders>
          </w:tcPr>
          <w:p>
            <w:pPr/>
          </w:p>
        </w:tc>
        <w:tc>
          <w:tcPr>
            <w:tcW w:w="3905"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15"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24"/>
                <w:szCs w:val="24"/>
              </w:rPr>
            </w:pPr>
            <w:r>
              <w:rPr>
                <w:rFonts w:ascii="Arial"/>
                <w:spacing w:val="-1"/>
                <w:sz w:val="24"/>
              </w:rPr>
              <w:t>1,477,362</w:t>
            </w: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Arial" w:hAnsi="Arial" w:cs="Arial" w:eastAsia="Arial" w:hint="default"/>
                <w:sz w:val="24"/>
                <w:szCs w:val="24"/>
              </w:rPr>
            </w:pPr>
            <w:r>
              <w:rPr>
                <w:rFonts w:ascii="Arial"/>
                <w:spacing w:val="-1"/>
                <w:sz w:val="24"/>
              </w:rPr>
              <w:t>2,606,014</w:t>
            </w:r>
          </w:p>
        </w:tc>
      </w:tr>
      <w:tr>
        <w:trPr>
          <w:trHeight w:val="391" w:hRule="exact"/>
        </w:trPr>
        <w:tc>
          <w:tcPr>
            <w:tcW w:w="795" w:type="dxa"/>
            <w:tcBorders>
              <w:top w:val="nil" w:sz="6" w:space="0" w:color="auto"/>
              <w:left w:val="nil" w:sz="6" w:space="0" w:color="auto"/>
              <w:bottom w:val="nil" w:sz="6" w:space="0" w:color="auto"/>
              <w:right w:val="nil" w:sz="6" w:space="0" w:color="auto"/>
            </w:tcBorders>
          </w:tcPr>
          <w:p>
            <w:pPr/>
          </w:p>
        </w:tc>
        <w:tc>
          <w:tcPr>
            <w:tcW w:w="3905" w:type="dxa"/>
            <w:tcBorders>
              <w:top w:val="nil" w:sz="6" w:space="0" w:color="auto"/>
              <w:left w:val="nil" w:sz="6" w:space="0" w:color="auto"/>
              <w:bottom w:val="nil" w:sz="6" w:space="0" w:color="auto"/>
              <w:right w:val="nil" w:sz="6" w:space="0" w:color="auto"/>
            </w:tcBorders>
          </w:tcPr>
          <w:p>
            <w:pPr>
              <w:pStyle w:val="TableParagraph"/>
              <w:spacing w:line="303" w:lineRule="exact"/>
              <w:ind w:left="115" w:right="0"/>
              <w:jc w:val="left"/>
              <w:rPr>
                <w:rFonts w:ascii="宋体" w:hAnsi="宋体" w:cs="宋体" w:eastAsia="宋体" w:hint="default"/>
                <w:sz w:val="24"/>
                <w:szCs w:val="24"/>
              </w:rPr>
            </w:pPr>
            <w:r>
              <w:rPr>
                <w:rFonts w:ascii="宋体" w:hAnsi="宋体" w:cs="宋体" w:eastAsia="宋体" w:hint="default"/>
                <w:sz w:val="24"/>
                <w:szCs w:val="24"/>
              </w:rPr>
              <w:t>加：资产减值准备</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2"/>
              <w:jc w:val="right"/>
              <w:rPr>
                <w:rFonts w:ascii="Arial" w:hAnsi="Arial" w:cs="Arial" w:eastAsia="Arial" w:hint="default"/>
                <w:sz w:val="24"/>
                <w:szCs w:val="24"/>
              </w:rPr>
            </w:pPr>
            <w:r>
              <w:rPr>
                <w:rFonts w:ascii="Arial"/>
                <w:spacing w:val="-1"/>
                <w:sz w:val="24"/>
              </w:rPr>
              <w:t>69,066</w:t>
            </w: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spacing w:val="-1"/>
                <w:sz w:val="24"/>
              </w:rPr>
              <w:t>38,133</w:t>
            </w:r>
          </w:p>
        </w:tc>
      </w:tr>
      <w:tr>
        <w:trPr>
          <w:trHeight w:val="391" w:hRule="exact"/>
        </w:trPr>
        <w:tc>
          <w:tcPr>
            <w:tcW w:w="795" w:type="dxa"/>
            <w:tcBorders>
              <w:top w:val="nil" w:sz="6" w:space="0" w:color="auto"/>
              <w:left w:val="nil" w:sz="6" w:space="0" w:color="auto"/>
              <w:bottom w:val="nil" w:sz="6" w:space="0" w:color="auto"/>
              <w:right w:val="nil" w:sz="6" w:space="0" w:color="auto"/>
            </w:tcBorders>
          </w:tcPr>
          <w:p>
            <w:pPr/>
          </w:p>
        </w:tc>
        <w:tc>
          <w:tcPr>
            <w:tcW w:w="3905" w:type="dxa"/>
            <w:tcBorders>
              <w:top w:val="nil" w:sz="6" w:space="0" w:color="auto"/>
              <w:left w:val="nil" w:sz="6" w:space="0" w:color="auto"/>
              <w:bottom w:val="nil" w:sz="6" w:space="0" w:color="auto"/>
              <w:right w:val="nil" w:sz="6" w:space="0" w:color="auto"/>
            </w:tcBorders>
          </w:tcPr>
          <w:p>
            <w:pPr>
              <w:pStyle w:val="TableParagraph"/>
              <w:spacing w:line="303" w:lineRule="exact"/>
              <w:ind w:left="544" w:right="0"/>
              <w:jc w:val="left"/>
              <w:rPr>
                <w:rFonts w:ascii="宋体" w:hAnsi="宋体" w:cs="宋体" w:eastAsia="宋体" w:hint="default"/>
                <w:sz w:val="24"/>
                <w:szCs w:val="24"/>
              </w:rPr>
            </w:pPr>
            <w:r>
              <w:rPr>
                <w:rFonts w:ascii="宋体" w:hAnsi="宋体" w:cs="宋体" w:eastAsia="宋体" w:hint="default"/>
                <w:sz w:val="24"/>
                <w:szCs w:val="24"/>
              </w:rPr>
              <w:t>固定资产折旧</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3"/>
              <w:jc w:val="right"/>
              <w:rPr>
                <w:rFonts w:ascii="Arial" w:hAnsi="Arial" w:cs="Arial" w:eastAsia="Arial" w:hint="default"/>
                <w:sz w:val="24"/>
                <w:szCs w:val="24"/>
              </w:rPr>
            </w:pPr>
            <w:r>
              <w:rPr>
                <w:rFonts w:ascii="Arial"/>
                <w:spacing w:val="-1"/>
                <w:sz w:val="24"/>
              </w:rPr>
              <w:t>179,761</w:t>
            </w: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sz w:val="24"/>
              </w:rPr>
              <w:t>134,957</w:t>
            </w:r>
          </w:p>
        </w:tc>
      </w:tr>
      <w:tr>
        <w:trPr>
          <w:trHeight w:val="391" w:hRule="exact"/>
        </w:trPr>
        <w:tc>
          <w:tcPr>
            <w:tcW w:w="795" w:type="dxa"/>
            <w:tcBorders>
              <w:top w:val="nil" w:sz="6" w:space="0" w:color="auto"/>
              <w:left w:val="nil" w:sz="6" w:space="0" w:color="auto"/>
              <w:bottom w:val="nil" w:sz="6" w:space="0" w:color="auto"/>
              <w:right w:val="nil" w:sz="6" w:space="0" w:color="auto"/>
            </w:tcBorders>
          </w:tcPr>
          <w:p>
            <w:pPr/>
          </w:p>
        </w:tc>
        <w:tc>
          <w:tcPr>
            <w:tcW w:w="3905" w:type="dxa"/>
            <w:tcBorders>
              <w:top w:val="nil" w:sz="6" w:space="0" w:color="auto"/>
              <w:left w:val="nil" w:sz="6" w:space="0" w:color="auto"/>
              <w:bottom w:val="nil" w:sz="6" w:space="0" w:color="auto"/>
              <w:right w:val="nil" w:sz="6" w:space="0" w:color="auto"/>
            </w:tcBorders>
          </w:tcPr>
          <w:p>
            <w:pPr>
              <w:pStyle w:val="TableParagraph"/>
              <w:spacing w:line="303" w:lineRule="exact"/>
              <w:ind w:left="544"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2"/>
              <w:jc w:val="right"/>
              <w:rPr>
                <w:rFonts w:ascii="Arial" w:hAnsi="Arial" w:cs="Arial" w:eastAsia="Arial" w:hint="default"/>
                <w:sz w:val="24"/>
                <w:szCs w:val="24"/>
              </w:rPr>
            </w:pPr>
            <w:r>
              <w:rPr>
                <w:rFonts w:ascii="Arial"/>
                <w:spacing w:val="-1"/>
                <w:sz w:val="24"/>
              </w:rPr>
              <w:t>93,028</w:t>
            </w: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sz w:val="24"/>
              </w:rPr>
              <w:t>80,576</w:t>
            </w:r>
          </w:p>
        </w:tc>
      </w:tr>
      <w:tr>
        <w:trPr>
          <w:trHeight w:val="391" w:hRule="exact"/>
        </w:trPr>
        <w:tc>
          <w:tcPr>
            <w:tcW w:w="795" w:type="dxa"/>
            <w:tcBorders>
              <w:top w:val="nil" w:sz="6" w:space="0" w:color="auto"/>
              <w:left w:val="nil" w:sz="6" w:space="0" w:color="auto"/>
              <w:bottom w:val="nil" w:sz="6" w:space="0" w:color="auto"/>
              <w:right w:val="nil" w:sz="6" w:space="0" w:color="auto"/>
            </w:tcBorders>
          </w:tcPr>
          <w:p>
            <w:pPr/>
          </w:p>
        </w:tc>
        <w:tc>
          <w:tcPr>
            <w:tcW w:w="3905" w:type="dxa"/>
            <w:tcBorders>
              <w:top w:val="nil" w:sz="6" w:space="0" w:color="auto"/>
              <w:left w:val="nil" w:sz="6" w:space="0" w:color="auto"/>
              <w:bottom w:val="nil" w:sz="6" w:space="0" w:color="auto"/>
              <w:right w:val="nil" w:sz="6" w:space="0" w:color="auto"/>
            </w:tcBorders>
          </w:tcPr>
          <w:p>
            <w:pPr>
              <w:pStyle w:val="TableParagraph"/>
              <w:spacing w:line="303" w:lineRule="exact"/>
              <w:ind w:left="544" w:right="0"/>
              <w:jc w:val="left"/>
              <w:rPr>
                <w:rFonts w:ascii="宋体" w:hAnsi="宋体" w:cs="宋体" w:eastAsia="宋体" w:hint="default"/>
                <w:sz w:val="24"/>
                <w:szCs w:val="24"/>
              </w:rPr>
            </w:pPr>
            <w:r>
              <w:rPr>
                <w:rFonts w:ascii="宋体" w:hAnsi="宋体" w:cs="宋体" w:eastAsia="宋体" w:hint="default"/>
                <w:sz w:val="24"/>
                <w:szCs w:val="24"/>
              </w:rPr>
              <w:t>长期待摊费用摊销</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spacing w:val="-1"/>
                <w:sz w:val="24"/>
              </w:rPr>
              <w:t>69,039</w:t>
            </w: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sz w:val="24"/>
              </w:rPr>
              <w:t>41,285</w:t>
            </w:r>
          </w:p>
        </w:tc>
      </w:tr>
      <w:tr>
        <w:trPr>
          <w:trHeight w:val="391" w:hRule="exact"/>
        </w:trPr>
        <w:tc>
          <w:tcPr>
            <w:tcW w:w="795" w:type="dxa"/>
            <w:tcBorders>
              <w:top w:val="nil" w:sz="6" w:space="0" w:color="auto"/>
              <w:left w:val="nil" w:sz="6" w:space="0" w:color="auto"/>
              <w:bottom w:val="nil" w:sz="6" w:space="0" w:color="auto"/>
              <w:right w:val="nil" w:sz="6" w:space="0" w:color="auto"/>
            </w:tcBorders>
          </w:tcPr>
          <w:p>
            <w:pPr/>
          </w:p>
        </w:tc>
        <w:tc>
          <w:tcPr>
            <w:tcW w:w="3905" w:type="dxa"/>
            <w:tcBorders>
              <w:top w:val="nil" w:sz="6" w:space="0" w:color="auto"/>
              <w:left w:val="nil" w:sz="6" w:space="0" w:color="auto"/>
              <w:bottom w:val="nil" w:sz="6" w:space="0" w:color="auto"/>
              <w:right w:val="nil" w:sz="6" w:space="0" w:color="auto"/>
            </w:tcBorders>
          </w:tcPr>
          <w:p>
            <w:pPr>
              <w:pStyle w:val="TableParagraph"/>
              <w:spacing w:line="303" w:lineRule="exact"/>
              <w:ind w:left="544" w:right="0"/>
              <w:jc w:val="left"/>
              <w:rPr>
                <w:rFonts w:ascii="宋体" w:hAnsi="宋体" w:cs="宋体" w:eastAsia="宋体" w:hint="default"/>
                <w:sz w:val="24"/>
                <w:szCs w:val="24"/>
              </w:rPr>
            </w:pPr>
            <w:r>
              <w:rPr>
                <w:rFonts w:ascii="宋体" w:hAnsi="宋体" w:cs="宋体" w:eastAsia="宋体" w:hint="default"/>
                <w:sz w:val="24"/>
                <w:szCs w:val="24"/>
              </w:rPr>
              <w:t>处置固定资产的收益</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9"/>
              <w:jc w:val="right"/>
              <w:rPr>
                <w:rFonts w:ascii="Arial" w:hAnsi="Arial" w:cs="Arial" w:eastAsia="Arial" w:hint="default"/>
                <w:sz w:val="24"/>
                <w:szCs w:val="24"/>
              </w:rPr>
            </w:pPr>
            <w:r>
              <w:rPr>
                <w:rFonts w:ascii="Arial"/>
                <w:spacing w:val="-1"/>
                <w:sz w:val="24"/>
              </w:rPr>
              <w:t>(57,302)</w:t>
            </w: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
              <w:jc w:val="right"/>
              <w:rPr>
                <w:rFonts w:ascii="Arial" w:hAnsi="Arial" w:cs="Arial" w:eastAsia="Arial" w:hint="default"/>
                <w:sz w:val="24"/>
                <w:szCs w:val="24"/>
              </w:rPr>
            </w:pPr>
            <w:r>
              <w:rPr>
                <w:rFonts w:ascii="Arial"/>
                <w:sz w:val="24"/>
              </w:rPr>
              <w:t>(1,095)</w:t>
            </w:r>
          </w:p>
        </w:tc>
      </w:tr>
      <w:tr>
        <w:trPr>
          <w:trHeight w:val="391" w:hRule="exact"/>
        </w:trPr>
        <w:tc>
          <w:tcPr>
            <w:tcW w:w="795" w:type="dxa"/>
            <w:tcBorders>
              <w:top w:val="nil" w:sz="6" w:space="0" w:color="auto"/>
              <w:left w:val="nil" w:sz="6" w:space="0" w:color="auto"/>
              <w:bottom w:val="nil" w:sz="6" w:space="0" w:color="auto"/>
              <w:right w:val="nil" w:sz="6" w:space="0" w:color="auto"/>
            </w:tcBorders>
          </w:tcPr>
          <w:p>
            <w:pPr/>
          </w:p>
        </w:tc>
        <w:tc>
          <w:tcPr>
            <w:tcW w:w="3905" w:type="dxa"/>
            <w:tcBorders>
              <w:top w:val="nil" w:sz="6" w:space="0" w:color="auto"/>
              <w:left w:val="nil" w:sz="6" w:space="0" w:color="auto"/>
              <w:bottom w:val="nil" w:sz="6" w:space="0" w:color="auto"/>
              <w:right w:val="nil" w:sz="6" w:space="0" w:color="auto"/>
            </w:tcBorders>
          </w:tcPr>
          <w:p>
            <w:pPr>
              <w:pStyle w:val="TableParagraph"/>
              <w:spacing w:line="303" w:lineRule="exact"/>
              <w:ind w:left="544"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2"/>
              <w:jc w:val="right"/>
              <w:rPr>
                <w:rFonts w:ascii="Arial" w:hAnsi="Arial" w:cs="Arial" w:eastAsia="Arial" w:hint="default"/>
                <w:sz w:val="24"/>
                <w:szCs w:val="24"/>
              </w:rPr>
            </w:pPr>
            <w:r>
              <w:rPr>
                <w:rFonts w:ascii="Arial"/>
                <w:spacing w:val="-1"/>
                <w:sz w:val="24"/>
              </w:rPr>
              <w:t>70,406</w:t>
            </w: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sz w:val="24"/>
              </w:rPr>
              <w:t>4,204</w:t>
            </w:r>
          </w:p>
        </w:tc>
      </w:tr>
      <w:tr>
        <w:trPr>
          <w:trHeight w:val="391" w:hRule="exact"/>
        </w:trPr>
        <w:tc>
          <w:tcPr>
            <w:tcW w:w="795" w:type="dxa"/>
            <w:tcBorders>
              <w:top w:val="nil" w:sz="6" w:space="0" w:color="auto"/>
              <w:left w:val="nil" w:sz="6" w:space="0" w:color="auto"/>
              <w:bottom w:val="nil" w:sz="6" w:space="0" w:color="auto"/>
              <w:right w:val="nil" w:sz="6" w:space="0" w:color="auto"/>
            </w:tcBorders>
          </w:tcPr>
          <w:p>
            <w:pPr/>
          </w:p>
        </w:tc>
        <w:tc>
          <w:tcPr>
            <w:tcW w:w="3905" w:type="dxa"/>
            <w:tcBorders>
              <w:top w:val="nil" w:sz="6" w:space="0" w:color="auto"/>
              <w:left w:val="nil" w:sz="6" w:space="0" w:color="auto"/>
              <w:bottom w:val="nil" w:sz="6" w:space="0" w:color="auto"/>
              <w:right w:val="nil" w:sz="6" w:space="0" w:color="auto"/>
            </w:tcBorders>
          </w:tcPr>
          <w:p>
            <w:pPr>
              <w:pStyle w:val="TableParagraph"/>
              <w:spacing w:line="303" w:lineRule="exact"/>
              <w:ind w:left="544" w:right="0"/>
              <w:jc w:val="left"/>
              <w:rPr>
                <w:rFonts w:ascii="宋体" w:hAnsi="宋体" w:cs="宋体" w:eastAsia="宋体" w:hint="default"/>
                <w:sz w:val="24"/>
                <w:szCs w:val="24"/>
              </w:rPr>
            </w:pPr>
            <w:r>
              <w:rPr>
                <w:rFonts w:ascii="宋体" w:hAnsi="宋体" w:cs="宋体" w:eastAsia="宋体" w:hint="default"/>
                <w:sz w:val="24"/>
                <w:szCs w:val="24"/>
              </w:rPr>
              <w:t>投资收益</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9"/>
              <w:jc w:val="right"/>
              <w:rPr>
                <w:rFonts w:ascii="Arial" w:hAnsi="Arial" w:cs="Arial" w:eastAsia="Arial" w:hint="default"/>
                <w:sz w:val="24"/>
                <w:szCs w:val="24"/>
              </w:rPr>
            </w:pPr>
            <w:r>
              <w:rPr>
                <w:rFonts w:ascii="Arial"/>
                <w:spacing w:val="-1"/>
                <w:sz w:val="24"/>
              </w:rPr>
              <w:t>(12,000)</w:t>
            </w: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6"/>
              <w:jc w:val="right"/>
              <w:rPr>
                <w:rFonts w:ascii="Arial" w:hAnsi="Arial" w:cs="Arial" w:eastAsia="Arial" w:hint="default"/>
                <w:sz w:val="24"/>
                <w:szCs w:val="24"/>
              </w:rPr>
            </w:pPr>
            <w:r>
              <w:rPr>
                <w:rFonts w:ascii="Arial"/>
                <w:spacing w:val="-1"/>
                <w:sz w:val="24"/>
              </w:rPr>
              <w:t>(17,974)</w:t>
            </w:r>
          </w:p>
        </w:tc>
      </w:tr>
      <w:tr>
        <w:trPr>
          <w:trHeight w:val="391" w:hRule="exact"/>
        </w:trPr>
        <w:tc>
          <w:tcPr>
            <w:tcW w:w="795" w:type="dxa"/>
            <w:tcBorders>
              <w:top w:val="nil" w:sz="6" w:space="0" w:color="auto"/>
              <w:left w:val="nil" w:sz="6" w:space="0" w:color="auto"/>
              <w:bottom w:val="nil" w:sz="6" w:space="0" w:color="auto"/>
              <w:right w:val="nil" w:sz="6" w:space="0" w:color="auto"/>
            </w:tcBorders>
          </w:tcPr>
          <w:p>
            <w:pPr/>
          </w:p>
        </w:tc>
        <w:tc>
          <w:tcPr>
            <w:tcW w:w="3905" w:type="dxa"/>
            <w:tcBorders>
              <w:top w:val="nil" w:sz="6" w:space="0" w:color="auto"/>
              <w:left w:val="nil" w:sz="6" w:space="0" w:color="auto"/>
              <w:bottom w:val="nil" w:sz="6" w:space="0" w:color="auto"/>
              <w:right w:val="nil" w:sz="6" w:space="0" w:color="auto"/>
            </w:tcBorders>
          </w:tcPr>
          <w:p>
            <w:pPr>
              <w:pStyle w:val="TableParagraph"/>
              <w:spacing w:line="320" w:lineRule="exact"/>
              <w:ind w:left="544" w:right="0"/>
              <w:jc w:val="left"/>
              <w:rPr>
                <w:rFonts w:ascii="Arial" w:hAnsi="Arial" w:cs="Arial" w:eastAsia="Arial" w:hint="default"/>
                <w:sz w:val="24"/>
                <w:szCs w:val="24"/>
              </w:rPr>
            </w:pPr>
            <w:r>
              <w:rPr>
                <w:rFonts w:ascii="宋体" w:hAnsi="宋体" w:cs="宋体" w:eastAsia="宋体" w:hint="default"/>
                <w:sz w:val="24"/>
                <w:szCs w:val="24"/>
              </w:rPr>
              <w:t>递延所得税资产减少</w:t>
            </w:r>
            <w:r>
              <w:rPr>
                <w:rFonts w:ascii="Arial" w:hAnsi="Arial" w:cs="Arial" w:eastAsia="Arial" w:hint="default"/>
                <w:sz w:val="24"/>
                <w:szCs w:val="24"/>
              </w:rPr>
              <w:t>/(</w:t>
            </w:r>
            <w:r>
              <w:rPr>
                <w:rFonts w:ascii="宋体" w:hAnsi="宋体" w:cs="宋体" w:eastAsia="宋体" w:hint="default"/>
                <w:sz w:val="24"/>
                <w:szCs w:val="24"/>
              </w:rPr>
              <w:t>增加</w:t>
            </w:r>
            <w:r>
              <w:rPr>
                <w:rFonts w:ascii="Arial" w:hAnsi="Arial" w:cs="Arial" w:eastAsia="Arial" w:hint="default"/>
                <w:sz w:val="24"/>
                <w:szCs w:val="24"/>
              </w:rPr>
              <w:t>)</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2"/>
              <w:jc w:val="right"/>
              <w:rPr>
                <w:rFonts w:ascii="Arial" w:hAnsi="Arial" w:cs="Arial" w:eastAsia="Arial" w:hint="default"/>
                <w:sz w:val="24"/>
                <w:szCs w:val="24"/>
              </w:rPr>
            </w:pPr>
            <w:r>
              <w:rPr>
                <w:rFonts w:ascii="Arial"/>
                <w:spacing w:val="-1"/>
                <w:sz w:val="24"/>
              </w:rPr>
              <w:t>10,600</w:t>
            </w: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
              <w:jc w:val="right"/>
              <w:rPr>
                <w:rFonts w:ascii="Arial" w:hAnsi="Arial" w:cs="Arial" w:eastAsia="Arial" w:hint="default"/>
                <w:sz w:val="24"/>
                <w:szCs w:val="24"/>
              </w:rPr>
            </w:pPr>
            <w:r>
              <w:rPr>
                <w:rFonts w:ascii="Arial"/>
                <w:sz w:val="24"/>
              </w:rPr>
              <w:t>(7,728)</w:t>
            </w:r>
          </w:p>
        </w:tc>
      </w:tr>
      <w:tr>
        <w:trPr>
          <w:trHeight w:val="391" w:hRule="exact"/>
        </w:trPr>
        <w:tc>
          <w:tcPr>
            <w:tcW w:w="795" w:type="dxa"/>
            <w:tcBorders>
              <w:top w:val="nil" w:sz="6" w:space="0" w:color="auto"/>
              <w:left w:val="nil" w:sz="6" w:space="0" w:color="auto"/>
              <w:bottom w:val="nil" w:sz="6" w:space="0" w:color="auto"/>
              <w:right w:val="nil" w:sz="6" w:space="0" w:color="auto"/>
            </w:tcBorders>
          </w:tcPr>
          <w:p>
            <w:pPr/>
          </w:p>
        </w:tc>
        <w:tc>
          <w:tcPr>
            <w:tcW w:w="3905" w:type="dxa"/>
            <w:tcBorders>
              <w:top w:val="nil" w:sz="6" w:space="0" w:color="auto"/>
              <w:left w:val="nil" w:sz="6" w:space="0" w:color="auto"/>
              <w:bottom w:val="nil" w:sz="6" w:space="0" w:color="auto"/>
              <w:right w:val="nil" w:sz="6" w:space="0" w:color="auto"/>
            </w:tcBorders>
          </w:tcPr>
          <w:p>
            <w:pPr>
              <w:pStyle w:val="TableParagraph"/>
              <w:spacing w:line="303" w:lineRule="exact"/>
              <w:ind w:left="544" w:right="0"/>
              <w:jc w:val="left"/>
              <w:rPr>
                <w:rFonts w:ascii="宋体" w:hAnsi="宋体" w:cs="宋体" w:eastAsia="宋体" w:hint="default"/>
                <w:sz w:val="24"/>
                <w:szCs w:val="24"/>
              </w:rPr>
            </w:pPr>
            <w:r>
              <w:rPr>
                <w:rFonts w:ascii="宋体" w:hAnsi="宋体" w:cs="宋体" w:eastAsia="宋体" w:hint="default"/>
                <w:sz w:val="24"/>
                <w:szCs w:val="24"/>
              </w:rPr>
              <w:t>存货的增加</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2"/>
              <w:jc w:val="right"/>
              <w:rPr>
                <w:rFonts w:ascii="Arial" w:hAnsi="Arial" w:cs="Arial" w:eastAsia="Arial" w:hint="default"/>
                <w:sz w:val="24"/>
                <w:szCs w:val="24"/>
              </w:rPr>
            </w:pPr>
            <w:r>
              <w:rPr>
                <w:rFonts w:ascii="Arial"/>
                <w:spacing w:val="-1"/>
                <w:sz w:val="24"/>
              </w:rPr>
              <w:t>(2,144,479)</w:t>
            </w: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6"/>
              <w:jc w:val="right"/>
              <w:rPr>
                <w:rFonts w:ascii="Arial" w:hAnsi="Arial" w:cs="Arial" w:eastAsia="Arial" w:hint="default"/>
                <w:sz w:val="24"/>
                <w:szCs w:val="24"/>
              </w:rPr>
            </w:pPr>
            <w:r>
              <w:rPr>
                <w:rFonts w:ascii="Arial"/>
                <w:spacing w:val="-1"/>
                <w:sz w:val="24"/>
              </w:rPr>
              <w:t>(1,928,466)</w:t>
            </w:r>
          </w:p>
        </w:tc>
      </w:tr>
      <w:tr>
        <w:trPr>
          <w:trHeight w:val="392" w:hRule="exact"/>
        </w:trPr>
        <w:tc>
          <w:tcPr>
            <w:tcW w:w="795" w:type="dxa"/>
            <w:tcBorders>
              <w:top w:val="nil" w:sz="6" w:space="0" w:color="auto"/>
              <w:left w:val="nil" w:sz="6" w:space="0" w:color="auto"/>
              <w:bottom w:val="nil" w:sz="6" w:space="0" w:color="auto"/>
              <w:right w:val="nil" w:sz="6" w:space="0" w:color="auto"/>
            </w:tcBorders>
          </w:tcPr>
          <w:p>
            <w:pPr/>
          </w:p>
        </w:tc>
        <w:tc>
          <w:tcPr>
            <w:tcW w:w="3905" w:type="dxa"/>
            <w:tcBorders>
              <w:top w:val="nil" w:sz="6" w:space="0" w:color="auto"/>
              <w:left w:val="nil" w:sz="6" w:space="0" w:color="auto"/>
              <w:bottom w:val="nil" w:sz="6" w:space="0" w:color="auto"/>
              <w:right w:val="nil" w:sz="6" w:space="0" w:color="auto"/>
            </w:tcBorders>
          </w:tcPr>
          <w:p>
            <w:pPr>
              <w:pStyle w:val="TableParagraph"/>
              <w:spacing w:line="303" w:lineRule="exact"/>
              <w:ind w:left="544" w:right="0"/>
              <w:jc w:val="left"/>
              <w:rPr>
                <w:rFonts w:ascii="宋体" w:hAnsi="宋体" w:cs="宋体" w:eastAsia="宋体" w:hint="default"/>
                <w:sz w:val="24"/>
                <w:szCs w:val="24"/>
              </w:rPr>
            </w:pPr>
            <w:r>
              <w:rPr>
                <w:rFonts w:ascii="宋体" w:hAnsi="宋体" w:cs="宋体" w:eastAsia="宋体" w:hint="default"/>
                <w:sz w:val="24"/>
                <w:szCs w:val="24"/>
              </w:rPr>
              <w:t>经营性应收项目的增加</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
              <w:jc w:val="right"/>
              <w:rPr>
                <w:rFonts w:ascii="Arial" w:hAnsi="Arial" w:cs="Arial" w:eastAsia="Arial" w:hint="default"/>
                <w:sz w:val="24"/>
                <w:szCs w:val="24"/>
              </w:rPr>
            </w:pPr>
            <w:r>
              <w:rPr>
                <w:rFonts w:ascii="Arial"/>
                <w:spacing w:val="-1"/>
                <w:sz w:val="24"/>
              </w:rPr>
              <w:t>(4,202,200)</w:t>
            </w: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
              <w:jc w:val="right"/>
              <w:rPr>
                <w:rFonts w:ascii="Arial" w:hAnsi="Arial" w:cs="Arial" w:eastAsia="Arial" w:hint="default"/>
                <w:sz w:val="24"/>
                <w:szCs w:val="24"/>
              </w:rPr>
            </w:pPr>
            <w:r>
              <w:rPr>
                <w:rFonts w:ascii="Arial"/>
                <w:spacing w:val="-1"/>
                <w:sz w:val="24"/>
              </w:rPr>
              <w:t>(10,184,986)</w:t>
            </w:r>
          </w:p>
        </w:tc>
      </w:tr>
      <w:tr>
        <w:trPr>
          <w:trHeight w:val="388" w:hRule="exact"/>
        </w:trPr>
        <w:tc>
          <w:tcPr>
            <w:tcW w:w="795" w:type="dxa"/>
            <w:tcBorders>
              <w:top w:val="nil" w:sz="6" w:space="0" w:color="auto"/>
              <w:left w:val="nil" w:sz="6" w:space="0" w:color="auto"/>
              <w:bottom w:val="nil" w:sz="6" w:space="0" w:color="auto"/>
              <w:right w:val="nil" w:sz="6" w:space="0" w:color="auto"/>
            </w:tcBorders>
          </w:tcPr>
          <w:p>
            <w:pPr/>
          </w:p>
        </w:tc>
        <w:tc>
          <w:tcPr>
            <w:tcW w:w="3905" w:type="dxa"/>
            <w:tcBorders>
              <w:top w:val="nil" w:sz="6" w:space="0" w:color="auto"/>
              <w:left w:val="nil" w:sz="6" w:space="0" w:color="auto"/>
              <w:bottom w:val="nil" w:sz="6" w:space="0" w:color="auto"/>
              <w:right w:val="nil" w:sz="6" w:space="0" w:color="auto"/>
            </w:tcBorders>
          </w:tcPr>
          <w:p>
            <w:pPr>
              <w:pStyle w:val="TableParagraph"/>
              <w:spacing w:line="301" w:lineRule="exact"/>
              <w:ind w:left="544" w:right="0"/>
              <w:jc w:val="left"/>
              <w:rPr>
                <w:rFonts w:ascii="宋体" w:hAnsi="宋体" w:cs="宋体" w:eastAsia="宋体" w:hint="default"/>
                <w:sz w:val="24"/>
                <w:szCs w:val="24"/>
              </w:rPr>
            </w:pPr>
            <w:r>
              <w:rPr>
                <w:rFonts w:ascii="宋体" w:hAnsi="宋体" w:cs="宋体" w:eastAsia="宋体" w:hint="default"/>
                <w:sz w:val="24"/>
                <w:szCs w:val="24"/>
              </w:rPr>
              <w:t>经营性应付项目的增加</w:t>
            </w:r>
          </w:p>
        </w:tc>
        <w:tc>
          <w:tcPr>
            <w:tcW w:w="2024"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spacing w:val="-1"/>
                <w:sz w:val="24"/>
              </w:rPr>
              <w:t>8,228,831</w:t>
            </w: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right="104"/>
              <w:jc w:val="right"/>
              <w:rPr>
                <w:rFonts w:ascii="Arial" w:hAnsi="Arial" w:cs="Arial" w:eastAsia="Arial" w:hint="default"/>
                <w:sz w:val="24"/>
                <w:szCs w:val="24"/>
              </w:rPr>
            </w:pPr>
            <w:r>
              <w:rPr>
                <w:rFonts w:ascii="Arial"/>
                <w:spacing w:val="-1"/>
                <w:sz w:val="24"/>
              </w:rPr>
              <w:t>12,164,695</w:t>
            </w:r>
          </w:p>
        </w:tc>
      </w:tr>
      <w:tr>
        <w:trPr>
          <w:trHeight w:val="415" w:hRule="exact"/>
        </w:trPr>
        <w:tc>
          <w:tcPr>
            <w:tcW w:w="795" w:type="dxa"/>
            <w:tcBorders>
              <w:top w:val="nil" w:sz="6" w:space="0" w:color="auto"/>
              <w:left w:val="nil" w:sz="6" w:space="0" w:color="auto"/>
              <w:bottom w:val="nil" w:sz="6" w:space="0" w:color="auto"/>
              <w:right w:val="nil" w:sz="6" w:space="0" w:color="auto"/>
            </w:tcBorders>
          </w:tcPr>
          <w:p>
            <w:pPr/>
          </w:p>
        </w:tc>
        <w:tc>
          <w:tcPr>
            <w:tcW w:w="39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5"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024" w:type="dxa"/>
            <w:tcBorders>
              <w:top w:val="single" w:sz="8" w:space="0" w:color="000000"/>
              <w:left w:val="nil" w:sz="6" w:space="0" w:color="auto"/>
              <w:bottom w:val="single" w:sz="12" w:space="0" w:color="000000"/>
              <w:right w:val="nil" w:sz="6" w:space="0" w:color="auto"/>
            </w:tcBorders>
          </w:tcPr>
          <w:p>
            <w:pPr>
              <w:pStyle w:val="TableParagraph"/>
              <w:spacing w:line="240" w:lineRule="auto" w:before="72"/>
              <w:ind w:right="102"/>
              <w:jc w:val="right"/>
              <w:rPr>
                <w:rFonts w:ascii="Arial" w:hAnsi="Arial" w:cs="Arial" w:eastAsia="Arial" w:hint="default"/>
                <w:sz w:val="24"/>
                <w:szCs w:val="24"/>
              </w:rPr>
            </w:pPr>
            <w:r>
              <w:rPr>
                <w:rFonts w:ascii="Arial"/>
                <w:spacing w:val="-3"/>
                <w:sz w:val="24"/>
              </w:rPr>
              <w:t>3,782,112</w:t>
            </w: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single" w:sz="8" w:space="0" w:color="000000"/>
              <w:left w:val="nil" w:sz="6" w:space="0" w:color="auto"/>
              <w:bottom w:val="single" w:sz="12" w:space="0" w:color="000000"/>
              <w:right w:val="nil" w:sz="6" w:space="0" w:color="auto"/>
            </w:tcBorders>
          </w:tcPr>
          <w:p>
            <w:pPr>
              <w:pStyle w:val="TableParagraph"/>
              <w:spacing w:line="240" w:lineRule="auto" w:before="72"/>
              <w:ind w:right="105"/>
              <w:jc w:val="right"/>
              <w:rPr>
                <w:rFonts w:ascii="Arial" w:hAnsi="Arial" w:cs="Arial" w:eastAsia="Arial" w:hint="default"/>
                <w:sz w:val="24"/>
                <w:szCs w:val="24"/>
              </w:rPr>
            </w:pPr>
            <w:r>
              <w:rPr>
                <w:rFonts w:ascii="Arial"/>
                <w:spacing w:val="-1"/>
                <w:sz w:val="24"/>
              </w:rPr>
              <w:t>2,929,615</w:t>
            </w:r>
          </w:p>
        </w:tc>
      </w:tr>
      <w:tr>
        <w:trPr>
          <w:trHeight w:val="762"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left="211" w:right="0"/>
              <w:jc w:val="left"/>
              <w:rPr>
                <w:rFonts w:ascii="Arial" w:hAnsi="Arial" w:cs="Arial" w:eastAsia="Arial" w:hint="default"/>
                <w:sz w:val="24"/>
                <w:szCs w:val="24"/>
              </w:rPr>
            </w:pPr>
            <w:r>
              <w:rPr>
                <w:rFonts w:ascii="Arial"/>
                <w:sz w:val="24"/>
              </w:rPr>
              <w:t>(b)</w:t>
            </w:r>
          </w:p>
        </w:tc>
        <w:tc>
          <w:tcPr>
            <w:tcW w:w="39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15" w:right="0"/>
              <w:jc w:val="left"/>
              <w:rPr>
                <w:rFonts w:ascii="宋体" w:hAnsi="宋体" w:cs="宋体" w:eastAsia="宋体" w:hint="default"/>
                <w:sz w:val="24"/>
                <w:szCs w:val="24"/>
              </w:rPr>
            </w:pPr>
            <w:r>
              <w:rPr>
                <w:rFonts w:ascii="宋体" w:hAnsi="宋体" w:cs="宋体" w:eastAsia="宋体" w:hint="default"/>
                <w:sz w:val="24"/>
                <w:szCs w:val="24"/>
              </w:rPr>
              <w:t>现金及现金等价物净变动情况</w:t>
            </w:r>
          </w:p>
        </w:tc>
        <w:tc>
          <w:tcPr>
            <w:tcW w:w="2024" w:type="dxa"/>
            <w:tcBorders>
              <w:top w:val="single" w:sz="12"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single" w:sz="12" w:space="0" w:color="000000"/>
              <w:left w:val="nil" w:sz="6" w:space="0" w:color="auto"/>
              <w:bottom w:val="nil" w:sz="6" w:space="0" w:color="auto"/>
              <w:right w:val="nil" w:sz="6" w:space="0" w:color="auto"/>
            </w:tcBorders>
          </w:tcPr>
          <w:p>
            <w:pPr/>
          </w:p>
        </w:tc>
      </w:tr>
      <w:tr>
        <w:trPr>
          <w:trHeight w:val="575" w:hRule="exact"/>
        </w:trPr>
        <w:tc>
          <w:tcPr>
            <w:tcW w:w="795" w:type="dxa"/>
            <w:tcBorders>
              <w:top w:val="nil" w:sz="6" w:space="0" w:color="auto"/>
              <w:left w:val="nil" w:sz="6" w:space="0" w:color="auto"/>
              <w:bottom w:val="nil" w:sz="6" w:space="0" w:color="auto"/>
              <w:right w:val="nil" w:sz="6" w:space="0" w:color="auto"/>
            </w:tcBorders>
          </w:tcPr>
          <w:p>
            <w:pPr/>
          </w:p>
        </w:tc>
        <w:tc>
          <w:tcPr>
            <w:tcW w:w="3905"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r>
      <w:tr>
        <w:trPr>
          <w:trHeight w:val="578" w:hRule="exact"/>
        </w:trPr>
        <w:tc>
          <w:tcPr>
            <w:tcW w:w="795" w:type="dxa"/>
            <w:tcBorders>
              <w:top w:val="nil" w:sz="6" w:space="0" w:color="auto"/>
              <w:left w:val="nil" w:sz="6" w:space="0" w:color="auto"/>
              <w:bottom w:val="nil" w:sz="6" w:space="0" w:color="auto"/>
              <w:right w:val="nil" w:sz="6" w:space="0" w:color="auto"/>
            </w:tcBorders>
          </w:tcPr>
          <w:p>
            <w:pPr/>
          </w:p>
        </w:tc>
        <w:tc>
          <w:tcPr>
            <w:tcW w:w="3905"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15" w:right="0"/>
              <w:jc w:val="left"/>
              <w:rPr>
                <w:rFonts w:ascii="宋体" w:hAnsi="宋体" w:cs="宋体" w:eastAsia="宋体" w:hint="default"/>
                <w:sz w:val="24"/>
                <w:szCs w:val="24"/>
              </w:rPr>
            </w:pPr>
            <w:r>
              <w:rPr>
                <w:rFonts w:ascii="宋体" w:hAnsi="宋体" w:cs="宋体" w:eastAsia="宋体" w:hint="default"/>
                <w:sz w:val="24"/>
                <w:szCs w:val="24"/>
              </w:rPr>
              <w:t>现金的年末余额</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24"/>
                <w:szCs w:val="24"/>
              </w:rPr>
            </w:pPr>
            <w:r>
              <w:rPr>
                <w:rFonts w:ascii="Arial"/>
                <w:spacing w:val="-1"/>
                <w:sz w:val="24"/>
              </w:rPr>
              <w:t>15,932,130</w:t>
            </w: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24"/>
                <w:szCs w:val="24"/>
              </w:rPr>
            </w:pPr>
            <w:r>
              <w:rPr>
                <w:rFonts w:ascii="Arial"/>
                <w:spacing w:val="-1"/>
                <w:sz w:val="24"/>
              </w:rPr>
              <w:t>8,626,018</w:t>
            </w:r>
          </w:p>
        </w:tc>
      </w:tr>
      <w:tr>
        <w:trPr>
          <w:trHeight w:val="388" w:hRule="exact"/>
        </w:trPr>
        <w:tc>
          <w:tcPr>
            <w:tcW w:w="795" w:type="dxa"/>
            <w:tcBorders>
              <w:top w:val="nil" w:sz="6" w:space="0" w:color="auto"/>
              <w:left w:val="nil" w:sz="6" w:space="0" w:color="auto"/>
              <w:bottom w:val="nil" w:sz="6" w:space="0" w:color="auto"/>
              <w:right w:val="nil" w:sz="6" w:space="0" w:color="auto"/>
            </w:tcBorders>
          </w:tcPr>
          <w:p>
            <w:pPr/>
          </w:p>
        </w:tc>
        <w:tc>
          <w:tcPr>
            <w:tcW w:w="3905" w:type="dxa"/>
            <w:tcBorders>
              <w:top w:val="nil" w:sz="6" w:space="0" w:color="auto"/>
              <w:left w:val="nil" w:sz="6" w:space="0" w:color="auto"/>
              <w:bottom w:val="nil" w:sz="6" w:space="0" w:color="auto"/>
              <w:right w:val="nil" w:sz="6" w:space="0" w:color="auto"/>
            </w:tcBorders>
          </w:tcPr>
          <w:p>
            <w:pPr>
              <w:pStyle w:val="TableParagraph"/>
              <w:spacing w:line="301" w:lineRule="exact"/>
              <w:ind w:left="115" w:right="0"/>
              <w:jc w:val="left"/>
              <w:rPr>
                <w:rFonts w:ascii="宋体" w:hAnsi="宋体" w:cs="宋体" w:eastAsia="宋体" w:hint="default"/>
                <w:sz w:val="24"/>
                <w:szCs w:val="24"/>
              </w:rPr>
            </w:pPr>
            <w:r>
              <w:rPr>
                <w:rFonts w:ascii="宋体" w:hAnsi="宋体" w:cs="宋体" w:eastAsia="宋体" w:hint="default"/>
                <w:sz w:val="24"/>
                <w:szCs w:val="24"/>
              </w:rPr>
              <w:t>减：现金的年初余额</w:t>
            </w:r>
          </w:p>
        </w:tc>
        <w:tc>
          <w:tcPr>
            <w:tcW w:w="2024"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right="41"/>
              <w:jc w:val="right"/>
              <w:rPr>
                <w:rFonts w:ascii="Arial" w:hAnsi="Arial" w:cs="Arial" w:eastAsia="Arial" w:hint="default"/>
                <w:sz w:val="24"/>
                <w:szCs w:val="24"/>
              </w:rPr>
            </w:pPr>
            <w:r>
              <w:rPr>
                <w:rFonts w:ascii="Arial"/>
                <w:spacing w:val="-1"/>
                <w:sz w:val="24"/>
              </w:rPr>
              <w:t>(8,626,018)</w:t>
            </w: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right="26"/>
              <w:jc w:val="right"/>
              <w:rPr>
                <w:rFonts w:ascii="Arial" w:hAnsi="Arial" w:cs="Arial" w:eastAsia="Arial" w:hint="default"/>
                <w:sz w:val="24"/>
                <w:szCs w:val="24"/>
              </w:rPr>
            </w:pPr>
            <w:r>
              <w:rPr>
                <w:rFonts w:ascii="Arial"/>
                <w:spacing w:val="-1"/>
                <w:sz w:val="24"/>
              </w:rPr>
              <w:t>(8,181,699)</w:t>
            </w:r>
          </w:p>
        </w:tc>
      </w:tr>
      <w:tr>
        <w:trPr>
          <w:trHeight w:val="418" w:hRule="exact"/>
        </w:trPr>
        <w:tc>
          <w:tcPr>
            <w:tcW w:w="795" w:type="dxa"/>
            <w:tcBorders>
              <w:top w:val="nil" w:sz="6" w:space="0" w:color="auto"/>
              <w:left w:val="nil" w:sz="6" w:space="0" w:color="auto"/>
              <w:bottom w:val="nil" w:sz="6" w:space="0" w:color="auto"/>
              <w:right w:val="nil" w:sz="6" w:space="0" w:color="auto"/>
            </w:tcBorders>
          </w:tcPr>
          <w:p>
            <w:pPr/>
          </w:p>
        </w:tc>
        <w:tc>
          <w:tcPr>
            <w:tcW w:w="390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p>
        </w:tc>
        <w:tc>
          <w:tcPr>
            <w:tcW w:w="2024" w:type="dxa"/>
            <w:tcBorders>
              <w:top w:val="single" w:sz="8" w:space="0" w:color="000000"/>
              <w:left w:val="nil" w:sz="6" w:space="0" w:color="auto"/>
              <w:bottom w:val="single" w:sz="12" w:space="0" w:color="000000"/>
              <w:right w:val="nil" w:sz="6" w:space="0" w:color="auto"/>
            </w:tcBorders>
          </w:tcPr>
          <w:p>
            <w:pPr>
              <w:pStyle w:val="TableParagraph"/>
              <w:spacing w:line="240" w:lineRule="auto" w:before="72"/>
              <w:ind w:right="105"/>
              <w:jc w:val="right"/>
              <w:rPr>
                <w:rFonts w:ascii="Arial" w:hAnsi="Arial" w:cs="Arial" w:eastAsia="Arial" w:hint="default"/>
                <w:sz w:val="24"/>
                <w:szCs w:val="24"/>
              </w:rPr>
            </w:pPr>
            <w:r>
              <w:rPr>
                <w:rFonts w:ascii="Arial"/>
                <w:spacing w:val="-3"/>
                <w:sz w:val="24"/>
              </w:rPr>
              <w:t>7,306,112</w:t>
            </w:r>
          </w:p>
        </w:tc>
        <w:tc>
          <w:tcPr>
            <w:tcW w:w="245" w:type="dxa"/>
            <w:tcBorders>
              <w:top w:val="nil" w:sz="6" w:space="0" w:color="auto"/>
              <w:left w:val="nil" w:sz="6" w:space="0" w:color="auto"/>
              <w:bottom w:val="nil" w:sz="6" w:space="0" w:color="auto"/>
              <w:right w:val="nil" w:sz="6" w:space="0" w:color="auto"/>
            </w:tcBorders>
          </w:tcPr>
          <w:p>
            <w:pPr/>
          </w:p>
        </w:tc>
        <w:tc>
          <w:tcPr>
            <w:tcW w:w="2055" w:type="dxa"/>
            <w:tcBorders>
              <w:top w:val="single" w:sz="8" w:space="0" w:color="000000"/>
              <w:left w:val="nil" w:sz="6" w:space="0" w:color="auto"/>
              <w:bottom w:val="single" w:sz="12" w:space="0" w:color="000000"/>
              <w:right w:val="nil" w:sz="6" w:space="0" w:color="auto"/>
            </w:tcBorders>
          </w:tcPr>
          <w:p>
            <w:pPr>
              <w:pStyle w:val="TableParagraph"/>
              <w:spacing w:line="240" w:lineRule="auto" w:before="72"/>
              <w:ind w:right="105"/>
              <w:jc w:val="right"/>
              <w:rPr>
                <w:rFonts w:ascii="Arial" w:hAnsi="Arial" w:cs="Arial" w:eastAsia="Arial" w:hint="default"/>
                <w:sz w:val="24"/>
                <w:szCs w:val="24"/>
              </w:rPr>
            </w:pPr>
            <w:r>
              <w:rPr>
                <w:rFonts w:ascii="Arial"/>
                <w:spacing w:val="-1"/>
                <w:sz w:val="24"/>
              </w:rPr>
              <w:t>444,319</w:t>
            </w:r>
          </w:p>
        </w:tc>
      </w:tr>
    </w:tbl>
    <w:p>
      <w:pPr>
        <w:spacing w:after="0" w:line="240" w:lineRule="auto"/>
        <w:jc w:val="right"/>
        <w:rPr>
          <w:rFonts w:ascii="Arial" w:hAnsi="Arial" w:cs="Arial" w:eastAsia="Arial" w:hint="default"/>
          <w:sz w:val="24"/>
          <w:szCs w:val="24"/>
        </w:rPr>
        <w:sectPr>
          <w:pgSz w:w="11910" w:h="16850"/>
          <w:pgMar w:header="795" w:footer="1340" w:top="2020" w:bottom="15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683"/>
        <w:gridCol w:w="4991"/>
        <w:gridCol w:w="1548"/>
        <w:gridCol w:w="276"/>
        <w:gridCol w:w="1556"/>
      </w:tblGrid>
      <w:tr>
        <w:trPr>
          <w:trHeight w:val="432" w:hRule="exact"/>
        </w:trPr>
        <w:tc>
          <w:tcPr>
            <w:tcW w:w="68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一</w:t>
            </w:r>
          </w:p>
        </w:tc>
        <w:tc>
          <w:tcPr>
            <w:tcW w:w="4991" w:type="dxa"/>
            <w:tcBorders>
              <w:top w:val="nil" w:sz="6" w:space="0" w:color="auto"/>
              <w:left w:val="nil" w:sz="6" w:space="0" w:color="auto"/>
              <w:bottom w:val="nil" w:sz="6" w:space="0" w:color="auto"/>
              <w:right w:val="nil" w:sz="6" w:space="0" w:color="auto"/>
            </w:tcBorders>
          </w:tcPr>
          <w:p>
            <w:pPr>
              <w:pStyle w:val="TableParagraph"/>
              <w:spacing w:line="240" w:lineRule="exact"/>
              <w:ind w:left="242" w:right="0"/>
              <w:jc w:val="left"/>
              <w:rPr>
                <w:rFonts w:ascii="黑体" w:hAnsi="黑体" w:cs="黑体" w:eastAsia="黑体" w:hint="default"/>
                <w:sz w:val="24"/>
                <w:szCs w:val="24"/>
              </w:rPr>
            </w:pPr>
            <w:r>
              <w:rPr>
                <w:rFonts w:ascii="黑体" w:hAnsi="黑体" w:cs="黑体" w:eastAsia="黑体" w:hint="default"/>
                <w:sz w:val="24"/>
                <w:szCs w:val="24"/>
              </w:rPr>
              <w:t>非经常性损益明细表</w:t>
            </w:r>
          </w:p>
        </w:tc>
        <w:tc>
          <w:tcPr>
            <w:tcW w:w="1548"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
        </w:tc>
      </w:tr>
      <w:tr>
        <w:trPr>
          <w:trHeight w:val="645" w:hRule="exact"/>
        </w:trPr>
        <w:tc>
          <w:tcPr>
            <w:tcW w:w="683" w:type="dxa"/>
            <w:tcBorders>
              <w:top w:val="nil" w:sz="6" w:space="0" w:color="auto"/>
              <w:left w:val="nil" w:sz="6" w:space="0" w:color="auto"/>
              <w:bottom w:val="nil" w:sz="6" w:space="0" w:color="auto"/>
              <w:right w:val="nil" w:sz="6" w:space="0" w:color="auto"/>
            </w:tcBorders>
          </w:tcPr>
          <w:p>
            <w:pPr/>
          </w:p>
        </w:tc>
        <w:tc>
          <w:tcPr>
            <w:tcW w:w="4991"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8"/>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76"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32"/>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4"/>
                <w:sz w:val="24"/>
                <w:szCs w:val="24"/>
              </w:rPr>
              <w:t> </w:t>
            </w:r>
            <w:r>
              <w:rPr>
                <w:rFonts w:ascii="宋体" w:hAnsi="宋体" w:cs="宋体" w:eastAsia="宋体" w:hint="default"/>
                <w:sz w:val="24"/>
                <w:szCs w:val="24"/>
              </w:rPr>
              <w:t>年度</w:t>
            </w:r>
          </w:p>
        </w:tc>
      </w:tr>
      <w:tr>
        <w:trPr>
          <w:trHeight w:val="452" w:hRule="exact"/>
        </w:trPr>
        <w:tc>
          <w:tcPr>
            <w:tcW w:w="683" w:type="dxa"/>
            <w:tcBorders>
              <w:top w:val="nil" w:sz="6" w:space="0" w:color="auto"/>
              <w:left w:val="nil" w:sz="6" w:space="0" w:color="auto"/>
              <w:bottom w:val="nil" w:sz="6" w:space="0" w:color="auto"/>
              <w:right w:val="nil" w:sz="6" w:space="0" w:color="auto"/>
            </w:tcBorders>
          </w:tcPr>
          <w:p>
            <w:pPr/>
          </w:p>
        </w:tc>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42" w:right="0"/>
              <w:jc w:val="left"/>
              <w:rPr>
                <w:rFonts w:ascii="宋体" w:hAnsi="宋体" w:cs="宋体" w:eastAsia="宋体" w:hint="default"/>
                <w:sz w:val="18"/>
                <w:szCs w:val="18"/>
              </w:rPr>
            </w:pPr>
            <w:r>
              <w:rPr>
                <w:rFonts w:ascii="宋体" w:hAnsi="宋体" w:cs="宋体" w:eastAsia="宋体" w:hint="default"/>
                <w:sz w:val="18"/>
                <w:szCs w:val="18"/>
              </w:rPr>
              <w:t>非流动资产处置</w:t>
            </w:r>
            <w:r>
              <w:rPr>
                <w:rFonts w:ascii="Arial" w:hAnsi="Arial" w:cs="Arial" w:eastAsia="Arial" w:hint="default"/>
                <w:sz w:val="18"/>
                <w:szCs w:val="18"/>
              </w:rPr>
              <w:t>(</w:t>
            </w:r>
            <w:r>
              <w:rPr>
                <w:rFonts w:ascii="宋体" w:hAnsi="宋体" w:cs="宋体" w:eastAsia="宋体" w:hint="default"/>
                <w:sz w:val="18"/>
                <w:szCs w:val="18"/>
              </w:rPr>
              <w:t>收益</w:t>
            </w:r>
            <w:r>
              <w:rPr>
                <w:rFonts w:ascii="Arial" w:hAnsi="Arial" w:cs="Arial" w:eastAsia="Arial" w:hint="default"/>
                <w:sz w:val="18"/>
                <w:szCs w:val="18"/>
              </w:rPr>
              <w:t>)/</w:t>
            </w:r>
            <w:r>
              <w:rPr>
                <w:rFonts w:ascii="宋体" w:hAnsi="宋体" w:cs="宋体" w:eastAsia="宋体" w:hint="default"/>
                <w:sz w:val="18"/>
                <w:szCs w:val="18"/>
              </w:rPr>
              <w:t>损失</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67"/>
              <w:jc w:val="right"/>
              <w:rPr>
                <w:rFonts w:ascii="Arial" w:hAnsi="Arial" w:cs="Arial" w:eastAsia="Arial" w:hint="default"/>
                <w:sz w:val="18"/>
                <w:szCs w:val="18"/>
              </w:rPr>
            </w:pPr>
            <w:r>
              <w:rPr>
                <w:rFonts w:ascii="Arial"/>
                <w:spacing w:val="-1"/>
                <w:sz w:val="18"/>
              </w:rPr>
              <w:t>(54,020)</w:t>
            </w:r>
          </w:p>
        </w:tc>
        <w:tc>
          <w:tcPr>
            <w:tcW w:w="276"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81"/>
              <w:jc w:val="right"/>
              <w:rPr>
                <w:rFonts w:ascii="Arial" w:hAnsi="Arial" w:cs="Arial" w:eastAsia="Arial" w:hint="default"/>
                <w:sz w:val="18"/>
                <w:szCs w:val="18"/>
              </w:rPr>
            </w:pPr>
            <w:r>
              <w:rPr>
                <w:rFonts w:ascii="Arial"/>
                <w:w w:val="95"/>
                <w:sz w:val="18"/>
              </w:rPr>
              <w:t>1,970</w:t>
            </w:r>
            <w:r>
              <w:rPr>
                <w:rFonts w:ascii="Arial"/>
                <w:sz w:val="18"/>
              </w:rPr>
            </w:r>
          </w:p>
        </w:tc>
      </w:tr>
      <w:tr>
        <w:trPr>
          <w:trHeight w:val="312" w:hRule="exact"/>
        </w:trPr>
        <w:tc>
          <w:tcPr>
            <w:tcW w:w="683" w:type="dxa"/>
            <w:tcBorders>
              <w:top w:val="nil" w:sz="6" w:space="0" w:color="auto"/>
              <w:left w:val="nil" w:sz="6" w:space="0" w:color="auto"/>
              <w:bottom w:val="nil" w:sz="6" w:space="0" w:color="auto"/>
              <w:right w:val="nil" w:sz="6" w:space="0" w:color="auto"/>
            </w:tcBorders>
          </w:tcPr>
          <w:p>
            <w:pPr/>
          </w:p>
        </w:tc>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8"/>
              <w:jc w:val="right"/>
              <w:rPr>
                <w:rFonts w:ascii="Arial" w:hAnsi="Arial" w:cs="Arial" w:eastAsia="Arial" w:hint="default"/>
                <w:sz w:val="18"/>
                <w:szCs w:val="18"/>
              </w:rPr>
            </w:pPr>
            <w:r>
              <w:rPr>
                <w:rFonts w:ascii="Arial"/>
                <w:spacing w:val="-1"/>
                <w:sz w:val="18"/>
              </w:rPr>
              <w:t>(221,423)</w:t>
            </w:r>
          </w:p>
        </w:tc>
        <w:tc>
          <w:tcPr>
            <w:tcW w:w="276"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25"/>
              <w:jc w:val="right"/>
              <w:rPr>
                <w:rFonts w:ascii="Arial" w:hAnsi="Arial" w:cs="Arial" w:eastAsia="Arial" w:hint="default"/>
                <w:sz w:val="18"/>
                <w:szCs w:val="18"/>
              </w:rPr>
            </w:pPr>
            <w:r>
              <w:rPr>
                <w:rFonts w:ascii="Arial"/>
                <w:spacing w:val="-1"/>
                <w:sz w:val="18"/>
              </w:rPr>
              <w:t>(83,566)</w:t>
            </w:r>
          </w:p>
        </w:tc>
      </w:tr>
      <w:tr>
        <w:trPr>
          <w:trHeight w:val="624" w:hRule="exact"/>
        </w:trPr>
        <w:tc>
          <w:tcPr>
            <w:tcW w:w="683" w:type="dxa"/>
            <w:tcBorders>
              <w:top w:val="nil" w:sz="6" w:space="0" w:color="auto"/>
              <w:left w:val="nil" w:sz="6" w:space="0" w:color="auto"/>
              <w:bottom w:val="nil" w:sz="6" w:space="0" w:color="auto"/>
              <w:right w:val="nil" w:sz="6" w:space="0" w:color="auto"/>
            </w:tcBorders>
          </w:tcPr>
          <w:p>
            <w:pPr/>
          </w:p>
        </w:tc>
        <w:tc>
          <w:tcPr>
            <w:tcW w:w="4991" w:type="dxa"/>
            <w:tcBorders>
              <w:top w:val="nil" w:sz="6" w:space="0" w:color="auto"/>
              <w:left w:val="nil" w:sz="6" w:space="0" w:color="auto"/>
              <w:bottom w:val="nil" w:sz="6" w:space="0" w:color="auto"/>
              <w:right w:val="nil" w:sz="6" w:space="0" w:color="auto"/>
            </w:tcBorders>
          </w:tcPr>
          <w:p>
            <w:pPr>
              <w:pStyle w:val="TableParagraph"/>
              <w:spacing w:line="316" w:lineRule="auto" w:before="6"/>
              <w:ind w:left="439" w:right="110" w:hanging="197"/>
              <w:jc w:val="left"/>
              <w:rPr>
                <w:rFonts w:ascii="宋体" w:hAnsi="宋体" w:cs="宋体" w:eastAsia="宋体" w:hint="default"/>
                <w:sz w:val="18"/>
                <w:szCs w:val="18"/>
              </w:rPr>
            </w:pPr>
            <w:r>
              <w:rPr>
                <w:rFonts w:ascii="宋体" w:hAnsi="宋体" w:cs="宋体" w:eastAsia="宋体" w:hint="default"/>
                <w:spacing w:val="5"/>
                <w:sz w:val="18"/>
                <w:szCs w:val="18"/>
              </w:rPr>
              <w:t>同一控制下企业合并产生的子公司期初至合并日的当期净</w:t>
            </w:r>
            <w:r>
              <w:rPr>
                <w:rFonts w:ascii="宋体" w:hAnsi="宋体" w:cs="宋体" w:eastAsia="宋体" w:hint="default"/>
                <w:sz w:val="18"/>
                <w:szCs w:val="18"/>
              </w:rPr>
              <w:t> 亏损</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10"/>
              <w:jc w:val="right"/>
              <w:rPr>
                <w:rFonts w:ascii="Arial" w:hAnsi="Arial" w:cs="Arial" w:eastAsia="Arial" w:hint="default"/>
                <w:sz w:val="18"/>
                <w:szCs w:val="18"/>
              </w:rPr>
            </w:pPr>
            <w:r>
              <w:rPr>
                <w:rFonts w:ascii="Arial"/>
                <w:w w:val="95"/>
                <w:sz w:val="18"/>
              </w:rPr>
              <w:t>25</w:t>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18"/>
              <w:jc w:val="right"/>
              <w:rPr>
                <w:rFonts w:ascii="Arial" w:hAnsi="Arial" w:cs="Arial" w:eastAsia="Arial" w:hint="default"/>
                <w:sz w:val="18"/>
                <w:szCs w:val="18"/>
              </w:rPr>
            </w:pPr>
            <w:r>
              <w:rPr>
                <w:rFonts w:ascii="Arial"/>
                <w:w w:val="99"/>
                <w:sz w:val="18"/>
              </w:rPr>
              <w:t>-</w:t>
            </w:r>
            <w:r>
              <w:rPr>
                <w:rFonts w:ascii="Arial"/>
                <w:sz w:val="18"/>
              </w:rPr>
            </w:r>
          </w:p>
        </w:tc>
      </w:tr>
      <w:tr>
        <w:trPr>
          <w:trHeight w:val="312" w:hRule="exact"/>
        </w:trPr>
        <w:tc>
          <w:tcPr>
            <w:tcW w:w="683" w:type="dxa"/>
            <w:tcBorders>
              <w:top w:val="nil" w:sz="6" w:space="0" w:color="auto"/>
              <w:left w:val="nil" w:sz="6" w:space="0" w:color="auto"/>
              <w:bottom w:val="nil" w:sz="6" w:space="0" w:color="auto"/>
              <w:right w:val="nil" w:sz="6" w:space="0" w:color="auto"/>
            </w:tcBorders>
          </w:tcPr>
          <w:p>
            <w:pPr/>
          </w:p>
        </w:tc>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2" w:right="0"/>
              <w:jc w:val="left"/>
              <w:rPr>
                <w:rFonts w:ascii="宋体" w:hAnsi="宋体" w:cs="宋体" w:eastAsia="宋体" w:hint="default"/>
                <w:sz w:val="18"/>
                <w:szCs w:val="18"/>
              </w:rPr>
            </w:pPr>
            <w:r>
              <w:rPr>
                <w:rFonts w:ascii="宋体" w:hAnsi="宋体" w:cs="宋体" w:eastAsia="宋体" w:hint="default"/>
                <w:sz w:val="18"/>
                <w:szCs w:val="18"/>
              </w:rPr>
              <w:t>持有远期外汇合约所产生的公允价值变动损失</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2"/>
              <w:jc w:val="right"/>
              <w:rPr>
                <w:rFonts w:ascii="Arial" w:hAnsi="Arial" w:cs="Arial" w:eastAsia="Arial" w:hint="default"/>
                <w:sz w:val="18"/>
                <w:szCs w:val="18"/>
              </w:rPr>
            </w:pPr>
            <w:r>
              <w:rPr>
                <w:rFonts w:ascii="Arial"/>
                <w:w w:val="95"/>
                <w:sz w:val="18"/>
              </w:rPr>
              <w:t>3,826</w:t>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18"/>
              <w:jc w:val="right"/>
              <w:rPr>
                <w:rFonts w:ascii="Arial" w:hAnsi="Arial" w:cs="Arial" w:eastAsia="Arial" w:hint="default"/>
                <w:sz w:val="18"/>
                <w:szCs w:val="18"/>
              </w:rPr>
            </w:pPr>
            <w:r>
              <w:rPr>
                <w:rFonts w:ascii="Arial"/>
                <w:w w:val="99"/>
                <w:sz w:val="18"/>
              </w:rPr>
              <w:t>-</w:t>
            </w:r>
            <w:r>
              <w:rPr>
                <w:rFonts w:ascii="Arial"/>
                <w:sz w:val="18"/>
              </w:rPr>
            </w:r>
          </w:p>
        </w:tc>
      </w:tr>
      <w:tr>
        <w:trPr>
          <w:trHeight w:val="312" w:hRule="exact"/>
        </w:trPr>
        <w:tc>
          <w:tcPr>
            <w:tcW w:w="683" w:type="dxa"/>
            <w:tcBorders>
              <w:top w:val="nil" w:sz="6" w:space="0" w:color="auto"/>
              <w:left w:val="nil" w:sz="6" w:space="0" w:color="auto"/>
              <w:bottom w:val="nil" w:sz="6" w:space="0" w:color="auto"/>
              <w:right w:val="nil" w:sz="6" w:space="0" w:color="auto"/>
            </w:tcBorders>
          </w:tcPr>
          <w:p>
            <w:pPr/>
          </w:p>
        </w:tc>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1"/>
              <w:jc w:val="right"/>
              <w:rPr>
                <w:rFonts w:ascii="Arial" w:hAnsi="Arial" w:cs="Arial" w:eastAsia="Arial" w:hint="default"/>
                <w:sz w:val="18"/>
                <w:szCs w:val="18"/>
              </w:rPr>
            </w:pPr>
            <w:r>
              <w:rPr>
                <w:rFonts w:ascii="Arial"/>
                <w:w w:val="95"/>
                <w:sz w:val="18"/>
              </w:rPr>
              <w:t>(508)</w:t>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
        </w:tc>
      </w:tr>
      <w:tr>
        <w:trPr>
          <w:trHeight w:val="312" w:hRule="exact"/>
        </w:trPr>
        <w:tc>
          <w:tcPr>
            <w:tcW w:w="683" w:type="dxa"/>
            <w:tcBorders>
              <w:top w:val="nil" w:sz="6" w:space="0" w:color="auto"/>
              <w:left w:val="nil" w:sz="6" w:space="0" w:color="auto"/>
              <w:bottom w:val="nil" w:sz="6" w:space="0" w:color="auto"/>
              <w:right w:val="nil" w:sz="6" w:space="0" w:color="auto"/>
            </w:tcBorders>
          </w:tcPr>
          <w:p>
            <w:pPr/>
          </w:p>
        </w:tc>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1"/>
              <w:jc w:val="right"/>
              <w:rPr>
                <w:rFonts w:ascii="Arial" w:hAnsi="Arial" w:cs="Arial" w:eastAsia="Arial" w:hint="default"/>
                <w:sz w:val="18"/>
                <w:szCs w:val="18"/>
              </w:rPr>
            </w:pPr>
            <w:r>
              <w:rPr>
                <w:rFonts w:ascii="Arial"/>
                <w:spacing w:val="-1"/>
                <w:sz w:val="18"/>
              </w:rPr>
              <w:t>47,448</w:t>
            </w:r>
          </w:p>
        </w:tc>
        <w:tc>
          <w:tcPr>
            <w:tcW w:w="276"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81"/>
              <w:jc w:val="right"/>
              <w:rPr>
                <w:rFonts w:ascii="Arial" w:hAnsi="Arial" w:cs="Arial" w:eastAsia="Arial" w:hint="default"/>
                <w:sz w:val="18"/>
                <w:szCs w:val="18"/>
              </w:rPr>
            </w:pPr>
            <w:r>
              <w:rPr>
                <w:rFonts w:ascii="Arial"/>
                <w:spacing w:val="-1"/>
                <w:sz w:val="18"/>
              </w:rPr>
              <w:t>52,451</w:t>
            </w:r>
          </w:p>
        </w:tc>
      </w:tr>
      <w:tr>
        <w:trPr>
          <w:trHeight w:val="315" w:hRule="exact"/>
        </w:trPr>
        <w:tc>
          <w:tcPr>
            <w:tcW w:w="683" w:type="dxa"/>
            <w:tcBorders>
              <w:top w:val="nil" w:sz="6" w:space="0" w:color="auto"/>
              <w:left w:val="nil" w:sz="6" w:space="0" w:color="auto"/>
              <w:bottom w:val="nil" w:sz="6" w:space="0" w:color="auto"/>
              <w:right w:val="nil" w:sz="6" w:space="0" w:color="auto"/>
            </w:tcBorders>
          </w:tcPr>
          <w:p>
            <w:pPr/>
          </w:p>
        </w:tc>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548"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13"/>
              <w:jc w:val="right"/>
              <w:rPr>
                <w:rFonts w:ascii="Arial" w:hAnsi="Arial" w:cs="Arial" w:eastAsia="Arial" w:hint="default"/>
                <w:sz w:val="18"/>
                <w:szCs w:val="18"/>
              </w:rPr>
            </w:pPr>
            <w:r>
              <w:rPr>
                <w:rFonts w:ascii="Arial"/>
                <w:w w:val="99"/>
                <w:sz w:val="18"/>
              </w:rPr>
              <w:t>-</w:t>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26"/>
              <w:jc w:val="right"/>
              <w:rPr>
                <w:rFonts w:ascii="Arial" w:hAnsi="Arial" w:cs="Arial" w:eastAsia="Arial" w:hint="default"/>
                <w:sz w:val="18"/>
                <w:szCs w:val="18"/>
              </w:rPr>
            </w:pPr>
            <w:r>
              <w:rPr>
                <w:rFonts w:ascii="Arial"/>
                <w:spacing w:val="-1"/>
                <w:sz w:val="18"/>
              </w:rPr>
              <w:t>(179,223)</w:t>
            </w:r>
          </w:p>
        </w:tc>
      </w:tr>
      <w:tr>
        <w:trPr>
          <w:trHeight w:val="322" w:hRule="exact"/>
        </w:trPr>
        <w:tc>
          <w:tcPr>
            <w:tcW w:w="683" w:type="dxa"/>
            <w:tcBorders>
              <w:top w:val="nil" w:sz="6" w:space="0" w:color="auto"/>
              <w:left w:val="nil" w:sz="6" w:space="0" w:color="auto"/>
              <w:bottom w:val="nil" w:sz="6" w:space="0" w:color="auto"/>
              <w:right w:val="nil" w:sz="6" w:space="0" w:color="auto"/>
            </w:tcBorders>
          </w:tcPr>
          <w:p>
            <w:pPr/>
          </w:p>
        </w:tc>
        <w:tc>
          <w:tcPr>
            <w:tcW w:w="4991" w:type="dxa"/>
            <w:tcBorders>
              <w:top w:val="nil" w:sz="6" w:space="0" w:color="auto"/>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single" w:sz="8" w:space="0" w:color="000000"/>
              <w:right w:val="nil" w:sz="6" w:space="0" w:color="auto"/>
            </w:tcBorders>
          </w:tcPr>
          <w:p>
            <w:pPr>
              <w:pStyle w:val="TableParagraph"/>
              <w:spacing w:line="240" w:lineRule="auto" w:before="49"/>
              <w:ind w:right="58"/>
              <w:jc w:val="right"/>
              <w:rPr>
                <w:rFonts w:ascii="Arial" w:hAnsi="Arial" w:cs="Arial" w:eastAsia="Arial" w:hint="default"/>
                <w:sz w:val="18"/>
                <w:szCs w:val="18"/>
              </w:rPr>
            </w:pPr>
            <w:r>
              <w:rPr>
                <w:rFonts w:ascii="Arial"/>
                <w:spacing w:val="-1"/>
                <w:sz w:val="18"/>
              </w:rPr>
              <w:t>(224,652)</w:t>
            </w:r>
          </w:p>
        </w:tc>
        <w:tc>
          <w:tcPr>
            <w:tcW w:w="276" w:type="dxa"/>
            <w:tcBorders>
              <w:top w:val="nil" w:sz="6" w:space="0" w:color="auto"/>
              <w:left w:val="nil" w:sz="6" w:space="0" w:color="auto"/>
              <w:bottom w:val="nil" w:sz="6" w:space="0" w:color="auto"/>
              <w:right w:val="nil" w:sz="6" w:space="0" w:color="auto"/>
            </w:tcBorders>
          </w:tcPr>
          <w:p>
            <w:pPr/>
          </w:p>
        </w:tc>
        <w:tc>
          <w:tcPr>
            <w:tcW w:w="1556"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26"/>
              <w:jc w:val="right"/>
              <w:rPr>
                <w:rFonts w:ascii="Arial" w:hAnsi="Arial" w:cs="Arial" w:eastAsia="Arial" w:hint="default"/>
                <w:sz w:val="18"/>
                <w:szCs w:val="18"/>
              </w:rPr>
            </w:pPr>
            <w:r>
              <w:rPr>
                <w:rFonts w:ascii="Arial"/>
                <w:spacing w:val="-1"/>
                <w:sz w:val="18"/>
              </w:rPr>
              <w:t>(208,368)</w:t>
            </w:r>
          </w:p>
        </w:tc>
      </w:tr>
      <w:tr>
        <w:trPr>
          <w:trHeight w:val="329" w:hRule="exact"/>
        </w:trPr>
        <w:tc>
          <w:tcPr>
            <w:tcW w:w="683" w:type="dxa"/>
            <w:tcBorders>
              <w:top w:val="nil" w:sz="6" w:space="0" w:color="auto"/>
              <w:left w:val="nil" w:sz="6" w:space="0" w:color="auto"/>
              <w:bottom w:val="nil" w:sz="6" w:space="0" w:color="auto"/>
              <w:right w:val="nil" w:sz="6" w:space="0" w:color="auto"/>
            </w:tcBorders>
          </w:tcPr>
          <w:p>
            <w:pPr/>
          </w:p>
        </w:tc>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48"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113"/>
              <w:jc w:val="right"/>
              <w:rPr>
                <w:rFonts w:ascii="Arial" w:hAnsi="Arial" w:cs="Arial" w:eastAsia="Arial" w:hint="default"/>
                <w:sz w:val="18"/>
                <w:szCs w:val="18"/>
              </w:rPr>
            </w:pPr>
            <w:r>
              <w:rPr>
                <w:rFonts w:ascii="Arial"/>
                <w:spacing w:val="-1"/>
                <w:sz w:val="18"/>
              </w:rPr>
              <w:t>59,149</w:t>
            </w:r>
          </w:p>
        </w:tc>
        <w:tc>
          <w:tcPr>
            <w:tcW w:w="276" w:type="dxa"/>
            <w:tcBorders>
              <w:top w:val="nil" w:sz="6" w:space="0" w:color="auto"/>
              <w:left w:val="nil" w:sz="6" w:space="0" w:color="auto"/>
              <w:bottom w:val="nil" w:sz="6" w:space="0" w:color="auto"/>
              <w:right w:val="nil" w:sz="6" w:space="0" w:color="auto"/>
            </w:tcBorders>
          </w:tcPr>
          <w:p>
            <w:pPr/>
          </w:p>
        </w:tc>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81"/>
              <w:jc w:val="right"/>
              <w:rPr>
                <w:rFonts w:ascii="Arial" w:hAnsi="Arial" w:cs="Arial" w:eastAsia="Arial" w:hint="default"/>
                <w:sz w:val="18"/>
                <w:szCs w:val="18"/>
              </w:rPr>
            </w:pPr>
            <w:r>
              <w:rPr>
                <w:rFonts w:ascii="Arial"/>
                <w:w w:val="95"/>
                <w:sz w:val="18"/>
              </w:rPr>
              <w:t>9,092</w:t>
            </w:r>
            <w:r>
              <w:rPr>
                <w:rFonts w:ascii="Arial"/>
                <w:sz w:val="18"/>
              </w:rPr>
            </w:r>
          </w:p>
        </w:tc>
      </w:tr>
      <w:tr>
        <w:trPr>
          <w:trHeight w:val="315" w:hRule="exact"/>
        </w:trPr>
        <w:tc>
          <w:tcPr>
            <w:tcW w:w="683" w:type="dxa"/>
            <w:tcBorders>
              <w:top w:val="nil" w:sz="6" w:space="0" w:color="auto"/>
              <w:left w:val="nil" w:sz="6" w:space="0" w:color="auto"/>
              <w:bottom w:val="nil" w:sz="6" w:space="0" w:color="auto"/>
              <w:right w:val="nil" w:sz="6" w:space="0" w:color="auto"/>
            </w:tcBorders>
          </w:tcPr>
          <w:p>
            <w:pPr/>
          </w:p>
        </w:tc>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2" w:right="0"/>
              <w:jc w:val="left"/>
              <w:rPr>
                <w:rFonts w:ascii="Arial" w:hAnsi="Arial" w:cs="Arial" w:eastAsia="Arial" w:hint="default"/>
                <w:sz w:val="18"/>
                <w:szCs w:val="18"/>
              </w:rPr>
            </w:pPr>
            <w:r>
              <w:rPr>
                <w:rFonts w:ascii="宋体" w:hAnsi="宋体" w:cs="宋体" w:eastAsia="宋体" w:hint="default"/>
                <w:sz w:val="18"/>
                <w:szCs w:val="18"/>
              </w:rPr>
              <w:t>少数股东权益影响额</w:t>
            </w:r>
            <w:r>
              <w:rPr>
                <w:rFonts w:ascii="Arial" w:hAnsi="Arial" w:cs="Arial" w:eastAsia="Arial" w:hint="default"/>
                <w:sz w:val="18"/>
                <w:szCs w:val="18"/>
              </w:rPr>
              <w:t>(</w:t>
            </w:r>
            <w:r>
              <w:rPr>
                <w:rFonts w:ascii="宋体" w:hAnsi="宋体" w:cs="宋体" w:eastAsia="宋体" w:hint="default"/>
                <w:sz w:val="18"/>
                <w:szCs w:val="18"/>
              </w:rPr>
              <w:t>税后</w:t>
            </w:r>
            <w:r>
              <w:rPr>
                <w:rFonts w:ascii="Arial" w:hAnsi="Arial" w:cs="Arial" w:eastAsia="Arial" w:hint="default"/>
                <w:sz w:val="18"/>
                <w:szCs w:val="18"/>
              </w:rPr>
              <w:t>)</w:t>
            </w:r>
          </w:p>
        </w:tc>
        <w:tc>
          <w:tcPr>
            <w:tcW w:w="1548"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right="112"/>
              <w:jc w:val="right"/>
              <w:rPr>
                <w:rFonts w:ascii="Arial" w:hAnsi="Arial" w:cs="Arial" w:eastAsia="Arial" w:hint="default"/>
                <w:sz w:val="18"/>
                <w:szCs w:val="18"/>
              </w:rPr>
            </w:pPr>
            <w:r>
              <w:rPr>
                <w:rFonts w:ascii="Arial"/>
                <w:w w:val="95"/>
                <w:sz w:val="18"/>
              </w:rPr>
              <w:t>4,477</w:t>
            </w:r>
            <w:r>
              <w:rPr>
                <w:rFonts w:ascii="Arial"/>
                <w:sz w:val="18"/>
              </w:rPr>
            </w:r>
          </w:p>
        </w:tc>
        <w:tc>
          <w:tcPr>
            <w:tcW w:w="276"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81"/>
              <w:jc w:val="right"/>
              <w:rPr>
                <w:rFonts w:ascii="Arial" w:hAnsi="Arial" w:cs="Arial" w:eastAsia="Arial" w:hint="default"/>
                <w:sz w:val="18"/>
                <w:szCs w:val="18"/>
              </w:rPr>
            </w:pPr>
            <w:r>
              <w:rPr>
                <w:rFonts w:ascii="Arial"/>
                <w:w w:val="95"/>
                <w:sz w:val="18"/>
              </w:rPr>
              <w:t>2,668</w:t>
            </w:r>
            <w:r>
              <w:rPr>
                <w:rFonts w:ascii="Arial"/>
                <w:sz w:val="18"/>
              </w:rPr>
            </w:r>
          </w:p>
        </w:tc>
      </w:tr>
      <w:tr>
        <w:trPr>
          <w:trHeight w:val="343" w:hRule="exact"/>
        </w:trPr>
        <w:tc>
          <w:tcPr>
            <w:tcW w:w="683" w:type="dxa"/>
            <w:tcBorders>
              <w:top w:val="nil" w:sz="6" w:space="0" w:color="auto"/>
              <w:left w:val="nil" w:sz="6" w:space="0" w:color="auto"/>
              <w:bottom w:val="nil" w:sz="6" w:space="0" w:color="auto"/>
              <w:right w:val="nil" w:sz="6" w:space="0" w:color="auto"/>
            </w:tcBorders>
          </w:tcPr>
          <w:p>
            <w:pPr/>
          </w:p>
        </w:tc>
        <w:tc>
          <w:tcPr>
            <w:tcW w:w="4991" w:type="dxa"/>
            <w:tcBorders>
              <w:top w:val="nil" w:sz="6" w:space="0" w:color="auto"/>
              <w:left w:val="nil" w:sz="6" w:space="0" w:color="auto"/>
              <w:bottom w:val="nil" w:sz="6" w:space="0" w:color="auto"/>
              <w:right w:val="nil" w:sz="6" w:space="0" w:color="auto"/>
            </w:tcBorders>
          </w:tcPr>
          <w:p>
            <w:pPr/>
          </w:p>
        </w:tc>
        <w:tc>
          <w:tcPr>
            <w:tcW w:w="1548" w:type="dxa"/>
            <w:tcBorders>
              <w:top w:val="single" w:sz="8" w:space="0" w:color="000000"/>
              <w:left w:val="nil" w:sz="6" w:space="0" w:color="auto"/>
              <w:bottom w:val="single" w:sz="12" w:space="0" w:color="000000"/>
              <w:right w:val="nil" w:sz="6" w:space="0" w:color="auto"/>
            </w:tcBorders>
          </w:tcPr>
          <w:p>
            <w:pPr>
              <w:pStyle w:val="TableParagraph"/>
              <w:spacing w:line="240" w:lineRule="auto" w:before="52"/>
              <w:ind w:right="38"/>
              <w:jc w:val="right"/>
              <w:rPr>
                <w:rFonts w:ascii="Arial" w:hAnsi="Arial" w:cs="Arial" w:eastAsia="Arial" w:hint="default"/>
                <w:sz w:val="18"/>
                <w:szCs w:val="18"/>
              </w:rPr>
            </w:pPr>
            <w:r>
              <w:rPr>
                <w:rFonts w:ascii="Arial"/>
                <w:spacing w:val="-1"/>
                <w:sz w:val="18"/>
              </w:rPr>
              <w:t>(161,026)</w:t>
            </w:r>
          </w:p>
        </w:tc>
        <w:tc>
          <w:tcPr>
            <w:tcW w:w="276" w:type="dxa"/>
            <w:tcBorders>
              <w:top w:val="nil" w:sz="6" w:space="0" w:color="auto"/>
              <w:left w:val="nil" w:sz="6" w:space="0" w:color="auto"/>
              <w:bottom w:val="nil" w:sz="6" w:space="0" w:color="auto"/>
              <w:right w:val="nil" w:sz="6" w:space="0" w:color="auto"/>
            </w:tcBorders>
          </w:tcPr>
          <w:p>
            <w:pPr/>
          </w:p>
        </w:tc>
        <w:tc>
          <w:tcPr>
            <w:tcW w:w="1556"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128"/>
              <w:jc w:val="right"/>
              <w:rPr>
                <w:rFonts w:ascii="Arial" w:hAnsi="Arial" w:cs="Arial" w:eastAsia="Arial" w:hint="default"/>
                <w:sz w:val="18"/>
                <w:szCs w:val="18"/>
              </w:rPr>
            </w:pPr>
            <w:r>
              <w:rPr>
                <w:rFonts w:ascii="Arial"/>
                <w:spacing w:val="-1"/>
                <w:sz w:val="18"/>
              </w:rPr>
              <w:t>(196,608)</w:t>
            </w:r>
          </w:p>
        </w:tc>
      </w:tr>
      <w:tr>
        <w:trPr>
          <w:trHeight w:val="792" w:hRule="exact"/>
        </w:trPr>
        <w:tc>
          <w:tcPr>
            <w:tcW w:w="683" w:type="dxa"/>
            <w:tcBorders>
              <w:top w:val="nil" w:sz="6" w:space="0" w:color="auto"/>
              <w:left w:val="nil" w:sz="6" w:space="0" w:color="auto"/>
              <w:bottom w:val="nil" w:sz="6" w:space="0" w:color="auto"/>
              <w:right w:val="nil" w:sz="6" w:space="0" w:color="auto"/>
            </w:tcBorders>
          </w:tcPr>
          <w:p>
            <w:pPr/>
          </w:p>
        </w:tc>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42" w:right="0"/>
              <w:jc w:val="left"/>
              <w:rPr>
                <w:rFonts w:ascii="宋体" w:hAnsi="宋体" w:cs="宋体" w:eastAsia="宋体" w:hint="default"/>
                <w:sz w:val="24"/>
                <w:szCs w:val="24"/>
              </w:rPr>
            </w:pPr>
            <w:r>
              <w:rPr>
                <w:rFonts w:ascii="宋体" w:hAnsi="宋体" w:cs="宋体" w:eastAsia="宋体" w:hint="default"/>
                <w:sz w:val="24"/>
                <w:szCs w:val="24"/>
              </w:rPr>
              <w:t>非经常性损益明细表编制基础</w:t>
            </w:r>
          </w:p>
        </w:tc>
        <w:tc>
          <w:tcPr>
            <w:tcW w:w="1548" w:type="dxa"/>
            <w:tcBorders>
              <w:top w:val="single" w:sz="12"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556" w:type="dxa"/>
            <w:tcBorders>
              <w:top w:val="single" w:sz="12" w:space="0" w:color="000000"/>
              <w:left w:val="nil" w:sz="6" w:space="0" w:color="auto"/>
              <w:bottom w:val="nil" w:sz="6" w:space="0" w:color="auto"/>
              <w:right w:val="nil" w:sz="6" w:space="0" w:color="auto"/>
            </w:tcBorders>
          </w:tcPr>
          <w:p>
            <w:pPr/>
          </w:p>
        </w:tc>
      </w:tr>
      <w:tr>
        <w:trPr>
          <w:trHeight w:val="1680" w:hRule="exact"/>
        </w:trPr>
        <w:tc>
          <w:tcPr>
            <w:tcW w:w="683" w:type="dxa"/>
            <w:tcBorders>
              <w:top w:val="nil" w:sz="6" w:space="0" w:color="auto"/>
              <w:left w:val="nil" w:sz="6" w:space="0" w:color="auto"/>
              <w:bottom w:val="nil" w:sz="6" w:space="0" w:color="auto"/>
              <w:right w:val="nil" w:sz="6" w:space="0" w:color="auto"/>
            </w:tcBorders>
          </w:tcPr>
          <w:p>
            <w:pPr/>
          </w:p>
        </w:tc>
        <w:tc>
          <w:tcPr>
            <w:tcW w:w="8371" w:type="dxa"/>
            <w:gridSpan w:val="4"/>
            <w:tcBorders>
              <w:top w:val="nil" w:sz="6" w:space="0" w:color="auto"/>
              <w:left w:val="nil" w:sz="6" w:space="0" w:color="auto"/>
              <w:bottom w:val="nil" w:sz="6" w:space="0" w:color="auto"/>
              <w:right w:val="nil" w:sz="6" w:space="0" w:color="auto"/>
            </w:tcBorders>
          </w:tcPr>
          <w:p>
            <w:pPr>
              <w:pStyle w:val="TableParagraph"/>
              <w:spacing w:line="232" w:lineRule="auto" w:before="126"/>
              <w:ind w:left="242" w:right="132"/>
              <w:jc w:val="both"/>
              <w:rPr>
                <w:rFonts w:ascii="宋体" w:hAnsi="宋体" w:cs="宋体" w:eastAsia="宋体" w:hint="default"/>
                <w:sz w:val="24"/>
                <w:szCs w:val="24"/>
              </w:rPr>
            </w:pPr>
            <w:r>
              <w:rPr>
                <w:rFonts w:ascii="宋体" w:hAnsi="宋体" w:cs="宋体" w:eastAsia="宋体" w:hint="default"/>
                <w:spacing w:val="-4"/>
                <w:sz w:val="24"/>
                <w:szCs w:val="24"/>
              </w:rPr>
              <w:t>根据中国证券监督管理委员会《公开发行证券的公司信息披露解释性公告第</w:t>
            </w:r>
            <w:r>
              <w:rPr>
                <w:rFonts w:ascii="宋体" w:hAnsi="宋体" w:cs="宋体" w:eastAsia="宋体" w:hint="default"/>
                <w:spacing w:val="-53"/>
                <w:sz w:val="24"/>
                <w:szCs w:val="24"/>
              </w:rPr>
              <w:t> </w:t>
            </w:r>
            <w:r>
              <w:rPr>
                <w:rFonts w:ascii="Arial" w:hAnsi="Arial" w:cs="Arial" w:eastAsia="Arial" w:hint="default"/>
                <w:w w:val="99"/>
                <w:sz w:val="24"/>
                <w:szCs w:val="24"/>
              </w:rPr>
              <w:t>1 </w:t>
            </w:r>
            <w:r>
              <w:rPr>
                <w:rFonts w:ascii="宋体" w:hAnsi="宋体" w:cs="宋体" w:eastAsia="宋体" w:hint="default"/>
                <w:spacing w:val="-4"/>
                <w:sz w:val="24"/>
                <w:szCs w:val="24"/>
              </w:rPr>
              <w:t>号——非经常性损益</w:t>
            </w:r>
            <w:r>
              <w:rPr>
                <w:rFonts w:ascii="Arial" w:hAnsi="Arial" w:cs="Arial" w:eastAsia="Arial" w:hint="default"/>
                <w:spacing w:val="-4"/>
                <w:sz w:val="24"/>
                <w:szCs w:val="24"/>
              </w:rPr>
              <w:t>[2008]</w:t>
            </w:r>
            <w:r>
              <w:rPr>
                <w:rFonts w:ascii="宋体" w:hAnsi="宋体" w:cs="宋体" w:eastAsia="宋体" w:hint="default"/>
                <w:spacing w:val="-4"/>
                <w:sz w:val="24"/>
                <w:szCs w:val="24"/>
              </w:rPr>
              <w:t>》的规定，非经常性损益是指与公司正常经营业务</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无直接关系，以及虽与正常经营业务相关，但由于其性质特殊和偶发性，影</w:t>
            </w:r>
            <w:r>
              <w:rPr>
                <w:rFonts w:ascii="宋体" w:hAnsi="宋体" w:cs="宋体" w:eastAsia="宋体" w:hint="default"/>
                <w:spacing w:val="-60"/>
                <w:sz w:val="24"/>
                <w:szCs w:val="24"/>
              </w:rPr>
              <w:t> </w:t>
            </w:r>
            <w:r>
              <w:rPr>
                <w:rFonts w:ascii="宋体" w:hAnsi="宋体" w:cs="宋体" w:eastAsia="宋体" w:hint="default"/>
                <w:spacing w:val="-60"/>
                <w:sz w:val="24"/>
                <w:szCs w:val="24"/>
              </w:rPr>
            </w:r>
            <w:r>
              <w:rPr>
                <w:rFonts w:ascii="宋体" w:hAnsi="宋体" w:cs="宋体" w:eastAsia="宋体" w:hint="default"/>
                <w:sz w:val="24"/>
                <w:szCs w:val="24"/>
              </w:rPr>
              <w:t>响报表使用人对公司经营业绩和盈利能力作出正确判断的各项交易和事项产</w:t>
            </w:r>
            <w:r>
              <w:rPr>
                <w:rFonts w:ascii="宋体" w:hAnsi="宋体" w:cs="宋体" w:eastAsia="宋体" w:hint="default"/>
                <w:spacing w:val="-62"/>
                <w:sz w:val="24"/>
                <w:szCs w:val="24"/>
              </w:rPr>
              <w:t> </w:t>
            </w:r>
            <w:r>
              <w:rPr>
                <w:rFonts w:ascii="宋体" w:hAnsi="宋体" w:cs="宋体" w:eastAsia="宋体" w:hint="default"/>
                <w:spacing w:val="-62"/>
                <w:sz w:val="24"/>
                <w:szCs w:val="24"/>
              </w:rPr>
            </w:r>
            <w:r>
              <w:rPr>
                <w:rFonts w:ascii="宋体" w:hAnsi="宋体" w:cs="宋体" w:eastAsia="宋体" w:hint="default"/>
                <w:sz w:val="24"/>
                <w:szCs w:val="24"/>
              </w:rPr>
              <w:t>生的损益。</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680"/>
        <w:gridCol w:w="2194"/>
        <w:gridCol w:w="1319"/>
        <w:gridCol w:w="827"/>
        <w:gridCol w:w="1190"/>
        <w:gridCol w:w="1183"/>
        <w:gridCol w:w="1270"/>
        <w:gridCol w:w="1156"/>
      </w:tblGrid>
      <w:tr>
        <w:trPr>
          <w:trHeight w:val="526"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3513"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240" w:right="0"/>
              <w:jc w:val="left"/>
              <w:rPr>
                <w:rFonts w:ascii="黑体" w:hAnsi="黑体" w:cs="黑体" w:eastAsia="黑体" w:hint="default"/>
                <w:sz w:val="24"/>
                <w:szCs w:val="24"/>
              </w:rPr>
            </w:pPr>
            <w:r>
              <w:rPr>
                <w:rFonts w:ascii="黑体" w:hAnsi="黑体" w:cs="黑体" w:eastAsia="黑体" w:hint="default"/>
                <w:sz w:val="24"/>
                <w:szCs w:val="24"/>
              </w:rPr>
              <w:t>净资产收益率及每股收益</w:t>
            </w:r>
          </w:p>
        </w:tc>
        <w:tc>
          <w:tcPr>
            <w:tcW w:w="827"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r>
      <w:tr>
        <w:trPr>
          <w:trHeight w:val="580" w:hRule="exact"/>
        </w:trPr>
        <w:tc>
          <w:tcPr>
            <w:tcW w:w="680" w:type="dxa"/>
            <w:tcBorders>
              <w:top w:val="nil" w:sz="6" w:space="0" w:color="auto"/>
              <w:left w:val="nil" w:sz="6" w:space="0" w:color="auto"/>
              <w:bottom w:val="nil" w:sz="6" w:space="0" w:color="auto"/>
              <w:right w:val="nil" w:sz="6" w:space="0" w:color="auto"/>
            </w:tcBorders>
          </w:tcPr>
          <w:p>
            <w:pPr/>
          </w:p>
        </w:tc>
        <w:tc>
          <w:tcPr>
            <w:tcW w:w="2194" w:type="dxa"/>
            <w:vMerge w:val="restart"/>
            <w:tcBorders>
              <w:top w:val="nil" w:sz="6" w:space="0" w:color="auto"/>
              <w:left w:val="nil" w:sz="6" w:space="0" w:color="auto"/>
              <w:right w:val="nil" w:sz="6" w:space="0" w:color="auto"/>
            </w:tcBorders>
          </w:tcPr>
          <w:p>
            <w:pPr/>
          </w:p>
        </w:tc>
        <w:tc>
          <w:tcPr>
            <w:tcW w:w="2146" w:type="dxa"/>
            <w:gridSpan w:val="2"/>
            <w:vMerge w:val="restart"/>
            <w:tcBorders>
              <w:top w:val="nil" w:sz="6" w:space="0" w:color="auto"/>
              <w:left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57" w:lineRule="auto"/>
              <w:ind w:left="393" w:right="389" w:firstLine="321"/>
              <w:jc w:val="left"/>
              <w:rPr>
                <w:rFonts w:ascii="Arial" w:hAnsi="Arial" w:cs="Arial" w:eastAsia="Arial" w:hint="default"/>
                <w:sz w:val="18"/>
                <w:szCs w:val="18"/>
              </w:rPr>
            </w:pPr>
            <w:r>
              <w:rPr>
                <w:rFonts w:ascii="宋体" w:hAnsi="宋体" w:cs="宋体" w:eastAsia="宋体" w:hint="default"/>
                <w:sz w:val="18"/>
                <w:szCs w:val="18"/>
              </w:rPr>
              <w:t>加权平均 净资产收益率</w:t>
            </w:r>
            <w:r>
              <w:rPr>
                <w:rFonts w:ascii="Arial" w:hAnsi="Arial" w:cs="Arial" w:eastAsia="Arial" w:hint="default"/>
                <w:sz w:val="18"/>
                <w:szCs w:val="18"/>
              </w:rPr>
              <w:t>(%)</w:t>
            </w:r>
          </w:p>
        </w:tc>
        <w:tc>
          <w:tcPr>
            <w:tcW w:w="1190" w:type="dxa"/>
            <w:tcBorders>
              <w:top w:val="nil" w:sz="6" w:space="0" w:color="auto"/>
              <w:left w:val="nil" w:sz="6" w:space="0" w:color="auto"/>
              <w:bottom w:val="single" w:sz="4" w:space="0" w:color="000000"/>
              <w:right w:val="nil" w:sz="6" w:space="0" w:color="auto"/>
            </w:tcBorders>
          </w:tcPr>
          <w:p>
            <w:pPr/>
          </w:p>
        </w:tc>
        <w:tc>
          <w:tcPr>
            <w:tcW w:w="245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每股收益</w:t>
            </w:r>
          </w:p>
        </w:tc>
        <w:tc>
          <w:tcPr>
            <w:tcW w:w="1156" w:type="dxa"/>
            <w:tcBorders>
              <w:top w:val="nil" w:sz="6" w:space="0" w:color="auto"/>
              <w:left w:val="nil" w:sz="6" w:space="0" w:color="auto"/>
              <w:bottom w:val="single" w:sz="4" w:space="0" w:color="000000"/>
              <w:right w:val="nil" w:sz="6" w:space="0" w:color="auto"/>
            </w:tcBorders>
          </w:tcPr>
          <w:p>
            <w:pPr/>
          </w:p>
        </w:tc>
      </w:tr>
      <w:tr>
        <w:trPr>
          <w:trHeight w:val="420" w:hRule="exact"/>
        </w:trPr>
        <w:tc>
          <w:tcPr>
            <w:tcW w:w="680" w:type="dxa"/>
            <w:tcBorders>
              <w:top w:val="nil" w:sz="6" w:space="0" w:color="auto"/>
              <w:left w:val="nil" w:sz="6" w:space="0" w:color="auto"/>
              <w:bottom w:val="nil" w:sz="6" w:space="0" w:color="auto"/>
              <w:right w:val="nil" w:sz="6" w:space="0" w:color="auto"/>
            </w:tcBorders>
          </w:tcPr>
          <w:p>
            <w:pPr/>
          </w:p>
        </w:tc>
        <w:tc>
          <w:tcPr>
            <w:tcW w:w="2194" w:type="dxa"/>
            <w:vMerge/>
            <w:tcBorders>
              <w:left w:val="nil" w:sz="6" w:space="0" w:color="auto"/>
              <w:bottom w:val="nil" w:sz="6" w:space="0" w:color="auto"/>
              <w:right w:val="nil" w:sz="6" w:space="0" w:color="auto"/>
            </w:tcBorders>
          </w:tcPr>
          <w:p>
            <w:pPr/>
          </w:p>
        </w:tc>
        <w:tc>
          <w:tcPr>
            <w:tcW w:w="2146" w:type="dxa"/>
            <w:gridSpan w:val="2"/>
            <w:vMerge/>
            <w:tcBorders>
              <w:left w:val="nil" w:sz="6" w:space="0" w:color="auto"/>
              <w:bottom w:val="single" w:sz="4" w:space="0" w:color="000000"/>
              <w:right w:val="nil" w:sz="6" w:space="0" w:color="auto"/>
            </w:tcBorders>
          </w:tcPr>
          <w:p>
            <w:pPr/>
          </w:p>
        </w:tc>
        <w:tc>
          <w:tcPr>
            <w:tcW w:w="2373"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8"/>
              <w:ind w:left="59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42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8"/>
              <w:ind w:left="616"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945" w:hRule="exact"/>
        </w:trPr>
        <w:tc>
          <w:tcPr>
            <w:tcW w:w="680"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
        </w:tc>
        <w:tc>
          <w:tcPr>
            <w:tcW w:w="1319"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648" w:right="0"/>
              <w:jc w:val="left"/>
              <w:rPr>
                <w:rFonts w:ascii="Arial" w:hAnsi="Arial" w:cs="Arial" w:eastAsia="Arial" w:hint="default"/>
                <w:sz w:val="18"/>
                <w:szCs w:val="18"/>
              </w:rPr>
            </w:pPr>
            <w:r>
              <w:rPr>
                <w:rFonts w:ascii="Arial"/>
                <w:sz w:val="18"/>
              </w:rPr>
              <w:t>2012</w:t>
            </w:r>
          </w:p>
          <w:p>
            <w:pPr>
              <w:pStyle w:val="TableParagraph"/>
              <w:spacing w:line="240" w:lineRule="auto" w:before="102"/>
              <w:ind w:left="688"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827"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332" w:right="0"/>
              <w:jc w:val="left"/>
              <w:rPr>
                <w:rFonts w:ascii="Arial" w:hAnsi="Arial" w:cs="Arial" w:eastAsia="Arial" w:hint="default"/>
                <w:sz w:val="18"/>
                <w:szCs w:val="18"/>
              </w:rPr>
            </w:pPr>
            <w:r>
              <w:rPr>
                <w:rFonts w:ascii="Arial"/>
                <w:spacing w:val="-4"/>
                <w:sz w:val="18"/>
              </w:rPr>
              <w:t>2011</w:t>
            </w:r>
          </w:p>
          <w:p>
            <w:pPr>
              <w:pStyle w:val="TableParagraph"/>
              <w:spacing w:line="240" w:lineRule="auto" w:before="102"/>
              <w:ind w:left="358"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1190"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631" w:right="0"/>
              <w:jc w:val="left"/>
              <w:rPr>
                <w:rFonts w:ascii="Arial" w:hAnsi="Arial" w:cs="Arial" w:eastAsia="Arial" w:hint="default"/>
                <w:sz w:val="18"/>
                <w:szCs w:val="18"/>
              </w:rPr>
            </w:pPr>
            <w:r>
              <w:rPr>
                <w:rFonts w:ascii="Arial"/>
                <w:sz w:val="18"/>
              </w:rPr>
              <w:t>2012</w:t>
            </w:r>
          </w:p>
          <w:p>
            <w:pPr>
              <w:pStyle w:val="TableParagraph"/>
              <w:spacing w:line="240" w:lineRule="auto" w:before="102"/>
              <w:ind w:left="672"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1183"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574" w:right="0"/>
              <w:jc w:val="left"/>
              <w:rPr>
                <w:rFonts w:ascii="Arial" w:hAnsi="Arial" w:cs="Arial" w:eastAsia="Arial" w:hint="default"/>
                <w:sz w:val="18"/>
                <w:szCs w:val="18"/>
              </w:rPr>
            </w:pPr>
            <w:r>
              <w:rPr>
                <w:rFonts w:ascii="Arial"/>
                <w:spacing w:val="-4"/>
                <w:sz w:val="18"/>
              </w:rPr>
              <w:t>2011</w:t>
            </w:r>
          </w:p>
          <w:p>
            <w:pPr>
              <w:pStyle w:val="TableParagraph"/>
              <w:spacing w:line="240" w:lineRule="auto" w:before="102"/>
              <w:ind w:left="601"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1270"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625" w:right="0"/>
              <w:jc w:val="left"/>
              <w:rPr>
                <w:rFonts w:ascii="Arial" w:hAnsi="Arial" w:cs="Arial" w:eastAsia="Arial" w:hint="default"/>
                <w:sz w:val="18"/>
                <w:szCs w:val="18"/>
              </w:rPr>
            </w:pPr>
            <w:r>
              <w:rPr>
                <w:rFonts w:ascii="Arial"/>
                <w:sz w:val="18"/>
              </w:rPr>
              <w:t>2012</w:t>
            </w:r>
          </w:p>
          <w:p>
            <w:pPr>
              <w:pStyle w:val="TableParagraph"/>
              <w:spacing w:line="240" w:lineRule="auto" w:before="102"/>
              <w:ind w:left="666"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661" w:right="0"/>
              <w:jc w:val="left"/>
              <w:rPr>
                <w:rFonts w:ascii="Arial" w:hAnsi="Arial" w:cs="Arial" w:eastAsia="Arial" w:hint="default"/>
                <w:sz w:val="18"/>
                <w:szCs w:val="18"/>
              </w:rPr>
            </w:pPr>
            <w:r>
              <w:rPr>
                <w:rFonts w:ascii="Arial"/>
                <w:spacing w:val="-4"/>
                <w:sz w:val="18"/>
              </w:rPr>
              <w:t>2011</w:t>
            </w:r>
          </w:p>
          <w:p>
            <w:pPr>
              <w:pStyle w:val="TableParagraph"/>
              <w:spacing w:line="240" w:lineRule="auto" w:before="102"/>
              <w:ind w:left="687" w:right="0"/>
              <w:jc w:val="left"/>
              <w:rPr>
                <w:rFonts w:ascii="宋体" w:hAnsi="宋体" w:cs="宋体" w:eastAsia="宋体" w:hint="default"/>
                <w:sz w:val="18"/>
                <w:szCs w:val="18"/>
              </w:rPr>
            </w:pPr>
            <w:r>
              <w:rPr>
                <w:rFonts w:ascii="宋体" w:hAnsi="宋体" w:cs="宋体" w:eastAsia="宋体" w:hint="default"/>
                <w:sz w:val="18"/>
                <w:szCs w:val="18"/>
              </w:rPr>
              <w:t>年度</w:t>
            </w:r>
          </w:p>
        </w:tc>
      </w:tr>
      <w:tr>
        <w:trPr>
          <w:trHeight w:val="904" w:hRule="exact"/>
        </w:trPr>
        <w:tc>
          <w:tcPr>
            <w:tcW w:w="680"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436" w:right="107" w:hanging="197"/>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的净利润</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66"/>
              <w:jc w:val="right"/>
              <w:rPr>
                <w:rFonts w:ascii="Arial" w:hAnsi="Arial" w:cs="Arial" w:eastAsia="Arial" w:hint="default"/>
                <w:sz w:val="18"/>
                <w:szCs w:val="18"/>
              </w:rPr>
            </w:pPr>
            <w:r>
              <w:rPr>
                <w:rFonts w:ascii="Arial"/>
                <w:w w:val="95"/>
                <w:sz w:val="18"/>
              </w:rPr>
              <w:t>10.61</w:t>
            </w:r>
            <w:r>
              <w:rPr>
                <w:rFonts w:ascii="Arial"/>
                <w:sz w:val="18"/>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Arial" w:hAnsi="Arial" w:cs="Arial" w:eastAsia="Arial" w:hint="default"/>
                <w:sz w:val="18"/>
                <w:szCs w:val="18"/>
              </w:rPr>
            </w:pPr>
            <w:r>
              <w:rPr>
                <w:rFonts w:ascii="Arial"/>
                <w:w w:val="95"/>
                <w:sz w:val="18"/>
              </w:rPr>
              <w:t>23.68</w:t>
            </w:r>
            <w:r>
              <w:rPr>
                <w:rFonts w:ascii="Arial"/>
                <w:sz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52"/>
              <w:jc w:val="right"/>
              <w:rPr>
                <w:rFonts w:ascii="宋体" w:hAnsi="宋体" w:cs="宋体" w:eastAsia="宋体" w:hint="default"/>
                <w:sz w:val="18"/>
                <w:szCs w:val="18"/>
              </w:rPr>
            </w:pPr>
            <w:r>
              <w:rPr>
                <w:rFonts w:ascii="Arial" w:hAnsi="Arial" w:cs="Arial" w:eastAsia="Arial" w:hint="default"/>
                <w:sz w:val="18"/>
                <w:szCs w:val="18"/>
              </w:rPr>
              <w:t>0.37</w:t>
            </w:r>
            <w:r>
              <w:rPr>
                <w:rFonts w:ascii="Arial" w:hAnsi="Arial" w:cs="Arial" w:eastAsia="Arial" w:hint="default"/>
                <w:spacing w:val="-3"/>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54" w:right="0"/>
              <w:jc w:val="left"/>
              <w:rPr>
                <w:rFonts w:ascii="宋体" w:hAnsi="宋体" w:cs="宋体" w:eastAsia="宋体" w:hint="default"/>
                <w:sz w:val="18"/>
                <w:szCs w:val="18"/>
              </w:rPr>
            </w:pPr>
            <w:r>
              <w:rPr>
                <w:rFonts w:ascii="Arial" w:hAnsi="Arial" w:cs="Arial" w:eastAsia="Arial" w:hint="default"/>
                <w:sz w:val="18"/>
                <w:szCs w:val="18"/>
              </w:rPr>
              <w:t>0.69</w:t>
            </w:r>
            <w:r>
              <w:rPr>
                <w:rFonts w:ascii="Arial" w:hAnsi="Arial" w:cs="Arial" w:eastAsia="Arial" w:hint="default"/>
                <w:spacing w:val="-4"/>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center"/>
              <w:rPr>
                <w:rFonts w:ascii="宋体" w:hAnsi="宋体" w:cs="宋体" w:eastAsia="宋体" w:hint="default"/>
                <w:sz w:val="18"/>
                <w:szCs w:val="18"/>
              </w:rPr>
            </w:pPr>
            <w:r>
              <w:rPr>
                <w:rFonts w:ascii="Arial" w:hAnsi="Arial" w:cs="Arial" w:eastAsia="Arial" w:hint="default"/>
                <w:sz w:val="18"/>
                <w:szCs w:val="18"/>
              </w:rPr>
              <w:t>0.37</w:t>
            </w:r>
            <w:r>
              <w:rPr>
                <w:rFonts w:ascii="Arial" w:hAnsi="Arial" w:cs="Arial" w:eastAsia="Arial" w:hint="default"/>
                <w:spacing w:val="-3"/>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3"/>
              <w:jc w:val="right"/>
              <w:rPr>
                <w:rFonts w:ascii="宋体" w:hAnsi="宋体" w:cs="宋体" w:eastAsia="宋体" w:hint="default"/>
                <w:sz w:val="18"/>
                <w:szCs w:val="18"/>
              </w:rPr>
            </w:pPr>
            <w:r>
              <w:rPr>
                <w:rFonts w:ascii="Arial" w:hAnsi="Arial" w:cs="Arial" w:eastAsia="Arial" w:hint="default"/>
                <w:sz w:val="18"/>
                <w:szCs w:val="18"/>
              </w:rPr>
              <w:t>0.69</w:t>
            </w:r>
            <w:r>
              <w:rPr>
                <w:rFonts w:ascii="Arial" w:hAnsi="Arial" w:cs="Arial" w:eastAsia="Arial" w:hint="default"/>
                <w:spacing w:val="-4"/>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r>
      <w:tr>
        <w:trPr>
          <w:trHeight w:val="914" w:hRule="exact"/>
        </w:trPr>
        <w:tc>
          <w:tcPr>
            <w:tcW w:w="680"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Style w:val="TableParagraph"/>
              <w:spacing w:line="316" w:lineRule="auto" w:before="45"/>
              <w:ind w:left="436" w:right="104" w:hanging="197"/>
              <w:jc w:val="both"/>
              <w:rPr>
                <w:rFonts w:ascii="宋体" w:hAnsi="宋体" w:cs="宋体" w:eastAsia="宋体" w:hint="default"/>
                <w:sz w:val="18"/>
                <w:szCs w:val="18"/>
              </w:rPr>
            </w:pPr>
            <w:r>
              <w:rPr>
                <w:rFonts w:ascii="宋体" w:hAnsi="宋体" w:cs="宋体" w:eastAsia="宋体" w:hint="default"/>
                <w:spacing w:val="3"/>
                <w:sz w:val="18"/>
                <w:szCs w:val="18"/>
              </w:rPr>
              <w:t>扣除非经常性损益后归</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属于公司普通股股东</w:t>
            </w:r>
            <w:r>
              <w:rPr>
                <w:rFonts w:ascii="宋体" w:hAnsi="宋体" w:cs="宋体" w:eastAsia="宋体" w:hint="default"/>
                <w:sz w:val="18"/>
                <w:szCs w:val="18"/>
              </w:rPr>
              <w:t> 的净利润</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66"/>
              <w:jc w:val="right"/>
              <w:rPr>
                <w:rFonts w:ascii="Arial" w:hAnsi="Arial" w:cs="Arial" w:eastAsia="Arial" w:hint="default"/>
                <w:sz w:val="18"/>
                <w:szCs w:val="18"/>
              </w:rPr>
            </w:pPr>
            <w:r>
              <w:rPr>
                <w:rFonts w:ascii="Arial"/>
                <w:sz w:val="18"/>
              </w:rPr>
              <w:t>9.97</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Arial" w:hAnsi="Arial" w:cs="Arial" w:eastAsia="Arial" w:hint="default"/>
                <w:sz w:val="18"/>
                <w:szCs w:val="18"/>
              </w:rPr>
            </w:pPr>
            <w:r>
              <w:rPr>
                <w:rFonts w:ascii="Arial"/>
                <w:w w:val="95"/>
                <w:sz w:val="18"/>
              </w:rPr>
              <w:t>22.72</w:t>
            </w:r>
            <w:r>
              <w:rPr>
                <w:rFonts w:ascii="Arial"/>
                <w:sz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52"/>
              <w:jc w:val="right"/>
              <w:rPr>
                <w:rFonts w:ascii="宋体" w:hAnsi="宋体" w:cs="宋体" w:eastAsia="宋体" w:hint="default"/>
                <w:sz w:val="18"/>
                <w:szCs w:val="18"/>
              </w:rPr>
            </w:pPr>
            <w:r>
              <w:rPr>
                <w:rFonts w:ascii="Arial" w:hAnsi="Arial" w:cs="Arial" w:eastAsia="Arial" w:hint="default"/>
                <w:sz w:val="18"/>
                <w:szCs w:val="18"/>
              </w:rPr>
              <w:t>0.35</w:t>
            </w:r>
            <w:r>
              <w:rPr>
                <w:rFonts w:ascii="Arial" w:hAnsi="Arial" w:cs="Arial" w:eastAsia="Arial" w:hint="default"/>
                <w:spacing w:val="-3"/>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54" w:right="0"/>
              <w:jc w:val="left"/>
              <w:rPr>
                <w:rFonts w:ascii="宋体" w:hAnsi="宋体" w:cs="宋体" w:eastAsia="宋体" w:hint="default"/>
                <w:sz w:val="18"/>
                <w:szCs w:val="18"/>
              </w:rPr>
            </w:pPr>
            <w:r>
              <w:rPr>
                <w:rFonts w:ascii="Arial" w:hAnsi="Arial" w:cs="Arial" w:eastAsia="Arial" w:hint="default"/>
                <w:sz w:val="18"/>
                <w:szCs w:val="18"/>
              </w:rPr>
              <w:t>0.66</w:t>
            </w:r>
            <w:r>
              <w:rPr>
                <w:rFonts w:ascii="Arial" w:hAnsi="Arial" w:cs="Arial" w:eastAsia="Arial" w:hint="default"/>
                <w:spacing w:val="-3"/>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center"/>
              <w:rPr>
                <w:rFonts w:ascii="宋体" w:hAnsi="宋体" w:cs="宋体" w:eastAsia="宋体" w:hint="default"/>
                <w:sz w:val="18"/>
                <w:szCs w:val="18"/>
              </w:rPr>
            </w:pPr>
            <w:r>
              <w:rPr>
                <w:rFonts w:ascii="Arial" w:hAnsi="Arial" w:cs="Arial" w:eastAsia="Arial" w:hint="default"/>
                <w:sz w:val="18"/>
                <w:szCs w:val="18"/>
              </w:rPr>
              <w:t>0.35</w:t>
            </w:r>
            <w:r>
              <w:rPr>
                <w:rFonts w:ascii="Arial" w:hAnsi="Arial" w:cs="Arial" w:eastAsia="Arial" w:hint="default"/>
                <w:spacing w:val="-3"/>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宋体" w:hAnsi="宋体" w:cs="宋体" w:eastAsia="宋体" w:hint="default"/>
                <w:sz w:val="18"/>
                <w:szCs w:val="18"/>
              </w:rPr>
            </w:pPr>
            <w:r>
              <w:rPr>
                <w:rFonts w:ascii="Arial" w:hAnsi="Arial" w:cs="Arial" w:eastAsia="Arial" w:hint="default"/>
                <w:sz w:val="18"/>
                <w:szCs w:val="18"/>
              </w:rPr>
              <w:t>0.66</w:t>
            </w:r>
            <w:r>
              <w:rPr>
                <w:rFonts w:ascii="Arial" w:hAnsi="Arial" w:cs="Arial" w:eastAsia="Arial" w:hint="default"/>
                <w:spacing w:val="-3"/>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r>
    </w:tbl>
    <w:p>
      <w:pPr>
        <w:spacing w:after="0" w:line="240" w:lineRule="auto"/>
        <w:jc w:val="right"/>
        <w:rPr>
          <w:rFonts w:ascii="宋体" w:hAnsi="宋体" w:cs="宋体" w:eastAsia="宋体" w:hint="default"/>
          <w:sz w:val="18"/>
          <w:szCs w:val="18"/>
        </w:rPr>
        <w:sectPr>
          <w:headerReference w:type="default" r:id="rId116"/>
          <w:footerReference w:type="default" r:id="rId117"/>
          <w:pgSz w:w="11910" w:h="16840"/>
          <w:pgMar w:header="927" w:footer="1268" w:top="2140" w:bottom="1460" w:left="820" w:right="0"/>
          <w:pgNumType w:start="234"/>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112" w:type="dxa"/>
        <w:tblLayout w:type="fixed"/>
        <w:tblCellMar>
          <w:top w:w="0" w:type="dxa"/>
          <w:left w:w="0" w:type="dxa"/>
          <w:bottom w:w="0" w:type="dxa"/>
          <w:right w:w="0" w:type="dxa"/>
        </w:tblCellMar>
        <w:tblLook w:val="01E0"/>
      </w:tblPr>
      <w:tblGrid>
        <w:gridCol w:w="642"/>
        <w:gridCol w:w="1664"/>
        <w:gridCol w:w="1016"/>
        <w:gridCol w:w="1643"/>
        <w:gridCol w:w="1668"/>
        <w:gridCol w:w="1441"/>
        <w:gridCol w:w="1326"/>
      </w:tblGrid>
      <w:tr>
        <w:trPr>
          <w:trHeight w:val="447" w:hRule="exact"/>
        </w:trPr>
        <w:tc>
          <w:tcPr>
            <w:tcW w:w="64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三</w:t>
            </w:r>
          </w:p>
        </w:tc>
        <w:tc>
          <w:tcPr>
            <w:tcW w:w="5992" w:type="dxa"/>
            <w:gridSpan w:val="4"/>
            <w:tcBorders>
              <w:top w:val="nil" w:sz="6" w:space="0" w:color="auto"/>
              <w:left w:val="nil" w:sz="6" w:space="0" w:color="auto"/>
              <w:bottom w:val="nil" w:sz="6" w:space="0" w:color="auto"/>
              <w:right w:val="nil" w:sz="6" w:space="0" w:color="auto"/>
            </w:tcBorders>
          </w:tcPr>
          <w:p>
            <w:pPr>
              <w:pStyle w:val="TableParagraph"/>
              <w:spacing w:line="240" w:lineRule="exact"/>
              <w:ind w:left="201" w:right="0"/>
              <w:jc w:val="left"/>
              <w:rPr>
                <w:rFonts w:ascii="黑体" w:hAnsi="黑体" w:cs="黑体" w:eastAsia="黑体" w:hint="default"/>
                <w:sz w:val="24"/>
                <w:szCs w:val="24"/>
              </w:rPr>
            </w:pPr>
            <w:r>
              <w:rPr>
                <w:rFonts w:ascii="黑体" w:hAnsi="黑体" w:cs="黑体" w:eastAsia="黑体" w:hint="default"/>
                <w:sz w:val="24"/>
                <w:szCs w:val="24"/>
              </w:rPr>
              <w:t>主要会计报表项目的异常情况及原因的说明</w:t>
            </w:r>
          </w:p>
        </w:tc>
        <w:tc>
          <w:tcPr>
            <w:tcW w:w="144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r>
      <w:tr>
        <w:trPr>
          <w:trHeight w:val="457"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420"/>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62"/>
              <w:jc w:val="righ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tc>
        <w:tc>
          <w:tcPr>
            <w:tcW w:w="27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1"/>
              <w:ind w:left="491" w:right="0"/>
              <w:jc w:val="left"/>
              <w:rPr>
                <w:rFonts w:ascii="宋体" w:hAnsi="宋体" w:cs="宋体" w:eastAsia="宋体" w:hint="default"/>
                <w:sz w:val="18"/>
                <w:szCs w:val="18"/>
              </w:rPr>
            </w:pPr>
            <w:r>
              <w:rPr>
                <w:rFonts w:ascii="宋体" w:hAnsi="宋体" w:cs="宋体" w:eastAsia="宋体" w:hint="default"/>
                <w:sz w:val="18"/>
                <w:szCs w:val="18"/>
              </w:rPr>
              <w:t>差异变动金额及幅度</w:t>
            </w:r>
          </w:p>
        </w:tc>
      </w:tr>
      <w:tr>
        <w:trPr>
          <w:trHeight w:val="468"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20"/>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2"/>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767" w:type="dxa"/>
            <w:gridSpan w:val="2"/>
            <w:tcBorders>
              <w:top w:val="nil" w:sz="6" w:space="0" w:color="auto"/>
              <w:left w:val="nil" w:sz="6" w:space="0" w:color="auto"/>
              <w:bottom w:val="nil" w:sz="6" w:space="0" w:color="auto"/>
              <w:right w:val="nil" w:sz="6" w:space="0" w:color="auto"/>
            </w:tcBorders>
          </w:tcPr>
          <w:p>
            <w:pPr>
              <w:pStyle w:val="TableParagraph"/>
              <w:tabs>
                <w:tab w:pos="2328" w:val="left" w:leader="none"/>
              </w:tabs>
              <w:spacing w:line="240" w:lineRule="auto" w:before="6"/>
              <w:ind w:left="710" w:right="0"/>
              <w:jc w:val="left"/>
              <w:rPr>
                <w:rFonts w:ascii="Arial" w:hAnsi="Arial" w:cs="Arial" w:eastAsia="Arial" w:hint="default"/>
                <w:sz w:val="18"/>
                <w:szCs w:val="18"/>
              </w:rPr>
            </w:pPr>
            <w:r>
              <w:rPr>
                <w:rFonts w:ascii="宋体" w:hAnsi="宋体" w:cs="宋体" w:eastAsia="宋体" w:hint="default"/>
                <w:sz w:val="18"/>
                <w:szCs w:val="18"/>
              </w:rPr>
              <w:t>金额</w:t>
              <w:tab/>
            </w:r>
            <w:r>
              <w:rPr>
                <w:rFonts w:ascii="Arial" w:hAnsi="Arial" w:cs="Arial" w:eastAsia="Arial" w:hint="default"/>
                <w:sz w:val="18"/>
                <w:szCs w:val="18"/>
              </w:rPr>
              <w:t>%</w:t>
            </w:r>
          </w:p>
        </w:tc>
      </w:tr>
      <w:tr>
        <w:trPr>
          <w:trHeight w:val="474"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1</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442"/>
              <w:jc w:val="right"/>
              <w:rPr>
                <w:rFonts w:ascii="Times New Roman" w:hAnsi="Times New Roman" w:cs="Times New Roman" w:eastAsia="Times New Roman" w:hint="default"/>
                <w:sz w:val="20"/>
                <w:szCs w:val="20"/>
              </w:rPr>
            </w:pPr>
            <w:r>
              <w:rPr>
                <w:rFonts w:ascii="Times New Roman"/>
                <w:w w:val="95"/>
                <w:sz w:val="20"/>
              </w:rPr>
              <w:t>30,067,365</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382"/>
              <w:jc w:val="right"/>
              <w:rPr>
                <w:rFonts w:ascii="Times New Roman" w:hAnsi="Times New Roman" w:cs="Times New Roman" w:eastAsia="Times New Roman" w:hint="default"/>
                <w:sz w:val="20"/>
                <w:szCs w:val="20"/>
              </w:rPr>
            </w:pPr>
            <w:r>
              <w:rPr>
                <w:rFonts w:ascii="Times New Roman"/>
                <w:w w:val="95"/>
                <w:sz w:val="20"/>
              </w:rPr>
              <w:t>22,740,084</w:t>
            </w:r>
            <w:r>
              <w:rPr>
                <w:rFonts w:ascii="Times New Roman"/>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74"/>
              <w:jc w:val="right"/>
              <w:rPr>
                <w:rFonts w:ascii="Times New Roman" w:hAnsi="Times New Roman" w:cs="Times New Roman" w:eastAsia="Times New Roman" w:hint="default"/>
                <w:sz w:val="20"/>
                <w:szCs w:val="20"/>
              </w:rPr>
            </w:pPr>
            <w:r>
              <w:rPr>
                <w:rFonts w:ascii="Times New Roman"/>
                <w:w w:val="95"/>
                <w:sz w:val="20"/>
              </w:rPr>
              <w:t>7,327,281</w:t>
            </w:r>
            <w:r>
              <w:rPr>
                <w:rFonts w:ascii="Times New Roman"/>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53" w:right="0"/>
              <w:jc w:val="left"/>
              <w:rPr>
                <w:rFonts w:ascii="Times New Roman" w:hAnsi="Times New Roman" w:cs="Times New Roman" w:eastAsia="Times New Roman" w:hint="default"/>
                <w:sz w:val="20"/>
                <w:szCs w:val="20"/>
              </w:rPr>
            </w:pPr>
            <w:r>
              <w:rPr>
                <w:rFonts w:ascii="Times New Roman"/>
                <w:sz w:val="20"/>
              </w:rPr>
              <w:t>32.22%</w:t>
            </w:r>
          </w:p>
        </w:tc>
      </w:tr>
      <w:tr>
        <w:trPr>
          <w:trHeight w:val="312"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2</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41"/>
              <w:jc w:val="right"/>
              <w:rPr>
                <w:rFonts w:ascii="Times New Roman" w:hAnsi="Times New Roman" w:cs="Times New Roman" w:eastAsia="Times New Roman" w:hint="default"/>
                <w:sz w:val="20"/>
                <w:szCs w:val="20"/>
              </w:rPr>
            </w:pPr>
            <w:r>
              <w:rPr>
                <w:rFonts w:ascii="Times New Roman"/>
                <w:sz w:val="20"/>
              </w:rPr>
              <w:t>2,987</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81"/>
              <w:jc w:val="right"/>
              <w:rPr>
                <w:rFonts w:ascii="Times New Roman" w:hAnsi="Times New Roman" w:cs="Times New Roman" w:eastAsia="Times New Roman" w:hint="default"/>
                <w:sz w:val="20"/>
                <w:szCs w:val="20"/>
              </w:rPr>
            </w:pPr>
            <w:r>
              <w:rPr>
                <w:rFonts w:ascii="Times New Roman"/>
                <w:sz w:val="20"/>
              </w:rPr>
              <w:t>7,265</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74"/>
              <w:jc w:val="right"/>
              <w:rPr>
                <w:rFonts w:ascii="Times New Roman" w:hAnsi="Times New Roman" w:cs="Times New Roman" w:eastAsia="Times New Roman" w:hint="default"/>
                <w:sz w:val="20"/>
                <w:szCs w:val="20"/>
              </w:rPr>
            </w:pPr>
            <w:r>
              <w:rPr>
                <w:rFonts w:ascii="Times New Roman"/>
                <w:w w:val="95"/>
                <w:sz w:val="20"/>
              </w:rPr>
              <w:t>(4,278)</w:t>
            </w:r>
            <w:r>
              <w:rPr>
                <w:rFonts w:ascii="Times New Roman"/>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98"/>
              <w:jc w:val="right"/>
              <w:rPr>
                <w:rFonts w:ascii="Times New Roman" w:hAnsi="Times New Roman" w:cs="Times New Roman" w:eastAsia="Times New Roman" w:hint="default"/>
                <w:sz w:val="20"/>
                <w:szCs w:val="20"/>
              </w:rPr>
            </w:pPr>
            <w:r>
              <w:rPr>
                <w:rFonts w:ascii="Times New Roman"/>
                <w:w w:val="95"/>
                <w:sz w:val="20"/>
              </w:rPr>
              <w:t>(58.89%)</w:t>
            </w:r>
            <w:r>
              <w:rPr>
                <w:rFonts w:ascii="Times New Roman"/>
                <w:sz w:val="20"/>
              </w:rPr>
            </w:r>
          </w:p>
        </w:tc>
      </w:tr>
      <w:tr>
        <w:trPr>
          <w:trHeight w:val="312"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3</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42"/>
              <w:jc w:val="right"/>
              <w:rPr>
                <w:rFonts w:ascii="Times New Roman" w:hAnsi="Times New Roman" w:cs="Times New Roman" w:eastAsia="Times New Roman" w:hint="default"/>
                <w:sz w:val="20"/>
                <w:szCs w:val="20"/>
              </w:rPr>
            </w:pPr>
            <w:r>
              <w:rPr>
                <w:rFonts w:ascii="Times New Roman"/>
                <w:w w:val="95"/>
                <w:sz w:val="20"/>
              </w:rPr>
              <w:t>1,270,502</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82"/>
              <w:jc w:val="right"/>
              <w:rPr>
                <w:rFonts w:ascii="Times New Roman" w:hAnsi="Times New Roman" w:cs="Times New Roman" w:eastAsia="Times New Roman" w:hint="default"/>
                <w:sz w:val="20"/>
                <w:szCs w:val="20"/>
              </w:rPr>
            </w:pPr>
            <w:r>
              <w:rPr>
                <w:rFonts w:ascii="Times New Roman"/>
                <w:w w:val="95"/>
                <w:sz w:val="20"/>
              </w:rPr>
              <w:t>1,841,778</w:t>
            </w:r>
            <w:r>
              <w:rPr>
                <w:rFonts w:ascii="Times New Roman"/>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74"/>
              <w:jc w:val="right"/>
              <w:rPr>
                <w:rFonts w:ascii="Times New Roman" w:hAnsi="Times New Roman" w:cs="Times New Roman" w:eastAsia="Times New Roman" w:hint="default"/>
                <w:sz w:val="20"/>
                <w:szCs w:val="20"/>
              </w:rPr>
            </w:pPr>
            <w:r>
              <w:rPr>
                <w:rFonts w:ascii="Times New Roman"/>
                <w:w w:val="95"/>
                <w:sz w:val="20"/>
              </w:rPr>
              <w:t>(571,276)</w:t>
            </w:r>
            <w:r>
              <w:rPr>
                <w:rFonts w:ascii="Times New Roman"/>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98"/>
              <w:jc w:val="right"/>
              <w:rPr>
                <w:rFonts w:ascii="Times New Roman" w:hAnsi="Times New Roman" w:cs="Times New Roman" w:eastAsia="Times New Roman" w:hint="default"/>
                <w:sz w:val="20"/>
                <w:szCs w:val="20"/>
              </w:rPr>
            </w:pPr>
            <w:r>
              <w:rPr>
                <w:rFonts w:ascii="Times New Roman"/>
                <w:w w:val="95"/>
                <w:sz w:val="20"/>
              </w:rPr>
              <w:t>(31.02%)</w:t>
            </w:r>
            <w:r>
              <w:rPr>
                <w:rFonts w:ascii="Times New Roman"/>
                <w:sz w:val="20"/>
              </w:rPr>
            </w:r>
          </w:p>
        </w:tc>
      </w:tr>
      <w:tr>
        <w:trPr>
          <w:trHeight w:val="312"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4</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42"/>
              <w:jc w:val="right"/>
              <w:rPr>
                <w:rFonts w:ascii="Times New Roman" w:hAnsi="Times New Roman" w:cs="Times New Roman" w:eastAsia="Times New Roman" w:hint="default"/>
                <w:sz w:val="20"/>
                <w:szCs w:val="20"/>
              </w:rPr>
            </w:pPr>
            <w:r>
              <w:rPr>
                <w:rFonts w:ascii="Times New Roman"/>
                <w:w w:val="95"/>
                <w:sz w:val="20"/>
              </w:rPr>
              <w:t>3,104,874</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82"/>
              <w:jc w:val="right"/>
              <w:rPr>
                <w:rFonts w:ascii="Times New Roman" w:hAnsi="Times New Roman" w:cs="Times New Roman" w:eastAsia="Times New Roman" w:hint="default"/>
                <w:sz w:val="20"/>
                <w:szCs w:val="20"/>
              </w:rPr>
            </w:pPr>
            <w:r>
              <w:rPr>
                <w:rFonts w:ascii="Times New Roman"/>
                <w:w w:val="95"/>
                <w:sz w:val="20"/>
              </w:rPr>
              <w:t>2,334,507</w:t>
            </w:r>
            <w:r>
              <w:rPr>
                <w:rFonts w:ascii="Times New Roman"/>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73"/>
              <w:jc w:val="right"/>
              <w:rPr>
                <w:rFonts w:ascii="Times New Roman" w:hAnsi="Times New Roman" w:cs="Times New Roman" w:eastAsia="Times New Roman" w:hint="default"/>
                <w:sz w:val="20"/>
                <w:szCs w:val="20"/>
              </w:rPr>
            </w:pPr>
            <w:r>
              <w:rPr>
                <w:rFonts w:ascii="Times New Roman"/>
                <w:w w:val="95"/>
                <w:sz w:val="20"/>
              </w:rPr>
              <w:t>770,367</w:t>
            </w:r>
            <w:r>
              <w:rPr>
                <w:rFonts w:ascii="Times New Roman"/>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53" w:right="0"/>
              <w:jc w:val="left"/>
              <w:rPr>
                <w:rFonts w:ascii="Times New Roman" w:hAnsi="Times New Roman" w:cs="Times New Roman" w:eastAsia="Times New Roman" w:hint="default"/>
                <w:sz w:val="20"/>
                <w:szCs w:val="20"/>
              </w:rPr>
            </w:pPr>
            <w:r>
              <w:rPr>
                <w:rFonts w:ascii="Times New Roman"/>
                <w:sz w:val="20"/>
              </w:rPr>
              <w:t>33.00%</w:t>
            </w:r>
          </w:p>
        </w:tc>
      </w:tr>
      <w:tr>
        <w:trPr>
          <w:trHeight w:val="312"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5</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42"/>
              <w:jc w:val="right"/>
              <w:rPr>
                <w:rFonts w:ascii="Times New Roman" w:hAnsi="Times New Roman" w:cs="Times New Roman" w:eastAsia="Times New Roman" w:hint="default"/>
                <w:sz w:val="20"/>
                <w:szCs w:val="20"/>
              </w:rPr>
            </w:pPr>
            <w:r>
              <w:rPr>
                <w:rFonts w:ascii="Times New Roman"/>
                <w:w w:val="95"/>
                <w:sz w:val="20"/>
              </w:rPr>
              <w:t>17,222,484</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82"/>
              <w:jc w:val="right"/>
              <w:rPr>
                <w:rFonts w:ascii="Times New Roman" w:hAnsi="Times New Roman" w:cs="Times New Roman" w:eastAsia="Times New Roman" w:hint="default"/>
                <w:sz w:val="20"/>
                <w:szCs w:val="20"/>
              </w:rPr>
            </w:pPr>
            <w:r>
              <w:rPr>
                <w:rFonts w:ascii="Times New Roman"/>
                <w:w w:val="95"/>
                <w:sz w:val="20"/>
              </w:rPr>
              <w:t>13,426,741</w:t>
            </w:r>
            <w:r>
              <w:rPr>
                <w:rFonts w:ascii="Times New Roman"/>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74"/>
              <w:jc w:val="right"/>
              <w:rPr>
                <w:rFonts w:ascii="Times New Roman" w:hAnsi="Times New Roman" w:cs="Times New Roman" w:eastAsia="Times New Roman" w:hint="default"/>
                <w:sz w:val="20"/>
                <w:szCs w:val="20"/>
              </w:rPr>
            </w:pPr>
            <w:r>
              <w:rPr>
                <w:rFonts w:ascii="Times New Roman"/>
                <w:w w:val="95"/>
                <w:sz w:val="20"/>
              </w:rPr>
              <w:t>3,795,743</w:t>
            </w:r>
            <w:r>
              <w:rPr>
                <w:rFonts w:ascii="Times New Roman"/>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53" w:right="0"/>
              <w:jc w:val="left"/>
              <w:rPr>
                <w:rFonts w:ascii="Times New Roman" w:hAnsi="Times New Roman" w:cs="Times New Roman" w:eastAsia="Times New Roman" w:hint="default"/>
                <w:sz w:val="20"/>
                <w:szCs w:val="20"/>
              </w:rPr>
            </w:pPr>
            <w:r>
              <w:rPr>
                <w:rFonts w:ascii="Times New Roman"/>
                <w:sz w:val="20"/>
              </w:rPr>
              <w:t>28.27%</w:t>
            </w:r>
          </w:p>
        </w:tc>
      </w:tr>
      <w:tr>
        <w:trPr>
          <w:trHeight w:val="312"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6</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42"/>
              <w:jc w:val="right"/>
              <w:rPr>
                <w:rFonts w:ascii="Times New Roman" w:hAnsi="Times New Roman" w:cs="Times New Roman" w:eastAsia="Times New Roman" w:hint="default"/>
                <w:sz w:val="20"/>
                <w:szCs w:val="20"/>
              </w:rPr>
            </w:pPr>
            <w:r>
              <w:rPr>
                <w:rFonts w:ascii="Times New Roman"/>
                <w:w w:val="95"/>
                <w:sz w:val="20"/>
              </w:rPr>
              <w:t>1,270,242</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81"/>
              <w:jc w:val="right"/>
              <w:rPr>
                <w:rFonts w:ascii="Times New Roman" w:hAnsi="Times New Roman" w:cs="Times New Roman" w:eastAsia="Times New Roman" w:hint="default"/>
                <w:sz w:val="20"/>
                <w:szCs w:val="20"/>
              </w:rPr>
            </w:pPr>
            <w:r>
              <w:rPr>
                <w:rFonts w:ascii="Times New Roman"/>
                <w:w w:val="95"/>
                <w:sz w:val="20"/>
              </w:rPr>
              <w:t>684,420</w:t>
            </w:r>
            <w:r>
              <w:rPr>
                <w:rFonts w:ascii="Times New Roman"/>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74"/>
              <w:jc w:val="right"/>
              <w:rPr>
                <w:rFonts w:ascii="Times New Roman" w:hAnsi="Times New Roman" w:cs="Times New Roman" w:eastAsia="Times New Roman" w:hint="default"/>
                <w:sz w:val="20"/>
                <w:szCs w:val="20"/>
              </w:rPr>
            </w:pPr>
            <w:r>
              <w:rPr>
                <w:rFonts w:ascii="Times New Roman"/>
                <w:w w:val="95"/>
                <w:sz w:val="20"/>
              </w:rPr>
              <w:t>585,822</w:t>
            </w:r>
            <w:r>
              <w:rPr>
                <w:rFonts w:ascii="Times New Roman"/>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53" w:right="0"/>
              <w:jc w:val="left"/>
              <w:rPr>
                <w:rFonts w:ascii="Times New Roman" w:hAnsi="Times New Roman" w:cs="Times New Roman" w:eastAsia="Times New Roman" w:hint="default"/>
                <w:sz w:val="20"/>
                <w:szCs w:val="20"/>
              </w:rPr>
            </w:pPr>
            <w:r>
              <w:rPr>
                <w:rFonts w:ascii="Times New Roman"/>
                <w:sz w:val="20"/>
              </w:rPr>
              <w:t>85.59%</w:t>
            </w:r>
          </w:p>
        </w:tc>
      </w:tr>
      <w:tr>
        <w:trPr>
          <w:trHeight w:val="312"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7</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42"/>
              <w:jc w:val="right"/>
              <w:rPr>
                <w:rFonts w:ascii="Times New Roman" w:hAnsi="Times New Roman" w:cs="Times New Roman" w:eastAsia="Times New Roman" w:hint="default"/>
                <w:sz w:val="20"/>
                <w:szCs w:val="20"/>
              </w:rPr>
            </w:pPr>
            <w:r>
              <w:rPr>
                <w:rFonts w:ascii="Times New Roman"/>
                <w:w w:val="95"/>
                <w:sz w:val="20"/>
              </w:rPr>
              <w:t>2,478,083</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82"/>
              <w:jc w:val="right"/>
              <w:rPr>
                <w:rFonts w:ascii="Times New Roman" w:hAnsi="Times New Roman" w:cs="Times New Roman" w:eastAsia="Times New Roman" w:hint="default"/>
                <w:sz w:val="20"/>
                <w:szCs w:val="20"/>
              </w:rPr>
            </w:pPr>
            <w:r>
              <w:rPr>
                <w:rFonts w:ascii="Times New Roman"/>
                <w:w w:val="95"/>
                <w:sz w:val="20"/>
              </w:rPr>
              <w:t>1,251,501</w:t>
            </w:r>
            <w:r>
              <w:rPr>
                <w:rFonts w:ascii="Times New Roman"/>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74"/>
              <w:jc w:val="right"/>
              <w:rPr>
                <w:rFonts w:ascii="Times New Roman" w:hAnsi="Times New Roman" w:cs="Times New Roman" w:eastAsia="Times New Roman" w:hint="default"/>
                <w:sz w:val="20"/>
                <w:szCs w:val="20"/>
              </w:rPr>
            </w:pPr>
            <w:r>
              <w:rPr>
                <w:rFonts w:ascii="Times New Roman"/>
                <w:w w:val="95"/>
                <w:sz w:val="20"/>
              </w:rPr>
              <w:t>1,226,582</w:t>
            </w:r>
            <w:r>
              <w:rPr>
                <w:rFonts w:ascii="Times New Roman"/>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53" w:right="0"/>
              <w:jc w:val="left"/>
              <w:rPr>
                <w:rFonts w:ascii="Times New Roman" w:hAnsi="Times New Roman" w:cs="Times New Roman" w:eastAsia="Times New Roman" w:hint="default"/>
                <w:sz w:val="20"/>
                <w:szCs w:val="20"/>
              </w:rPr>
            </w:pPr>
            <w:r>
              <w:rPr>
                <w:rFonts w:ascii="Times New Roman"/>
                <w:sz w:val="20"/>
              </w:rPr>
              <w:t>98.01%</w:t>
            </w:r>
          </w:p>
        </w:tc>
      </w:tr>
      <w:tr>
        <w:trPr>
          <w:trHeight w:val="312"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8</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42"/>
              <w:jc w:val="right"/>
              <w:rPr>
                <w:rFonts w:ascii="Times New Roman" w:hAnsi="Times New Roman" w:cs="Times New Roman" w:eastAsia="Times New Roman" w:hint="default"/>
                <w:sz w:val="20"/>
                <w:szCs w:val="20"/>
              </w:rPr>
            </w:pPr>
            <w:r>
              <w:rPr>
                <w:rFonts w:ascii="Times New Roman"/>
                <w:w w:val="95"/>
                <w:sz w:val="20"/>
              </w:rPr>
              <w:t>6,039,735</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82"/>
              <w:jc w:val="right"/>
              <w:rPr>
                <w:rFonts w:ascii="Times New Roman" w:hAnsi="Times New Roman" w:cs="Times New Roman" w:eastAsia="Times New Roman" w:hint="default"/>
                <w:sz w:val="20"/>
                <w:szCs w:val="20"/>
              </w:rPr>
            </w:pPr>
            <w:r>
              <w:rPr>
                <w:rFonts w:ascii="Times New Roman"/>
                <w:w w:val="95"/>
                <w:sz w:val="20"/>
              </w:rPr>
              <w:t>4,368,264</w:t>
            </w:r>
            <w:r>
              <w:rPr>
                <w:rFonts w:ascii="Times New Roman"/>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74"/>
              <w:jc w:val="right"/>
              <w:rPr>
                <w:rFonts w:ascii="Times New Roman" w:hAnsi="Times New Roman" w:cs="Times New Roman" w:eastAsia="Times New Roman" w:hint="default"/>
                <w:sz w:val="20"/>
                <w:szCs w:val="20"/>
              </w:rPr>
            </w:pPr>
            <w:r>
              <w:rPr>
                <w:rFonts w:ascii="Times New Roman"/>
                <w:w w:val="95"/>
                <w:sz w:val="20"/>
              </w:rPr>
              <w:t>1,671,471</w:t>
            </w:r>
            <w:r>
              <w:rPr>
                <w:rFonts w:ascii="Times New Roman"/>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53" w:right="0"/>
              <w:jc w:val="left"/>
              <w:rPr>
                <w:rFonts w:ascii="Times New Roman" w:hAnsi="Times New Roman" w:cs="Times New Roman" w:eastAsia="Times New Roman" w:hint="default"/>
                <w:sz w:val="20"/>
                <w:szCs w:val="20"/>
              </w:rPr>
            </w:pPr>
            <w:r>
              <w:rPr>
                <w:rFonts w:ascii="Times New Roman"/>
                <w:sz w:val="20"/>
              </w:rPr>
              <w:t>38.26%</w:t>
            </w:r>
          </w:p>
        </w:tc>
      </w:tr>
      <w:tr>
        <w:trPr>
          <w:trHeight w:val="312"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9</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41"/>
              <w:jc w:val="right"/>
              <w:rPr>
                <w:rFonts w:ascii="Times New Roman" w:hAnsi="Times New Roman" w:cs="Times New Roman" w:eastAsia="Times New Roman" w:hint="default"/>
                <w:sz w:val="20"/>
                <w:szCs w:val="20"/>
              </w:rPr>
            </w:pPr>
            <w:r>
              <w:rPr>
                <w:rFonts w:ascii="Times New Roman"/>
                <w:w w:val="95"/>
                <w:sz w:val="20"/>
              </w:rPr>
              <w:t>42,297</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81"/>
              <w:jc w:val="right"/>
              <w:rPr>
                <w:rFonts w:ascii="Times New Roman" w:hAnsi="Times New Roman" w:cs="Times New Roman" w:eastAsia="Times New Roman" w:hint="default"/>
                <w:sz w:val="20"/>
                <w:szCs w:val="20"/>
              </w:rPr>
            </w:pPr>
            <w:r>
              <w:rPr>
                <w:rFonts w:ascii="Times New Roman"/>
                <w:w w:val="95"/>
                <w:sz w:val="20"/>
              </w:rPr>
              <w:t>93,898</w:t>
            </w:r>
            <w:r>
              <w:rPr>
                <w:rFonts w:ascii="Times New Roman"/>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74"/>
              <w:jc w:val="right"/>
              <w:rPr>
                <w:rFonts w:ascii="Times New Roman" w:hAnsi="Times New Roman" w:cs="Times New Roman" w:eastAsia="Times New Roman" w:hint="default"/>
                <w:sz w:val="20"/>
                <w:szCs w:val="20"/>
              </w:rPr>
            </w:pPr>
            <w:r>
              <w:rPr>
                <w:rFonts w:ascii="Times New Roman"/>
                <w:w w:val="95"/>
                <w:sz w:val="20"/>
              </w:rPr>
              <w:t>(51,601)</w:t>
            </w:r>
            <w:r>
              <w:rPr>
                <w:rFonts w:ascii="Times New Roman"/>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98"/>
              <w:jc w:val="right"/>
              <w:rPr>
                <w:rFonts w:ascii="Times New Roman" w:hAnsi="Times New Roman" w:cs="Times New Roman" w:eastAsia="Times New Roman" w:hint="default"/>
                <w:sz w:val="20"/>
                <w:szCs w:val="20"/>
              </w:rPr>
            </w:pPr>
            <w:r>
              <w:rPr>
                <w:rFonts w:ascii="Times New Roman"/>
                <w:w w:val="95"/>
                <w:sz w:val="20"/>
              </w:rPr>
              <w:t>(54.95%)</w:t>
            </w:r>
            <w:r>
              <w:rPr>
                <w:rFonts w:ascii="Times New Roman"/>
                <w:sz w:val="20"/>
              </w:rPr>
            </w:r>
          </w:p>
        </w:tc>
      </w:tr>
      <w:tr>
        <w:trPr>
          <w:trHeight w:val="468"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10</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41"/>
              <w:jc w:val="right"/>
              <w:rPr>
                <w:rFonts w:ascii="Times New Roman" w:hAnsi="Times New Roman" w:cs="Times New Roman" w:eastAsia="Times New Roman" w:hint="default"/>
                <w:sz w:val="20"/>
                <w:szCs w:val="20"/>
              </w:rPr>
            </w:pPr>
            <w:r>
              <w:rPr>
                <w:rFonts w:ascii="Times New Roman"/>
                <w:w w:val="95"/>
                <w:sz w:val="20"/>
              </w:rPr>
              <w:t>756,221</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81"/>
              <w:jc w:val="right"/>
              <w:rPr>
                <w:rFonts w:ascii="Times New Roman" w:hAnsi="Times New Roman" w:cs="Times New Roman" w:eastAsia="Times New Roman" w:hint="default"/>
                <w:sz w:val="20"/>
                <w:szCs w:val="20"/>
              </w:rPr>
            </w:pPr>
            <w:r>
              <w:rPr>
                <w:rFonts w:ascii="Times New Roman"/>
                <w:w w:val="95"/>
                <w:sz w:val="20"/>
              </w:rPr>
              <w:t>512,150</w:t>
            </w:r>
            <w:r>
              <w:rPr>
                <w:rFonts w:ascii="Times New Roman"/>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74"/>
              <w:jc w:val="right"/>
              <w:rPr>
                <w:rFonts w:ascii="Times New Roman" w:hAnsi="Times New Roman" w:cs="Times New Roman" w:eastAsia="Times New Roman" w:hint="default"/>
                <w:sz w:val="20"/>
                <w:szCs w:val="20"/>
              </w:rPr>
            </w:pPr>
            <w:r>
              <w:rPr>
                <w:rFonts w:ascii="Times New Roman"/>
                <w:w w:val="95"/>
                <w:sz w:val="20"/>
              </w:rPr>
              <w:t>244,071</w:t>
            </w:r>
            <w:r>
              <w:rPr>
                <w:rFonts w:ascii="Times New Roman"/>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53" w:right="0"/>
              <w:jc w:val="left"/>
              <w:rPr>
                <w:rFonts w:ascii="Times New Roman" w:hAnsi="Times New Roman" w:cs="Times New Roman" w:eastAsia="Times New Roman" w:hint="default"/>
                <w:sz w:val="20"/>
                <w:szCs w:val="20"/>
              </w:rPr>
            </w:pPr>
            <w:r>
              <w:rPr>
                <w:rFonts w:ascii="Times New Roman"/>
                <w:sz w:val="20"/>
              </w:rPr>
              <w:t>47.66%</w:t>
            </w:r>
          </w:p>
        </w:tc>
      </w:tr>
      <w:tr>
        <w:trPr>
          <w:trHeight w:val="468"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19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pacing w:val="-14"/>
                <w:sz w:val="18"/>
                <w:szCs w:val="18"/>
              </w:rPr>
              <w:t>11</w:t>
            </w:r>
            <w:r>
              <w:rPr>
                <w:rFonts w:ascii="Arial" w:hAnsi="Arial" w:cs="Arial" w:eastAsia="Arial" w:hint="default"/>
                <w:sz w:val="18"/>
                <w:szCs w:val="18"/>
              </w:rPr>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441"/>
              <w:jc w:val="right"/>
              <w:rPr>
                <w:rFonts w:ascii="Times New Roman" w:hAnsi="Times New Roman" w:cs="Times New Roman" w:eastAsia="Times New Roman" w:hint="default"/>
                <w:sz w:val="20"/>
                <w:szCs w:val="20"/>
              </w:rPr>
            </w:pPr>
            <w:r>
              <w:rPr>
                <w:rFonts w:ascii="Times New Roman"/>
                <w:w w:val="95"/>
                <w:sz w:val="20"/>
              </w:rPr>
              <w:t>542,171</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381"/>
              <w:jc w:val="right"/>
              <w:rPr>
                <w:rFonts w:ascii="Times New Roman" w:hAnsi="Times New Roman" w:cs="Times New Roman" w:eastAsia="Times New Roman" w:hint="default"/>
                <w:sz w:val="20"/>
                <w:szCs w:val="20"/>
              </w:rPr>
            </w:pPr>
            <w:r>
              <w:rPr>
                <w:rFonts w:ascii="Times New Roman"/>
                <w:w w:val="95"/>
                <w:sz w:val="20"/>
              </w:rPr>
              <w:t>350,051</w:t>
            </w:r>
            <w:r>
              <w:rPr>
                <w:rFonts w:ascii="Times New Roman"/>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74"/>
              <w:jc w:val="right"/>
              <w:rPr>
                <w:rFonts w:ascii="Times New Roman" w:hAnsi="Times New Roman" w:cs="Times New Roman" w:eastAsia="Times New Roman" w:hint="default"/>
                <w:sz w:val="20"/>
                <w:szCs w:val="20"/>
              </w:rPr>
            </w:pPr>
            <w:r>
              <w:rPr>
                <w:rFonts w:ascii="Times New Roman"/>
                <w:w w:val="95"/>
                <w:sz w:val="20"/>
              </w:rPr>
              <w:t>192,120</w:t>
            </w:r>
            <w:r>
              <w:rPr>
                <w:rFonts w:ascii="Times New Roman"/>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453" w:right="0"/>
              <w:jc w:val="left"/>
              <w:rPr>
                <w:rFonts w:ascii="Times New Roman" w:hAnsi="Times New Roman" w:cs="Times New Roman" w:eastAsia="Times New Roman" w:hint="default"/>
                <w:sz w:val="20"/>
                <w:szCs w:val="20"/>
              </w:rPr>
            </w:pPr>
            <w:r>
              <w:rPr>
                <w:rFonts w:ascii="Times New Roman"/>
                <w:sz w:val="20"/>
              </w:rPr>
              <w:t>54.88%</w:t>
            </w:r>
          </w:p>
        </w:tc>
      </w:tr>
      <w:tr>
        <w:trPr>
          <w:trHeight w:val="312"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12</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41"/>
              <w:jc w:val="right"/>
              <w:rPr>
                <w:rFonts w:ascii="Times New Roman" w:hAnsi="Times New Roman" w:cs="Times New Roman" w:eastAsia="Times New Roman" w:hint="default"/>
                <w:sz w:val="20"/>
                <w:szCs w:val="20"/>
              </w:rPr>
            </w:pPr>
            <w:r>
              <w:rPr>
                <w:rFonts w:ascii="Times New Roman"/>
                <w:w w:val="95"/>
                <w:sz w:val="20"/>
              </w:rPr>
              <w:t>123,312</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81"/>
              <w:jc w:val="right"/>
              <w:rPr>
                <w:rFonts w:ascii="Times New Roman" w:hAnsi="Times New Roman" w:cs="Times New Roman" w:eastAsia="Times New Roman" w:hint="default"/>
                <w:sz w:val="20"/>
                <w:szCs w:val="20"/>
              </w:rPr>
            </w:pPr>
            <w:r>
              <w:rPr>
                <w:rFonts w:ascii="Times New Roman"/>
                <w:w w:val="95"/>
                <w:sz w:val="20"/>
              </w:rPr>
              <w:t>790,756</w:t>
            </w:r>
            <w:r>
              <w:rPr>
                <w:rFonts w:ascii="Times New Roman"/>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74"/>
              <w:jc w:val="right"/>
              <w:rPr>
                <w:rFonts w:ascii="Times New Roman" w:hAnsi="Times New Roman" w:cs="Times New Roman" w:eastAsia="Times New Roman" w:hint="default"/>
                <w:sz w:val="20"/>
                <w:szCs w:val="20"/>
              </w:rPr>
            </w:pPr>
            <w:r>
              <w:rPr>
                <w:rFonts w:ascii="Times New Roman"/>
                <w:w w:val="95"/>
                <w:sz w:val="20"/>
              </w:rPr>
              <w:t>(667,444)</w:t>
            </w:r>
            <w:r>
              <w:rPr>
                <w:rFonts w:ascii="Times New Roman"/>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98"/>
              <w:jc w:val="right"/>
              <w:rPr>
                <w:rFonts w:ascii="Times New Roman" w:hAnsi="Times New Roman" w:cs="Times New Roman" w:eastAsia="Times New Roman" w:hint="default"/>
                <w:sz w:val="20"/>
                <w:szCs w:val="20"/>
              </w:rPr>
            </w:pPr>
            <w:r>
              <w:rPr>
                <w:rFonts w:ascii="Times New Roman"/>
                <w:w w:val="95"/>
                <w:sz w:val="20"/>
              </w:rPr>
              <w:t>(84.41%)</w:t>
            </w:r>
            <w:r>
              <w:rPr>
                <w:rFonts w:ascii="Times New Roman"/>
                <w:sz w:val="20"/>
              </w:rPr>
            </w:r>
          </w:p>
        </w:tc>
      </w:tr>
      <w:tr>
        <w:trPr>
          <w:trHeight w:val="312"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13</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41"/>
              <w:jc w:val="right"/>
              <w:rPr>
                <w:rFonts w:ascii="Times New Roman" w:hAnsi="Times New Roman" w:cs="Times New Roman" w:eastAsia="Times New Roman" w:hint="default"/>
                <w:sz w:val="20"/>
                <w:szCs w:val="20"/>
              </w:rPr>
            </w:pPr>
            <w:r>
              <w:rPr>
                <w:rFonts w:ascii="Times New Roman"/>
                <w:w w:val="95"/>
                <w:sz w:val="20"/>
              </w:rPr>
              <w:t>13,810</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81"/>
              <w:jc w:val="right"/>
              <w:rPr>
                <w:rFonts w:ascii="Times New Roman" w:hAnsi="Times New Roman" w:cs="Times New Roman" w:eastAsia="Times New Roman" w:hint="default"/>
                <w:sz w:val="20"/>
                <w:szCs w:val="20"/>
              </w:rPr>
            </w:pPr>
            <w:r>
              <w:rPr>
                <w:rFonts w:ascii="Times New Roman"/>
                <w:sz w:val="20"/>
              </w:rPr>
              <w:t>5,305</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74"/>
              <w:jc w:val="right"/>
              <w:rPr>
                <w:rFonts w:ascii="Times New Roman" w:hAnsi="Times New Roman" w:cs="Times New Roman" w:eastAsia="Times New Roman" w:hint="default"/>
                <w:sz w:val="20"/>
                <w:szCs w:val="20"/>
              </w:rPr>
            </w:pPr>
            <w:r>
              <w:rPr>
                <w:rFonts w:ascii="Times New Roman"/>
                <w:sz w:val="20"/>
              </w:rPr>
              <w:t>8,505</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2" w:right="0"/>
              <w:jc w:val="left"/>
              <w:rPr>
                <w:rFonts w:ascii="Times New Roman" w:hAnsi="Times New Roman" w:cs="Times New Roman" w:eastAsia="Times New Roman" w:hint="default"/>
                <w:sz w:val="20"/>
                <w:szCs w:val="20"/>
              </w:rPr>
            </w:pPr>
            <w:r>
              <w:rPr>
                <w:rFonts w:ascii="Times New Roman"/>
                <w:sz w:val="20"/>
              </w:rPr>
              <w:t>160.32%</w:t>
            </w:r>
          </w:p>
        </w:tc>
      </w:tr>
      <w:tr>
        <w:trPr>
          <w:trHeight w:val="624"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319" w:lineRule="auto"/>
              <w:ind w:left="401" w:right="107" w:hanging="209"/>
              <w:jc w:val="left"/>
              <w:rPr>
                <w:rFonts w:ascii="宋体" w:hAnsi="宋体" w:cs="宋体" w:eastAsia="宋体" w:hint="default"/>
                <w:sz w:val="18"/>
                <w:szCs w:val="18"/>
              </w:rPr>
            </w:pPr>
            <w:r>
              <w:rPr>
                <w:rFonts w:ascii="宋体" w:hAnsi="宋体" w:cs="宋体" w:eastAsia="宋体" w:hint="default"/>
                <w:spacing w:val="14"/>
                <w:sz w:val="18"/>
                <w:szCs w:val="18"/>
              </w:rPr>
              <w:t>一年内到期的非</w:t>
            </w:r>
            <w:r>
              <w:rPr>
                <w:rFonts w:ascii="宋体" w:hAnsi="宋体" w:cs="宋体" w:eastAsia="宋体" w:hint="default"/>
                <w:sz w:val="18"/>
                <w:szCs w:val="18"/>
              </w:rPr>
              <w:t> 流动负债</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14</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441"/>
              <w:jc w:val="right"/>
              <w:rPr>
                <w:rFonts w:ascii="Times New Roman" w:hAnsi="Times New Roman" w:cs="Times New Roman" w:eastAsia="Times New Roman" w:hint="default"/>
                <w:sz w:val="20"/>
                <w:szCs w:val="20"/>
              </w:rPr>
            </w:pPr>
            <w:r>
              <w:rPr>
                <w:rFonts w:ascii="Times New Roman"/>
                <w:w w:val="95"/>
                <w:sz w:val="20"/>
              </w:rPr>
              <w:t>44,868</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381"/>
              <w:jc w:val="right"/>
              <w:rPr>
                <w:rFonts w:ascii="Times New Roman" w:hAnsi="Times New Roman" w:cs="Times New Roman" w:eastAsia="Times New Roman" w:hint="default"/>
                <w:sz w:val="20"/>
                <w:szCs w:val="20"/>
              </w:rPr>
            </w:pPr>
            <w:r>
              <w:rPr>
                <w:rFonts w:ascii="Times New Roman"/>
                <w:w w:val="95"/>
                <w:sz w:val="20"/>
              </w:rPr>
              <w:t>120,029</w:t>
            </w:r>
            <w:r>
              <w:rPr>
                <w:rFonts w:ascii="Times New Roman"/>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274"/>
              <w:jc w:val="right"/>
              <w:rPr>
                <w:rFonts w:ascii="Times New Roman" w:hAnsi="Times New Roman" w:cs="Times New Roman" w:eastAsia="Times New Roman" w:hint="default"/>
                <w:sz w:val="20"/>
                <w:szCs w:val="20"/>
              </w:rPr>
            </w:pPr>
            <w:r>
              <w:rPr>
                <w:rFonts w:ascii="Times New Roman"/>
                <w:w w:val="95"/>
                <w:sz w:val="20"/>
              </w:rPr>
              <w:t>(75,161)</w:t>
            </w:r>
            <w:r>
              <w:rPr>
                <w:rFonts w:ascii="Times New Roman"/>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98"/>
              <w:jc w:val="right"/>
              <w:rPr>
                <w:rFonts w:ascii="Times New Roman" w:hAnsi="Times New Roman" w:cs="Times New Roman" w:eastAsia="Times New Roman" w:hint="default"/>
                <w:sz w:val="20"/>
                <w:szCs w:val="20"/>
              </w:rPr>
            </w:pPr>
            <w:r>
              <w:rPr>
                <w:rFonts w:ascii="Times New Roman"/>
                <w:w w:val="95"/>
                <w:sz w:val="20"/>
              </w:rPr>
              <w:t>(62.62%)</w:t>
            </w:r>
            <w:r>
              <w:rPr>
                <w:rFonts w:ascii="Times New Roman"/>
                <w:sz w:val="20"/>
              </w:rPr>
            </w:r>
          </w:p>
        </w:tc>
      </w:tr>
      <w:tr>
        <w:trPr>
          <w:trHeight w:val="312"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15</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42"/>
              <w:jc w:val="right"/>
              <w:rPr>
                <w:rFonts w:ascii="Times New Roman" w:hAnsi="Times New Roman" w:cs="Times New Roman" w:eastAsia="Times New Roman" w:hint="default"/>
                <w:sz w:val="20"/>
                <w:szCs w:val="20"/>
              </w:rPr>
            </w:pPr>
            <w:r>
              <w:rPr>
                <w:rFonts w:ascii="Times New Roman"/>
                <w:w w:val="95"/>
                <w:sz w:val="20"/>
              </w:rPr>
              <w:t>4,465,405</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8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74"/>
              <w:jc w:val="right"/>
              <w:rPr>
                <w:rFonts w:ascii="Times New Roman" w:hAnsi="Times New Roman" w:cs="Times New Roman" w:eastAsia="Times New Roman" w:hint="default"/>
                <w:sz w:val="20"/>
                <w:szCs w:val="20"/>
              </w:rPr>
            </w:pPr>
            <w:r>
              <w:rPr>
                <w:rFonts w:ascii="Times New Roman"/>
                <w:w w:val="95"/>
                <w:sz w:val="20"/>
              </w:rPr>
              <w:t>4,465,405</w:t>
            </w:r>
            <w:r>
              <w:rPr>
                <w:rFonts w:ascii="Times New Roman"/>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5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16</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41"/>
              <w:jc w:val="right"/>
              <w:rPr>
                <w:rFonts w:ascii="Times New Roman" w:hAnsi="Times New Roman" w:cs="Times New Roman" w:eastAsia="Times New Roman" w:hint="default"/>
                <w:sz w:val="20"/>
                <w:szCs w:val="20"/>
              </w:rPr>
            </w:pPr>
            <w:r>
              <w:rPr>
                <w:rFonts w:ascii="Times New Roman"/>
                <w:w w:val="95"/>
                <w:sz w:val="20"/>
              </w:rPr>
              <w:t>62,915</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81"/>
              <w:jc w:val="right"/>
              <w:rPr>
                <w:rFonts w:ascii="Times New Roman" w:hAnsi="Times New Roman" w:cs="Times New Roman" w:eastAsia="Times New Roman" w:hint="default"/>
                <w:sz w:val="20"/>
                <w:szCs w:val="20"/>
              </w:rPr>
            </w:pPr>
            <w:r>
              <w:rPr>
                <w:rFonts w:ascii="Times New Roman"/>
                <w:w w:val="95"/>
                <w:sz w:val="20"/>
              </w:rPr>
              <w:t>101,135</w:t>
            </w:r>
            <w:r>
              <w:rPr>
                <w:rFonts w:ascii="Times New Roman"/>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74"/>
              <w:jc w:val="right"/>
              <w:rPr>
                <w:rFonts w:ascii="Times New Roman" w:hAnsi="Times New Roman" w:cs="Times New Roman" w:eastAsia="Times New Roman" w:hint="default"/>
                <w:sz w:val="20"/>
                <w:szCs w:val="20"/>
              </w:rPr>
            </w:pPr>
            <w:r>
              <w:rPr>
                <w:rFonts w:ascii="Times New Roman"/>
                <w:w w:val="95"/>
                <w:sz w:val="20"/>
              </w:rPr>
              <w:t>(38,220)</w:t>
            </w:r>
            <w:r>
              <w:rPr>
                <w:rFonts w:ascii="Times New Roman"/>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98"/>
              <w:jc w:val="right"/>
              <w:rPr>
                <w:rFonts w:ascii="Times New Roman" w:hAnsi="Times New Roman" w:cs="Times New Roman" w:eastAsia="Times New Roman" w:hint="default"/>
                <w:sz w:val="20"/>
                <w:szCs w:val="20"/>
              </w:rPr>
            </w:pPr>
            <w:r>
              <w:rPr>
                <w:rFonts w:ascii="Times New Roman"/>
                <w:w w:val="95"/>
                <w:sz w:val="20"/>
              </w:rPr>
              <w:t>(37.79%)</w:t>
            </w:r>
            <w:r>
              <w:rPr>
                <w:rFonts w:ascii="Times New Roman"/>
                <w:sz w:val="20"/>
              </w:rPr>
            </w:r>
          </w:p>
        </w:tc>
      </w:tr>
      <w:tr>
        <w:trPr>
          <w:trHeight w:val="312"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17</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41"/>
              <w:jc w:val="right"/>
              <w:rPr>
                <w:rFonts w:ascii="Times New Roman" w:hAnsi="Times New Roman" w:cs="Times New Roman" w:eastAsia="Times New Roman" w:hint="default"/>
                <w:sz w:val="20"/>
                <w:szCs w:val="20"/>
              </w:rPr>
            </w:pPr>
            <w:r>
              <w:rPr>
                <w:rFonts w:ascii="Times New Roman"/>
                <w:spacing w:val="-1"/>
                <w:w w:val="95"/>
                <w:sz w:val="20"/>
              </w:rPr>
              <w:t>1,113,215</w:t>
            </w:r>
            <w:r>
              <w:rPr>
                <w:rFonts w:ascii="Times New Roman"/>
                <w:spacing w:val="-1"/>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81"/>
              <w:jc w:val="right"/>
              <w:rPr>
                <w:rFonts w:ascii="Times New Roman" w:hAnsi="Times New Roman" w:cs="Times New Roman" w:eastAsia="Times New Roman" w:hint="default"/>
                <w:sz w:val="20"/>
                <w:szCs w:val="20"/>
              </w:rPr>
            </w:pPr>
            <w:r>
              <w:rPr>
                <w:rFonts w:ascii="Times New Roman"/>
                <w:w w:val="95"/>
                <w:sz w:val="20"/>
              </w:rPr>
              <w:t>833,299</w:t>
            </w:r>
            <w:r>
              <w:rPr>
                <w:rFonts w:ascii="Times New Roman"/>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74"/>
              <w:jc w:val="right"/>
              <w:rPr>
                <w:rFonts w:ascii="Times New Roman" w:hAnsi="Times New Roman" w:cs="Times New Roman" w:eastAsia="Times New Roman" w:hint="default"/>
                <w:sz w:val="20"/>
                <w:szCs w:val="20"/>
              </w:rPr>
            </w:pPr>
            <w:r>
              <w:rPr>
                <w:rFonts w:ascii="Times New Roman"/>
                <w:w w:val="95"/>
                <w:sz w:val="20"/>
              </w:rPr>
              <w:t>279,916</w:t>
            </w:r>
            <w:r>
              <w:rPr>
                <w:rFonts w:ascii="Times New Roman"/>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53" w:right="0"/>
              <w:jc w:val="left"/>
              <w:rPr>
                <w:rFonts w:ascii="Times New Roman" w:hAnsi="Times New Roman" w:cs="Times New Roman" w:eastAsia="Times New Roman" w:hint="default"/>
                <w:sz w:val="20"/>
                <w:szCs w:val="20"/>
              </w:rPr>
            </w:pPr>
            <w:r>
              <w:rPr>
                <w:rFonts w:ascii="Times New Roman"/>
                <w:sz w:val="20"/>
              </w:rPr>
              <w:t>33.59%</w:t>
            </w:r>
          </w:p>
        </w:tc>
      </w:tr>
      <w:tr>
        <w:trPr>
          <w:trHeight w:val="312"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18</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42"/>
              <w:jc w:val="right"/>
              <w:rPr>
                <w:rFonts w:ascii="Times New Roman" w:hAnsi="Times New Roman" w:cs="Times New Roman" w:eastAsia="Times New Roman" w:hint="default"/>
                <w:sz w:val="20"/>
                <w:szCs w:val="20"/>
              </w:rPr>
            </w:pPr>
            <w:r>
              <w:rPr>
                <w:rFonts w:ascii="Times New Roman"/>
                <w:w w:val="95"/>
                <w:sz w:val="20"/>
              </w:rPr>
              <w:t>4,679,471</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81"/>
              <w:jc w:val="right"/>
              <w:rPr>
                <w:rFonts w:ascii="Times New Roman" w:hAnsi="Times New Roman" w:cs="Times New Roman" w:eastAsia="Times New Roman" w:hint="default"/>
                <w:sz w:val="20"/>
                <w:szCs w:val="20"/>
              </w:rPr>
            </w:pPr>
            <w:r>
              <w:rPr>
                <w:rFonts w:ascii="Times New Roman"/>
                <w:w w:val="95"/>
                <w:sz w:val="20"/>
              </w:rPr>
              <w:t>517,074</w:t>
            </w:r>
            <w:r>
              <w:rPr>
                <w:rFonts w:ascii="Times New Roman"/>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74"/>
              <w:jc w:val="right"/>
              <w:rPr>
                <w:rFonts w:ascii="Times New Roman" w:hAnsi="Times New Roman" w:cs="Times New Roman" w:eastAsia="Times New Roman" w:hint="default"/>
                <w:sz w:val="20"/>
                <w:szCs w:val="20"/>
              </w:rPr>
            </w:pPr>
            <w:r>
              <w:rPr>
                <w:rFonts w:ascii="Times New Roman"/>
                <w:w w:val="95"/>
                <w:sz w:val="20"/>
              </w:rPr>
              <w:t>4,162,397</w:t>
            </w:r>
            <w:r>
              <w:rPr>
                <w:rFonts w:ascii="Times New Roman"/>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2" w:right="0"/>
              <w:jc w:val="left"/>
              <w:rPr>
                <w:rFonts w:ascii="Times New Roman" w:hAnsi="Times New Roman" w:cs="Times New Roman" w:eastAsia="Times New Roman" w:hint="default"/>
                <w:sz w:val="20"/>
                <w:szCs w:val="20"/>
              </w:rPr>
            </w:pPr>
            <w:r>
              <w:rPr>
                <w:rFonts w:ascii="Times New Roman"/>
                <w:sz w:val="20"/>
              </w:rPr>
              <w:t>804.99%</w:t>
            </w:r>
          </w:p>
        </w:tc>
      </w:tr>
      <w:tr>
        <w:trPr>
          <w:trHeight w:val="468"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外币报表折算差</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19</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81"/>
              <w:jc w:val="right"/>
              <w:rPr>
                <w:rFonts w:ascii="Times New Roman" w:hAnsi="Times New Roman" w:cs="Times New Roman" w:eastAsia="Times New Roman" w:hint="default"/>
                <w:sz w:val="20"/>
                <w:szCs w:val="20"/>
              </w:rPr>
            </w:pPr>
            <w:r>
              <w:rPr>
                <w:rFonts w:ascii="Times New Roman"/>
                <w:w w:val="95"/>
                <w:sz w:val="20"/>
              </w:rPr>
              <w:t>(30,439)</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81"/>
              <w:jc w:val="right"/>
              <w:rPr>
                <w:rFonts w:ascii="Times New Roman" w:hAnsi="Times New Roman" w:cs="Times New Roman" w:eastAsia="Times New Roman" w:hint="default"/>
                <w:sz w:val="20"/>
                <w:szCs w:val="20"/>
              </w:rPr>
            </w:pPr>
            <w:r>
              <w:rPr>
                <w:rFonts w:ascii="Times New Roman"/>
                <w:w w:val="95"/>
                <w:sz w:val="20"/>
              </w:rPr>
              <w:t>14,680</w:t>
            </w:r>
            <w:r>
              <w:rPr>
                <w:rFonts w:ascii="Times New Roman"/>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74"/>
              <w:jc w:val="right"/>
              <w:rPr>
                <w:rFonts w:ascii="Times New Roman" w:hAnsi="Times New Roman" w:cs="Times New Roman" w:eastAsia="Times New Roman" w:hint="default"/>
                <w:sz w:val="20"/>
                <w:szCs w:val="20"/>
              </w:rPr>
            </w:pPr>
            <w:r>
              <w:rPr>
                <w:rFonts w:ascii="Times New Roman"/>
                <w:spacing w:val="-1"/>
                <w:w w:val="95"/>
                <w:sz w:val="20"/>
              </w:rPr>
              <w:t>(45,119)</w:t>
            </w:r>
            <w:r>
              <w:rPr>
                <w:rFonts w:ascii="Times New Roman"/>
                <w:spacing w:val="-1"/>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98"/>
              <w:jc w:val="right"/>
              <w:rPr>
                <w:rFonts w:ascii="Times New Roman" w:hAnsi="Times New Roman" w:cs="Times New Roman" w:eastAsia="Times New Roman" w:hint="default"/>
                <w:sz w:val="20"/>
                <w:szCs w:val="20"/>
              </w:rPr>
            </w:pPr>
            <w:r>
              <w:rPr>
                <w:rFonts w:ascii="Times New Roman"/>
                <w:w w:val="95"/>
                <w:sz w:val="20"/>
              </w:rPr>
              <w:t>(307.35%)</w:t>
            </w:r>
            <w:r>
              <w:rPr>
                <w:rFonts w:ascii="Times New Roman"/>
                <w:sz w:val="20"/>
              </w:rPr>
            </w:r>
          </w:p>
        </w:tc>
      </w:tr>
      <w:tr>
        <w:trPr>
          <w:trHeight w:val="459"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c>
          <w:tcPr>
            <w:tcW w:w="27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6"/>
              <w:ind w:left="477" w:right="0"/>
              <w:jc w:val="left"/>
              <w:rPr>
                <w:rFonts w:ascii="宋体" w:hAnsi="宋体" w:cs="宋体" w:eastAsia="宋体" w:hint="default"/>
                <w:sz w:val="18"/>
                <w:szCs w:val="18"/>
              </w:rPr>
            </w:pPr>
            <w:r>
              <w:rPr>
                <w:rFonts w:ascii="宋体" w:hAnsi="宋体" w:cs="宋体" w:eastAsia="宋体" w:hint="default"/>
                <w:sz w:val="18"/>
                <w:szCs w:val="18"/>
              </w:rPr>
              <w:t>差异变动金额及幅度</w:t>
            </w:r>
          </w:p>
        </w:tc>
      </w:tr>
      <w:tr>
        <w:trPr>
          <w:trHeight w:val="474"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39"/>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79"/>
              <w:jc w:val="righ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年度</w:t>
            </w:r>
          </w:p>
        </w:tc>
        <w:tc>
          <w:tcPr>
            <w:tcW w:w="2767" w:type="dxa"/>
            <w:gridSpan w:val="2"/>
            <w:tcBorders>
              <w:top w:val="nil" w:sz="6" w:space="0" w:color="auto"/>
              <w:left w:val="nil" w:sz="6" w:space="0" w:color="auto"/>
              <w:bottom w:val="nil" w:sz="6" w:space="0" w:color="auto"/>
              <w:right w:val="nil" w:sz="6" w:space="0" w:color="auto"/>
            </w:tcBorders>
          </w:tcPr>
          <w:p>
            <w:pPr>
              <w:pStyle w:val="TableParagraph"/>
              <w:tabs>
                <w:tab w:pos="2081" w:val="left" w:leader="none"/>
              </w:tabs>
              <w:spacing w:line="240" w:lineRule="auto" w:before="11"/>
              <w:ind w:left="909" w:right="0"/>
              <w:jc w:val="left"/>
              <w:rPr>
                <w:rFonts w:ascii="Arial" w:hAnsi="Arial" w:cs="Arial" w:eastAsia="Arial" w:hint="default"/>
                <w:sz w:val="18"/>
                <w:szCs w:val="18"/>
              </w:rPr>
            </w:pPr>
            <w:r>
              <w:rPr>
                <w:rFonts w:ascii="宋体" w:hAnsi="宋体" w:cs="宋体" w:eastAsia="宋体" w:hint="default"/>
                <w:sz w:val="18"/>
                <w:szCs w:val="18"/>
              </w:rPr>
              <w:t>金额</w:t>
              <w:tab/>
            </w:r>
            <w:r>
              <w:rPr>
                <w:rFonts w:ascii="Arial" w:hAnsi="Arial" w:cs="Arial" w:eastAsia="Arial" w:hint="default"/>
                <w:sz w:val="18"/>
                <w:szCs w:val="18"/>
              </w:rPr>
              <w:t>%</w:t>
            </w:r>
          </w:p>
        </w:tc>
      </w:tr>
      <w:tr>
        <w:trPr>
          <w:trHeight w:val="475"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财务收入</w:t>
            </w:r>
            <w:r>
              <w:rPr>
                <w:rFonts w:ascii="Arial" w:hAnsi="Arial" w:cs="Arial" w:eastAsia="Arial" w:hint="default"/>
                <w:sz w:val="18"/>
                <w:szCs w:val="18"/>
              </w:rPr>
              <w:t>-</w:t>
            </w:r>
            <w:r>
              <w:rPr>
                <w:rFonts w:ascii="宋体" w:hAnsi="宋体" w:cs="宋体" w:eastAsia="宋体" w:hint="default"/>
                <w:sz w:val="18"/>
                <w:szCs w:val="18"/>
              </w:rPr>
              <w:t>净额</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20</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441"/>
              <w:jc w:val="right"/>
              <w:rPr>
                <w:rFonts w:ascii="Times New Roman" w:hAnsi="Times New Roman" w:cs="Times New Roman" w:eastAsia="Times New Roman" w:hint="default"/>
                <w:sz w:val="20"/>
                <w:szCs w:val="20"/>
              </w:rPr>
            </w:pPr>
            <w:r>
              <w:rPr>
                <w:rFonts w:ascii="Times New Roman"/>
                <w:w w:val="95"/>
                <w:sz w:val="20"/>
              </w:rPr>
              <w:t>186,083</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381"/>
              <w:jc w:val="right"/>
              <w:rPr>
                <w:rFonts w:ascii="Times New Roman" w:hAnsi="Times New Roman" w:cs="Times New Roman" w:eastAsia="Times New Roman" w:hint="default"/>
                <w:sz w:val="20"/>
                <w:szCs w:val="20"/>
              </w:rPr>
            </w:pPr>
            <w:r>
              <w:rPr>
                <w:rFonts w:ascii="Times New Roman"/>
                <w:w w:val="95"/>
                <w:sz w:val="20"/>
              </w:rPr>
              <w:t>403,236</w:t>
            </w:r>
            <w:r>
              <w:rPr>
                <w:rFonts w:ascii="Times New Roman"/>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74"/>
              <w:jc w:val="right"/>
              <w:rPr>
                <w:rFonts w:ascii="Times New Roman" w:hAnsi="Times New Roman" w:cs="Times New Roman" w:eastAsia="Times New Roman" w:hint="default"/>
                <w:sz w:val="20"/>
                <w:szCs w:val="20"/>
              </w:rPr>
            </w:pPr>
            <w:r>
              <w:rPr>
                <w:rFonts w:ascii="Times New Roman"/>
                <w:w w:val="95"/>
                <w:sz w:val="20"/>
              </w:rPr>
              <w:t>(217,153)</w:t>
            </w:r>
            <w:r>
              <w:rPr>
                <w:rFonts w:ascii="Times New Roman"/>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Times New Roman" w:hAnsi="Times New Roman" w:cs="Times New Roman" w:eastAsia="Times New Roman" w:hint="default"/>
                <w:sz w:val="20"/>
                <w:szCs w:val="20"/>
              </w:rPr>
            </w:pPr>
            <w:r>
              <w:rPr>
                <w:rFonts w:ascii="Times New Roman"/>
                <w:w w:val="95"/>
                <w:sz w:val="20"/>
              </w:rPr>
              <w:t>(53.85%)</w:t>
            </w:r>
            <w:r>
              <w:rPr>
                <w:rFonts w:ascii="Times New Roman"/>
                <w:sz w:val="20"/>
              </w:rPr>
            </w:r>
          </w:p>
        </w:tc>
      </w:tr>
      <w:tr>
        <w:trPr>
          <w:trHeight w:val="315"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9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21</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41"/>
              <w:jc w:val="right"/>
              <w:rPr>
                <w:rFonts w:ascii="Times New Roman" w:hAnsi="Times New Roman" w:cs="Times New Roman" w:eastAsia="Times New Roman" w:hint="default"/>
                <w:sz w:val="20"/>
                <w:szCs w:val="20"/>
              </w:rPr>
            </w:pPr>
            <w:r>
              <w:rPr>
                <w:rFonts w:ascii="Times New Roman"/>
                <w:w w:val="95"/>
                <w:sz w:val="20"/>
              </w:rPr>
              <w:t>179,548</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81"/>
              <w:jc w:val="right"/>
              <w:rPr>
                <w:rFonts w:ascii="Times New Roman" w:hAnsi="Times New Roman" w:cs="Times New Roman" w:eastAsia="Times New Roman" w:hint="default"/>
                <w:sz w:val="20"/>
                <w:szCs w:val="20"/>
              </w:rPr>
            </w:pPr>
            <w:r>
              <w:rPr>
                <w:rFonts w:ascii="Times New Roman"/>
                <w:w w:val="95"/>
                <w:sz w:val="20"/>
              </w:rPr>
              <w:t>69,537</w:t>
            </w:r>
            <w:r>
              <w:rPr>
                <w:rFonts w:ascii="Times New Roman"/>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74"/>
              <w:jc w:val="right"/>
              <w:rPr>
                <w:rFonts w:ascii="Times New Roman" w:hAnsi="Times New Roman" w:cs="Times New Roman" w:eastAsia="Times New Roman" w:hint="default"/>
                <w:sz w:val="20"/>
                <w:szCs w:val="20"/>
              </w:rPr>
            </w:pPr>
            <w:r>
              <w:rPr>
                <w:rFonts w:ascii="Times New Roman"/>
                <w:spacing w:val="-2"/>
                <w:w w:val="95"/>
                <w:sz w:val="20"/>
              </w:rPr>
              <w:t>110,011</w:t>
            </w:r>
            <w:r>
              <w:rPr>
                <w:rFonts w:ascii="Times New Roman"/>
                <w:spacing w:val="-2"/>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2" w:right="0"/>
              <w:jc w:val="left"/>
              <w:rPr>
                <w:rFonts w:ascii="Times New Roman" w:hAnsi="Times New Roman" w:cs="Times New Roman" w:eastAsia="Times New Roman" w:hint="default"/>
                <w:sz w:val="20"/>
                <w:szCs w:val="20"/>
              </w:rPr>
            </w:pPr>
            <w:r>
              <w:rPr>
                <w:rFonts w:ascii="Times New Roman"/>
                <w:sz w:val="20"/>
              </w:rPr>
              <w:t>158.20%</w:t>
            </w:r>
          </w:p>
        </w:tc>
      </w:tr>
      <w:tr>
        <w:trPr>
          <w:trHeight w:val="316"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9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22</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41"/>
              <w:jc w:val="right"/>
              <w:rPr>
                <w:rFonts w:ascii="Times New Roman" w:hAnsi="Times New Roman" w:cs="Times New Roman" w:eastAsia="Times New Roman" w:hint="default"/>
                <w:sz w:val="20"/>
                <w:szCs w:val="20"/>
              </w:rPr>
            </w:pPr>
            <w:r>
              <w:rPr>
                <w:rFonts w:ascii="Times New Roman"/>
                <w:w w:val="95"/>
                <w:sz w:val="20"/>
              </w:rPr>
              <w:t>354,445</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81"/>
              <w:jc w:val="right"/>
              <w:rPr>
                <w:rFonts w:ascii="Times New Roman" w:hAnsi="Times New Roman" w:cs="Times New Roman" w:eastAsia="Times New Roman" w:hint="default"/>
                <w:sz w:val="20"/>
                <w:szCs w:val="20"/>
              </w:rPr>
            </w:pPr>
            <w:r>
              <w:rPr>
                <w:rFonts w:ascii="Times New Roman"/>
                <w:spacing w:val="-1"/>
                <w:sz w:val="20"/>
              </w:rPr>
              <w:t>117,555</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74"/>
              <w:jc w:val="right"/>
              <w:rPr>
                <w:rFonts w:ascii="Times New Roman" w:hAnsi="Times New Roman" w:cs="Times New Roman" w:eastAsia="Times New Roman" w:hint="default"/>
                <w:sz w:val="20"/>
                <w:szCs w:val="20"/>
              </w:rPr>
            </w:pPr>
            <w:r>
              <w:rPr>
                <w:rFonts w:ascii="Times New Roman"/>
                <w:w w:val="95"/>
                <w:sz w:val="20"/>
              </w:rPr>
              <w:t>236,890</w:t>
            </w:r>
            <w:r>
              <w:rPr>
                <w:rFonts w:ascii="Times New Roman"/>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2" w:right="0"/>
              <w:jc w:val="left"/>
              <w:rPr>
                <w:rFonts w:ascii="Times New Roman" w:hAnsi="Times New Roman" w:cs="Times New Roman" w:eastAsia="Times New Roman" w:hint="default"/>
                <w:sz w:val="20"/>
                <w:szCs w:val="20"/>
              </w:rPr>
            </w:pPr>
            <w:r>
              <w:rPr>
                <w:rFonts w:ascii="Times New Roman"/>
                <w:sz w:val="20"/>
              </w:rPr>
              <w:t>201.51%</w:t>
            </w:r>
          </w:p>
        </w:tc>
      </w:tr>
      <w:tr>
        <w:trPr>
          <w:trHeight w:val="259" w:hRule="exact"/>
        </w:trPr>
        <w:tc>
          <w:tcPr>
            <w:tcW w:w="64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9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9" w:right="0"/>
              <w:jc w:val="left"/>
              <w:rPr>
                <w:rFonts w:ascii="Arial" w:hAnsi="Arial" w:cs="Arial" w:eastAsia="Arial"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w:hAnsi="Arial" w:cs="Arial" w:eastAsia="Arial" w:hint="default"/>
                <w:sz w:val="18"/>
                <w:szCs w:val="18"/>
              </w:rPr>
              <w:t>23</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41"/>
              <w:jc w:val="right"/>
              <w:rPr>
                <w:rFonts w:ascii="Times New Roman" w:hAnsi="Times New Roman" w:cs="Times New Roman" w:eastAsia="Times New Roman" w:hint="default"/>
                <w:sz w:val="20"/>
                <w:szCs w:val="20"/>
              </w:rPr>
            </w:pPr>
            <w:r>
              <w:rPr>
                <w:rFonts w:ascii="Times New Roman"/>
                <w:w w:val="95"/>
                <w:sz w:val="20"/>
              </w:rPr>
              <w:t>126,450</w:t>
            </w:r>
            <w:r>
              <w:rPr>
                <w:rFonts w:ascii="Times New Roman"/>
                <w:sz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81"/>
              <w:jc w:val="right"/>
              <w:rPr>
                <w:rFonts w:ascii="Times New Roman" w:hAnsi="Times New Roman" w:cs="Times New Roman" w:eastAsia="Times New Roman" w:hint="default"/>
                <w:sz w:val="20"/>
                <w:szCs w:val="20"/>
              </w:rPr>
            </w:pPr>
            <w:r>
              <w:rPr>
                <w:rFonts w:ascii="Times New Roman"/>
                <w:w w:val="95"/>
                <w:sz w:val="20"/>
              </w:rPr>
              <w:t>88,410</w:t>
            </w:r>
            <w:r>
              <w:rPr>
                <w:rFonts w:ascii="Times New Roman"/>
                <w:sz w:val="20"/>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74"/>
              <w:jc w:val="right"/>
              <w:rPr>
                <w:rFonts w:ascii="Times New Roman" w:hAnsi="Times New Roman" w:cs="Times New Roman" w:eastAsia="Times New Roman" w:hint="default"/>
                <w:sz w:val="20"/>
                <w:szCs w:val="20"/>
              </w:rPr>
            </w:pPr>
            <w:r>
              <w:rPr>
                <w:rFonts w:ascii="Times New Roman"/>
                <w:w w:val="95"/>
                <w:sz w:val="20"/>
              </w:rPr>
              <w:t>38,040</w:t>
            </w:r>
            <w:r>
              <w:rPr>
                <w:rFonts w:ascii="Times New Roman"/>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53" w:right="0"/>
              <w:jc w:val="left"/>
              <w:rPr>
                <w:rFonts w:ascii="Times New Roman" w:hAnsi="Times New Roman" w:cs="Times New Roman" w:eastAsia="Times New Roman" w:hint="default"/>
                <w:sz w:val="20"/>
                <w:szCs w:val="20"/>
              </w:rPr>
            </w:pPr>
            <w:r>
              <w:rPr>
                <w:rFonts w:ascii="Times New Roman"/>
                <w:sz w:val="20"/>
              </w:rPr>
              <w:t>43.03%</w:t>
            </w:r>
          </w:p>
        </w:tc>
      </w:tr>
    </w:tbl>
    <w:p>
      <w:pPr>
        <w:spacing w:after="0" w:line="240" w:lineRule="auto"/>
        <w:jc w:val="left"/>
        <w:rPr>
          <w:rFonts w:ascii="Times New Roman" w:hAnsi="Times New Roman" w:cs="Times New Roman" w:eastAsia="Times New Roman" w:hint="default"/>
          <w:sz w:val="20"/>
          <w:szCs w:val="20"/>
        </w:rPr>
        <w:sectPr>
          <w:pgSz w:w="11910" w:h="16840"/>
          <w:pgMar w:header="927" w:footer="1268" w:top="2140" w:bottom="1540" w:left="82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680"/>
        <w:gridCol w:w="5400"/>
      </w:tblGrid>
      <w:tr>
        <w:trPr>
          <w:trHeight w:val="252"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三</w:t>
            </w:r>
          </w:p>
        </w:tc>
        <w:tc>
          <w:tcPr>
            <w:tcW w:w="5400" w:type="dxa"/>
            <w:tcBorders>
              <w:top w:val="nil" w:sz="6" w:space="0" w:color="auto"/>
              <w:left w:val="nil" w:sz="6" w:space="0" w:color="auto"/>
              <w:bottom w:val="nil" w:sz="6" w:space="0" w:color="auto"/>
              <w:right w:val="nil" w:sz="6" w:space="0" w:color="auto"/>
            </w:tcBorders>
          </w:tcPr>
          <w:p>
            <w:pPr>
              <w:pStyle w:val="TableParagraph"/>
              <w:spacing w:line="257" w:lineRule="exact"/>
              <w:ind w:left="240" w:right="0"/>
              <w:jc w:val="left"/>
              <w:rPr>
                <w:rFonts w:ascii="Arial" w:hAnsi="Arial" w:cs="Arial" w:eastAsia="Arial" w:hint="default"/>
                <w:sz w:val="24"/>
                <w:szCs w:val="24"/>
              </w:rPr>
            </w:pPr>
            <w:r>
              <w:rPr>
                <w:rFonts w:ascii="黑体" w:hAnsi="黑体" w:cs="黑体" w:eastAsia="黑体" w:hint="default"/>
                <w:sz w:val="24"/>
                <w:szCs w:val="24"/>
              </w:rPr>
              <w:t>主要会计报表项目的异常情况及原因的说明</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7"/>
          <w:szCs w:val="27"/>
        </w:rPr>
      </w:pPr>
    </w:p>
    <w:p>
      <w:pPr>
        <w:pStyle w:val="Heading3"/>
        <w:spacing w:line="312" w:lineRule="exact" w:before="56"/>
        <w:ind w:left="312" w:right="1266"/>
        <w:jc w:val="both"/>
      </w:pPr>
      <w:r>
        <w:rPr/>
        <w:t>注释</w:t>
      </w:r>
      <w:r>
        <w:rPr>
          <w:spacing w:val="-58"/>
        </w:rPr>
        <w:t> </w:t>
      </w:r>
      <w:r>
        <w:rPr>
          <w:rFonts w:ascii="Arial" w:hAnsi="Arial" w:cs="Arial" w:eastAsia="Arial" w:hint="default"/>
        </w:rPr>
        <w:t>1</w:t>
      </w:r>
      <w:r>
        <w:rPr/>
        <w:t>：</w:t>
      </w:r>
      <w:r>
        <w:rPr>
          <w:spacing w:val="-19"/>
        </w:rPr>
        <w:t> </w:t>
      </w:r>
      <w:r>
        <w:rPr/>
        <w:t>货币资金年末数比年初数增加</w:t>
      </w:r>
      <w:r>
        <w:rPr>
          <w:spacing w:val="-58"/>
        </w:rPr>
        <w:t> </w:t>
      </w:r>
      <w:r>
        <w:rPr>
          <w:rFonts w:ascii="Arial" w:hAnsi="Arial" w:cs="Arial" w:eastAsia="Arial" w:hint="default"/>
          <w:spacing w:val="-3"/>
        </w:rPr>
        <w:t>32.22%</w:t>
      </w:r>
      <w:r>
        <w:rPr>
          <w:spacing w:val="-3"/>
        </w:rPr>
        <w:t>，主要原因为：报告期内，本公司完成非公</w:t>
      </w:r>
      <w:r>
        <w:rPr/>
        <w:t> 开发行股票以及公开发行公司债，募集资金到位，带来本集团货币资金的增加。</w:t>
      </w:r>
    </w:p>
    <w:p>
      <w:pPr>
        <w:spacing w:line="240" w:lineRule="auto" w:before="11"/>
        <w:rPr>
          <w:rFonts w:ascii="宋体" w:hAnsi="宋体" w:cs="宋体" w:eastAsia="宋体" w:hint="default"/>
          <w:sz w:val="23"/>
          <w:szCs w:val="23"/>
        </w:rPr>
      </w:pPr>
    </w:p>
    <w:p>
      <w:pPr>
        <w:pStyle w:val="Heading3"/>
        <w:spacing w:line="312" w:lineRule="exact"/>
        <w:ind w:left="312" w:right="1266"/>
        <w:jc w:val="both"/>
      </w:pPr>
      <w:r>
        <w:rPr/>
        <w:t>注释</w:t>
      </w:r>
      <w:r>
        <w:rPr>
          <w:spacing w:val="-58"/>
        </w:rPr>
        <w:t> </w:t>
      </w:r>
      <w:r>
        <w:rPr>
          <w:rFonts w:ascii="Arial" w:hAnsi="Arial" w:cs="Arial" w:eastAsia="Arial" w:hint="default"/>
        </w:rPr>
        <w:t>2</w:t>
      </w:r>
      <w:r>
        <w:rPr/>
        <w:t>：</w:t>
      </w:r>
      <w:r>
        <w:rPr>
          <w:spacing w:val="-19"/>
        </w:rPr>
        <w:t> </w:t>
      </w:r>
      <w:r>
        <w:rPr/>
        <w:t>应收票据年末数比年初数减少</w:t>
      </w:r>
      <w:r>
        <w:rPr>
          <w:spacing w:val="-58"/>
        </w:rPr>
        <w:t> </w:t>
      </w:r>
      <w:r>
        <w:rPr>
          <w:rFonts w:ascii="Arial" w:hAnsi="Arial" w:cs="Arial" w:eastAsia="Arial" w:hint="default"/>
          <w:spacing w:val="-3"/>
        </w:rPr>
        <w:t>58.89%</w:t>
      </w:r>
      <w:r>
        <w:rPr>
          <w:spacing w:val="-3"/>
        </w:rPr>
        <w:t>，主要原因为：报告期内，本集团收到的客</w:t>
      </w:r>
      <w:r>
        <w:rPr/>
        <w:t> 户的银行承兑汇票尚未到结算期且未背书转让的金额有所减少。</w:t>
      </w:r>
    </w:p>
    <w:p>
      <w:pPr>
        <w:spacing w:line="240" w:lineRule="auto" w:before="12"/>
        <w:rPr>
          <w:rFonts w:ascii="宋体" w:hAnsi="宋体" w:cs="宋体" w:eastAsia="宋体" w:hint="default"/>
          <w:sz w:val="23"/>
          <w:szCs w:val="23"/>
        </w:rPr>
      </w:pPr>
    </w:p>
    <w:p>
      <w:pPr>
        <w:pStyle w:val="Heading3"/>
        <w:spacing w:line="312" w:lineRule="exact"/>
        <w:ind w:left="312" w:right="1265"/>
        <w:jc w:val="both"/>
      </w:pPr>
      <w:r>
        <w:rPr/>
        <w:t>注释</w:t>
      </w:r>
      <w:r>
        <w:rPr>
          <w:spacing w:val="-58"/>
        </w:rPr>
        <w:t> </w:t>
      </w:r>
      <w:r>
        <w:rPr>
          <w:rFonts w:ascii="Arial" w:hAnsi="Arial" w:cs="Arial" w:eastAsia="Arial" w:hint="default"/>
          <w:w w:val="99"/>
        </w:rPr>
        <w:t>3</w:t>
      </w:r>
      <w:r>
        <w:rPr>
          <w:w w:val="99"/>
        </w:rPr>
        <w:t>：应收账款年末数比年初数减少</w:t>
      </w:r>
      <w:r>
        <w:rPr>
          <w:spacing w:val="-58"/>
          <w:w w:val="99"/>
        </w:rPr>
        <w:t> </w:t>
      </w:r>
      <w:r>
        <w:rPr>
          <w:rFonts w:ascii="Arial" w:hAnsi="Arial" w:cs="Arial" w:eastAsia="Arial" w:hint="default"/>
          <w:spacing w:val="-6"/>
          <w:w w:val="99"/>
        </w:rPr>
        <w:t>31.02%</w:t>
      </w:r>
      <w:r>
        <w:rPr>
          <w:spacing w:val="-6"/>
          <w:w w:val="99"/>
        </w:rPr>
        <w:t>，主要原因为：“以旧换新”政策于</w:t>
      </w:r>
      <w:r>
        <w:rPr>
          <w:spacing w:val="-57"/>
          <w:w w:val="99"/>
        </w:rPr>
        <w:t> </w:t>
      </w:r>
      <w:r>
        <w:rPr>
          <w:rFonts w:ascii="Arial" w:hAnsi="Arial" w:cs="Arial" w:eastAsia="Arial" w:hint="default"/>
          <w:spacing w:val="-5"/>
          <w:w w:val="99"/>
        </w:rPr>
        <w:t>2011</w:t>
      </w:r>
      <w:r>
        <w:rPr>
          <w:rFonts w:ascii="Arial" w:hAnsi="Arial" w:cs="Arial" w:eastAsia="Arial" w:hint="default"/>
          <w:spacing w:val="-6"/>
          <w:w w:val="99"/>
        </w:rPr>
        <w:t> </w:t>
      </w:r>
      <w:r>
        <w:rPr/>
        <w:t>年 底到期，本年度集团基本收回了“以旧换新”代垫补贴款，带来应收账款的减少。</w:t>
      </w:r>
    </w:p>
    <w:p>
      <w:pPr>
        <w:spacing w:line="240" w:lineRule="auto" w:before="11"/>
        <w:rPr>
          <w:rFonts w:ascii="宋体" w:hAnsi="宋体" w:cs="宋体" w:eastAsia="宋体" w:hint="default"/>
          <w:sz w:val="23"/>
          <w:szCs w:val="23"/>
        </w:rPr>
      </w:pPr>
    </w:p>
    <w:p>
      <w:pPr>
        <w:pStyle w:val="Heading3"/>
        <w:spacing w:line="312" w:lineRule="exact"/>
        <w:ind w:left="312" w:right="1264"/>
        <w:jc w:val="both"/>
      </w:pPr>
      <w:r>
        <w:rPr/>
        <w:t>注释 </w:t>
      </w:r>
      <w:r>
        <w:rPr>
          <w:rFonts w:ascii="Arial" w:hAnsi="Arial" w:cs="Arial" w:eastAsia="Arial" w:hint="default"/>
        </w:rPr>
        <w:t>4</w:t>
      </w:r>
      <w:r>
        <w:rPr/>
        <w:t>：预付账款年末数比年初数增加</w:t>
      </w:r>
      <w:r>
        <w:rPr>
          <w:spacing w:val="-85"/>
        </w:rPr>
        <w:t> </w:t>
      </w:r>
      <w:r>
        <w:rPr>
          <w:rFonts w:ascii="Arial" w:hAnsi="Arial" w:cs="Arial" w:eastAsia="Arial" w:hint="default"/>
        </w:rPr>
        <w:t>33.00%</w:t>
      </w:r>
      <w:r>
        <w:rPr/>
        <w:t>，主要原因为：报告期内，本集团为了应对 春节、元旦销售旺季，加大了备货量，相应预付供应商的货款有所增加。</w:t>
      </w:r>
    </w:p>
    <w:p>
      <w:pPr>
        <w:spacing w:line="240" w:lineRule="auto" w:before="11"/>
        <w:rPr>
          <w:rFonts w:ascii="宋体" w:hAnsi="宋体" w:cs="宋体" w:eastAsia="宋体" w:hint="default"/>
          <w:sz w:val="23"/>
          <w:szCs w:val="23"/>
        </w:rPr>
      </w:pPr>
    </w:p>
    <w:p>
      <w:pPr>
        <w:pStyle w:val="Heading3"/>
        <w:spacing w:line="312" w:lineRule="exact"/>
        <w:ind w:left="312" w:right="1265"/>
        <w:jc w:val="both"/>
      </w:pPr>
      <w:r>
        <w:rPr/>
        <w:t>注释 </w:t>
      </w:r>
      <w:r>
        <w:rPr>
          <w:rFonts w:ascii="Arial" w:hAnsi="Arial" w:cs="Arial" w:eastAsia="Arial" w:hint="default"/>
        </w:rPr>
        <w:t>5</w:t>
      </w:r>
      <w:r>
        <w:rPr/>
        <w:t>：存货年末数比年初数增加</w:t>
      </w:r>
      <w:r>
        <w:rPr>
          <w:spacing w:val="-87"/>
        </w:rPr>
        <w:t> </w:t>
      </w:r>
      <w:r>
        <w:rPr>
          <w:rFonts w:ascii="Arial" w:hAnsi="Arial" w:cs="Arial" w:eastAsia="Arial" w:hint="default"/>
        </w:rPr>
        <w:t>28.27%</w:t>
      </w:r>
      <w:r>
        <w:rPr/>
        <w:t>，主要原因为：报告期内，本集团针对元旦、春 节销售旺季，积极开展备货工作，另线上业务的快速发展也带来了存货的增加。</w:t>
      </w:r>
    </w:p>
    <w:p>
      <w:pPr>
        <w:spacing w:line="240" w:lineRule="auto" w:before="11"/>
        <w:rPr>
          <w:rFonts w:ascii="宋体" w:hAnsi="宋体" w:cs="宋体" w:eastAsia="宋体" w:hint="default"/>
          <w:sz w:val="23"/>
          <w:szCs w:val="23"/>
        </w:rPr>
      </w:pPr>
    </w:p>
    <w:p>
      <w:pPr>
        <w:pStyle w:val="Heading3"/>
        <w:spacing w:line="312" w:lineRule="exact"/>
        <w:ind w:left="312" w:right="1263"/>
        <w:jc w:val="both"/>
      </w:pPr>
      <w:r>
        <w:rPr/>
        <w:t>注释 </w:t>
      </w:r>
      <w:r>
        <w:rPr>
          <w:rFonts w:ascii="Arial" w:hAnsi="Arial" w:cs="Arial" w:eastAsia="Arial" w:hint="default"/>
        </w:rPr>
        <w:t>6</w:t>
      </w:r>
      <w:r>
        <w:rPr/>
        <w:t>：投资性房地产年末数比年初数增加</w:t>
      </w:r>
      <w:r>
        <w:rPr>
          <w:spacing w:val="-85"/>
        </w:rPr>
        <w:t> </w:t>
      </w:r>
      <w:r>
        <w:rPr>
          <w:rFonts w:ascii="Arial" w:hAnsi="Arial" w:cs="Arial" w:eastAsia="Arial" w:hint="default"/>
        </w:rPr>
        <w:t>85.59%</w:t>
      </w:r>
      <w:r>
        <w:rPr/>
        <w:t>，主要原因为：报告期内，本集团将新 增的自有物业用于转租业务，带来投资性房地产的增加。</w:t>
      </w:r>
    </w:p>
    <w:p>
      <w:pPr>
        <w:spacing w:line="240" w:lineRule="auto" w:before="11"/>
        <w:rPr>
          <w:rFonts w:ascii="宋体" w:hAnsi="宋体" w:cs="宋体" w:eastAsia="宋体" w:hint="default"/>
          <w:sz w:val="23"/>
          <w:szCs w:val="23"/>
        </w:rPr>
      </w:pPr>
    </w:p>
    <w:p>
      <w:pPr>
        <w:pStyle w:val="Heading3"/>
        <w:spacing w:line="312" w:lineRule="exact"/>
        <w:ind w:left="312" w:right="1263"/>
        <w:jc w:val="both"/>
      </w:pPr>
      <w:r>
        <w:rPr/>
        <w:t>注释 </w:t>
      </w:r>
      <w:r>
        <w:rPr>
          <w:rFonts w:ascii="Arial" w:hAnsi="Arial" w:cs="Arial" w:eastAsia="Arial" w:hint="default"/>
        </w:rPr>
        <w:t>7</w:t>
      </w:r>
      <w:r>
        <w:rPr/>
        <w:t>：在建工程年末数比年初数增加</w:t>
      </w:r>
      <w:r>
        <w:rPr>
          <w:spacing w:val="-84"/>
        </w:rPr>
        <w:t> </w:t>
      </w:r>
      <w:r>
        <w:rPr>
          <w:rFonts w:ascii="Arial" w:hAnsi="Arial" w:cs="Arial" w:eastAsia="Arial" w:hint="default"/>
        </w:rPr>
        <w:t>98.01%</w:t>
      </w:r>
      <w:r>
        <w:rPr/>
        <w:t>，主要原因为：报告期内，本集团已开工建 设的物流基地及苏宁广场项目数量有所增加，带来在建工程余额的增加。</w:t>
      </w:r>
    </w:p>
    <w:p>
      <w:pPr>
        <w:spacing w:line="240" w:lineRule="auto" w:before="11"/>
        <w:rPr>
          <w:rFonts w:ascii="宋体" w:hAnsi="宋体" w:cs="宋体" w:eastAsia="宋体" w:hint="default"/>
          <w:sz w:val="23"/>
          <w:szCs w:val="23"/>
        </w:rPr>
      </w:pPr>
    </w:p>
    <w:p>
      <w:pPr>
        <w:pStyle w:val="Heading3"/>
        <w:spacing w:line="312" w:lineRule="exact"/>
        <w:ind w:left="312" w:right="1263"/>
        <w:jc w:val="both"/>
      </w:pPr>
      <w:r>
        <w:rPr/>
        <w:t>注释 </w:t>
      </w:r>
      <w:r>
        <w:rPr>
          <w:rFonts w:ascii="Arial" w:hAnsi="Arial" w:cs="Arial" w:eastAsia="Arial" w:hint="default"/>
        </w:rPr>
        <w:t>8</w:t>
      </w:r>
      <w:r>
        <w:rPr/>
        <w:t>：无形资产年末数比年初数增加</w:t>
      </w:r>
      <w:r>
        <w:rPr>
          <w:spacing w:val="-84"/>
        </w:rPr>
        <w:t> </w:t>
      </w:r>
      <w:r>
        <w:rPr>
          <w:rFonts w:ascii="Arial" w:hAnsi="Arial" w:cs="Arial" w:eastAsia="Arial" w:hint="default"/>
        </w:rPr>
        <w:t>38.26%</w:t>
      </w:r>
      <w:r>
        <w:rPr/>
        <w:t>，主要原因为：报告期内，本集团新购买了 物流基地以及苏宁广场的土地使用权，带来无形资产的增加。</w:t>
      </w:r>
    </w:p>
    <w:p>
      <w:pPr>
        <w:spacing w:line="240" w:lineRule="auto" w:before="11"/>
        <w:rPr>
          <w:rFonts w:ascii="宋体" w:hAnsi="宋体" w:cs="宋体" w:eastAsia="宋体" w:hint="default"/>
          <w:sz w:val="23"/>
          <w:szCs w:val="23"/>
        </w:rPr>
      </w:pPr>
    </w:p>
    <w:p>
      <w:pPr>
        <w:pStyle w:val="Heading3"/>
        <w:spacing w:line="312" w:lineRule="exact"/>
        <w:ind w:left="312" w:right="1263"/>
        <w:jc w:val="both"/>
      </w:pPr>
      <w:r>
        <w:rPr/>
        <w:t>注释 </w:t>
      </w:r>
      <w:r>
        <w:rPr>
          <w:rFonts w:ascii="Arial" w:hAnsi="Arial" w:cs="Arial" w:eastAsia="Arial" w:hint="default"/>
        </w:rPr>
        <w:t>9</w:t>
      </w:r>
      <w:r>
        <w:rPr/>
        <w:t>：开发支出年末数比年初数减少</w:t>
      </w:r>
      <w:r>
        <w:rPr>
          <w:spacing w:val="-84"/>
        </w:rPr>
        <w:t> </w:t>
      </w:r>
      <w:r>
        <w:rPr>
          <w:rFonts w:ascii="Arial" w:hAnsi="Arial" w:cs="Arial" w:eastAsia="Arial" w:hint="default"/>
        </w:rPr>
        <w:t>54.95%</w:t>
      </w:r>
      <w:r>
        <w:rPr/>
        <w:t>，主要原因为：报告期内，本集团部分信息 研发项目已结项决算，带来开发支出余额较上年末有所减少。</w:t>
      </w:r>
    </w:p>
    <w:p>
      <w:pPr>
        <w:spacing w:line="240" w:lineRule="auto" w:before="2"/>
        <w:rPr>
          <w:rFonts w:ascii="宋体" w:hAnsi="宋体" w:cs="宋体" w:eastAsia="宋体" w:hint="default"/>
          <w:sz w:val="22"/>
          <w:szCs w:val="22"/>
        </w:rPr>
      </w:pPr>
    </w:p>
    <w:p>
      <w:pPr>
        <w:pStyle w:val="Heading3"/>
        <w:spacing w:line="232" w:lineRule="auto"/>
        <w:ind w:left="312" w:right="1263"/>
        <w:jc w:val="both"/>
      </w:pPr>
      <w:r>
        <w:rPr/>
        <w:t>注释</w:t>
      </w:r>
      <w:r>
        <w:rPr>
          <w:spacing w:val="-67"/>
        </w:rPr>
        <w:t> </w:t>
      </w:r>
      <w:r>
        <w:rPr>
          <w:rFonts w:ascii="Arial" w:hAnsi="Arial" w:cs="Arial" w:eastAsia="Arial" w:hint="default"/>
        </w:rPr>
        <w:t>10</w:t>
      </w:r>
      <w:r>
        <w:rPr/>
        <w:t>：递延所得税资产年末数比年初数增加</w:t>
      </w:r>
      <w:r>
        <w:rPr>
          <w:spacing w:val="-67"/>
        </w:rPr>
        <w:t> </w:t>
      </w:r>
      <w:r>
        <w:rPr>
          <w:rFonts w:ascii="Arial" w:hAnsi="Arial" w:cs="Arial" w:eastAsia="Arial" w:hint="default"/>
          <w:spacing w:val="-4"/>
        </w:rPr>
        <w:t>47.66%</w:t>
      </w:r>
      <w:r>
        <w:rPr>
          <w:spacing w:val="-4"/>
        </w:rPr>
        <w:t>，主要原因为：下属子公司以后年度</w:t>
      </w:r>
      <w:r>
        <w:rPr/>
        <w:t> </w:t>
      </w:r>
      <w:r>
        <w:rPr>
          <w:spacing w:val="-3"/>
        </w:rPr>
        <w:t>可抵扣亏损的增加，而本集团预计未来能取得用来抵扣可抵扣亏损和税项抵减的应纳税所得</w:t>
      </w:r>
      <w:r>
        <w:rPr>
          <w:spacing w:val="-96"/>
        </w:rPr>
        <w:t> </w:t>
      </w:r>
      <w:r>
        <w:rPr>
          <w:spacing w:val="-96"/>
        </w:rPr>
      </w:r>
      <w:r>
        <w:rPr/>
        <w:t>额，由此带来递延的所得税资产有所增加。</w:t>
      </w:r>
    </w:p>
    <w:p>
      <w:pPr>
        <w:spacing w:line="240" w:lineRule="auto" w:before="1"/>
        <w:rPr>
          <w:rFonts w:ascii="宋体" w:hAnsi="宋体" w:cs="宋体" w:eastAsia="宋体" w:hint="default"/>
          <w:sz w:val="26"/>
          <w:szCs w:val="26"/>
        </w:rPr>
      </w:pPr>
    </w:p>
    <w:p>
      <w:pPr>
        <w:pStyle w:val="Heading3"/>
        <w:spacing w:line="312" w:lineRule="exact"/>
        <w:ind w:left="312" w:right="996"/>
        <w:jc w:val="left"/>
      </w:pPr>
      <w:r>
        <w:rPr/>
        <w:t>注释</w:t>
      </w:r>
      <w:r>
        <w:rPr>
          <w:spacing w:val="-55"/>
        </w:rPr>
        <w:t> </w:t>
      </w:r>
      <w:r>
        <w:rPr>
          <w:rFonts w:ascii="Arial" w:hAnsi="Arial" w:cs="Arial" w:eastAsia="Arial" w:hint="default"/>
          <w:spacing w:val="-3"/>
        </w:rPr>
        <w:t>11</w:t>
      </w:r>
      <w:r>
        <w:rPr>
          <w:spacing w:val="-3"/>
        </w:rPr>
        <w:t>：预收账款年末数比年初数增加</w:t>
      </w:r>
      <w:r>
        <w:rPr>
          <w:spacing w:val="-55"/>
        </w:rPr>
        <w:t> </w:t>
      </w:r>
      <w:r>
        <w:rPr>
          <w:rFonts w:ascii="Arial" w:hAnsi="Arial" w:cs="Arial" w:eastAsia="Arial" w:hint="default"/>
          <w:spacing w:val="-3"/>
        </w:rPr>
        <w:t>54.88%</w:t>
      </w:r>
      <w:r>
        <w:rPr>
          <w:spacing w:val="-3"/>
        </w:rPr>
        <w:t>，主要原因为：本集团为促进元旦旺销，锁</w:t>
      </w:r>
      <w:r>
        <w:rPr>
          <w:spacing w:val="-109"/>
        </w:rPr>
        <w:t> </w:t>
      </w:r>
      <w:r>
        <w:rPr>
          <w:spacing w:val="-109"/>
        </w:rPr>
      </w:r>
      <w:r>
        <w:rPr>
          <w:spacing w:val="-6"/>
        </w:rPr>
        <w:t>定了客源，加强促销推广力度，开展了较多预充值活动，带来预收的货款较上年末有所增加。</w:t>
      </w:r>
    </w:p>
    <w:p>
      <w:pPr>
        <w:spacing w:line="240" w:lineRule="auto" w:before="11"/>
        <w:rPr>
          <w:rFonts w:ascii="宋体" w:hAnsi="宋体" w:cs="宋体" w:eastAsia="宋体" w:hint="default"/>
          <w:sz w:val="23"/>
          <w:szCs w:val="23"/>
        </w:rPr>
      </w:pPr>
    </w:p>
    <w:p>
      <w:pPr>
        <w:pStyle w:val="Heading3"/>
        <w:spacing w:line="312" w:lineRule="exact"/>
        <w:ind w:left="312" w:right="1263"/>
        <w:jc w:val="both"/>
      </w:pPr>
      <w:r>
        <w:rPr/>
        <w:t>注释</w:t>
      </w:r>
      <w:r>
        <w:rPr>
          <w:spacing w:val="-71"/>
        </w:rPr>
        <w:t> </w:t>
      </w:r>
      <w:r>
        <w:rPr>
          <w:rFonts w:ascii="Arial" w:hAnsi="Arial" w:cs="Arial" w:eastAsia="Arial" w:hint="default"/>
        </w:rPr>
        <w:t>12</w:t>
      </w:r>
      <w:r>
        <w:rPr/>
        <w:t>：应交税费年末数比年初数减少</w:t>
      </w:r>
      <w:r>
        <w:rPr>
          <w:spacing w:val="-71"/>
        </w:rPr>
        <w:t> </w:t>
      </w:r>
      <w:r>
        <w:rPr>
          <w:rFonts w:ascii="Arial" w:hAnsi="Arial" w:cs="Arial" w:eastAsia="Arial" w:hint="default"/>
          <w:spacing w:val="-3"/>
        </w:rPr>
        <w:t>84.41%</w:t>
      </w:r>
      <w:r>
        <w:rPr>
          <w:spacing w:val="-3"/>
        </w:rPr>
        <w:t>，主要原因为：报告期内，留抵的增值税有</w:t>
      </w:r>
      <w:r>
        <w:rPr/>
        <w:t> 所增加，带来了应交税费较上年末相比有所减少。</w:t>
      </w:r>
    </w:p>
    <w:p>
      <w:pPr>
        <w:spacing w:after="0" w:line="312" w:lineRule="exact"/>
        <w:jc w:val="both"/>
        <w:sectPr>
          <w:pgSz w:w="11910" w:h="16840"/>
          <w:pgMar w:header="927" w:footer="1268" w:top="2140" w:bottom="1540" w:left="82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tbl>
      <w:tblPr>
        <w:tblW w:w="0" w:type="auto"/>
        <w:jc w:val="left"/>
        <w:tblInd w:w="112" w:type="dxa"/>
        <w:tblLayout w:type="fixed"/>
        <w:tblCellMar>
          <w:top w:w="0" w:type="dxa"/>
          <w:left w:w="0" w:type="dxa"/>
          <w:bottom w:w="0" w:type="dxa"/>
          <w:right w:w="0" w:type="dxa"/>
        </w:tblCellMar>
        <w:tblLook w:val="01E0"/>
      </w:tblPr>
      <w:tblGrid>
        <w:gridCol w:w="680"/>
        <w:gridCol w:w="5400"/>
      </w:tblGrid>
      <w:tr>
        <w:trPr>
          <w:trHeight w:val="252"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三</w:t>
            </w:r>
          </w:p>
        </w:tc>
        <w:tc>
          <w:tcPr>
            <w:tcW w:w="5400" w:type="dxa"/>
            <w:tcBorders>
              <w:top w:val="nil" w:sz="6" w:space="0" w:color="auto"/>
              <w:left w:val="nil" w:sz="6" w:space="0" w:color="auto"/>
              <w:bottom w:val="nil" w:sz="6" w:space="0" w:color="auto"/>
              <w:right w:val="nil" w:sz="6" w:space="0" w:color="auto"/>
            </w:tcBorders>
          </w:tcPr>
          <w:p>
            <w:pPr>
              <w:pStyle w:val="TableParagraph"/>
              <w:spacing w:line="257" w:lineRule="exact"/>
              <w:ind w:left="240" w:right="0"/>
              <w:jc w:val="left"/>
              <w:rPr>
                <w:rFonts w:ascii="Arial" w:hAnsi="Arial" w:cs="Arial" w:eastAsia="Arial" w:hint="default"/>
                <w:sz w:val="24"/>
                <w:szCs w:val="24"/>
              </w:rPr>
            </w:pPr>
            <w:r>
              <w:rPr>
                <w:rFonts w:ascii="黑体" w:hAnsi="黑体" w:cs="黑体" w:eastAsia="黑体" w:hint="default"/>
                <w:sz w:val="24"/>
                <w:szCs w:val="24"/>
              </w:rPr>
              <w:t>主要会计报表项目的异常情况及原因的说明</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11"/>
        <w:rPr>
          <w:rFonts w:ascii="宋体" w:hAnsi="宋体" w:cs="宋体" w:eastAsia="宋体" w:hint="default"/>
          <w:sz w:val="26"/>
          <w:szCs w:val="26"/>
        </w:rPr>
      </w:pPr>
    </w:p>
    <w:p>
      <w:pPr>
        <w:pStyle w:val="Heading3"/>
        <w:spacing w:line="312" w:lineRule="exact" w:before="56"/>
        <w:ind w:left="312" w:right="1254"/>
        <w:jc w:val="left"/>
      </w:pPr>
      <w:r>
        <w:rPr/>
        <w:t>注释</w:t>
      </w:r>
      <w:r>
        <w:rPr>
          <w:spacing w:val="-57"/>
        </w:rPr>
        <w:t> </w:t>
      </w:r>
      <w:r>
        <w:rPr>
          <w:rFonts w:ascii="Arial" w:hAnsi="Arial" w:cs="Arial" w:eastAsia="Arial" w:hint="default"/>
        </w:rPr>
        <w:t>13</w:t>
      </w:r>
      <w:r>
        <w:rPr/>
        <w:t>：应付利息年末数比年初数增长</w:t>
      </w:r>
      <w:r>
        <w:rPr>
          <w:spacing w:val="-57"/>
        </w:rPr>
        <w:t> </w:t>
      </w:r>
      <w:r>
        <w:rPr>
          <w:rFonts w:ascii="Arial" w:hAnsi="Arial" w:cs="Arial" w:eastAsia="Arial" w:hint="default"/>
        </w:rPr>
        <w:t>160.32%</w:t>
      </w:r>
      <w:r>
        <w:rPr/>
        <w:t>，主要原因为：报告期内，本公司完成人 民币</w:t>
      </w:r>
      <w:r>
        <w:rPr>
          <w:spacing w:val="-62"/>
        </w:rPr>
        <w:t> </w:t>
      </w:r>
      <w:r>
        <w:rPr>
          <w:rFonts w:ascii="Arial" w:hAnsi="Arial" w:cs="Arial" w:eastAsia="Arial" w:hint="default"/>
        </w:rPr>
        <w:t>45</w:t>
      </w:r>
      <w:r>
        <w:rPr>
          <w:rFonts w:ascii="Arial" w:hAnsi="Arial" w:cs="Arial" w:eastAsia="Arial" w:hint="default"/>
          <w:spacing w:val="-8"/>
        </w:rPr>
        <w:t> </w:t>
      </w:r>
      <w:r>
        <w:rPr/>
        <w:t>亿公司债的发行，计提了债券利息，带来了应付利息的增加。</w:t>
      </w:r>
    </w:p>
    <w:p>
      <w:pPr>
        <w:spacing w:line="240" w:lineRule="auto" w:before="7"/>
        <w:rPr>
          <w:rFonts w:ascii="宋体" w:hAnsi="宋体" w:cs="宋体" w:eastAsia="宋体" w:hint="default"/>
          <w:sz w:val="27"/>
          <w:szCs w:val="27"/>
        </w:rPr>
      </w:pPr>
    </w:p>
    <w:p>
      <w:pPr>
        <w:pStyle w:val="Heading3"/>
        <w:spacing w:line="322" w:lineRule="exact"/>
        <w:ind w:left="312" w:right="0"/>
        <w:jc w:val="both"/>
        <w:rPr>
          <w:rFonts w:ascii="Arial" w:hAnsi="Arial" w:cs="Arial" w:eastAsia="Arial" w:hint="default"/>
        </w:rPr>
      </w:pPr>
      <w:r>
        <w:rPr/>
        <w:t>注释</w:t>
      </w:r>
      <w:r>
        <w:rPr>
          <w:spacing w:val="-60"/>
        </w:rPr>
        <w:t> </w:t>
      </w:r>
      <w:r>
        <w:rPr>
          <w:rFonts w:ascii="Arial" w:hAnsi="Arial" w:cs="Arial" w:eastAsia="Arial" w:hint="default"/>
          <w:w w:val="99"/>
        </w:rPr>
        <w:t>14</w:t>
      </w:r>
      <w:r>
        <w:rPr>
          <w:spacing w:val="-106"/>
        </w:rPr>
        <w:t>：</w:t>
      </w:r>
      <w:r>
        <w:rPr/>
        <w:t>一年内到期</w:t>
      </w:r>
      <w:r>
        <w:rPr>
          <w:spacing w:val="-3"/>
        </w:rPr>
        <w:t>的</w:t>
      </w:r>
      <w:r>
        <w:rPr/>
        <w:t>非流动负债年末数比年初数减少</w:t>
      </w:r>
      <w:r>
        <w:rPr>
          <w:spacing w:val="-60"/>
        </w:rPr>
        <w:t> </w:t>
      </w:r>
      <w:r>
        <w:rPr>
          <w:rFonts w:ascii="Arial" w:hAnsi="Arial" w:cs="Arial" w:eastAsia="Arial" w:hint="default"/>
          <w:w w:val="99"/>
        </w:rPr>
        <w:t>62</w:t>
      </w:r>
      <w:r>
        <w:rPr>
          <w:rFonts w:ascii="Arial" w:hAnsi="Arial" w:cs="Arial" w:eastAsia="Arial" w:hint="default"/>
          <w:w w:val="100"/>
        </w:rPr>
        <w:t>.</w:t>
      </w:r>
      <w:r>
        <w:rPr>
          <w:rFonts w:ascii="Arial" w:hAnsi="Arial" w:cs="Arial" w:eastAsia="Arial" w:hint="default"/>
          <w:spacing w:val="-1"/>
          <w:w w:val="100"/>
        </w:rPr>
        <w:t>6</w:t>
      </w:r>
      <w:r>
        <w:rPr>
          <w:rFonts w:ascii="Arial" w:hAnsi="Arial" w:cs="Arial" w:eastAsia="Arial" w:hint="default"/>
          <w:w w:val="99"/>
        </w:rPr>
        <w:t>2</w:t>
      </w:r>
      <w:r>
        <w:rPr>
          <w:rFonts w:ascii="Arial" w:hAnsi="Arial" w:cs="Arial" w:eastAsia="Arial" w:hint="default"/>
          <w:w w:val="99"/>
        </w:rPr>
        <w:t>%</w:t>
      </w:r>
      <w:r>
        <w:rPr>
          <w:spacing w:val="-106"/>
        </w:rPr>
        <w:t>，</w:t>
      </w:r>
      <w:r>
        <w:rPr/>
        <w:t>主</w:t>
      </w:r>
      <w:r>
        <w:rPr>
          <w:spacing w:val="-3"/>
        </w:rPr>
        <w:t>要</w:t>
      </w:r>
      <w:r>
        <w:rPr/>
        <w:t>原因为</w:t>
      </w:r>
      <w:r>
        <w:rPr>
          <w:spacing w:val="-106"/>
        </w:rPr>
        <w:t>：</w:t>
      </w:r>
      <w:r>
        <w:rPr/>
        <w:t>本集团于</w:t>
      </w:r>
      <w:r>
        <w:rPr>
          <w:spacing w:val="-60"/>
        </w:rPr>
        <w:t> </w:t>
      </w:r>
      <w:r>
        <w:rPr>
          <w:rFonts w:ascii="Arial" w:hAnsi="Arial" w:cs="Arial" w:eastAsia="Arial" w:hint="default"/>
          <w:w w:val="99"/>
        </w:rPr>
        <w:t>2012</w:t>
      </w:r>
      <w:r>
        <w:rPr>
          <w:rFonts w:ascii="Arial" w:hAnsi="Arial" w:cs="Arial" w:eastAsia="Arial" w:hint="default"/>
        </w:rPr>
      </w:r>
    </w:p>
    <w:p>
      <w:pPr>
        <w:pStyle w:val="Heading3"/>
        <w:spacing w:line="304" w:lineRule="exact"/>
        <w:ind w:left="312" w:right="0"/>
        <w:jc w:val="both"/>
      </w:pPr>
      <w:r>
        <w:rPr/>
        <w:t>年下半年度减少了供应商广告位使用费的收取，带来一年内到期的非流动负债有所减少。</w:t>
      </w:r>
    </w:p>
    <w:p>
      <w:pPr>
        <w:spacing w:line="240" w:lineRule="auto" w:before="2"/>
        <w:rPr>
          <w:rFonts w:ascii="宋体" w:hAnsi="宋体" w:cs="宋体" w:eastAsia="宋体" w:hint="default"/>
          <w:sz w:val="32"/>
          <w:szCs w:val="32"/>
        </w:rPr>
      </w:pPr>
    </w:p>
    <w:p>
      <w:pPr>
        <w:pStyle w:val="Heading3"/>
        <w:spacing w:line="312" w:lineRule="exact"/>
        <w:ind w:left="312" w:right="1131"/>
        <w:jc w:val="both"/>
      </w:pPr>
      <w:r>
        <w:rPr/>
        <w:t>注释</w:t>
      </w:r>
      <w:r>
        <w:rPr>
          <w:spacing w:val="-47"/>
        </w:rPr>
        <w:t> </w:t>
      </w:r>
      <w:r>
        <w:rPr>
          <w:rFonts w:ascii="Arial" w:hAnsi="Arial" w:cs="Arial" w:eastAsia="Arial" w:hint="default"/>
        </w:rPr>
        <w:t>15</w:t>
      </w:r>
      <w:r>
        <w:rPr/>
        <w:t>：应付债券余额增加主要原因为：本公司于报告期内发行公司债券人民币</w:t>
      </w:r>
      <w:r>
        <w:rPr>
          <w:spacing w:val="-46"/>
        </w:rPr>
        <w:t> </w:t>
      </w:r>
      <w:r>
        <w:rPr>
          <w:rFonts w:ascii="Arial" w:hAnsi="Arial" w:cs="Arial" w:eastAsia="Arial" w:hint="default"/>
        </w:rPr>
        <w:t>45</w:t>
      </w:r>
      <w:r>
        <w:rPr>
          <w:rFonts w:ascii="Arial" w:hAnsi="Arial" w:cs="Arial" w:eastAsia="Arial" w:hint="default"/>
          <w:spacing w:val="7"/>
        </w:rPr>
        <w:t> </w:t>
      </w:r>
      <w:r>
        <w:rPr/>
        <w:t>亿元， 带来应付债券余额的增加。</w:t>
      </w:r>
    </w:p>
    <w:p>
      <w:pPr>
        <w:spacing w:line="240" w:lineRule="auto" w:before="1"/>
        <w:rPr>
          <w:rFonts w:ascii="宋体" w:hAnsi="宋体" w:cs="宋体" w:eastAsia="宋体" w:hint="default"/>
          <w:sz w:val="30"/>
          <w:szCs w:val="30"/>
        </w:rPr>
      </w:pPr>
    </w:p>
    <w:p>
      <w:pPr>
        <w:pStyle w:val="Heading3"/>
        <w:spacing w:line="312" w:lineRule="exact"/>
        <w:ind w:left="312" w:right="1132"/>
        <w:jc w:val="both"/>
      </w:pPr>
      <w:r>
        <w:rPr/>
        <w:t>注释 </w:t>
      </w:r>
      <w:r>
        <w:rPr>
          <w:rFonts w:ascii="Arial" w:hAnsi="Arial" w:cs="Arial" w:eastAsia="Arial" w:hint="default"/>
        </w:rPr>
        <w:t>16</w:t>
      </w:r>
      <w:r>
        <w:rPr/>
        <w:t>：预计负债年末数比年初减少</w:t>
      </w:r>
      <w:r>
        <w:rPr>
          <w:spacing w:val="-89"/>
        </w:rPr>
        <w:t> </w:t>
      </w:r>
      <w:r>
        <w:rPr>
          <w:rFonts w:ascii="Arial" w:hAnsi="Arial" w:cs="Arial" w:eastAsia="Arial" w:hint="default"/>
        </w:rPr>
        <w:t>37.79%</w:t>
      </w:r>
      <w:r>
        <w:rPr/>
        <w:t>，主要原因为：在本报告期内，由待执行亏损 合同所产生的预计负债随着合同的履行而转出。</w:t>
      </w:r>
    </w:p>
    <w:p>
      <w:pPr>
        <w:spacing w:line="240" w:lineRule="auto" w:before="12"/>
        <w:rPr>
          <w:rFonts w:ascii="宋体" w:hAnsi="宋体" w:cs="宋体" w:eastAsia="宋体" w:hint="default"/>
          <w:sz w:val="29"/>
          <w:szCs w:val="29"/>
        </w:rPr>
      </w:pPr>
    </w:p>
    <w:p>
      <w:pPr>
        <w:pStyle w:val="Heading3"/>
        <w:spacing w:line="312" w:lineRule="exact"/>
        <w:ind w:left="312" w:right="996"/>
        <w:jc w:val="left"/>
      </w:pPr>
      <w:r>
        <w:rPr/>
        <w:t>注释 </w:t>
      </w:r>
      <w:r>
        <w:rPr>
          <w:rFonts w:ascii="Arial" w:hAnsi="Arial" w:cs="Arial" w:eastAsia="Arial" w:hint="default"/>
        </w:rPr>
        <w:t>17</w:t>
      </w:r>
      <w:r>
        <w:rPr/>
        <w:t>：其他非流动负债年末数比年初数增加</w:t>
      </w:r>
      <w:r>
        <w:rPr>
          <w:spacing w:val="-86"/>
        </w:rPr>
        <w:t> </w:t>
      </w:r>
      <w:r>
        <w:rPr>
          <w:rFonts w:ascii="Arial" w:hAnsi="Arial" w:cs="Arial" w:eastAsia="Arial" w:hint="default"/>
        </w:rPr>
        <w:t>33.59%</w:t>
      </w:r>
      <w:r>
        <w:rPr/>
        <w:t>，主要原因为：报告期内，本集团持 </w:t>
      </w:r>
      <w:r>
        <w:rPr>
          <w:spacing w:val="-2"/>
        </w:rPr>
        <w:t>续推广延保销售业务，以及报告期内本集团收到政府给予资产性相关的补助确认为递延收益，</w:t>
      </w:r>
      <w:r>
        <w:rPr/>
        <w:t> 由此带来年末其他非流动负债较年初有所增加。</w:t>
      </w:r>
    </w:p>
    <w:p>
      <w:pPr>
        <w:spacing w:line="240" w:lineRule="auto" w:before="12"/>
        <w:rPr>
          <w:rFonts w:ascii="宋体" w:hAnsi="宋体" w:cs="宋体" w:eastAsia="宋体" w:hint="default"/>
          <w:sz w:val="29"/>
          <w:szCs w:val="29"/>
        </w:rPr>
      </w:pPr>
    </w:p>
    <w:p>
      <w:pPr>
        <w:pStyle w:val="Heading3"/>
        <w:spacing w:line="312" w:lineRule="exact"/>
        <w:ind w:left="312" w:right="1073"/>
        <w:jc w:val="both"/>
      </w:pPr>
      <w:r>
        <w:rPr/>
        <w:t>注释</w:t>
      </w:r>
      <w:r>
        <w:rPr>
          <w:spacing w:val="-68"/>
        </w:rPr>
        <w:t> </w:t>
      </w:r>
      <w:r>
        <w:rPr>
          <w:rFonts w:ascii="Arial" w:hAnsi="Arial" w:cs="Arial" w:eastAsia="Arial" w:hint="default"/>
        </w:rPr>
        <w:t>18</w:t>
      </w:r>
      <w:r>
        <w:rPr/>
        <w:t>：资本公积年末数比年初数增加</w:t>
      </w:r>
      <w:r>
        <w:rPr>
          <w:spacing w:val="-68"/>
        </w:rPr>
        <w:t> </w:t>
      </w:r>
      <w:r>
        <w:rPr>
          <w:rFonts w:ascii="Arial" w:hAnsi="Arial" w:cs="Arial" w:eastAsia="Arial" w:hint="default"/>
          <w:spacing w:val="-3"/>
        </w:rPr>
        <w:t>804.99%</w:t>
      </w:r>
      <w:r>
        <w:rPr>
          <w:spacing w:val="-3"/>
        </w:rPr>
        <w:t>，主要原因为：报告期内，本公司实施完成</w:t>
      </w:r>
      <w:r>
        <w:rPr/>
        <w:t> </w:t>
      </w:r>
      <w:r>
        <w:rPr>
          <w:rFonts w:ascii="Arial" w:hAnsi="Arial" w:cs="Arial" w:eastAsia="Arial" w:hint="default"/>
          <w:spacing w:val="-5"/>
        </w:rPr>
        <w:t>2011</w:t>
      </w:r>
      <w:r>
        <w:rPr>
          <w:rFonts w:ascii="Arial" w:hAnsi="Arial" w:cs="Arial" w:eastAsia="Arial" w:hint="default"/>
          <w:spacing w:val="-7"/>
        </w:rPr>
        <w:t> </w:t>
      </w:r>
      <w:r>
        <w:rPr/>
        <w:t>年非公开发行股票，每股发行价格人民币</w:t>
      </w:r>
      <w:r>
        <w:rPr>
          <w:spacing w:val="-62"/>
        </w:rPr>
        <w:t> </w:t>
      </w:r>
      <w:r>
        <w:rPr>
          <w:rFonts w:ascii="Arial" w:hAnsi="Arial" w:cs="Arial" w:eastAsia="Arial" w:hint="default"/>
        </w:rPr>
        <w:t>12.15</w:t>
      </w:r>
      <w:r>
        <w:rPr>
          <w:rFonts w:ascii="Arial" w:hAnsi="Arial" w:cs="Arial" w:eastAsia="Arial" w:hint="default"/>
          <w:spacing w:val="-7"/>
        </w:rPr>
        <w:t> </w:t>
      </w:r>
      <w:r>
        <w:rPr/>
        <w:t>元，募集资金净额人民币</w:t>
      </w:r>
      <w:r>
        <w:rPr>
          <w:spacing w:val="-62"/>
        </w:rPr>
        <w:t> </w:t>
      </w:r>
      <w:r>
        <w:rPr>
          <w:rFonts w:ascii="Arial" w:hAnsi="Arial" w:cs="Arial" w:eastAsia="Arial" w:hint="default"/>
        </w:rPr>
        <w:t>46.33</w:t>
      </w:r>
      <w:r>
        <w:rPr>
          <w:rFonts w:ascii="Arial" w:hAnsi="Arial" w:cs="Arial" w:eastAsia="Arial" w:hint="default"/>
          <w:spacing w:val="-8"/>
        </w:rPr>
        <w:t> </w:t>
      </w:r>
      <w:r>
        <w:rPr/>
        <w:t>亿元， 其超过股本部分的金额记录于资本公积，由此带来资本公积较年初有所增加。</w:t>
      </w:r>
    </w:p>
    <w:p>
      <w:pPr>
        <w:spacing w:line="240" w:lineRule="auto" w:before="1"/>
        <w:rPr>
          <w:rFonts w:ascii="宋体" w:hAnsi="宋体" w:cs="宋体" w:eastAsia="宋体" w:hint="default"/>
          <w:sz w:val="30"/>
          <w:szCs w:val="30"/>
        </w:rPr>
      </w:pPr>
    </w:p>
    <w:p>
      <w:pPr>
        <w:pStyle w:val="Heading3"/>
        <w:spacing w:line="312" w:lineRule="exact"/>
        <w:ind w:left="312" w:right="1131"/>
        <w:jc w:val="both"/>
      </w:pPr>
      <w:r>
        <w:rPr/>
        <w:t>注释</w:t>
      </w:r>
      <w:r>
        <w:rPr>
          <w:spacing w:val="-65"/>
        </w:rPr>
        <w:t> </w:t>
      </w:r>
      <w:r>
        <w:rPr>
          <w:rFonts w:ascii="Arial" w:hAnsi="Arial" w:cs="Arial" w:eastAsia="Arial" w:hint="default"/>
        </w:rPr>
        <w:t>19</w:t>
      </w:r>
      <w:r>
        <w:rPr/>
        <w:t>：外币报表折算差额年末数比年初减少</w:t>
      </w:r>
      <w:r>
        <w:rPr>
          <w:spacing w:val="-65"/>
        </w:rPr>
        <w:t> </w:t>
      </w:r>
      <w:r>
        <w:rPr>
          <w:rFonts w:ascii="Arial" w:hAnsi="Arial" w:cs="Arial" w:eastAsia="Arial" w:hint="default"/>
          <w:spacing w:val="-4"/>
        </w:rPr>
        <w:t>307.35%</w:t>
      </w:r>
      <w:r>
        <w:rPr>
          <w:spacing w:val="-4"/>
        </w:rPr>
        <w:t>，主要原因为：报告期内，人民币外</w:t>
      </w:r>
      <w:r>
        <w:rPr/>
        <w:t> 汇汇率持续走强，本集团将香港、日本地区公司进行报表合并时，分别由港币、日元折换成</w:t>
      </w:r>
      <w:r>
        <w:rPr>
          <w:spacing w:val="-91"/>
        </w:rPr>
        <w:t> </w:t>
      </w:r>
      <w:r>
        <w:rPr>
          <w:spacing w:val="-91"/>
        </w:rPr>
      </w:r>
      <w:r>
        <w:rPr/>
        <w:t>人民币，带来外币报表折算差额的期末余额有所减少。</w:t>
      </w:r>
    </w:p>
    <w:p>
      <w:pPr>
        <w:spacing w:line="240" w:lineRule="auto" w:before="12"/>
        <w:rPr>
          <w:rFonts w:ascii="宋体" w:hAnsi="宋体" w:cs="宋体" w:eastAsia="宋体" w:hint="default"/>
          <w:sz w:val="29"/>
          <w:szCs w:val="29"/>
        </w:rPr>
      </w:pPr>
    </w:p>
    <w:p>
      <w:pPr>
        <w:pStyle w:val="Heading3"/>
        <w:spacing w:line="312" w:lineRule="exact"/>
        <w:ind w:left="312" w:right="1131"/>
        <w:jc w:val="both"/>
      </w:pPr>
      <w:r>
        <w:rPr/>
        <w:t>注释</w:t>
      </w:r>
      <w:r>
        <w:rPr>
          <w:spacing w:val="-83"/>
        </w:rPr>
        <w:t> </w:t>
      </w:r>
      <w:r>
        <w:rPr>
          <w:rFonts w:ascii="Arial" w:hAnsi="Arial" w:cs="Arial" w:eastAsia="Arial" w:hint="default"/>
        </w:rPr>
        <w:t>20</w:t>
      </w:r>
      <w:r>
        <w:rPr/>
        <w:t>：财务收入</w:t>
      </w:r>
      <w:r>
        <w:rPr>
          <w:rFonts w:ascii="Arial" w:hAnsi="Arial" w:cs="Arial" w:eastAsia="Arial" w:hint="default"/>
        </w:rPr>
        <w:t>-</w:t>
      </w:r>
      <w:r>
        <w:rPr/>
        <w:t>净额本年比上年同期减少了</w:t>
      </w:r>
      <w:r>
        <w:rPr>
          <w:spacing w:val="-83"/>
        </w:rPr>
        <w:t> </w:t>
      </w:r>
      <w:r>
        <w:rPr>
          <w:rFonts w:ascii="Arial" w:hAnsi="Arial" w:cs="Arial" w:eastAsia="Arial" w:hint="default"/>
        </w:rPr>
        <w:t>53.85%</w:t>
      </w:r>
      <w:r>
        <w:rPr/>
        <w:t>，主要原因为：报告期内，本集团消 费刷卡比例的提升及利息支出的增加，带来财务净收入的减少。</w:t>
      </w:r>
    </w:p>
    <w:p>
      <w:pPr>
        <w:spacing w:line="240" w:lineRule="auto" w:before="12"/>
        <w:rPr>
          <w:rFonts w:ascii="宋体" w:hAnsi="宋体" w:cs="宋体" w:eastAsia="宋体" w:hint="default"/>
          <w:sz w:val="29"/>
          <w:szCs w:val="29"/>
        </w:rPr>
      </w:pPr>
    </w:p>
    <w:p>
      <w:pPr>
        <w:pStyle w:val="Heading3"/>
        <w:spacing w:line="312" w:lineRule="exact"/>
        <w:ind w:left="312" w:right="1011"/>
        <w:jc w:val="both"/>
      </w:pPr>
      <w:r>
        <w:rPr/>
        <w:t>注释</w:t>
      </w:r>
      <w:r>
        <w:rPr>
          <w:spacing w:val="-63"/>
        </w:rPr>
        <w:t> </w:t>
      </w:r>
      <w:r>
        <w:rPr>
          <w:rFonts w:ascii="Arial" w:hAnsi="Arial" w:cs="Arial" w:eastAsia="Arial" w:hint="default"/>
        </w:rPr>
        <w:t>21</w:t>
      </w:r>
      <w:r>
        <w:rPr/>
        <w:t>：资产减值损失本年比上年同期增加了</w:t>
      </w:r>
      <w:r>
        <w:rPr>
          <w:spacing w:val="-63"/>
        </w:rPr>
        <w:t> </w:t>
      </w:r>
      <w:r>
        <w:rPr>
          <w:rFonts w:ascii="Arial" w:hAnsi="Arial" w:cs="Arial" w:eastAsia="Arial" w:hint="default"/>
          <w:spacing w:val="-4"/>
        </w:rPr>
        <w:t>158.20%</w:t>
      </w:r>
      <w:r>
        <w:rPr>
          <w:spacing w:val="-4"/>
        </w:rPr>
        <w:t>，主要原因为：报告期内，本集团存</w:t>
      </w:r>
      <w:r>
        <w:rPr/>
        <w:t> 货品类及数量的增加以及滞销商品的适当增加，带来存货跌价准备的增加；另外，本集团收</w:t>
      </w:r>
      <w:r>
        <w:rPr>
          <w:spacing w:val="-91"/>
        </w:rPr>
        <w:t> </w:t>
      </w:r>
      <w:r>
        <w:rPr>
          <w:spacing w:val="-91"/>
        </w:rPr>
      </w:r>
      <w:r>
        <w:rPr/>
        <w:t>购的</w:t>
      </w:r>
      <w:r>
        <w:rPr>
          <w:spacing w:val="-67"/>
        </w:rPr>
        <w:t> </w:t>
      </w:r>
      <w:r>
        <w:rPr>
          <w:rFonts w:ascii="Arial" w:hAnsi="Arial" w:cs="Arial" w:eastAsia="Arial" w:hint="default"/>
          <w:spacing w:val="-1"/>
          <w:w w:val="99"/>
        </w:rPr>
        <w:t>Laox</w:t>
      </w:r>
      <w:r>
        <w:rPr>
          <w:rFonts w:ascii="Arial" w:hAnsi="Arial" w:cs="Arial" w:eastAsia="Arial" w:hint="default"/>
          <w:spacing w:val="-17"/>
          <w:w w:val="99"/>
        </w:rPr>
        <w:t> </w:t>
      </w:r>
      <w:r>
        <w:rPr>
          <w:spacing w:val="-8"/>
        </w:rPr>
        <w:t>株式会社未达到经营的预期，计提了</w:t>
      </w:r>
      <w:r>
        <w:rPr>
          <w:spacing w:val="-66"/>
        </w:rPr>
        <w:t> </w:t>
      </w:r>
      <w:r>
        <w:rPr>
          <w:rFonts w:ascii="Arial" w:hAnsi="Arial" w:cs="Arial" w:eastAsia="Arial" w:hint="default"/>
          <w:spacing w:val="-1"/>
          <w:w w:val="99"/>
        </w:rPr>
        <w:t>Laox</w:t>
      </w:r>
      <w:r>
        <w:rPr>
          <w:rFonts w:ascii="Arial" w:hAnsi="Arial" w:cs="Arial" w:eastAsia="Arial" w:hint="default"/>
          <w:spacing w:val="-15"/>
          <w:w w:val="99"/>
        </w:rPr>
        <w:t> </w:t>
      </w:r>
      <w:r>
        <w:rPr/>
        <w:t>的商誉及长期待摊费用装修费减值损失。</w:t>
      </w:r>
    </w:p>
    <w:p>
      <w:pPr>
        <w:spacing w:line="240" w:lineRule="auto" w:before="1"/>
        <w:rPr>
          <w:rFonts w:ascii="宋体" w:hAnsi="宋体" w:cs="宋体" w:eastAsia="宋体" w:hint="default"/>
          <w:sz w:val="30"/>
          <w:szCs w:val="30"/>
        </w:rPr>
      </w:pPr>
    </w:p>
    <w:p>
      <w:pPr>
        <w:pStyle w:val="Heading3"/>
        <w:spacing w:line="312" w:lineRule="exact"/>
        <w:ind w:left="312" w:right="1131"/>
        <w:jc w:val="both"/>
      </w:pPr>
      <w:r>
        <w:rPr/>
        <w:t>注释</w:t>
      </w:r>
      <w:r>
        <w:rPr>
          <w:spacing w:val="-73"/>
        </w:rPr>
        <w:t> </w:t>
      </w:r>
      <w:r>
        <w:rPr>
          <w:rFonts w:ascii="Arial" w:hAnsi="Arial" w:cs="Arial" w:eastAsia="Arial" w:hint="default"/>
        </w:rPr>
        <w:t>22</w:t>
      </w:r>
      <w:r>
        <w:rPr/>
        <w:t>：营业外收入本期比上年同期增长</w:t>
      </w:r>
      <w:r>
        <w:rPr>
          <w:spacing w:val="-73"/>
        </w:rPr>
        <w:t> </w:t>
      </w:r>
      <w:r>
        <w:rPr>
          <w:rFonts w:ascii="Arial" w:hAnsi="Arial" w:cs="Arial" w:eastAsia="Arial" w:hint="default"/>
          <w:spacing w:val="-3"/>
        </w:rPr>
        <w:t>201.51%</w:t>
      </w:r>
      <w:r>
        <w:rPr>
          <w:spacing w:val="-3"/>
        </w:rPr>
        <w:t>，主要原因为：报告期内，本集团收到的</w:t>
      </w:r>
      <w:r>
        <w:rPr/>
        <w:t> 各地政府给予的企业补助有所增加。</w:t>
      </w:r>
    </w:p>
    <w:p>
      <w:pPr>
        <w:spacing w:line="240" w:lineRule="auto" w:before="12"/>
        <w:rPr>
          <w:rFonts w:ascii="宋体" w:hAnsi="宋体" w:cs="宋体" w:eastAsia="宋体" w:hint="default"/>
          <w:sz w:val="29"/>
          <w:szCs w:val="29"/>
        </w:rPr>
      </w:pPr>
    </w:p>
    <w:p>
      <w:pPr>
        <w:pStyle w:val="Heading3"/>
        <w:spacing w:line="312" w:lineRule="exact"/>
        <w:ind w:left="312" w:right="1131"/>
        <w:jc w:val="both"/>
      </w:pPr>
      <w:r>
        <w:rPr/>
        <w:t>注释 </w:t>
      </w:r>
      <w:r>
        <w:rPr>
          <w:rFonts w:ascii="Arial" w:hAnsi="Arial" w:cs="Arial" w:eastAsia="Arial" w:hint="default"/>
        </w:rPr>
        <w:t>23</w:t>
      </w:r>
      <w:r>
        <w:rPr/>
        <w:t>：营业外支出本年比上年同期增长</w:t>
      </w:r>
      <w:r>
        <w:rPr>
          <w:spacing w:val="-88"/>
        </w:rPr>
        <w:t> </w:t>
      </w:r>
      <w:r>
        <w:rPr>
          <w:rFonts w:ascii="Arial" w:hAnsi="Arial" w:cs="Arial" w:eastAsia="Arial" w:hint="default"/>
        </w:rPr>
        <w:t>43.03%</w:t>
      </w:r>
      <w:r>
        <w:rPr/>
        <w:t>，主要原因为：报告期内，本集团支付的 各项地方政府基金有所增加，带来营业外支出有所增加。</w:t>
      </w:r>
    </w:p>
    <w:p>
      <w:pPr>
        <w:spacing w:after="0" w:line="312" w:lineRule="exact"/>
        <w:jc w:val="both"/>
        <w:sectPr>
          <w:pgSz w:w="11910" w:h="16840"/>
          <w:pgMar w:header="927" w:footer="1268" w:top="2140" w:bottom="1460" w:left="820" w:right="0"/>
        </w:sectPr>
      </w:pPr>
    </w:p>
    <w:p>
      <w:pPr>
        <w:spacing w:before="23"/>
        <w:ind w:left="6101" w:right="982"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3285" w:right="982"/>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13"/>
        <w:rPr>
          <w:rFonts w:ascii="宋体" w:hAnsi="宋体" w:cs="宋体" w:eastAsia="宋体" w:hint="default"/>
          <w:b/>
          <w:bCs/>
          <w:sz w:val="46"/>
          <w:szCs w:val="46"/>
        </w:rPr>
      </w:pPr>
    </w:p>
    <w:p>
      <w:pPr>
        <w:pStyle w:val="BodyText"/>
        <w:spacing w:line="408" w:lineRule="auto" w:before="0"/>
        <w:ind w:left="573" w:right="982"/>
        <w:jc w:val="left"/>
      </w:pPr>
      <w:r>
        <w:rPr/>
        <w:t>公司在办公地点备置有完整、齐备的下列文件：</w:t>
      </w:r>
      <w:r>
        <w:rPr>
          <w:w w:val="100"/>
        </w:rPr>
        <w:t> </w:t>
      </w:r>
      <w:r>
        <w:rPr>
          <w:rFonts w:ascii="宋体" w:hAnsi="宋体" w:cs="宋体" w:eastAsia="宋体" w:hint="default"/>
          <w:spacing w:val="-2"/>
        </w:rPr>
        <w:t>1</w:t>
      </w:r>
      <w:r>
        <w:rPr>
          <w:spacing w:val="-2"/>
        </w:rPr>
        <w:t>、载有公司负责人、主管会计工作负责人、会计机构负责人签名并盖章的会计报表。</w:t>
      </w:r>
    </w:p>
    <w:p>
      <w:pPr>
        <w:pStyle w:val="BodyText"/>
        <w:spacing w:line="240" w:lineRule="auto"/>
        <w:ind w:left="573" w:right="982"/>
        <w:jc w:val="left"/>
      </w:pPr>
      <w:r>
        <w:rPr>
          <w:rFonts w:ascii="宋体" w:hAnsi="宋体" w:cs="宋体" w:eastAsia="宋体" w:hint="default"/>
        </w:rPr>
        <w:t>2</w:t>
      </w:r>
      <w:r>
        <w:rPr/>
        <w:t>、载有普华永道中天会计师事务所有限公司盖章、注册会计师签名并盖章的审计报告原件。</w:t>
      </w:r>
    </w:p>
    <w:p>
      <w:pPr>
        <w:spacing w:line="240" w:lineRule="auto" w:before="10"/>
        <w:rPr>
          <w:rFonts w:ascii="宋体" w:hAnsi="宋体" w:cs="宋体" w:eastAsia="宋体" w:hint="default"/>
          <w:sz w:val="14"/>
          <w:szCs w:val="14"/>
        </w:rPr>
      </w:pPr>
    </w:p>
    <w:p>
      <w:pPr>
        <w:pStyle w:val="BodyText"/>
        <w:spacing w:line="408" w:lineRule="auto" w:before="0"/>
        <w:ind w:right="982" w:firstLine="420"/>
        <w:jc w:val="left"/>
      </w:pPr>
      <w:r>
        <w:rPr>
          <w:rFonts w:ascii="宋体" w:hAnsi="宋体" w:cs="宋体" w:eastAsia="宋体" w:hint="default"/>
          <w:spacing w:val="-2"/>
        </w:rPr>
        <w:t>3</w:t>
      </w:r>
      <w:r>
        <w:rPr>
          <w:spacing w:val="-2"/>
        </w:rPr>
        <w:t>、报告期内在《证券时报》、《中国证券报》、《上海证券报》、《证券日报》、巨潮资讯网上公</w:t>
      </w:r>
      <w:r>
        <w:rPr>
          <w:w w:val="100"/>
        </w:rPr>
        <w:t> </w:t>
      </w:r>
      <w:r>
        <w:rPr/>
        <w:t>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408" w:lineRule="auto" w:before="0"/>
        <w:ind w:left="8007" w:right="982" w:hanging="738"/>
        <w:jc w:val="left"/>
      </w:pPr>
      <w:r>
        <w:rPr>
          <w:spacing w:val="-2"/>
        </w:rPr>
        <w:t>苏宁云商集团股份有限公司</w:t>
      </w:r>
      <w:r>
        <w:rPr>
          <w:spacing w:val="-82"/>
        </w:rPr>
        <w:t> </w:t>
      </w:r>
      <w:r>
        <w:rPr>
          <w:spacing w:val="-82"/>
        </w:rPr>
      </w:r>
      <w:r>
        <w:rPr/>
        <w:t>董事长： 张近东</w:t>
      </w:r>
    </w:p>
    <w:p>
      <w:pPr>
        <w:pStyle w:val="BodyText"/>
        <w:spacing w:line="240" w:lineRule="auto"/>
        <w:ind w:left="0" w:right="1128"/>
        <w:jc w:val="right"/>
      </w:pPr>
      <w:r>
        <w:rPr>
          <w:spacing w:val="-2"/>
        </w:rPr>
        <w:t>二零一三年三月二十八日</w:t>
      </w:r>
    </w:p>
    <w:sectPr>
      <w:headerReference w:type="default" r:id="rId118"/>
      <w:footerReference w:type="default" r:id="rId119"/>
      <w:pgSz w:w="11910" w:h="16840"/>
      <w:pgMar w:header="0" w:footer="1268" w:top="780" w:bottom="1460" w:left="980" w:right="0"/>
      <w:pgNumType w:start="23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Symbol">
    <w:altName w:val="Symbol"/>
    <w:charset w:val="2"/>
    <w:family w:val="roman"/>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8128" type="#_x0000_t75" stroked="false">
          <v:imagedata r:id="rId1" o:title=""/>
        </v:shape>
      </w:pict>
    </w:r>
    <w:r>
      <w:rPr/>
      <w:pict>
        <v:shape style="position:absolute;margin-left:303.369995pt;margin-top:795.637939pt;width:6.5pt;height:11pt;mso-position-horizontal-relative:page;mso-position-vertical-relative:page;z-index:-15981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7744" type="#_x0000_t75" stroked="false">
          <v:imagedata r:id="rId1" o:title=""/>
        </v:shape>
      </w:pict>
    </w:r>
    <w:r>
      <w:rPr/>
      <w:pict>
        <v:shape style="position:absolute;margin-left:301.089996pt;margin-top:781.933899pt;width:11.15pt;height:11pt;mso-position-horizontal-relative:page;mso-position-vertical-relative:page;z-index:-15977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7696" type="#_x0000_t75" stroked="false">
          <v:imagedata r:id="rId1" o:title=""/>
        </v:shape>
      </w:pict>
    </w:r>
    <w:r>
      <w:rPr/>
      <w:pict>
        <v:shape style="position:absolute;margin-left:300.089996pt;margin-top:781.933899pt;width:13.15pt;height:11pt;mso-position-horizontal-relative:page;mso-position-vertical-relative:page;z-index:-1597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3.450012pt;margin-top:535.333923pt;width:13.15pt;height:11pt;mso-position-horizontal-relative:page;mso-position-vertical-relative:page;z-index:-1597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6.919983pt;margin-top:518.320007pt;width:135pt;height:77pt;mso-position-horizontal-relative:page;mso-position-vertical-relative:page;z-index:-1597600" type="#_x0000_t75" stroked="false">
          <v:imagedata r:id="rId1" o:title=""/>
        </v:shape>
      </w:pict>
    </w:r>
    <w:r>
      <w:rPr/>
      <w:pict>
        <v:shape style="position:absolute;margin-left:424.450012pt;margin-top:535.333923pt;width:11.15pt;height:11pt;mso-position-horizontal-relative:page;mso-position-vertical-relative:page;z-index:-15975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37</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089996pt;margin-top:781.933899pt;width:13.15pt;height:11pt;mso-position-horizontal-relative:page;mso-position-vertical-relative:page;z-index:-1597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7480" type="#_x0000_t75" stroked="false">
          <v:imagedata r:id="rId1" o:title=""/>
        </v:shape>
      </w:pict>
    </w:r>
    <w:r>
      <w:rPr/>
      <w:pict>
        <v:shape style="position:absolute;margin-left:300.089996pt;margin-top:781.933899pt;width:13.15pt;height:11pt;mso-position-horizontal-relative:page;mso-position-vertical-relative:page;z-index:-1597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7432" type="#_x0000_t75" stroked="false">
          <v:imagedata r:id="rId1" o:title=""/>
        </v:shape>
      </w:pict>
    </w:r>
    <w:r>
      <w:rPr/>
      <w:pict>
        <v:shape style="position:absolute;margin-left:55.639999pt;margin-top:756.101013pt;width:484.15pt;height:12.6pt;mso-position-horizontal-relative:page;mso-position-vertical-relative:page;z-index:-1597408" type="#_x0000_t202" filled="false" stroked="false">
          <v:textbox inset="0,0,0,0">
            <w:txbxContent>
              <w:p>
                <w:pPr>
                  <w:pStyle w:val="BodyText"/>
                  <w:spacing w:line="231" w:lineRule="exact" w:before="0"/>
                  <w:ind w:left="20" w:right="0"/>
                  <w:jc w:val="left"/>
                </w:pPr>
                <w:r>
                  <w:rPr>
                    <w:spacing w:val="-2"/>
                  </w:rPr>
                  <w:t>最大化调动和发掘各业务单元的经营主动性、积极性，构建一个虚实融合平台，拓展新型价值链，助推新</w:t>
                </w:r>
              </w:p>
            </w:txbxContent>
          </v:textbox>
          <w10:wrap type="none"/>
        </v:shape>
      </w:pict>
    </w:r>
    <w:r>
      <w:rPr/>
      <w:pict>
        <v:shape style="position:absolute;margin-left:300.089996pt;margin-top:781.933899pt;width:13.15pt;height:11pt;mso-position-horizontal-relative:page;mso-position-vertical-relative:page;z-index:-1597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7360" type="#_x0000_t75" stroked="false">
          <v:imagedata r:id="rId1" o:title=""/>
        </v:shape>
      </w:pict>
    </w:r>
    <w:r>
      <w:rPr/>
      <w:pict>
        <v:shape style="position:absolute;margin-left:300.089996pt;margin-top:781.933899pt;width:13.15pt;height:11pt;mso-position-horizontal-relative:page;mso-position-vertical-relative:page;z-index:-1597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7312" type="#_x0000_t75" stroked="false">
          <v:imagedata r:id="rId1" o:title=""/>
        </v:shape>
      </w:pict>
    </w:r>
    <w:r>
      <w:rPr/>
      <w:pict>
        <v:shape style="position:absolute;margin-left:300.089996pt;margin-top:781.933899pt;width:13.15pt;height:11pt;mso-position-horizontal-relative:page;mso-position-vertical-relative:page;z-index:-1597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089996pt;margin-top:781.933899pt;width:13.15pt;height:11pt;mso-position-horizontal-relative:page;mso-position-vertical-relative:page;z-index:-1597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8080" type="#_x0000_t75" stroked="false">
          <v:imagedata r:id="rId1" o:title=""/>
        </v:shape>
      </w:pict>
    </w:r>
    <w:r>
      <w:rPr/>
      <w:pict>
        <v:shape style="position:absolute;margin-left:302.369995pt;margin-top:781.933899pt;width:8.5pt;height:11pt;mso-position-horizontal-relative:page;mso-position-vertical-relative:page;z-index:-1598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7240" type="#_x0000_t75" stroked="false">
          <v:imagedata r:id="rId1" o:title=""/>
        </v:shape>
      </w:pict>
    </w:r>
    <w:r>
      <w:rPr/>
      <w:pict>
        <v:shape style="position:absolute;margin-left:300.089996pt;margin-top:781.933899pt;width:13.15pt;height:11pt;mso-position-horizontal-relative:page;mso-position-vertical-relative:page;z-index:-1597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7192" type="#_x0000_t75" stroked="false">
          <v:imagedata r:id="rId1" o:title=""/>
        </v:shape>
      </w:pict>
    </w:r>
    <w:r>
      <w:rPr/>
      <w:pict>
        <v:shape style="position:absolute;margin-left:55.639999pt;margin-top:756.101013pt;width:484.05pt;height:12.6pt;mso-position-horizontal-relative:page;mso-position-vertical-relative:page;z-index:-1597168" type="#_x0000_t202" filled="false" stroked="false">
          <v:textbox inset="0,0,0,0">
            <w:txbxContent>
              <w:p>
                <w:pPr>
                  <w:pStyle w:val="BodyText"/>
                  <w:spacing w:line="231" w:lineRule="exact" w:before="0"/>
                  <w:ind w:left="20" w:right="0"/>
                  <w:jc w:val="left"/>
                  <w:rPr>
                    <w:rFonts w:ascii="宋体" w:hAnsi="宋体" w:cs="宋体" w:eastAsia="宋体" w:hint="default"/>
                  </w:rPr>
                </w:pPr>
                <w:r>
                  <w:rPr/>
                  <w:t>照第一年至第五年</w:t>
                </w:r>
                <w:r>
                  <w:rPr>
                    <w:rFonts w:ascii="宋体" w:hAnsi="宋体" w:cs="宋体" w:eastAsia="宋体" w:hint="default"/>
                  </w:rPr>
                  <w:t>1.2</w:t>
                </w:r>
                <w:r>
                  <w:rPr/>
                  <w:t>元</w:t>
                </w:r>
                <w:r>
                  <w:rPr>
                    <w:rFonts w:ascii="宋体" w:hAnsi="宋体" w:cs="宋体" w:eastAsia="宋体" w:hint="default"/>
                  </w:rPr>
                  <w:t>/</w:t>
                </w:r>
                <w:r>
                  <w:rPr/>
                  <w:t>平方米</w:t>
                </w:r>
                <w:r>
                  <w:rPr>
                    <w:rFonts w:ascii="宋体" w:hAnsi="宋体" w:cs="宋体" w:eastAsia="宋体" w:hint="default"/>
                  </w:rPr>
                  <w:t>/</w:t>
                </w:r>
                <w:r>
                  <w:rPr/>
                  <w:t>日，自第六年起每两年在上一年的基础上递增</w:t>
                </w:r>
                <w:r>
                  <w:rPr>
                    <w:rFonts w:ascii="宋体" w:hAnsi="宋体" w:cs="宋体" w:eastAsia="宋体" w:hint="default"/>
                  </w:rPr>
                  <w:t>5%</w:t>
                </w:r>
                <w:r>
                  <w:rPr/>
                  <w:t>。出租物业暂按</w:t>
                </w:r>
                <w:r>
                  <w:rPr>
                    <w:rFonts w:ascii="宋体" w:hAnsi="宋体" w:cs="宋体" w:eastAsia="宋体" w:hint="default"/>
                  </w:rPr>
                  <w:t>45,000</w:t>
                </w:r>
              </w:p>
            </w:txbxContent>
          </v:textbox>
          <w10:wrap type="none"/>
        </v:shape>
      </w:pict>
    </w:r>
    <w:r>
      <w:rPr/>
      <w:pict>
        <v:shape style="position:absolute;margin-left:300.089996pt;margin-top:781.933899pt;width:13.15pt;height:11pt;mso-position-horizontal-relative:page;mso-position-vertical-relative:page;z-index:-1597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089996pt;margin-top:781.933899pt;width:13.15pt;height:11pt;mso-position-horizontal-relative:page;mso-position-vertical-relative:page;z-index:-1597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7096" type="#_x0000_t75" stroked="false">
          <v:imagedata r:id="rId1" o:title=""/>
        </v:shape>
      </w:pict>
    </w:r>
    <w:r>
      <w:rPr/>
      <w:pict>
        <v:shape style="position:absolute;margin-left:300.089996pt;margin-top:781.933899pt;width:13.15pt;height:11pt;mso-position-horizontal-relative:page;mso-position-vertical-relative:page;z-index:-1597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3.450012pt;margin-top:535.333923pt;width:13.15pt;height:11pt;mso-position-horizontal-relative:page;mso-position-vertical-relative:page;z-index:-1597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6952" type="#_x0000_t75" stroked="false">
          <v:imagedata r:id="rId1" o:title=""/>
        </v:shape>
      </w:pict>
    </w:r>
    <w:r>
      <w:rPr/>
      <w:pict>
        <v:shape style="position:absolute;margin-left:300.089996pt;margin-top:781.933899pt;width:13.15pt;height:11pt;mso-position-horizontal-relative:page;mso-position-vertical-relative:page;z-index:-1596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r>
                  <w:rPr>
                    <w:rFonts w:ascii="Times New Roman"/>
                    <w:spacing w:val="1"/>
                    <w:sz w:val="18"/>
                  </w:rPr>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6904" type="#_x0000_t75" stroked="false">
          <v:imagedata r:id="rId1" o:title=""/>
        </v:shape>
      </w:pict>
    </w:r>
    <w:r>
      <w:rPr/>
      <w:pict>
        <v:shape style="position:absolute;margin-left:300.089996pt;margin-top:781.933899pt;width:13.15pt;height:11pt;mso-position-horizontal-relative:page;mso-position-vertical-relative:page;z-index:-1596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r>
                  <w:rPr>
                    <w:rFonts w:ascii="Times New Roman"/>
                    <w:spacing w:val="1"/>
                    <w:sz w:val="18"/>
                  </w:rPr>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089996pt;margin-top:781.933899pt;width:13.15pt;height:11pt;mso-position-horizontal-relative:page;mso-position-vertical-relative:page;z-index:-1596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r>
                  <w:rPr>
                    <w:rFonts w:ascii="Times New Roman"/>
                    <w:spacing w:val="1"/>
                    <w:sz w:val="18"/>
                  </w:rPr>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6832" type="#_x0000_t75" stroked="false">
          <v:imagedata r:id="rId1" o:title=""/>
        </v:shape>
      </w:pict>
    </w:r>
    <w:r>
      <w:rPr/>
      <w:pict>
        <v:shape style="position:absolute;margin-left:300.089996pt;margin-top:781.933899pt;width:13.15pt;height:11pt;mso-position-horizontal-relative:page;mso-position-vertical-relative:page;z-index:-1596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369995pt;margin-top:781.933899pt;width:8.5pt;height:11pt;mso-position-horizontal-relative:page;mso-position-vertical-relative:page;z-index:-1598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089996pt;margin-top:781.933899pt;width:13.15pt;height:11pt;mso-position-horizontal-relative:page;mso-position-vertical-relative:page;z-index:-1596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r>
                  <w:rPr>
                    <w:rFonts w:ascii="Times New Roman"/>
                    <w:spacing w:val="1"/>
                    <w:sz w:val="18"/>
                  </w:rPr>
                </w:r>
                <w:r>
                  <w:rPr>
                    <w:rFonts w:ascii="Times New Roman"/>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6736" type="#_x0000_t75" stroked="false">
          <v:imagedata r:id="rId1" o:title=""/>
        </v:shape>
      </w:pict>
    </w:r>
    <w:r>
      <w:rPr/>
      <w:pict>
        <v:shape style="position:absolute;margin-left:301.089996pt;margin-top:781.933899pt;width:11.15pt;height:11pt;mso-position-horizontal-relative:page;mso-position-vertical-relative:page;z-index:-15967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94</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7.410004pt;margin-top:795.637939pt;width:13.15pt;height:11pt;mso-position-horizontal-relative:page;mso-position-vertical-relative:page;z-index:-1596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r>
                  <w:rPr>
                    <w:rFonts w:ascii="Times New Roman"/>
                    <w:spacing w:val="1"/>
                    <w:sz w:val="18"/>
                  </w:rPr>
                </w:r>
                <w:r>
                  <w:rPr>
                    <w:rFonts w:ascii="Times New Roman"/>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6640" type="#_x0000_t75" stroked="false">
          <v:imagedata r:id="rId1" o:title=""/>
        </v:shape>
      </w:pict>
    </w:r>
    <w:r>
      <w:rPr/>
      <w:pict>
        <v:shape style="position:absolute;margin-left:307.410004pt;margin-top:795.637939pt;width:13.15pt;height:11pt;mso-position-horizontal-relative:page;mso-position-vertical-relative:page;z-index:-1596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r>
                  <w:rPr>
                    <w:rFonts w:ascii="Times New Roman"/>
                    <w:spacing w:val="1"/>
                    <w:sz w:val="18"/>
                  </w:rPr>
                </w:r>
                <w:r>
                  <w:rPr>
                    <w:rFonts w:ascii="Times New Roman"/>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6592" type="#_x0000_t75" stroked="false">
          <v:imagedata r:id="rId1" o:title=""/>
        </v:shape>
      </w:pict>
    </w:r>
    <w:r>
      <w:rPr/>
      <w:pict>
        <v:shape style="position:absolute;margin-left:306.130005pt;margin-top:795.637939pt;width:15.7pt;height:11pt;mso-position-horizontal-relative:page;mso-position-vertical-relative:page;z-index:-15965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6544" type="#_x0000_t75" stroked="false">
          <v:imagedata r:id="rId1" o:title=""/>
        </v:shape>
      </w:pict>
    </w:r>
    <w:r>
      <w:rPr/>
      <w:pict>
        <v:shape style="position:absolute;margin-left:306.130005pt;margin-top:795.637939pt;width:15.7pt;height:11pt;mso-position-horizontal-relative:page;mso-position-vertical-relative:page;z-index:-15965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30005pt;margin-top:795.637939pt;width:17.7pt;height:11pt;mso-position-horizontal-relative:page;mso-position-vertical-relative:page;z-index:-1596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r>
                  <w:rPr>
                    <w:rFonts w:ascii="Times New Roman"/>
                    <w:spacing w:val="1"/>
                    <w:sz w:val="18"/>
                  </w:rPr>
                </w:r>
                <w:r>
                  <w:rPr>
                    <w:rFonts w:ascii="Times New Roman"/>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6472" type="#_x0000_t75" stroked="false">
          <v:imagedata r:id="rId1" o:title=""/>
        </v:shape>
      </w:pict>
    </w:r>
    <w:r>
      <w:rPr/>
      <w:pict>
        <v:shape style="position:absolute;margin-left:305.130005pt;margin-top:795.637939pt;width:17.7pt;height:11pt;mso-position-horizontal-relative:page;mso-position-vertical-relative:page;z-index:-1596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104</w:t>
                </w:r>
                <w:r>
                  <w:rPr/>
                  <w:fldChar w:fldCharType="end"/>
                </w:r>
                <w:r>
                  <w:rPr>
                    <w:rFonts w:ascii="Times New Roman"/>
                    <w:spacing w:val="1"/>
                    <w:sz w:val="18"/>
                  </w:rPr>
                </w:r>
                <w:r>
                  <w:rPr>
                    <w:rFonts w:ascii="Times New Roman"/>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30005pt;margin-top:795.637939pt;width:17.7pt;height:11pt;mso-position-horizontal-relative:page;mso-position-vertical-relative:page;z-index:-1596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r>
                  <w:rPr>
                    <w:rFonts w:ascii="Times New Roman"/>
                    <w:spacing w:val="1"/>
                    <w:sz w:val="18"/>
                  </w:rPr>
                </w:r>
                <w:r>
                  <w:rPr>
                    <w:rFonts w:ascii="Times New Roman"/>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6400" type="#_x0000_t75" stroked="false">
          <v:imagedata r:id="rId1" o:title=""/>
        </v:shape>
      </w:pict>
    </w:r>
    <w:r>
      <w:rPr/>
      <w:pict>
        <v:shape style="position:absolute;margin-left:305.25pt;margin-top:795.637939pt;width:17.3pt;height:11pt;mso-position-horizontal-relative:page;mso-position-vertical-relative:page;z-index:-1596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8008" type="#_x0000_t75" stroked="false">
          <v:imagedata r:id="rId1" o:title=""/>
        </v:shape>
      </w:pict>
    </w:r>
    <w:r>
      <w:rPr/>
      <w:pict>
        <v:shape style="position:absolute;margin-left:302.369995pt;margin-top:781.933899pt;width:8.5pt;height:11pt;mso-position-horizontal-relative:page;mso-position-vertical-relative:page;z-index:-1597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25pt;margin-top:795.637939pt;width:17.3pt;height:11pt;mso-position-horizontal-relative:page;mso-position-vertical-relative:page;z-index:-1596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115</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6328" type="#_x0000_t75" stroked="false">
          <v:imagedata r:id="rId1" o:title=""/>
        </v:shape>
      </w:pict>
    </w:r>
    <w:r>
      <w:rPr/>
      <w:pict>
        <v:shape style="position:absolute;margin-left:305.130005pt;margin-top:795.637939pt;width:17.7pt;height:11pt;mso-position-horizontal-relative:page;mso-position-vertical-relative:page;z-index:-1596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30005pt;margin-top:795.637939pt;width:17.7pt;height:11pt;mso-position-horizontal-relative:page;mso-position-vertical-relative:page;z-index:-1596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123</w:t>
                </w:r>
                <w:r>
                  <w:rPr/>
                  <w:fldChar w:fldCharType="end"/>
                </w:r>
                <w:r>
                  <w:rPr>
                    <w:rFonts w:ascii="Times New Roman"/>
                    <w:spacing w:val="1"/>
                    <w:sz w:val="18"/>
                  </w:rPr>
                </w:r>
                <w:r>
                  <w:rPr>
                    <w:rFonts w:ascii="Times New Roman"/>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6256" type="#_x0000_t75" stroked="false">
          <v:imagedata r:id="rId1" o:title=""/>
        </v:shape>
      </w:pict>
    </w:r>
    <w:r>
      <w:rPr/>
      <w:pict>
        <v:shape style="position:absolute;margin-left:306.130005pt;margin-top:795.637939pt;width:15.7pt;height:11pt;mso-position-horizontal-relative:page;mso-position-vertical-relative:page;z-index:-15962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125</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30005pt;margin-top:795.637939pt;width:17.7pt;height:11pt;mso-position-horizontal-relative:page;mso-position-vertical-relative:page;z-index:-1596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126</w:t>
                </w:r>
                <w:r>
                  <w:rPr/>
                  <w:fldChar w:fldCharType="end"/>
                </w:r>
                <w:r>
                  <w:rPr>
                    <w:rFonts w:ascii="Times New Roman"/>
                    <w:spacing w:val="1"/>
                    <w:sz w:val="18"/>
                  </w:rPr>
                </w:r>
                <w:r>
                  <w:rPr>
                    <w:rFonts w:ascii="Times New Roman"/>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8.390015pt;margin-top:549.013916pt;width:17.7pt;height:11pt;mso-position-horizontal-relative:page;mso-position-vertical-relative:page;z-index:-1596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128</w:t>
                </w:r>
                <w:r>
                  <w:rPr/>
                  <w:fldChar w:fldCharType="end"/>
                </w:r>
                <w:r>
                  <w:rPr>
                    <w:rFonts w:ascii="Times New Roman"/>
                    <w:spacing w:val="1"/>
                    <w:sz w:val="18"/>
                  </w:rPr>
                </w:r>
                <w:r>
                  <w:rPr>
                    <w:rFonts w:ascii="Times New Roman"/>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7.039978pt;margin-top:518.320007pt;width:135pt;height:77pt;mso-position-horizontal-relative:page;mso-position-vertical-relative:page;z-index:-1596136" type="#_x0000_t75" stroked="false">
          <v:imagedata r:id="rId1" o:title=""/>
        </v:shape>
      </w:pict>
    </w:r>
    <w:r>
      <w:rPr/>
      <w:pict>
        <v:shape style="position:absolute;margin-left:428.390015pt;margin-top:549.013916pt;width:17.7pt;height:11pt;mso-position-horizontal-relative:page;mso-position-vertical-relative:page;z-index:-1596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131</w:t>
                </w:r>
                <w:r>
                  <w:rPr/>
                  <w:fldChar w:fldCharType="end"/>
                </w:r>
                <w:r>
                  <w:rPr>
                    <w:rFonts w:ascii="Times New Roman"/>
                    <w:spacing w:val="1"/>
                    <w:sz w:val="18"/>
                  </w:rPr>
                </w:r>
                <w:r>
                  <w:rPr>
                    <w:rFonts w:ascii="Times New Roman"/>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6064" type="#_x0000_t75" stroked="false">
          <v:imagedata r:id="rId1" o:title=""/>
        </v:shape>
      </w:pict>
    </w:r>
    <w:r>
      <w:rPr/>
      <w:pict>
        <v:shape style="position:absolute;margin-left:305.130005pt;margin-top:795.637939pt;width:17.7pt;height:11pt;mso-position-horizontal-relative:page;mso-position-vertical-relative:page;z-index:-1596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134</w:t>
                </w:r>
                <w:r>
                  <w:rPr/>
                  <w:fldChar w:fldCharType="end"/>
                </w:r>
                <w:r>
                  <w:rPr>
                    <w:rFonts w:ascii="Times New Roman"/>
                    <w:spacing w:val="1"/>
                    <w:sz w:val="18"/>
                  </w:rPr>
                </w:r>
                <w:r>
                  <w:rPr>
                    <w:rFonts w:ascii="Times New Roman"/>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30005pt;margin-top:795.637939pt;width:17.7pt;height:11pt;mso-position-horizontal-relative:page;mso-position-vertical-relative:page;z-index:-1596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141</w:t>
                </w:r>
                <w:r>
                  <w:rPr/>
                  <w:fldChar w:fldCharType="end"/>
                </w:r>
                <w:r>
                  <w:rPr>
                    <w:rFonts w:ascii="Times New Roman"/>
                    <w:spacing w:val="1"/>
                    <w:sz w:val="18"/>
                  </w:rPr>
                </w:r>
                <w:r>
                  <w:rPr>
                    <w:rFonts w:ascii="Times New Roman"/>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5992" type="#_x0000_t75" stroked="false">
          <v:imagedata r:id="rId1" o:title=""/>
        </v:shape>
      </w:pict>
    </w:r>
    <w:r>
      <w:rPr/>
      <w:pict>
        <v:shape style="position:absolute;margin-left:305.130005pt;margin-top:795.637939pt;width:17.7pt;height:11pt;mso-position-horizontal-relative:page;mso-position-vertical-relative:page;z-index:-1595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143</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7960" type="#_x0000_t75" stroked="false">
          <v:imagedata r:id="rId1" o:title=""/>
        </v:shape>
      </w:pict>
    </w:r>
    <w:r>
      <w:rPr/>
      <w:pict>
        <v:shape style="position:absolute;margin-left:76.664001pt;margin-top:756.101013pt;width:463.1pt;height:13.1pt;mso-position-horizontal-relative:page;mso-position-vertical-relative:page;z-index:-1597936" type="#_x0000_t202" filled="false" stroked="false">
          <v:textbox inset="0,0,0,0">
            <w:txbxContent>
              <w:p>
                <w:pPr>
                  <w:pStyle w:val="BodyText"/>
                  <w:tabs>
                    <w:tab w:pos="439" w:val="left" w:leader="none"/>
                  </w:tabs>
                  <w:spacing w:line="246" w:lineRule="exact" w:before="0"/>
                  <w:ind w:left="20" w:right="0"/>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rPr>
                  <w:t>2012</w:t>
                </w:r>
                <w:r>
                  <w:rPr/>
                  <w:t>年</w:t>
                </w:r>
                <w:r>
                  <w:rPr>
                    <w:rFonts w:ascii="宋体" w:hAnsi="宋体" w:cs="宋体" w:eastAsia="宋体" w:hint="default"/>
                  </w:rPr>
                  <w:t>7</w:t>
                </w:r>
                <w:r>
                  <w:rPr/>
                  <w:t>月，苏宁易购成功召开开放平台战略发布暨供应商大会，打造具有“全平台开放、全品</w:t>
                </w:r>
              </w:p>
            </w:txbxContent>
          </v:textbox>
          <w10:wrap type="none"/>
        </v:shape>
      </w:pict>
    </w:r>
    <w:r>
      <w:rPr/>
      <w:pict>
        <v:shape style="position:absolute;margin-left:302.369995pt;margin-top:781.933899pt;width:8.5pt;height:11pt;mso-position-horizontal-relative:page;mso-position-vertical-relative:page;z-index:-1597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30005pt;margin-top:795.637939pt;width:17.7pt;height:11pt;mso-position-horizontal-relative:page;mso-position-vertical-relative:page;z-index:-1595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146</w:t>
                </w:r>
                <w:r>
                  <w:rPr/>
                  <w:fldChar w:fldCharType="end"/>
                </w:r>
                <w:r>
                  <w:rPr>
                    <w:rFonts w:ascii="Times New Roman"/>
                    <w:spacing w:val="1"/>
                    <w:sz w:val="18"/>
                  </w:rPr>
                </w:r>
                <w:r>
                  <w:rPr>
                    <w:rFonts w:ascii="Times New Roman"/>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5920" type="#_x0000_t75" stroked="false">
          <v:imagedata r:id="rId1" o:title=""/>
        </v:shape>
      </w:pict>
    </w:r>
    <w:r>
      <w:rPr/>
      <w:pict>
        <v:shape style="position:absolute;margin-left:306.130005pt;margin-top:795.637939pt;width:15.7pt;height:11pt;mso-position-horizontal-relative:page;mso-position-vertical-relative:page;z-index:-15958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149</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30005pt;margin-top:795.637939pt;width:17.7pt;height:11pt;mso-position-horizontal-relative:page;mso-position-vertical-relative:page;z-index:-1595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r>
                  <w:rPr>
                    <w:rFonts w:ascii="Times New Roman"/>
                    <w:spacing w:val="1"/>
                    <w:sz w:val="18"/>
                  </w:rPr>
                </w:r>
                <w:r>
                  <w:rPr>
                    <w:rFonts w:ascii="Times New Roman"/>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5848" type="#_x0000_t75" stroked="false">
          <v:imagedata r:id="rId1" o:title=""/>
        </v:shape>
      </w:pict>
    </w:r>
    <w:r>
      <w:rPr/>
      <w:pict>
        <v:shape style="position:absolute;margin-left:306.130005pt;margin-top:795.637939pt;width:15.7pt;height:11pt;mso-position-horizontal-relative:page;mso-position-vertical-relative:page;z-index:-15958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152</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7.039978pt;margin-top:518.320007pt;width:135pt;height:77pt;mso-position-horizontal-relative:page;mso-position-vertical-relative:page;z-index:-1595776" type="#_x0000_t75" stroked="false">
          <v:imagedata r:id="rId1" o:title=""/>
        </v:shape>
      </w:pict>
    </w:r>
    <w:r>
      <w:rPr/>
      <w:pict>
        <v:shape style="position:absolute;margin-left:435.709991pt;margin-top:549.013916pt;width:17.7pt;height:11pt;mso-position-horizontal-relative:page;mso-position-vertical-relative:page;z-index:-1595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153</w:t>
                </w:r>
                <w:r>
                  <w:rPr/>
                  <w:fldChar w:fldCharType="end"/>
                </w:r>
                <w:r>
                  <w:rPr>
                    <w:rFonts w:ascii="Times New Roman"/>
                    <w:spacing w:val="1"/>
                    <w:sz w:val="18"/>
                  </w:rPr>
                </w:r>
                <w:r>
                  <w:rPr>
                    <w:rFonts w:ascii="Times New Roman"/>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5704" type="#_x0000_t75" stroked="false">
          <v:imagedata r:id="rId1" o:title=""/>
        </v:shape>
      </w:pict>
    </w:r>
    <w:r>
      <w:rPr/>
      <w:pict>
        <v:shape style="position:absolute;margin-left:305.130005pt;margin-top:795.637939pt;width:17.7pt;height:11pt;mso-position-horizontal-relative:page;mso-position-vertical-relative:page;z-index:-1595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157</w:t>
                </w:r>
                <w:r>
                  <w:rPr/>
                  <w:fldChar w:fldCharType="end"/>
                </w:r>
                <w:r>
                  <w:rPr>
                    <w:rFonts w:ascii="Times New Roman"/>
                    <w:spacing w:val="1"/>
                    <w:sz w:val="18"/>
                  </w:rPr>
                </w:r>
                <w:r>
                  <w:rPr>
                    <w:rFonts w:ascii="Times New Roman"/>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35.709991pt;margin-top:549.013916pt;width:17.7pt;height:11pt;mso-position-horizontal-relative:page;mso-position-vertical-relative:page;z-index:-1595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159</w:t>
                </w:r>
                <w:r>
                  <w:rPr/>
                  <w:fldChar w:fldCharType="end"/>
                </w:r>
                <w:r>
                  <w:rPr>
                    <w:rFonts w:ascii="Times New Roman"/>
                    <w:spacing w:val="1"/>
                    <w:sz w:val="18"/>
                  </w:rPr>
                </w:r>
                <w:r>
                  <w:rPr>
                    <w:rFonts w:ascii="Times New Roman"/>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5584" type="#_x0000_t75" stroked="false">
          <v:imagedata r:id="rId1" o:title=""/>
        </v:shape>
      </w:pict>
    </w:r>
    <w:r>
      <w:rPr/>
      <w:pict>
        <v:shape style="position:absolute;margin-left:305.130005pt;margin-top:795.637939pt;width:17.7pt;height:11pt;mso-position-horizontal-relative:page;mso-position-vertical-relative:page;z-index:-1595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162</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7888" type="#_x0000_t75" stroked="false">
          <v:imagedata r:id="rId1" o:title=""/>
        </v:shape>
      </w:pict>
    </w:r>
    <w:r>
      <w:rPr/>
      <w:pict>
        <v:shape style="position:absolute;margin-left:300.089996pt;margin-top:781.933899pt;width:13.15pt;height:11pt;mso-position-horizontal-relative:page;mso-position-vertical-relative:page;z-index:-1597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30005pt;margin-top:795.637939pt;width:17.7pt;height:11pt;mso-position-horizontal-relative:page;mso-position-vertical-relative:page;z-index:-1595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164</w:t>
                </w:r>
                <w:r>
                  <w:rPr/>
                  <w:fldChar w:fldCharType="end"/>
                </w:r>
                <w:r>
                  <w:rPr>
                    <w:rFonts w:ascii="Times New Roman"/>
                    <w:spacing w:val="1"/>
                    <w:sz w:val="18"/>
                  </w:rPr>
                </w:r>
                <w:r>
                  <w:rPr>
                    <w:rFonts w:ascii="Times New Roman"/>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5512" type="#_x0000_t75" stroked="false">
          <v:imagedata r:id="rId1" o:title=""/>
        </v:shape>
      </w:pict>
    </w:r>
    <w:r>
      <w:rPr/>
      <w:pict>
        <v:shape style="position:absolute;margin-left:305.130005pt;margin-top:795.637939pt;width:17.7pt;height:11pt;mso-position-horizontal-relative:page;mso-position-vertical-relative:page;z-index:-1595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170</w:t>
                </w:r>
                <w:r>
                  <w:rPr/>
                  <w:fldChar w:fldCharType="end"/>
                </w:r>
                <w:r>
                  <w:rPr>
                    <w:rFonts w:ascii="Times New Roman"/>
                    <w:spacing w:val="1"/>
                    <w:sz w:val="18"/>
                  </w:rPr>
                </w:r>
                <w:r>
                  <w:rPr>
                    <w:rFonts w:ascii="Times New Roman"/>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6.130005pt;margin-top:795.637939pt;width:15.7pt;height:11pt;mso-position-horizontal-relative:page;mso-position-vertical-relative:page;z-index:-15954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176</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35.709991pt;margin-top:549.013916pt;width:17.7pt;height:11pt;mso-position-horizontal-relative:page;mso-position-vertical-relative:page;z-index:-1595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177</w:t>
                </w:r>
                <w:r>
                  <w:rPr/>
                  <w:fldChar w:fldCharType="end"/>
                </w:r>
                <w:r>
                  <w:rPr>
                    <w:rFonts w:ascii="Times New Roman"/>
                    <w:spacing w:val="1"/>
                    <w:sz w:val="18"/>
                  </w:rPr>
                </w:r>
                <w:r>
                  <w:rPr>
                    <w:rFonts w:ascii="Times New Roman"/>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5368" type="#_x0000_t75" stroked="false">
          <v:imagedata r:id="rId1" o:title=""/>
        </v:shape>
      </w:pict>
    </w:r>
    <w:r>
      <w:rPr/>
      <w:pict>
        <v:shape style="position:absolute;margin-left:305.130005pt;margin-top:795.637939pt;width:17.7pt;height:11pt;mso-position-horizontal-relative:page;mso-position-vertical-relative:page;z-index:-1595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179</w:t>
                </w:r>
                <w:r>
                  <w:rPr/>
                  <w:fldChar w:fldCharType="end"/>
                </w:r>
                <w:r>
                  <w:rPr>
                    <w:rFonts w:ascii="Times New Roman"/>
                    <w:spacing w:val="1"/>
                    <w:sz w:val="18"/>
                  </w:rPr>
                </w:r>
                <w:r>
                  <w:rPr>
                    <w:rFonts w:ascii="Times New Roman"/>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30005pt;margin-top:795.637939pt;width:17.7pt;height:11pt;mso-position-horizontal-relative:page;mso-position-vertical-relative:page;z-index:-1595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184</w:t>
                </w:r>
                <w:r>
                  <w:rPr/>
                  <w:fldChar w:fldCharType="end"/>
                </w:r>
                <w:r>
                  <w:rPr>
                    <w:rFonts w:ascii="Times New Roman"/>
                    <w:spacing w:val="1"/>
                    <w:sz w:val="18"/>
                  </w:rPr>
                </w:r>
                <w:r>
                  <w:rPr>
                    <w:rFonts w:ascii="Times New Roman"/>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5296" type="#_x0000_t75" stroked="false">
          <v:imagedata r:id="rId1" o:title=""/>
        </v:shape>
      </w:pict>
    </w:r>
    <w:r>
      <w:rPr/>
      <w:pict>
        <v:shape style="position:absolute;margin-left:305.130005pt;margin-top:795.637939pt;width:17.7pt;height:11pt;mso-position-horizontal-relative:page;mso-position-vertical-relative:page;z-index:-1595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186</w:t>
                </w:r>
                <w:r>
                  <w:rPr/>
                  <w:fldChar w:fldCharType="end"/>
                </w:r>
                <w:r>
                  <w:rPr>
                    <w:rFonts w:ascii="Times New Roman"/>
                    <w:spacing w:val="1"/>
                    <w:sz w:val="18"/>
                  </w:rPr>
                </w:r>
                <w:r>
                  <w:rPr>
                    <w:rFonts w:ascii="Times New Roman"/>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30005pt;margin-top:795.637939pt;width:17.7pt;height:11pt;mso-position-horizontal-relative:page;mso-position-vertical-relative:page;z-index:-1595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189</w:t>
                </w:r>
                <w:r>
                  <w:rPr/>
                  <w:fldChar w:fldCharType="end"/>
                </w:r>
                <w:r>
                  <w:rPr>
                    <w:rFonts w:ascii="Times New Roman"/>
                    <w:spacing w:val="1"/>
                    <w:sz w:val="18"/>
                  </w:rPr>
                </w:r>
                <w:r>
                  <w:rPr>
                    <w:rFonts w:ascii="Times New Roman"/>
                    <w:sz w:val="18"/>
                  </w:rPr>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5224" type="#_x0000_t75" stroked="false">
          <v:imagedata r:id="rId1" o:title=""/>
        </v:shape>
      </w:pict>
    </w:r>
    <w:r>
      <w:rPr/>
      <w:pict>
        <v:shape style="position:absolute;margin-left:305.130005pt;margin-top:795.637939pt;width:17.7pt;height:11pt;mso-position-horizontal-relative:page;mso-position-vertical-relative:page;z-index:-1595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191</w:t>
                </w:r>
                <w:r>
                  <w:rPr/>
                  <w:fldChar w:fldCharType="end"/>
                </w:r>
                <w:r>
                  <w:rPr>
                    <w:rFonts w:ascii="Times New Roman"/>
                    <w:spacing w:val="1"/>
                    <w:sz w:val="18"/>
                  </w:rPr>
                </w:r>
                <w:r>
                  <w:rPr>
                    <w:rFonts w:ascii="Times New Roman"/>
                    <w:sz w:val="18"/>
                  </w:rPr>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7.039978pt;margin-top:518.320007pt;width:135pt;height:77pt;mso-position-horizontal-relative:page;mso-position-vertical-relative:page;z-index:-1595152" type="#_x0000_t75" stroked="false">
          <v:imagedata r:id="rId1" o:title=""/>
        </v:shape>
      </w:pict>
    </w:r>
    <w:r>
      <w:rPr/>
      <w:pict>
        <v:shape style="position:absolute;margin-left:403.290009pt;margin-top:549.013916pt;width:17.7pt;height:11pt;mso-position-horizontal-relative:page;mso-position-vertical-relative:page;z-index:-1595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089996pt;margin-top:781.933899pt;width:13.15pt;height:11pt;mso-position-horizontal-relative:page;mso-position-vertical-relative:page;z-index:-1597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r>
                  <w:rPr>
                    <w:rFonts w:ascii="Times New Roman"/>
                    <w:spacing w:val="1"/>
                    <w:sz w:val="18"/>
                  </w:rPr>
                </w:r>
                <w:r>
                  <w:rPr>
                    <w:rFonts w:ascii="Times New Roman"/>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30005pt;margin-top:795.637939pt;width:17.7pt;height:11pt;mso-position-horizontal-relative:page;mso-position-vertical-relative:page;z-index:-1595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202</w:t>
                </w:r>
                <w:r>
                  <w:rPr/>
                  <w:fldChar w:fldCharType="end"/>
                </w:r>
                <w:r>
                  <w:rPr>
                    <w:rFonts w:ascii="Times New Roman"/>
                    <w:spacing w:val="1"/>
                    <w:sz w:val="18"/>
                  </w:rPr>
                </w:r>
                <w:r>
                  <w:rPr>
                    <w:rFonts w:ascii="Times New Roman"/>
                    <w:sz w:val="18"/>
                  </w:rPr>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5056" type="#_x0000_t75" stroked="false">
          <v:imagedata r:id="rId1" o:title=""/>
        </v:shape>
      </w:pict>
    </w:r>
    <w:r>
      <w:rPr/>
      <w:pict>
        <v:shape style="position:absolute;margin-left:305.130005pt;margin-top:795.637939pt;width:17.7pt;height:11pt;mso-position-horizontal-relative:page;mso-position-vertical-relative:page;z-index:-1595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207</w:t>
                </w:r>
                <w:r>
                  <w:rPr/>
                  <w:fldChar w:fldCharType="end"/>
                </w:r>
                <w:r>
                  <w:rPr>
                    <w:rFonts w:ascii="Times New Roman"/>
                    <w:spacing w:val="1"/>
                    <w:sz w:val="18"/>
                  </w:rPr>
                </w:r>
                <w:r>
                  <w:rPr>
                    <w:rFonts w:ascii="Times New Roman"/>
                    <w:sz w:val="18"/>
                  </w:rPr>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30005pt;margin-top:795.637939pt;width:17.7pt;height:11pt;mso-position-horizontal-relative:page;mso-position-vertical-relative:page;z-index:-1595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213</w:t>
                </w:r>
                <w:r>
                  <w:rPr/>
                  <w:fldChar w:fldCharType="end"/>
                </w:r>
                <w:r>
                  <w:rPr>
                    <w:rFonts w:ascii="Times New Roman"/>
                    <w:spacing w:val="1"/>
                    <w:sz w:val="18"/>
                  </w:rPr>
                </w:r>
                <w:r>
                  <w:rPr>
                    <w:rFonts w:ascii="Times New Roman"/>
                    <w:sz w:val="18"/>
                  </w:rPr>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4984" type="#_x0000_t75" stroked="false">
          <v:imagedata r:id="rId1" o:title=""/>
        </v:shape>
      </w:pict>
    </w:r>
    <w:r>
      <w:rPr/>
      <w:pict>
        <v:shape style="position:absolute;margin-left:305.130005pt;margin-top:795.637939pt;width:17.7pt;height:11pt;mso-position-horizontal-relative:page;mso-position-vertical-relative:page;z-index:-1594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215</w:t>
                </w:r>
                <w:r>
                  <w:rPr/>
                  <w:fldChar w:fldCharType="end"/>
                </w:r>
                <w:r>
                  <w:rPr>
                    <w:rFonts w:ascii="Times New Roman"/>
                    <w:spacing w:val="1"/>
                    <w:sz w:val="18"/>
                  </w:rPr>
                </w:r>
                <w:r>
                  <w:rPr>
                    <w:rFonts w:ascii="Times New Roman"/>
                    <w:sz w:val="18"/>
                  </w:rPr>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30005pt;margin-top:795.637939pt;width:17.7pt;height:11pt;mso-position-horizontal-relative:page;mso-position-vertical-relative:page;z-index:-1594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217</w:t>
                </w:r>
                <w:r>
                  <w:rPr/>
                  <w:fldChar w:fldCharType="end"/>
                </w:r>
                <w:r>
                  <w:rPr>
                    <w:rFonts w:ascii="Times New Roman"/>
                    <w:spacing w:val="1"/>
                    <w:sz w:val="18"/>
                  </w:rPr>
                </w:r>
                <w:r>
                  <w:rPr>
                    <w:rFonts w:ascii="Times New Roman"/>
                    <w:sz w:val="18"/>
                  </w:rPr>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4912" type="#_x0000_t75" stroked="false">
          <v:imagedata r:id="rId1" o:title=""/>
        </v:shape>
      </w:pict>
    </w:r>
    <w:r>
      <w:rPr/>
      <w:pict>
        <v:shape style="position:absolute;margin-left:306.130005pt;margin-top:795.637939pt;width:15.7pt;height:11pt;mso-position-horizontal-relative:page;mso-position-vertical-relative:page;z-index:-15948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219</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60.320007pt;margin-top:765.039978pt;width:135pt;height:77pt;mso-position-horizontal-relative:page;mso-position-vertical-relative:page;z-index:-1594864" coordorigin="9206,15301" coordsize="2700,1540">
          <v:group style="position:absolute;left:9352;top:15420;width:1436;height:2" coordorigin="9352,15420" coordsize="1436,2">
            <v:shape style="position:absolute;left:9352;top:15420;width:1436;height:2" coordorigin="9352,15420" coordsize="1436,0" path="m9352,15420l10788,15420e" filled="false" stroked="true" strokeweight=".48pt" strokecolor="#000000">
              <v:path arrowok="t"/>
            </v:shape>
          </v:group>
          <v:group style="position:absolute;left:9352;top:15797;width:1436;height:2" coordorigin="9352,15797" coordsize="1436,2">
            <v:shape style="position:absolute;left:9352;top:15797;width:1436;height:2" coordorigin="9352,15797" coordsize="1436,0" path="m9352,15797l10788,15797e" filled="false" stroked="true" strokeweight="1.44pt" strokecolor="#000000">
              <v:path arrowok="t"/>
            </v:shape>
            <v:shape style="position:absolute;left:9206;top:15301;width:2700;height:1540" type="#_x0000_t75" stroked="false">
              <v:imagedata r:id="rId1" o:title=""/>
            </v:shape>
          </v:group>
          <w10:wrap type="none"/>
        </v:group>
      </w:pict>
    </w:r>
    <w:r>
      <w:rPr/>
      <w:pict>
        <v:shape style="position:absolute;margin-left:306.130005pt;margin-top:795.637939pt;width:15.7pt;height:11pt;mso-position-horizontal-relative:page;mso-position-vertical-relative:page;z-index:-15948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220</w:t>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6.130005pt;margin-top:795.637939pt;width:15.7pt;height:11pt;mso-position-horizontal-relative:page;mso-position-vertical-relative:page;z-index:-15948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221</w:t>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4792" type="#_x0000_t75" stroked="false">
          <v:imagedata r:id="rId1" o:title=""/>
        </v:shape>
      </w:pict>
    </w:r>
    <w:r>
      <w:rPr/>
      <w:pict>
        <v:shape style="position:absolute;margin-left:305.130005pt;margin-top:795.637939pt;width:17.7pt;height:11pt;mso-position-horizontal-relative:page;mso-position-vertical-relative:page;z-index:-1594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223</w:t>
                </w:r>
                <w:r>
                  <w:rPr/>
                  <w:fldChar w:fldCharType="end"/>
                </w:r>
                <w:r>
                  <w:rPr>
                    <w:rFonts w:ascii="Times New Roman"/>
                    <w:spacing w:val="1"/>
                    <w:sz w:val="18"/>
                  </w:rPr>
                </w:r>
                <w:r>
                  <w:rPr>
                    <w:rFonts w:ascii="Times New Roman"/>
                    <w:sz w:val="18"/>
                  </w:rPr>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8.390015pt;margin-top:549.013916pt;width:17.7pt;height:11pt;mso-position-horizontal-relative:page;mso-position-vertical-relative:page;z-index:-1594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225</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7816" type="#_x0000_t75" stroked="false">
          <v:imagedata r:id="rId1" o:title=""/>
        </v:shape>
      </w:pict>
    </w:r>
    <w:r>
      <w:rPr/>
      <w:pict>
        <v:shape style="position:absolute;margin-left:300.089996pt;margin-top:781.933899pt;width:13.15pt;height:11pt;mso-position-horizontal-relative:page;mso-position-vertical-relative:page;z-index:-1597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w:t>
                </w:r>
                <w:r>
                  <w:rPr/>
                  <w:fldChar w:fldCharType="end"/>
                </w:r>
                <w:r>
                  <w:rPr>
                    <w:rFonts w:ascii="Times New Roman"/>
                    <w:spacing w:val="1"/>
                    <w:sz w:val="18"/>
                  </w:rPr>
                </w:r>
                <w:r>
                  <w:rPr>
                    <w:rFonts w:ascii="Times New Roman"/>
                    <w:sz w:val="18"/>
                  </w:rPr>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7.039978pt;margin-top:518.320007pt;width:135pt;height:77pt;mso-position-horizontal-relative:page;mso-position-vertical-relative:page;z-index:-1594696" type="#_x0000_t75" stroked="false">
          <v:imagedata r:id="rId1" o:title=""/>
        </v:shape>
      </w:pict>
    </w:r>
    <w:r>
      <w:rPr/>
      <w:pict>
        <v:shape style="position:absolute;margin-left:428.390015pt;margin-top:549.013916pt;width:17.7pt;height:11pt;mso-position-horizontal-relative:page;mso-position-vertical-relative:page;z-index:-1594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228</w:t>
                </w:r>
                <w:r>
                  <w:rPr/>
                  <w:fldChar w:fldCharType="end"/>
                </w:r>
                <w:r>
                  <w:rPr>
                    <w:rFonts w:ascii="Times New Roman"/>
                    <w:spacing w:val="1"/>
                    <w:sz w:val="18"/>
                  </w:rPr>
                </w:r>
                <w:r>
                  <w:rPr>
                    <w:rFonts w:ascii="Times New Roman"/>
                    <w:sz w:val="18"/>
                  </w:rPr>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1594624" type="#_x0000_t75" stroked="false">
          <v:imagedata r:id="rId1" o:title=""/>
        </v:shape>
      </w:pict>
    </w:r>
    <w:r>
      <w:rPr/>
      <w:pict>
        <v:shape style="position:absolute;margin-left:305.130005pt;margin-top:795.637939pt;width:17.7pt;height:11pt;mso-position-horizontal-relative:page;mso-position-vertical-relative:page;z-index:-1594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230</w:t>
                </w:r>
                <w:r>
                  <w:rPr/>
                  <w:fldChar w:fldCharType="end"/>
                </w:r>
                <w:r>
                  <w:rPr>
                    <w:rFonts w:ascii="Times New Roman"/>
                    <w:spacing w:val="1"/>
                    <w:sz w:val="18"/>
                  </w:rPr>
                </w:r>
                <w:r>
                  <w:rPr>
                    <w:rFonts w:ascii="Times New Roman"/>
                    <w:sz w:val="18"/>
                  </w:rPr>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4552" type="#_x0000_t75" stroked="false">
          <v:imagedata r:id="rId1" o:title=""/>
        </v:shape>
      </w:pict>
    </w:r>
    <w:r>
      <w:rPr/>
      <w:pict>
        <v:shape style="position:absolute;margin-left:297.809998pt;margin-top:781.933899pt;width:17.7pt;height:11pt;mso-position-horizontal-relative:page;mso-position-vertical-relative:page;z-index:-1594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237</w:t>
                </w:r>
                <w:r>
                  <w:rPr/>
                  <w:fldChar w:fldCharType="end"/>
                </w:r>
                <w:r>
                  <w:rPr>
                    <w:rFonts w:ascii="Times New Roman"/>
                    <w:spacing w:val="1"/>
                    <w:sz w:val="18"/>
                  </w:rPr>
                </w:r>
                <w:r>
                  <w:rPr>
                    <w:rFonts w:ascii="Times New Roman"/>
                    <w:sz w:val="18"/>
                  </w:rPr>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594504" type="#_x0000_t75" stroked="false">
          <v:imagedata r:id="rId1" o:title=""/>
        </v:shape>
      </w:pict>
    </w:r>
    <w:r>
      <w:rPr/>
      <w:pict>
        <v:shape style="position:absolute;margin-left:297.809998pt;margin-top:781.933899pt;width:17.7pt;height:11pt;mso-position-horizontal-relative:page;mso-position-vertical-relative:page;z-index:-1594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238</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089996pt;margin-top:781.933899pt;width:13.15pt;height:11pt;mso-position-horizontal-relative:page;mso-position-vertical-relative:page;z-index:-1597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070007pt;margin-top:36.265610pt;width:186.75pt;height:11.5pt;mso-position-horizontal-relative:page;mso-position-vertical-relative:page;z-index:-15981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21.059998pt;margin-top:38.727478pt;width:161.050pt;height:63.6pt;mso-position-horizontal-relative:page;mso-position-vertical-relative:page;z-index:-1596088"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before="36"/>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before="36"/>
                  <w:ind w:left="20" w:right="0" w:firstLine="0"/>
                  <w:jc w:val="left"/>
                  <w:rPr>
                    <w:rFonts w:ascii="黑体" w:hAnsi="黑体" w:cs="黑体" w:eastAsia="黑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8.024002pt;margin-top:60.347507pt;width:161.050pt;height:63.6pt;mso-position-horizontal-relative:page;mso-position-vertical-relative:page;z-index:-1595800"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before="36"/>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before="36"/>
                  <w:ind w:left="20" w:right="0" w:firstLine="0"/>
                  <w:jc w:val="left"/>
                  <w:rPr>
                    <w:rFonts w:ascii="黑体" w:hAnsi="黑体" w:cs="黑体" w:eastAsia="黑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7.339996pt;margin-top:38.727478pt;width:161.050pt;height:63.6pt;mso-position-horizontal-relative:page;mso-position-vertical-relative:page;z-index:-1595728"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before="36"/>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before="36"/>
                  <w:ind w:left="20" w:right="0" w:firstLine="0"/>
                  <w:jc w:val="left"/>
                  <w:rPr>
                    <w:rFonts w:ascii="黑体" w:hAnsi="黑体" w:cs="黑体" w:eastAsia="黑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3.279999pt;margin-top:60.347507pt;width:161.050pt;height:63.6pt;mso-position-horizontal-relative:page;mso-position-vertical-relative:page;z-index:-1595656"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before="36"/>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before="36"/>
                  <w:ind w:left="20" w:right="0" w:firstLine="0"/>
                  <w:jc w:val="left"/>
                  <w:rPr>
                    <w:rFonts w:ascii="黑体" w:hAnsi="黑体" w:cs="黑体" w:eastAsia="黑体" w:hint="default"/>
                    <w:sz w:val="24"/>
                    <w:szCs w:val="24"/>
                  </w:rPr>
                </w:pPr>
                <w:r>
                  <w:rPr>
                    <w:rFonts w:ascii="Arial" w:hAnsi="Arial" w:cs="Arial" w:eastAsia="Arial" w:hint="default"/>
                    <w:sz w:val="24"/>
                    <w:szCs w:val="24"/>
                  </w:rPr>
                  <w:t>2012</w:t>
                </w:r>
                <w:r>
                  <w:rPr>
                    <w:rFonts w:ascii="Arial" w:hAnsi="Arial" w:cs="Arial" w:eastAsia="Arial" w:hint="default"/>
                    <w:spacing w:val="-8"/>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22.5pt;margin-top:38.727478pt;width:161.050pt;height:63.6pt;mso-position-horizontal-relative:page;mso-position-vertical-relative:page;z-index:-1595608"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before="36"/>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before="36"/>
                  <w:ind w:left="20" w:right="0" w:firstLine="0"/>
                  <w:jc w:val="left"/>
                  <w:rPr>
                    <w:rFonts w:ascii="黑体" w:hAnsi="黑体" w:cs="黑体" w:eastAsia="黑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82pt;margin-top:60.347507pt;width:161.050pt;height:63.6pt;mso-position-horizontal-relative:page;mso-position-vertical-relative:page;z-index:-1595440"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before="36"/>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before="36"/>
                  <w:ind w:left="20" w:right="0" w:firstLine="0"/>
                  <w:jc w:val="left"/>
                  <w:rPr>
                    <w:rFonts w:ascii="黑体" w:hAnsi="黑体" w:cs="黑体" w:eastAsia="黑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21.419998pt;margin-top:38.727478pt;width:161.050pt;height:63.6pt;mso-position-horizontal-relative:page;mso-position-vertical-relative:page;z-index:-1595392"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before="36"/>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before="36"/>
                  <w:ind w:left="20" w:right="0" w:firstLine="0"/>
                  <w:jc w:val="left"/>
                  <w:rPr>
                    <w:rFonts w:ascii="黑体" w:hAnsi="黑体" w:cs="黑体" w:eastAsia="黑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38.727509pt;width:161.050pt;height:63.6pt;mso-position-horizontal-relative:page;mso-position-vertical-relative:page;z-index:-1595176"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before="36"/>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before="36"/>
                  <w:ind w:left="20" w:right="0" w:firstLine="0"/>
                  <w:jc w:val="left"/>
                  <w:rPr>
                    <w:rFonts w:ascii="黑体" w:hAnsi="黑体" w:cs="黑体" w:eastAsia="黑体" w:hint="default"/>
                    <w:sz w:val="24"/>
                    <w:szCs w:val="24"/>
                  </w:rPr>
                </w:pPr>
                <w:r>
                  <w:rPr>
                    <w:rFonts w:ascii="Arial" w:hAnsi="Arial" w:cs="Arial" w:eastAsia="Arial" w:hint="default"/>
                    <w:sz w:val="24"/>
                    <w:szCs w:val="24"/>
                  </w:rPr>
                  <w:t>2012</w:t>
                </w:r>
                <w:r>
                  <w:rPr>
                    <w:rFonts w:ascii="Arial" w:hAnsi="Arial" w:cs="Arial" w:eastAsia="Arial" w:hint="default"/>
                    <w:spacing w:val="-8"/>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21.419998pt;margin-top:38.727478pt;width:161.050pt;height:63.6pt;mso-position-horizontal-relative:page;mso-position-vertical-relative:page;z-index:-1595104"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before="36"/>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before="36"/>
                  <w:ind w:left="20" w:right="0" w:firstLine="0"/>
                  <w:jc w:val="left"/>
                  <w:rPr>
                    <w:rFonts w:ascii="黑体" w:hAnsi="黑体" w:cs="黑体" w:eastAsia="黑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29993pt;margin-top:42.865631pt;width:186.75pt;height:11.5pt;mso-position-horizontal-relative:page;mso-position-vertical-relative:page;z-index:-15976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24004pt;margin-top:38.727509pt;width:161pt;height:63.6pt;mso-position-horizontal-relative:page;mso-position-vertical-relative:page;z-index:-1594744"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before="36"/>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before="36"/>
                  <w:ind w:left="20" w:right="0" w:firstLine="0"/>
                  <w:jc w:val="left"/>
                  <w:rPr>
                    <w:rFonts w:ascii="黑体" w:hAnsi="黑体" w:cs="黑体" w:eastAsia="黑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24004pt;margin-top:38.727478pt;width:161.050pt;height:63.6pt;mso-position-horizontal-relative:page;mso-position-vertical-relative:page;z-index:-1594648"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before="36"/>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before="36"/>
                  <w:ind w:left="20" w:right="0" w:firstLine="0"/>
                  <w:jc w:val="left"/>
                  <w:rPr>
                    <w:rFonts w:ascii="黑体" w:hAnsi="黑体" w:cs="黑体" w:eastAsia="黑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9.664001pt;margin-top:45.327484pt;width:155.050pt;height:63.5pt;mso-position-horizontal-relative:page;mso-position-vertical-relative:page;z-index:-1594576"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before="36"/>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财务报表补充资料</w:t>
                </w:r>
              </w:p>
              <w:p>
                <w:pPr>
                  <w:spacing w:before="36"/>
                  <w:ind w:left="20" w:right="0" w:firstLine="0"/>
                  <w:jc w:val="left"/>
                  <w:rPr>
                    <w:rFonts w:ascii="黑体" w:hAnsi="黑体" w:cs="黑体" w:eastAsia="黑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黑体" w:hAnsi="黑体" w:cs="黑体" w:eastAsia="黑体" w:hint="default"/>
                    <w:sz w:val="24"/>
                    <w:szCs w:val="24"/>
                  </w:rPr>
                  <w:t>年度</w:t>
                </w:r>
              </w:p>
              <w:p>
                <w:pPr>
                  <w:spacing w:before="27"/>
                  <w:ind w:left="82"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特别注明外，金额单位为人民币千元</w:t>
                </w:r>
                <w:r>
                  <w:rPr>
                    <w:rFonts w:ascii="Arial" w:hAnsi="Arial" w:cs="Arial" w:eastAsia="Arial" w:hint="default"/>
                    <w:sz w:val="18"/>
                    <w:szCs w:val="18"/>
                  </w:rPr>
                  <w:t>)</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5975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5975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29993pt;margin-top:42.865631pt;width:186.75pt;height:11.5pt;mso-position-horizontal-relative:page;mso-position-vertical-relative:page;z-index:-15970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5970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596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1.064003pt;margin-top:45.327484pt;width:146pt;height:14pt;mso-position-horizontal-relative:page;mso-position-vertical-relative:page;z-index:-1596784"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20.82pt;margin-top:38.727478pt;width:161.050pt;height:63.6pt;mso-position-horizontal-relative:page;mso-position-vertical-relative:page;z-index:-1596688"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before="36"/>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before="36"/>
                  <w:ind w:left="20" w:right="0" w:firstLine="0"/>
                  <w:jc w:val="left"/>
                  <w:rPr>
                    <w:rFonts w:ascii="黑体" w:hAnsi="黑体" w:cs="黑体" w:eastAsia="黑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9.739998pt;margin-top:38.727509pt;width:161.050pt;height:63.6pt;mso-position-horizontal-relative:page;mso-position-vertical-relative:page;z-index:-1596184"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before="36"/>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before="36"/>
                  <w:ind w:left="20" w:right="0" w:firstLine="0"/>
                  <w:jc w:val="left"/>
                  <w:rPr>
                    <w:rFonts w:ascii="黑体" w:hAnsi="黑体" w:cs="黑体" w:eastAsia="黑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77"/>
      <w:ind w:left="109"/>
    </w:pPr>
    <w:rPr>
      <w:rFonts w:ascii="宋体" w:hAnsi="宋体" w:eastAsia="宋体"/>
      <w:b/>
      <w:bCs/>
      <w:sz w:val="28"/>
      <w:szCs w:val="28"/>
    </w:rPr>
  </w:style>
  <w:style w:styleId="BodyText" w:type="paragraph">
    <w:name w:val="Body Text"/>
    <w:basedOn w:val="Normal"/>
    <w:uiPriority w:val="1"/>
    <w:qFormat/>
    <w:pPr>
      <w:spacing w:before="46"/>
      <w:ind w:left="152"/>
    </w:pPr>
    <w:rPr>
      <w:rFonts w:ascii="宋体" w:hAnsi="宋体" w:eastAsia="宋体"/>
      <w:sz w:val="21"/>
      <w:szCs w:val="21"/>
    </w:rPr>
  </w:style>
  <w:style w:styleId="Heading1" w:type="paragraph">
    <w:name w:val="Heading 1"/>
    <w:basedOn w:val="Normal"/>
    <w:uiPriority w:val="1"/>
    <w:qFormat/>
    <w:pPr>
      <w:ind w:left="2290"/>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20"/>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 Id="rId11" Type="http://schemas.openxmlformats.org/officeDocument/2006/relationships/hyperlink" Target="http://www.cnsuning.com/" TargetMode="External"/><Relationship Id="rId12" Type="http://schemas.openxmlformats.org/officeDocument/2006/relationships/hyperlink" Target="mailto:stock@cnsuning.com" TargetMode="External"/><Relationship Id="rId13" Type="http://schemas.openxmlformats.org/officeDocument/2006/relationships/hyperlink" Target="http://www.cninfo.com.cn/" TargetMode="External"/><Relationship Id="rId14" Type="http://schemas.openxmlformats.org/officeDocument/2006/relationships/image" Target="media/image3.jpeg"/><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header" Target="header2.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header" Target="header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footer" Target="footer22.xml"/><Relationship Id="rId36" Type="http://schemas.openxmlformats.org/officeDocument/2006/relationships/footer" Target="footer23.xml"/><Relationship Id="rId37" Type="http://schemas.openxmlformats.org/officeDocument/2006/relationships/header" Target="header4.xml"/><Relationship Id="rId38" Type="http://schemas.openxmlformats.org/officeDocument/2006/relationships/footer" Target="footer24.xml"/><Relationship Id="rId39" Type="http://schemas.openxmlformats.org/officeDocument/2006/relationships/header" Target="header5.xml"/><Relationship Id="rId40" Type="http://schemas.openxmlformats.org/officeDocument/2006/relationships/footer" Target="footer25.xml"/><Relationship Id="rId41" Type="http://schemas.openxmlformats.org/officeDocument/2006/relationships/image" Target="media/image4.png"/><Relationship Id="rId42" Type="http://schemas.openxmlformats.org/officeDocument/2006/relationships/header" Target="header6.xml"/><Relationship Id="rId43" Type="http://schemas.openxmlformats.org/officeDocument/2006/relationships/footer" Target="footer26.xml"/><Relationship Id="rId44" Type="http://schemas.openxmlformats.org/officeDocument/2006/relationships/footer" Target="footer27.xml"/><Relationship Id="rId45" Type="http://schemas.openxmlformats.org/officeDocument/2006/relationships/image" Target="media/image5.png"/><Relationship Id="rId46" Type="http://schemas.openxmlformats.org/officeDocument/2006/relationships/image" Target="media/image6.png"/><Relationship Id="rId47" Type="http://schemas.openxmlformats.org/officeDocument/2006/relationships/footer" Target="footer28.xml"/><Relationship Id="rId48" Type="http://schemas.openxmlformats.org/officeDocument/2006/relationships/footer" Target="footer29.xml"/><Relationship Id="rId49" Type="http://schemas.openxmlformats.org/officeDocument/2006/relationships/header" Target="header7.xml"/><Relationship Id="rId50" Type="http://schemas.openxmlformats.org/officeDocument/2006/relationships/footer" Target="footer30.xml"/><Relationship Id="rId51" Type="http://schemas.openxmlformats.org/officeDocument/2006/relationships/footer" Target="footer31.xml"/><Relationship Id="rId52" Type="http://schemas.openxmlformats.org/officeDocument/2006/relationships/header" Target="header8.xml"/><Relationship Id="rId53" Type="http://schemas.openxmlformats.org/officeDocument/2006/relationships/footer" Target="footer32.xml"/><Relationship Id="rId54" Type="http://schemas.openxmlformats.org/officeDocument/2006/relationships/footer" Target="footer33.xml"/><Relationship Id="rId55" Type="http://schemas.openxmlformats.org/officeDocument/2006/relationships/footer" Target="footer34.xml"/><Relationship Id="rId56" Type="http://schemas.openxmlformats.org/officeDocument/2006/relationships/footer" Target="footer35.xml"/><Relationship Id="rId57" Type="http://schemas.openxmlformats.org/officeDocument/2006/relationships/footer" Target="footer36.xml"/><Relationship Id="rId58" Type="http://schemas.openxmlformats.org/officeDocument/2006/relationships/footer" Target="footer37.xml"/><Relationship Id="rId59" Type="http://schemas.openxmlformats.org/officeDocument/2006/relationships/footer" Target="footer38.xml"/><Relationship Id="rId60" Type="http://schemas.openxmlformats.org/officeDocument/2006/relationships/footer" Target="footer39.xml"/><Relationship Id="rId61" Type="http://schemas.openxmlformats.org/officeDocument/2006/relationships/footer" Target="footer40.xml"/><Relationship Id="rId62" Type="http://schemas.openxmlformats.org/officeDocument/2006/relationships/footer" Target="footer41.xml"/><Relationship Id="rId63" Type="http://schemas.openxmlformats.org/officeDocument/2006/relationships/footer" Target="footer42.xml"/><Relationship Id="rId64" Type="http://schemas.openxmlformats.org/officeDocument/2006/relationships/footer" Target="footer43.xml"/><Relationship Id="rId65" Type="http://schemas.openxmlformats.org/officeDocument/2006/relationships/footer" Target="footer44.xml"/><Relationship Id="rId66" Type="http://schemas.openxmlformats.org/officeDocument/2006/relationships/header" Target="header9.xml"/><Relationship Id="rId67" Type="http://schemas.openxmlformats.org/officeDocument/2006/relationships/footer" Target="footer45.xml"/><Relationship Id="rId68" Type="http://schemas.openxmlformats.org/officeDocument/2006/relationships/footer" Target="footer46.xml"/><Relationship Id="rId69" Type="http://schemas.openxmlformats.org/officeDocument/2006/relationships/header" Target="header10.xml"/><Relationship Id="rId70" Type="http://schemas.openxmlformats.org/officeDocument/2006/relationships/footer" Target="footer47.xml"/><Relationship Id="rId71" Type="http://schemas.openxmlformats.org/officeDocument/2006/relationships/footer" Target="footer48.xml"/><Relationship Id="rId72" Type="http://schemas.openxmlformats.org/officeDocument/2006/relationships/footer" Target="footer49.xml"/><Relationship Id="rId73" Type="http://schemas.openxmlformats.org/officeDocument/2006/relationships/footer" Target="footer50.xml"/><Relationship Id="rId74" Type="http://schemas.openxmlformats.org/officeDocument/2006/relationships/footer" Target="footer51.xml"/><Relationship Id="rId75" Type="http://schemas.openxmlformats.org/officeDocument/2006/relationships/footer" Target="footer52.xml"/><Relationship Id="rId76" Type="http://schemas.openxmlformats.org/officeDocument/2006/relationships/footer" Target="footer53.xml"/><Relationship Id="rId77" Type="http://schemas.openxmlformats.org/officeDocument/2006/relationships/header" Target="header11.xml"/><Relationship Id="rId78" Type="http://schemas.openxmlformats.org/officeDocument/2006/relationships/footer" Target="footer54.xml"/><Relationship Id="rId79" Type="http://schemas.openxmlformats.org/officeDocument/2006/relationships/header" Target="header12.xml"/><Relationship Id="rId80" Type="http://schemas.openxmlformats.org/officeDocument/2006/relationships/footer" Target="footer55.xml"/><Relationship Id="rId81" Type="http://schemas.openxmlformats.org/officeDocument/2006/relationships/header" Target="header13.xml"/><Relationship Id="rId82" Type="http://schemas.openxmlformats.org/officeDocument/2006/relationships/footer" Target="footer56.xml"/><Relationship Id="rId83" Type="http://schemas.openxmlformats.org/officeDocument/2006/relationships/footer" Target="footer57.xml"/><Relationship Id="rId84" Type="http://schemas.openxmlformats.org/officeDocument/2006/relationships/header" Target="header14.xml"/><Relationship Id="rId85" Type="http://schemas.openxmlformats.org/officeDocument/2006/relationships/footer" Target="footer58.xml"/><Relationship Id="rId86" Type="http://schemas.openxmlformats.org/officeDocument/2006/relationships/header" Target="header15.xml"/><Relationship Id="rId87" Type="http://schemas.openxmlformats.org/officeDocument/2006/relationships/footer" Target="footer59.xml"/><Relationship Id="rId88" Type="http://schemas.openxmlformats.org/officeDocument/2006/relationships/footer" Target="footer60.xml"/><Relationship Id="rId89" Type="http://schemas.openxmlformats.org/officeDocument/2006/relationships/footer" Target="footer61.xml"/><Relationship Id="rId90" Type="http://schemas.openxmlformats.org/officeDocument/2006/relationships/footer" Target="footer62.xml"/><Relationship Id="rId91" Type="http://schemas.openxmlformats.org/officeDocument/2006/relationships/header" Target="header16.xml"/><Relationship Id="rId92" Type="http://schemas.openxmlformats.org/officeDocument/2006/relationships/footer" Target="footer63.xml"/><Relationship Id="rId93" Type="http://schemas.openxmlformats.org/officeDocument/2006/relationships/header" Target="header17.xml"/><Relationship Id="rId94" Type="http://schemas.openxmlformats.org/officeDocument/2006/relationships/footer" Target="footer64.xml"/><Relationship Id="rId95" Type="http://schemas.openxmlformats.org/officeDocument/2006/relationships/footer" Target="footer65.xml"/><Relationship Id="rId96" Type="http://schemas.openxmlformats.org/officeDocument/2006/relationships/footer" Target="footer66.xml"/><Relationship Id="rId97" Type="http://schemas.openxmlformats.org/officeDocument/2006/relationships/footer" Target="footer67.xml"/><Relationship Id="rId98" Type="http://schemas.openxmlformats.org/officeDocument/2006/relationships/footer" Target="footer68.xml"/><Relationship Id="rId99" Type="http://schemas.openxmlformats.org/officeDocument/2006/relationships/header" Target="header18.xml"/><Relationship Id="rId100" Type="http://schemas.openxmlformats.org/officeDocument/2006/relationships/footer" Target="footer69.xml"/><Relationship Id="rId101" Type="http://schemas.openxmlformats.org/officeDocument/2006/relationships/header" Target="header19.xml"/><Relationship Id="rId102" Type="http://schemas.openxmlformats.org/officeDocument/2006/relationships/footer" Target="footer70.xml"/><Relationship Id="rId103" Type="http://schemas.openxmlformats.org/officeDocument/2006/relationships/footer" Target="footer71.xml"/><Relationship Id="rId104" Type="http://schemas.openxmlformats.org/officeDocument/2006/relationships/footer" Target="footer72.xml"/><Relationship Id="rId105" Type="http://schemas.openxmlformats.org/officeDocument/2006/relationships/footer" Target="footer73.xml"/><Relationship Id="rId106" Type="http://schemas.openxmlformats.org/officeDocument/2006/relationships/footer" Target="footer74.xml"/><Relationship Id="rId107" Type="http://schemas.openxmlformats.org/officeDocument/2006/relationships/footer" Target="footer75.xml"/><Relationship Id="rId108" Type="http://schemas.openxmlformats.org/officeDocument/2006/relationships/footer" Target="footer76.xml"/><Relationship Id="rId109" Type="http://schemas.openxmlformats.org/officeDocument/2006/relationships/footer" Target="footer77.xml"/><Relationship Id="rId110" Type="http://schemas.openxmlformats.org/officeDocument/2006/relationships/footer" Target="footer78.xml"/><Relationship Id="rId111" Type="http://schemas.openxmlformats.org/officeDocument/2006/relationships/header" Target="header20.xml"/><Relationship Id="rId112" Type="http://schemas.openxmlformats.org/officeDocument/2006/relationships/footer" Target="footer79.xml"/><Relationship Id="rId113" Type="http://schemas.openxmlformats.org/officeDocument/2006/relationships/footer" Target="footer80.xml"/><Relationship Id="rId114" Type="http://schemas.openxmlformats.org/officeDocument/2006/relationships/header" Target="header21.xml"/><Relationship Id="rId115" Type="http://schemas.openxmlformats.org/officeDocument/2006/relationships/footer" Target="footer81.xml"/><Relationship Id="rId116" Type="http://schemas.openxmlformats.org/officeDocument/2006/relationships/header" Target="header22.xml"/><Relationship Id="rId117" Type="http://schemas.openxmlformats.org/officeDocument/2006/relationships/footer" Target="footer82.xml"/><Relationship Id="rId118" Type="http://schemas.openxmlformats.org/officeDocument/2006/relationships/header" Target="header23.xml"/><Relationship Id="rId119" Type="http://schemas.openxmlformats.org/officeDocument/2006/relationships/footer" Target="footer8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41.xml.rels><?xml version="1.0" encoding="UTF-8" standalone="yes"?>
<Relationships xmlns="http://schemas.openxmlformats.org/package/2006/relationships"><Relationship Id="rId1" Type="http://schemas.openxmlformats.org/officeDocument/2006/relationships/image" Target="media/image1.png"/></Relationships>

</file>

<file path=word/_rels/footer43.xml.rels><?xml version="1.0" encoding="UTF-8" standalone="yes"?>
<Relationships xmlns="http://schemas.openxmlformats.org/package/2006/relationships"><Relationship Id="rId1" Type="http://schemas.openxmlformats.org/officeDocument/2006/relationships/image" Target="media/image1.png"/></Relationships>

</file>

<file path=word/_rels/footer46.xml.rels><?xml version="1.0" encoding="UTF-8" standalone="yes"?>
<Relationships xmlns="http://schemas.openxmlformats.org/package/2006/relationships"><Relationship Id="rId1" Type="http://schemas.openxmlformats.org/officeDocument/2006/relationships/image" Target="media/image1.png"/></Relationships>

</file>

<file path=word/_rels/footer47.xml.rels><?xml version="1.0" encoding="UTF-8" standalone="yes"?>
<Relationships xmlns="http://schemas.openxmlformats.org/package/2006/relationships"><Relationship Id="rId1" Type="http://schemas.openxmlformats.org/officeDocument/2006/relationships/image" Target="media/image1.png"/></Relationships>

</file>

<file path=word/_rels/footer49.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51.xml.rels><?xml version="1.0" encoding="UTF-8" standalone="yes"?>
<Relationships xmlns="http://schemas.openxmlformats.org/package/2006/relationships"><Relationship Id="rId1" Type="http://schemas.openxmlformats.org/officeDocument/2006/relationships/image" Target="media/image1.png"/></Relationships>

</file>

<file path=word/_rels/footer53.xml.rels><?xml version="1.0" encoding="UTF-8" standalone="yes"?>
<Relationships xmlns="http://schemas.openxmlformats.org/package/2006/relationships"><Relationship Id="rId1" Type="http://schemas.openxmlformats.org/officeDocument/2006/relationships/image" Target="media/image1.png"/></Relationships>

</file>

<file path=word/_rels/footer54.xml.rels><?xml version="1.0" encoding="UTF-8" standalone="yes"?>
<Relationships xmlns="http://schemas.openxmlformats.org/package/2006/relationships"><Relationship Id="rId1" Type="http://schemas.openxmlformats.org/officeDocument/2006/relationships/image" Target="media/image1.png"/></Relationships>

</file>

<file path=word/_rels/footer57.xml.rels><?xml version="1.0" encoding="UTF-8" standalone="yes"?>
<Relationships xmlns="http://schemas.openxmlformats.org/package/2006/relationships"><Relationship Id="rId1" Type="http://schemas.openxmlformats.org/officeDocument/2006/relationships/image" Target="media/image1.png"/></Relationships>

</file>

<file path=word/_rels/footer59.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61.xml.rels><?xml version="1.0" encoding="UTF-8" standalone="yes"?>
<Relationships xmlns="http://schemas.openxmlformats.org/package/2006/relationships"><Relationship Id="rId1" Type="http://schemas.openxmlformats.org/officeDocument/2006/relationships/image" Target="media/image1.png"/></Relationships>

</file>

<file path=word/_rels/footer64.xml.rels><?xml version="1.0" encoding="UTF-8" standalone="yes"?>
<Relationships xmlns="http://schemas.openxmlformats.org/package/2006/relationships"><Relationship Id="rId1" Type="http://schemas.openxmlformats.org/officeDocument/2006/relationships/image" Target="media/image1.png"/></Relationships>

</file>

<file path=word/_rels/footer66.xml.rels><?xml version="1.0" encoding="UTF-8" standalone="yes"?>
<Relationships xmlns="http://schemas.openxmlformats.org/package/2006/relationships"><Relationship Id="rId1" Type="http://schemas.openxmlformats.org/officeDocument/2006/relationships/image" Target="media/image1.png"/></Relationships>

</file>

<file path=word/_rels/footer68.xml.rels><?xml version="1.0" encoding="UTF-8" standalone="yes"?>
<Relationships xmlns="http://schemas.openxmlformats.org/package/2006/relationships"><Relationship Id="rId1" Type="http://schemas.openxmlformats.org/officeDocument/2006/relationships/image" Target="media/image1.png"/></Relationships>

</file>

<file path=word/_rels/footer69.xml.rels><?xml version="1.0" encoding="UTF-8" standalone="yes"?>
<Relationships xmlns="http://schemas.openxmlformats.org/package/2006/relationships"><Relationship Id="rId1" Type="http://schemas.openxmlformats.org/officeDocument/2006/relationships/image" Target="media/image1.png"/></Relationships>

</file>

<file path=word/_rels/footer71.xml.rels><?xml version="1.0" encoding="UTF-8" standalone="yes"?>
<Relationships xmlns="http://schemas.openxmlformats.org/package/2006/relationships"><Relationship Id="rId1" Type="http://schemas.openxmlformats.org/officeDocument/2006/relationships/image" Target="media/image1.png"/></Relationships>

</file>

<file path=word/_rels/footer73.xml.rels><?xml version="1.0" encoding="UTF-8" standalone="yes"?>
<Relationships xmlns="http://schemas.openxmlformats.org/package/2006/relationships"><Relationship Id="rId1" Type="http://schemas.openxmlformats.org/officeDocument/2006/relationships/image" Target="media/image1.png"/></Relationships>

</file>

<file path=word/_rels/footer75.xml.rels><?xml version="1.0" encoding="UTF-8" standalone="yes"?>
<Relationships xmlns="http://schemas.openxmlformats.org/package/2006/relationships"><Relationship Id="rId1" Type="http://schemas.openxmlformats.org/officeDocument/2006/relationships/image" Target="media/image1.png"/></Relationships>

</file>

<file path=word/_rels/footer76.xml.rels><?xml version="1.0" encoding="UTF-8" standalone="yes"?>
<Relationships xmlns="http://schemas.openxmlformats.org/package/2006/relationships"><Relationship Id="rId1" Type="http://schemas.openxmlformats.org/officeDocument/2006/relationships/image" Target="media/image1.png"/></Relationships>

</file>

<file path=word/_rels/footer78.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80.xml.rels><?xml version="1.0" encoding="UTF-8" standalone="yes"?>
<Relationships xmlns="http://schemas.openxmlformats.org/package/2006/relationships"><Relationship Id="rId1" Type="http://schemas.openxmlformats.org/officeDocument/2006/relationships/image" Target="media/image1.png"/></Relationships>

</file>

<file path=word/_rels/footer81.xml.rels><?xml version="1.0" encoding="UTF-8" standalone="yes"?>
<Relationships xmlns="http://schemas.openxmlformats.org/package/2006/relationships"><Relationship Id="rId1" Type="http://schemas.openxmlformats.org/officeDocument/2006/relationships/image" Target="media/image1.png"/></Relationships>

</file>

<file path=word/_rels/footer82.xml.rels><?xml version="1.0" encoding="UTF-8" standalone="yes"?>
<Relationships xmlns="http://schemas.openxmlformats.org/package/2006/relationships"><Relationship Id="rId1" Type="http://schemas.openxmlformats.org/officeDocument/2006/relationships/image" Target="media/image1.png"/></Relationships>

</file>

<file path=word/_rels/footer8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2020-05-03T23:57:26Z</dcterms:created>
  <dcterms:modified xsi:type="dcterms:W3CDTF">2020-05-03T23:57:26Z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2013-03-29T00:00:00Z</vt:filetime>
  </property>
  <property fmtid="{D5CDD505-2E9C-101B-9397-08002B2CF9AE}" pid="3" name="Creator">
    <vt:lpwstr>Microsoft® Office Word 2007</vt:lpwstr>
  </property>
  <property fmtid="{D5CDD505-2E9C-101B-9397-08002B2CF9AE}" pid="4" name="LastSaved">
    <vt:filetime>2020-05-03T00:00:00Z</vt:filetime>
  </property>
</Properties>
</file>